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4"/>
          <w:szCs w:val="24"/>
          <w:lang w:eastAsia="en-US"/>
        </w:rPr>
        <w:id w:val="-744263839"/>
        <w:docPartObj>
          <w:docPartGallery w:val="Table of Contents"/>
          <w:docPartUnique/>
        </w:docPartObj>
      </w:sdtPr>
      <w:sdtEndPr>
        <w:rPr>
          <w:b/>
          <w:bCs/>
        </w:rPr>
      </w:sdtEndPr>
      <w:sdtContent>
        <w:p w14:paraId="7E7F9E85" w14:textId="43F9B2DC" w:rsidR="008A0537" w:rsidRPr="001F78A4" w:rsidRDefault="008A0537" w:rsidP="003B450C">
          <w:pPr>
            <w:pStyle w:val="Hlavikaobsahu"/>
            <w:spacing w:before="0" w:line="240" w:lineRule="auto"/>
            <w:jc w:val="center"/>
            <w:rPr>
              <w:rFonts w:ascii="Times New Roman" w:hAnsi="Times New Roman" w:cs="Times New Roman"/>
              <w:b/>
              <w:color w:val="auto"/>
              <w:sz w:val="24"/>
              <w:szCs w:val="24"/>
            </w:rPr>
          </w:pPr>
          <w:r w:rsidRPr="001F78A4">
            <w:rPr>
              <w:rFonts w:ascii="Times New Roman" w:hAnsi="Times New Roman" w:cs="Times New Roman"/>
              <w:b/>
              <w:color w:val="auto"/>
              <w:sz w:val="24"/>
              <w:szCs w:val="24"/>
            </w:rPr>
            <w:t>Obsah</w:t>
          </w:r>
        </w:p>
        <w:p w14:paraId="123466EB" w14:textId="69D0AA0B" w:rsidR="0049177B" w:rsidRPr="00652A6A" w:rsidRDefault="00C27205">
          <w:pPr>
            <w:pStyle w:val="Obsah1"/>
            <w:rPr>
              <w:rFonts w:eastAsiaTheme="minorEastAsia" w:cs="Times New Roman"/>
              <w:b w:val="0"/>
              <w:bCs w:val="0"/>
              <w:sz w:val="24"/>
              <w:szCs w:val="24"/>
              <w:lang w:eastAsia="sk-SK"/>
            </w:rPr>
          </w:pPr>
          <w:r w:rsidRPr="00E24BCF">
            <w:rPr>
              <w:rFonts w:cs="Times New Roman"/>
              <w:sz w:val="24"/>
              <w:szCs w:val="24"/>
            </w:rPr>
            <w:fldChar w:fldCharType="begin"/>
          </w:r>
          <w:r w:rsidRPr="00E24BCF">
            <w:rPr>
              <w:rFonts w:cs="Times New Roman"/>
              <w:sz w:val="24"/>
              <w:szCs w:val="24"/>
            </w:rPr>
            <w:instrText xml:space="preserve"> TOC \o "1-5" \h \z \u </w:instrText>
          </w:r>
          <w:r w:rsidRPr="00E24BCF">
            <w:rPr>
              <w:rFonts w:cs="Times New Roman"/>
              <w:sz w:val="24"/>
              <w:szCs w:val="24"/>
            </w:rPr>
            <w:fldChar w:fldCharType="separate"/>
          </w:r>
          <w:hyperlink w:anchor="_Toc132929067" w:history="1">
            <w:r w:rsidR="0049177B" w:rsidRPr="00652A6A">
              <w:rPr>
                <w:rStyle w:val="Hypertextovprepojenie"/>
                <w:rFonts w:cs="Times New Roman"/>
                <w:sz w:val="24"/>
                <w:szCs w:val="24"/>
              </w:rPr>
              <w:t>Zhrnutie</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_Toc132929067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2</w:t>
            </w:r>
            <w:r w:rsidR="0049177B" w:rsidRPr="00652A6A">
              <w:rPr>
                <w:rFonts w:cs="Times New Roman"/>
                <w:webHidden/>
                <w:sz w:val="24"/>
                <w:szCs w:val="24"/>
              </w:rPr>
              <w:fldChar w:fldCharType="end"/>
            </w:r>
          </w:hyperlink>
        </w:p>
        <w:p w14:paraId="7F5D03A2" w14:textId="5088929F" w:rsidR="0049177B" w:rsidRPr="00652A6A" w:rsidRDefault="008E5816">
          <w:pPr>
            <w:pStyle w:val="Obsah1"/>
            <w:rPr>
              <w:rFonts w:eastAsiaTheme="minorEastAsia" w:cs="Times New Roman"/>
              <w:b w:val="0"/>
              <w:bCs w:val="0"/>
              <w:sz w:val="24"/>
              <w:szCs w:val="24"/>
              <w:lang w:eastAsia="sk-SK"/>
            </w:rPr>
          </w:pPr>
          <w:hyperlink w:anchor="_Toc132929068" w:history="1">
            <w:r w:rsidR="0049177B" w:rsidRPr="00652A6A">
              <w:rPr>
                <w:rStyle w:val="Hypertextovprepojenie"/>
                <w:rFonts w:cs="Times New Roman"/>
                <w:sz w:val="24"/>
                <w:szCs w:val="24"/>
              </w:rPr>
              <w:t>1</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Ekonomický rámec rozpočtového hospodárenia Slovenskej republiky</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_Toc132929068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3</w:t>
            </w:r>
            <w:r w:rsidR="0049177B" w:rsidRPr="00652A6A">
              <w:rPr>
                <w:rFonts w:cs="Times New Roman"/>
                <w:webHidden/>
                <w:sz w:val="24"/>
                <w:szCs w:val="24"/>
              </w:rPr>
              <w:fldChar w:fldCharType="end"/>
            </w:r>
          </w:hyperlink>
        </w:p>
        <w:p w14:paraId="2E615BE2" w14:textId="64BC510A" w:rsidR="0049177B" w:rsidRPr="00652A6A" w:rsidRDefault="008E5816">
          <w:pPr>
            <w:pStyle w:val="Obsah2"/>
            <w:rPr>
              <w:rFonts w:eastAsiaTheme="minorEastAsia" w:cs="Times New Roman"/>
              <w:b w:val="0"/>
              <w:bCs w:val="0"/>
              <w:sz w:val="24"/>
              <w:szCs w:val="24"/>
              <w:lang w:eastAsia="sk-SK"/>
            </w:rPr>
          </w:pPr>
          <w:hyperlink w:anchor="_Toc132929069" w:history="1">
            <w:r w:rsidR="0049177B" w:rsidRPr="00652A6A">
              <w:rPr>
                <w:rStyle w:val="Hypertextovprepojenie"/>
                <w:rFonts w:cs="Times New Roman"/>
                <w:sz w:val="24"/>
                <w:szCs w:val="24"/>
              </w:rPr>
              <w:t>1.1</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Vonkajšie ekonomické prostredie</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_Toc132929069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3</w:t>
            </w:r>
            <w:r w:rsidR="0049177B" w:rsidRPr="00652A6A">
              <w:rPr>
                <w:rFonts w:cs="Times New Roman"/>
                <w:webHidden/>
                <w:sz w:val="24"/>
                <w:szCs w:val="24"/>
              </w:rPr>
              <w:fldChar w:fldCharType="end"/>
            </w:r>
          </w:hyperlink>
        </w:p>
        <w:p w14:paraId="680EB4A8" w14:textId="22D457DC" w:rsidR="0049177B" w:rsidRPr="00652A6A" w:rsidRDefault="008E5816">
          <w:pPr>
            <w:pStyle w:val="Obsah2"/>
            <w:rPr>
              <w:rFonts w:eastAsiaTheme="minorEastAsia" w:cs="Times New Roman"/>
              <w:b w:val="0"/>
              <w:bCs w:val="0"/>
              <w:sz w:val="24"/>
              <w:szCs w:val="24"/>
              <w:lang w:eastAsia="sk-SK"/>
            </w:rPr>
          </w:pPr>
          <w:hyperlink w:anchor="_Toc132929070" w:history="1">
            <w:r w:rsidR="0049177B" w:rsidRPr="00652A6A">
              <w:rPr>
                <w:rStyle w:val="Hypertextovprepojenie"/>
                <w:rFonts w:cs="Times New Roman"/>
                <w:sz w:val="24"/>
                <w:szCs w:val="24"/>
              </w:rPr>
              <w:t>1.2</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Makroekonomický vývoj SR</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_Toc132929070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4</w:t>
            </w:r>
            <w:r w:rsidR="0049177B" w:rsidRPr="00652A6A">
              <w:rPr>
                <w:rFonts w:cs="Times New Roman"/>
                <w:webHidden/>
                <w:sz w:val="24"/>
                <w:szCs w:val="24"/>
              </w:rPr>
              <w:fldChar w:fldCharType="end"/>
            </w:r>
          </w:hyperlink>
        </w:p>
        <w:p w14:paraId="17357CC8" w14:textId="49B4D575" w:rsidR="0049177B" w:rsidRPr="00652A6A" w:rsidRDefault="008E5816">
          <w:pPr>
            <w:pStyle w:val="Obsah3"/>
            <w:rPr>
              <w:rFonts w:eastAsiaTheme="minorEastAsia"/>
              <w:sz w:val="24"/>
              <w:szCs w:val="24"/>
              <w:lang w:eastAsia="sk-SK"/>
            </w:rPr>
          </w:pPr>
          <w:hyperlink w:anchor="_Toc132929071" w:history="1">
            <w:r w:rsidR="0049177B" w:rsidRPr="00652A6A">
              <w:rPr>
                <w:rStyle w:val="Hypertextovprepojenie"/>
                <w:sz w:val="24"/>
                <w:szCs w:val="24"/>
              </w:rPr>
              <w:t>1.2.1</w:t>
            </w:r>
            <w:r w:rsidR="0049177B" w:rsidRPr="00652A6A">
              <w:rPr>
                <w:rFonts w:eastAsiaTheme="minorEastAsia"/>
                <w:sz w:val="24"/>
                <w:szCs w:val="24"/>
                <w:lang w:eastAsia="sk-SK"/>
              </w:rPr>
              <w:tab/>
            </w:r>
            <w:r w:rsidR="0049177B" w:rsidRPr="00652A6A">
              <w:rPr>
                <w:rStyle w:val="Hypertextovprepojenie"/>
                <w:sz w:val="24"/>
                <w:szCs w:val="24"/>
              </w:rPr>
              <w:t>Hrubý domáci produkt</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_Toc132929071 \h </w:instrText>
            </w:r>
            <w:r w:rsidR="0049177B" w:rsidRPr="00652A6A">
              <w:rPr>
                <w:webHidden/>
                <w:sz w:val="24"/>
                <w:szCs w:val="24"/>
              </w:rPr>
            </w:r>
            <w:r w:rsidR="0049177B" w:rsidRPr="00652A6A">
              <w:rPr>
                <w:webHidden/>
                <w:sz w:val="24"/>
                <w:szCs w:val="24"/>
              </w:rPr>
              <w:fldChar w:fldCharType="separate"/>
            </w:r>
            <w:r w:rsidR="001F78A4">
              <w:rPr>
                <w:webHidden/>
                <w:sz w:val="24"/>
                <w:szCs w:val="24"/>
              </w:rPr>
              <w:t>4</w:t>
            </w:r>
            <w:r w:rsidR="0049177B" w:rsidRPr="00652A6A">
              <w:rPr>
                <w:webHidden/>
                <w:sz w:val="24"/>
                <w:szCs w:val="24"/>
              </w:rPr>
              <w:fldChar w:fldCharType="end"/>
            </w:r>
          </w:hyperlink>
        </w:p>
        <w:p w14:paraId="7A00BFC5" w14:textId="42D1F9CE" w:rsidR="0049177B" w:rsidRPr="00652A6A" w:rsidRDefault="008E5816">
          <w:pPr>
            <w:pStyle w:val="Obsah3"/>
            <w:rPr>
              <w:rFonts w:eastAsiaTheme="minorEastAsia"/>
              <w:sz w:val="24"/>
              <w:szCs w:val="24"/>
              <w:lang w:eastAsia="sk-SK"/>
            </w:rPr>
          </w:pPr>
          <w:hyperlink w:anchor="_Toc132929072" w:history="1">
            <w:r w:rsidR="0049177B" w:rsidRPr="00652A6A">
              <w:rPr>
                <w:rStyle w:val="Hypertextovprepojenie"/>
                <w:sz w:val="24"/>
                <w:szCs w:val="24"/>
              </w:rPr>
              <w:t>1.2.2</w:t>
            </w:r>
            <w:r w:rsidR="0049177B" w:rsidRPr="00652A6A">
              <w:rPr>
                <w:rFonts w:eastAsiaTheme="minorEastAsia"/>
                <w:sz w:val="24"/>
                <w:szCs w:val="24"/>
                <w:lang w:eastAsia="sk-SK"/>
              </w:rPr>
              <w:tab/>
            </w:r>
            <w:r w:rsidR="0049177B" w:rsidRPr="00652A6A">
              <w:rPr>
                <w:rStyle w:val="Hypertextovprepojenie"/>
                <w:sz w:val="24"/>
                <w:szCs w:val="24"/>
              </w:rPr>
              <w:t>Trh práce</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_Toc132929072 \h </w:instrText>
            </w:r>
            <w:r w:rsidR="0049177B" w:rsidRPr="00652A6A">
              <w:rPr>
                <w:webHidden/>
                <w:sz w:val="24"/>
                <w:szCs w:val="24"/>
              </w:rPr>
            </w:r>
            <w:r w:rsidR="0049177B" w:rsidRPr="00652A6A">
              <w:rPr>
                <w:webHidden/>
                <w:sz w:val="24"/>
                <w:szCs w:val="24"/>
              </w:rPr>
              <w:fldChar w:fldCharType="separate"/>
            </w:r>
            <w:r w:rsidR="001F78A4">
              <w:rPr>
                <w:webHidden/>
                <w:sz w:val="24"/>
                <w:szCs w:val="24"/>
              </w:rPr>
              <w:t>5</w:t>
            </w:r>
            <w:r w:rsidR="0049177B" w:rsidRPr="00652A6A">
              <w:rPr>
                <w:webHidden/>
                <w:sz w:val="24"/>
                <w:szCs w:val="24"/>
              </w:rPr>
              <w:fldChar w:fldCharType="end"/>
            </w:r>
          </w:hyperlink>
        </w:p>
        <w:p w14:paraId="09C9F4D6" w14:textId="39C7FA7F" w:rsidR="0049177B" w:rsidRPr="00652A6A" w:rsidRDefault="008E5816">
          <w:pPr>
            <w:pStyle w:val="Obsah3"/>
            <w:rPr>
              <w:rFonts w:eastAsiaTheme="minorEastAsia"/>
              <w:sz w:val="24"/>
              <w:szCs w:val="24"/>
              <w:lang w:eastAsia="sk-SK"/>
            </w:rPr>
          </w:pPr>
          <w:hyperlink w:anchor="_Toc132929073" w:history="1">
            <w:r w:rsidR="0049177B" w:rsidRPr="00652A6A">
              <w:rPr>
                <w:rStyle w:val="Hypertextovprepojenie"/>
                <w:sz w:val="24"/>
                <w:szCs w:val="24"/>
              </w:rPr>
              <w:t>1.2.3</w:t>
            </w:r>
            <w:r w:rsidR="0049177B" w:rsidRPr="00652A6A">
              <w:rPr>
                <w:rFonts w:eastAsiaTheme="minorEastAsia"/>
                <w:sz w:val="24"/>
                <w:szCs w:val="24"/>
                <w:lang w:eastAsia="sk-SK"/>
              </w:rPr>
              <w:tab/>
            </w:r>
            <w:r w:rsidR="0049177B" w:rsidRPr="00652A6A">
              <w:rPr>
                <w:rStyle w:val="Hypertextovprepojenie"/>
                <w:sz w:val="24"/>
                <w:szCs w:val="24"/>
              </w:rPr>
              <w:t>Vývoj cien</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_Toc132929073 \h </w:instrText>
            </w:r>
            <w:r w:rsidR="0049177B" w:rsidRPr="00652A6A">
              <w:rPr>
                <w:webHidden/>
                <w:sz w:val="24"/>
                <w:szCs w:val="24"/>
              </w:rPr>
            </w:r>
            <w:r w:rsidR="0049177B" w:rsidRPr="00652A6A">
              <w:rPr>
                <w:webHidden/>
                <w:sz w:val="24"/>
                <w:szCs w:val="24"/>
              </w:rPr>
              <w:fldChar w:fldCharType="separate"/>
            </w:r>
            <w:r w:rsidR="001F78A4">
              <w:rPr>
                <w:webHidden/>
                <w:sz w:val="24"/>
                <w:szCs w:val="24"/>
              </w:rPr>
              <w:t>5</w:t>
            </w:r>
            <w:r w:rsidR="0049177B" w:rsidRPr="00652A6A">
              <w:rPr>
                <w:webHidden/>
                <w:sz w:val="24"/>
                <w:szCs w:val="24"/>
              </w:rPr>
              <w:fldChar w:fldCharType="end"/>
            </w:r>
          </w:hyperlink>
        </w:p>
        <w:p w14:paraId="23C26A6B" w14:textId="35A61351" w:rsidR="0049177B" w:rsidRPr="00652A6A" w:rsidRDefault="008E5816">
          <w:pPr>
            <w:pStyle w:val="Obsah3"/>
            <w:rPr>
              <w:rFonts w:eastAsiaTheme="minorEastAsia"/>
              <w:sz w:val="24"/>
              <w:szCs w:val="24"/>
              <w:lang w:eastAsia="sk-SK"/>
            </w:rPr>
          </w:pPr>
          <w:hyperlink w:anchor="_Toc132929074" w:history="1">
            <w:r w:rsidR="0049177B" w:rsidRPr="00652A6A">
              <w:rPr>
                <w:rStyle w:val="Hypertextovprepojenie"/>
                <w:sz w:val="24"/>
                <w:szCs w:val="24"/>
              </w:rPr>
              <w:t>1.2.4</w:t>
            </w:r>
            <w:r w:rsidR="0049177B" w:rsidRPr="00652A6A">
              <w:rPr>
                <w:rFonts w:eastAsiaTheme="minorEastAsia"/>
                <w:sz w:val="24"/>
                <w:szCs w:val="24"/>
                <w:lang w:eastAsia="sk-SK"/>
              </w:rPr>
              <w:tab/>
            </w:r>
            <w:r w:rsidR="0049177B" w:rsidRPr="00652A6A">
              <w:rPr>
                <w:rStyle w:val="Hypertextovprepojenie"/>
                <w:sz w:val="24"/>
                <w:szCs w:val="24"/>
              </w:rPr>
              <w:t>Platobná bilancia</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_Toc132929074 \h </w:instrText>
            </w:r>
            <w:r w:rsidR="0049177B" w:rsidRPr="00652A6A">
              <w:rPr>
                <w:webHidden/>
                <w:sz w:val="24"/>
                <w:szCs w:val="24"/>
              </w:rPr>
            </w:r>
            <w:r w:rsidR="0049177B" w:rsidRPr="00652A6A">
              <w:rPr>
                <w:webHidden/>
                <w:sz w:val="24"/>
                <w:szCs w:val="24"/>
              </w:rPr>
              <w:fldChar w:fldCharType="separate"/>
            </w:r>
            <w:r w:rsidR="001F78A4">
              <w:rPr>
                <w:webHidden/>
                <w:sz w:val="24"/>
                <w:szCs w:val="24"/>
              </w:rPr>
              <w:t>5</w:t>
            </w:r>
            <w:r w:rsidR="0049177B" w:rsidRPr="00652A6A">
              <w:rPr>
                <w:webHidden/>
                <w:sz w:val="24"/>
                <w:szCs w:val="24"/>
              </w:rPr>
              <w:fldChar w:fldCharType="end"/>
            </w:r>
          </w:hyperlink>
        </w:p>
        <w:p w14:paraId="747958F2" w14:textId="0FAC4752" w:rsidR="0049177B" w:rsidRPr="00652A6A" w:rsidRDefault="008E5816">
          <w:pPr>
            <w:pStyle w:val="Obsah3"/>
            <w:rPr>
              <w:rFonts w:eastAsiaTheme="minorEastAsia"/>
              <w:sz w:val="24"/>
              <w:szCs w:val="24"/>
              <w:lang w:eastAsia="sk-SK"/>
            </w:rPr>
          </w:pPr>
          <w:hyperlink w:anchor="_Toc132929075" w:history="1">
            <w:r w:rsidR="0049177B" w:rsidRPr="00652A6A">
              <w:rPr>
                <w:rStyle w:val="Hypertextovprepojenie"/>
                <w:sz w:val="24"/>
                <w:szCs w:val="24"/>
              </w:rPr>
              <w:t>1.2.5</w:t>
            </w:r>
            <w:r w:rsidR="0049177B" w:rsidRPr="00652A6A">
              <w:rPr>
                <w:rFonts w:eastAsiaTheme="minorEastAsia"/>
                <w:sz w:val="24"/>
                <w:szCs w:val="24"/>
                <w:lang w:eastAsia="sk-SK"/>
              </w:rPr>
              <w:tab/>
            </w:r>
            <w:r w:rsidR="0049177B" w:rsidRPr="00652A6A">
              <w:rPr>
                <w:rStyle w:val="Hypertextovprepojenie"/>
                <w:sz w:val="24"/>
                <w:szCs w:val="24"/>
              </w:rPr>
              <w:t>Porovnanie makroekonomických predpokladov rozpočtu a skutočnosti</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_Toc132929075 \h </w:instrText>
            </w:r>
            <w:r w:rsidR="0049177B" w:rsidRPr="00652A6A">
              <w:rPr>
                <w:webHidden/>
                <w:sz w:val="24"/>
                <w:szCs w:val="24"/>
              </w:rPr>
            </w:r>
            <w:r w:rsidR="0049177B" w:rsidRPr="00652A6A">
              <w:rPr>
                <w:webHidden/>
                <w:sz w:val="24"/>
                <w:szCs w:val="24"/>
              </w:rPr>
              <w:fldChar w:fldCharType="separate"/>
            </w:r>
            <w:r w:rsidR="001F78A4">
              <w:rPr>
                <w:webHidden/>
                <w:sz w:val="24"/>
                <w:szCs w:val="24"/>
              </w:rPr>
              <w:t>6</w:t>
            </w:r>
            <w:r w:rsidR="0049177B" w:rsidRPr="00652A6A">
              <w:rPr>
                <w:webHidden/>
                <w:sz w:val="24"/>
                <w:szCs w:val="24"/>
              </w:rPr>
              <w:fldChar w:fldCharType="end"/>
            </w:r>
          </w:hyperlink>
        </w:p>
        <w:p w14:paraId="6E562017" w14:textId="20C0C65E" w:rsidR="0049177B" w:rsidRPr="00652A6A" w:rsidRDefault="008E5816">
          <w:pPr>
            <w:pStyle w:val="Obsah1"/>
            <w:rPr>
              <w:rFonts w:eastAsiaTheme="minorEastAsia" w:cs="Times New Roman"/>
              <w:b w:val="0"/>
              <w:bCs w:val="0"/>
              <w:sz w:val="24"/>
              <w:szCs w:val="24"/>
              <w:lang w:eastAsia="sk-SK"/>
            </w:rPr>
          </w:pPr>
          <w:hyperlink w:anchor="_Toc132929076" w:history="1">
            <w:r w:rsidR="0049177B" w:rsidRPr="00652A6A">
              <w:rPr>
                <w:rStyle w:val="Hypertextovprepojenie"/>
                <w:rFonts w:cs="Times New Roman"/>
                <w:sz w:val="24"/>
                <w:szCs w:val="24"/>
              </w:rPr>
              <w:t>2</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Hospodárenie verejnej správy v metodike ESA 2010</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_Toc132929076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8</w:t>
            </w:r>
            <w:r w:rsidR="0049177B" w:rsidRPr="00652A6A">
              <w:rPr>
                <w:rFonts w:cs="Times New Roman"/>
                <w:webHidden/>
                <w:sz w:val="24"/>
                <w:szCs w:val="24"/>
              </w:rPr>
              <w:fldChar w:fldCharType="end"/>
            </w:r>
          </w:hyperlink>
        </w:p>
        <w:p w14:paraId="791A0D03" w14:textId="3507FB37" w:rsidR="0049177B" w:rsidRPr="00652A6A" w:rsidRDefault="008E5816">
          <w:pPr>
            <w:pStyle w:val="Obsah2"/>
            <w:rPr>
              <w:rFonts w:eastAsiaTheme="minorEastAsia" w:cs="Times New Roman"/>
              <w:b w:val="0"/>
              <w:bCs w:val="0"/>
              <w:sz w:val="24"/>
              <w:szCs w:val="24"/>
              <w:lang w:eastAsia="sk-SK"/>
            </w:rPr>
          </w:pPr>
          <w:hyperlink w:anchor="_Toc132929077" w:history="1">
            <w:r w:rsidR="0049177B" w:rsidRPr="00652A6A">
              <w:rPr>
                <w:rStyle w:val="Hypertextovprepojenie"/>
                <w:rFonts w:cs="Times New Roman"/>
                <w:sz w:val="24"/>
                <w:szCs w:val="24"/>
              </w:rPr>
              <w:t>2.1</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Zámery, ciele a opatrenia rozpočtovej politiky v roku 2022</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_Toc132929077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8</w:t>
            </w:r>
            <w:r w:rsidR="0049177B" w:rsidRPr="00652A6A">
              <w:rPr>
                <w:rFonts w:cs="Times New Roman"/>
                <w:webHidden/>
                <w:sz w:val="24"/>
                <w:szCs w:val="24"/>
              </w:rPr>
              <w:fldChar w:fldCharType="end"/>
            </w:r>
          </w:hyperlink>
        </w:p>
        <w:p w14:paraId="77721343" w14:textId="5E99660E" w:rsidR="0049177B" w:rsidRPr="00652A6A" w:rsidRDefault="008E5816">
          <w:pPr>
            <w:pStyle w:val="Obsah2"/>
            <w:rPr>
              <w:rFonts w:eastAsiaTheme="minorEastAsia" w:cs="Times New Roman"/>
              <w:b w:val="0"/>
              <w:bCs w:val="0"/>
              <w:sz w:val="24"/>
              <w:szCs w:val="24"/>
              <w:lang w:eastAsia="sk-SK"/>
            </w:rPr>
          </w:pPr>
          <w:hyperlink w:anchor="_Toc132929078" w:history="1">
            <w:r w:rsidR="0049177B" w:rsidRPr="00652A6A">
              <w:rPr>
                <w:rStyle w:val="Hypertextovprepojenie"/>
                <w:rFonts w:cs="Times New Roman"/>
                <w:sz w:val="24"/>
                <w:szCs w:val="24"/>
              </w:rPr>
              <w:t>2.2</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Saldo verejnej správy</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_Toc132929078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11</w:t>
            </w:r>
            <w:r w:rsidR="0049177B" w:rsidRPr="00652A6A">
              <w:rPr>
                <w:rFonts w:cs="Times New Roman"/>
                <w:webHidden/>
                <w:sz w:val="24"/>
                <w:szCs w:val="24"/>
              </w:rPr>
              <w:fldChar w:fldCharType="end"/>
            </w:r>
          </w:hyperlink>
        </w:p>
        <w:p w14:paraId="6E59F62F" w14:textId="4C4B879A" w:rsidR="0049177B" w:rsidRPr="00652A6A" w:rsidRDefault="008E5816">
          <w:pPr>
            <w:pStyle w:val="Obsah2"/>
            <w:rPr>
              <w:rFonts w:eastAsiaTheme="minorEastAsia" w:cs="Times New Roman"/>
              <w:b w:val="0"/>
              <w:bCs w:val="0"/>
              <w:sz w:val="24"/>
              <w:szCs w:val="24"/>
              <w:lang w:eastAsia="sk-SK"/>
            </w:rPr>
          </w:pPr>
          <w:hyperlink w:anchor="_Toc132929079" w:history="1">
            <w:r w:rsidR="0049177B" w:rsidRPr="00652A6A">
              <w:rPr>
                <w:rStyle w:val="Hypertextovprepojenie"/>
                <w:rFonts w:cs="Times New Roman"/>
                <w:sz w:val="24"/>
                <w:szCs w:val="24"/>
              </w:rPr>
              <w:t>2.3</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Jednorazové vplyvy na saldo verejnej správy</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_Toc132929079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38</w:t>
            </w:r>
            <w:r w:rsidR="0049177B" w:rsidRPr="00652A6A">
              <w:rPr>
                <w:rFonts w:cs="Times New Roman"/>
                <w:webHidden/>
                <w:sz w:val="24"/>
                <w:szCs w:val="24"/>
              </w:rPr>
              <w:fldChar w:fldCharType="end"/>
            </w:r>
          </w:hyperlink>
        </w:p>
        <w:p w14:paraId="0C466B3A" w14:textId="2D4A409E" w:rsidR="0049177B" w:rsidRPr="00652A6A" w:rsidRDefault="008E5816">
          <w:pPr>
            <w:pStyle w:val="Obsah2"/>
            <w:rPr>
              <w:rFonts w:eastAsiaTheme="minorEastAsia" w:cs="Times New Roman"/>
              <w:b w:val="0"/>
              <w:bCs w:val="0"/>
              <w:sz w:val="24"/>
              <w:szCs w:val="24"/>
              <w:lang w:eastAsia="sk-SK"/>
            </w:rPr>
          </w:pPr>
          <w:hyperlink w:anchor="_Toc132929080" w:history="1">
            <w:r w:rsidR="0049177B" w:rsidRPr="00652A6A">
              <w:rPr>
                <w:rStyle w:val="Hypertextovprepojenie"/>
                <w:rFonts w:cs="Times New Roman"/>
                <w:sz w:val="24"/>
                <w:szCs w:val="24"/>
              </w:rPr>
              <w:t>2.4</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Dlh verejnej správy</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_Toc132929080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42</w:t>
            </w:r>
            <w:r w:rsidR="0049177B" w:rsidRPr="00652A6A">
              <w:rPr>
                <w:rFonts w:cs="Times New Roman"/>
                <w:webHidden/>
                <w:sz w:val="24"/>
                <w:szCs w:val="24"/>
              </w:rPr>
              <w:fldChar w:fldCharType="end"/>
            </w:r>
          </w:hyperlink>
        </w:p>
        <w:p w14:paraId="048C572E" w14:textId="03252A05" w:rsidR="0049177B" w:rsidRPr="00652A6A" w:rsidRDefault="008E5816">
          <w:pPr>
            <w:pStyle w:val="Obsah3"/>
            <w:rPr>
              <w:rFonts w:eastAsiaTheme="minorEastAsia"/>
              <w:sz w:val="24"/>
              <w:szCs w:val="24"/>
              <w:lang w:eastAsia="sk-SK"/>
            </w:rPr>
          </w:pPr>
          <w:hyperlink w:anchor="_Toc132929081" w:history="1">
            <w:r w:rsidR="0049177B" w:rsidRPr="00652A6A">
              <w:rPr>
                <w:rStyle w:val="Hypertextovprepojenie"/>
                <w:sz w:val="24"/>
                <w:szCs w:val="24"/>
              </w:rPr>
              <w:t>2.4.1</w:t>
            </w:r>
            <w:r w:rsidR="0049177B" w:rsidRPr="00652A6A">
              <w:rPr>
                <w:rFonts w:eastAsiaTheme="minorEastAsia"/>
                <w:sz w:val="24"/>
                <w:szCs w:val="24"/>
                <w:lang w:eastAsia="sk-SK"/>
              </w:rPr>
              <w:tab/>
            </w:r>
            <w:r w:rsidR="0049177B" w:rsidRPr="00652A6A">
              <w:rPr>
                <w:rStyle w:val="Hypertextovprepojenie"/>
                <w:sz w:val="24"/>
                <w:szCs w:val="24"/>
              </w:rPr>
              <w:t>Štátny dlh</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_Toc132929081 \h </w:instrText>
            </w:r>
            <w:r w:rsidR="0049177B" w:rsidRPr="00652A6A">
              <w:rPr>
                <w:webHidden/>
                <w:sz w:val="24"/>
                <w:szCs w:val="24"/>
              </w:rPr>
            </w:r>
            <w:r w:rsidR="0049177B" w:rsidRPr="00652A6A">
              <w:rPr>
                <w:webHidden/>
                <w:sz w:val="24"/>
                <w:szCs w:val="24"/>
              </w:rPr>
              <w:fldChar w:fldCharType="separate"/>
            </w:r>
            <w:r w:rsidR="001F78A4">
              <w:rPr>
                <w:webHidden/>
                <w:sz w:val="24"/>
                <w:szCs w:val="24"/>
              </w:rPr>
              <w:t>46</w:t>
            </w:r>
            <w:r w:rsidR="0049177B" w:rsidRPr="00652A6A">
              <w:rPr>
                <w:webHidden/>
                <w:sz w:val="24"/>
                <w:szCs w:val="24"/>
              </w:rPr>
              <w:fldChar w:fldCharType="end"/>
            </w:r>
          </w:hyperlink>
        </w:p>
        <w:p w14:paraId="16F941A7" w14:textId="2A068966" w:rsidR="0049177B" w:rsidRPr="00652A6A" w:rsidRDefault="008E5816">
          <w:pPr>
            <w:pStyle w:val="Obsah3"/>
            <w:rPr>
              <w:rFonts w:eastAsiaTheme="minorEastAsia"/>
              <w:sz w:val="24"/>
              <w:szCs w:val="24"/>
              <w:lang w:eastAsia="sk-SK"/>
            </w:rPr>
          </w:pPr>
          <w:hyperlink w:anchor="_Toc132929082" w:history="1">
            <w:r w:rsidR="0049177B" w:rsidRPr="00652A6A">
              <w:rPr>
                <w:rStyle w:val="Hypertextovprepojenie"/>
                <w:sz w:val="24"/>
                <w:szCs w:val="24"/>
              </w:rPr>
              <w:t>2.4.2</w:t>
            </w:r>
            <w:r w:rsidR="0049177B" w:rsidRPr="00652A6A">
              <w:rPr>
                <w:rFonts w:eastAsiaTheme="minorEastAsia"/>
                <w:sz w:val="24"/>
                <w:szCs w:val="24"/>
                <w:lang w:eastAsia="sk-SK"/>
              </w:rPr>
              <w:tab/>
            </w:r>
            <w:r w:rsidR="0049177B" w:rsidRPr="00652A6A">
              <w:rPr>
                <w:rStyle w:val="Hypertextovprepojenie"/>
                <w:sz w:val="24"/>
                <w:szCs w:val="24"/>
              </w:rPr>
              <w:t>Maastrichtský dlh ostatných subjektov verejnej správy</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_Toc132929082 \h </w:instrText>
            </w:r>
            <w:r w:rsidR="0049177B" w:rsidRPr="00652A6A">
              <w:rPr>
                <w:webHidden/>
                <w:sz w:val="24"/>
                <w:szCs w:val="24"/>
              </w:rPr>
            </w:r>
            <w:r w:rsidR="0049177B" w:rsidRPr="00652A6A">
              <w:rPr>
                <w:webHidden/>
                <w:sz w:val="24"/>
                <w:szCs w:val="24"/>
              </w:rPr>
              <w:fldChar w:fldCharType="separate"/>
            </w:r>
            <w:r w:rsidR="001F78A4">
              <w:rPr>
                <w:webHidden/>
                <w:sz w:val="24"/>
                <w:szCs w:val="24"/>
              </w:rPr>
              <w:t>47</w:t>
            </w:r>
            <w:r w:rsidR="0049177B" w:rsidRPr="00652A6A">
              <w:rPr>
                <w:webHidden/>
                <w:sz w:val="24"/>
                <w:szCs w:val="24"/>
              </w:rPr>
              <w:fldChar w:fldCharType="end"/>
            </w:r>
          </w:hyperlink>
        </w:p>
        <w:p w14:paraId="73585126" w14:textId="294A1E6B" w:rsidR="0049177B" w:rsidRPr="00652A6A" w:rsidRDefault="008E5816">
          <w:pPr>
            <w:pStyle w:val="Obsah2"/>
            <w:rPr>
              <w:rFonts w:eastAsiaTheme="minorEastAsia" w:cs="Times New Roman"/>
              <w:b w:val="0"/>
              <w:bCs w:val="0"/>
              <w:sz w:val="24"/>
              <w:szCs w:val="24"/>
              <w:lang w:eastAsia="sk-SK"/>
            </w:rPr>
          </w:pPr>
          <w:hyperlink w:anchor="_Toc132929083" w:history="1">
            <w:r w:rsidR="0049177B" w:rsidRPr="00652A6A">
              <w:rPr>
                <w:rStyle w:val="Hypertextovprepojenie"/>
                <w:rFonts w:cs="Times New Roman"/>
                <w:sz w:val="24"/>
                <w:szCs w:val="24"/>
              </w:rPr>
              <w:t>2.5</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Porovnanie salda a dlhu verejnej správy v Európskej únii</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_Toc132929083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52</w:t>
            </w:r>
            <w:r w:rsidR="0049177B" w:rsidRPr="00652A6A">
              <w:rPr>
                <w:rFonts w:cs="Times New Roman"/>
                <w:webHidden/>
                <w:sz w:val="24"/>
                <w:szCs w:val="24"/>
              </w:rPr>
              <w:fldChar w:fldCharType="end"/>
            </w:r>
          </w:hyperlink>
        </w:p>
        <w:p w14:paraId="1E2E0276" w14:textId="4208911E" w:rsidR="0049177B" w:rsidRPr="00652A6A" w:rsidRDefault="008E5816">
          <w:pPr>
            <w:pStyle w:val="Obsah1"/>
            <w:rPr>
              <w:rFonts w:eastAsiaTheme="minorEastAsia" w:cs="Times New Roman"/>
              <w:b w:val="0"/>
              <w:bCs w:val="0"/>
              <w:sz w:val="24"/>
              <w:szCs w:val="24"/>
              <w:lang w:eastAsia="sk-SK"/>
            </w:rPr>
          </w:pPr>
          <w:hyperlink w:anchor="_Toc132929084" w:history="1">
            <w:r w:rsidR="0049177B" w:rsidRPr="00652A6A">
              <w:rPr>
                <w:rStyle w:val="Hypertextovprepojenie"/>
                <w:rFonts w:cs="Times New Roman"/>
                <w:sz w:val="24"/>
                <w:szCs w:val="24"/>
              </w:rPr>
              <w:t>3</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Hospodárenie štátneho rozpočtu na hotovostnom princípe</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_Toc132929084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54</w:t>
            </w:r>
            <w:r w:rsidR="0049177B" w:rsidRPr="00652A6A">
              <w:rPr>
                <w:rFonts w:cs="Times New Roman"/>
                <w:webHidden/>
                <w:sz w:val="24"/>
                <w:szCs w:val="24"/>
              </w:rPr>
              <w:fldChar w:fldCharType="end"/>
            </w:r>
          </w:hyperlink>
        </w:p>
        <w:p w14:paraId="662132D2" w14:textId="60805BFC" w:rsidR="0049177B" w:rsidRPr="00652A6A" w:rsidRDefault="008E5816">
          <w:pPr>
            <w:pStyle w:val="Obsah2"/>
            <w:rPr>
              <w:rFonts w:eastAsiaTheme="minorEastAsia" w:cs="Times New Roman"/>
              <w:b w:val="0"/>
              <w:bCs w:val="0"/>
              <w:sz w:val="24"/>
              <w:szCs w:val="24"/>
              <w:lang w:eastAsia="sk-SK"/>
            </w:rPr>
          </w:pPr>
          <w:hyperlink w:anchor="_Toc132929085" w:history="1">
            <w:r w:rsidR="0049177B" w:rsidRPr="00652A6A">
              <w:rPr>
                <w:rStyle w:val="Hypertextovprepojenie"/>
                <w:rFonts w:cs="Times New Roman"/>
                <w:sz w:val="24"/>
                <w:szCs w:val="24"/>
              </w:rPr>
              <w:t>3.1</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Príjmy štátneho rozpočtu</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_Toc132929085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56</w:t>
            </w:r>
            <w:r w:rsidR="0049177B" w:rsidRPr="00652A6A">
              <w:rPr>
                <w:rFonts w:cs="Times New Roman"/>
                <w:webHidden/>
                <w:sz w:val="24"/>
                <w:szCs w:val="24"/>
              </w:rPr>
              <w:fldChar w:fldCharType="end"/>
            </w:r>
          </w:hyperlink>
        </w:p>
        <w:p w14:paraId="22A786D8" w14:textId="6C616808" w:rsidR="0049177B" w:rsidRPr="00652A6A" w:rsidRDefault="008E5816">
          <w:pPr>
            <w:pStyle w:val="Obsah3"/>
            <w:rPr>
              <w:rFonts w:eastAsiaTheme="minorEastAsia"/>
              <w:sz w:val="24"/>
              <w:szCs w:val="24"/>
              <w:lang w:eastAsia="sk-SK"/>
            </w:rPr>
          </w:pPr>
          <w:hyperlink w:anchor="_Toc132929086" w:history="1">
            <w:r w:rsidR="0049177B" w:rsidRPr="00652A6A">
              <w:rPr>
                <w:rStyle w:val="Hypertextovprepojenie"/>
                <w:sz w:val="24"/>
                <w:szCs w:val="24"/>
              </w:rPr>
              <w:t>3.1.1</w:t>
            </w:r>
            <w:r w:rsidR="0049177B" w:rsidRPr="00652A6A">
              <w:rPr>
                <w:rFonts w:eastAsiaTheme="minorEastAsia"/>
                <w:sz w:val="24"/>
                <w:szCs w:val="24"/>
                <w:lang w:eastAsia="sk-SK"/>
              </w:rPr>
              <w:tab/>
            </w:r>
            <w:r w:rsidR="0049177B" w:rsidRPr="00652A6A">
              <w:rPr>
                <w:rStyle w:val="Hypertextovprepojenie"/>
                <w:sz w:val="24"/>
                <w:szCs w:val="24"/>
              </w:rPr>
              <w:t>Daňové príjmy</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_Toc132929086 \h </w:instrText>
            </w:r>
            <w:r w:rsidR="0049177B" w:rsidRPr="00652A6A">
              <w:rPr>
                <w:webHidden/>
                <w:sz w:val="24"/>
                <w:szCs w:val="24"/>
              </w:rPr>
            </w:r>
            <w:r w:rsidR="0049177B" w:rsidRPr="00652A6A">
              <w:rPr>
                <w:webHidden/>
                <w:sz w:val="24"/>
                <w:szCs w:val="24"/>
              </w:rPr>
              <w:fldChar w:fldCharType="separate"/>
            </w:r>
            <w:r w:rsidR="001F78A4">
              <w:rPr>
                <w:webHidden/>
                <w:sz w:val="24"/>
                <w:szCs w:val="24"/>
              </w:rPr>
              <w:t>56</w:t>
            </w:r>
            <w:r w:rsidR="0049177B" w:rsidRPr="00652A6A">
              <w:rPr>
                <w:webHidden/>
                <w:sz w:val="24"/>
                <w:szCs w:val="24"/>
              </w:rPr>
              <w:fldChar w:fldCharType="end"/>
            </w:r>
          </w:hyperlink>
        </w:p>
        <w:p w14:paraId="0FECDD2B" w14:textId="22FD4AB7" w:rsidR="0049177B" w:rsidRPr="00652A6A" w:rsidRDefault="008E5816">
          <w:pPr>
            <w:pStyle w:val="Obsah3"/>
            <w:rPr>
              <w:rFonts w:eastAsiaTheme="minorEastAsia"/>
              <w:sz w:val="24"/>
              <w:szCs w:val="24"/>
              <w:lang w:eastAsia="sk-SK"/>
            </w:rPr>
          </w:pPr>
          <w:hyperlink w:anchor="_Toc132929087" w:history="1">
            <w:r w:rsidR="0049177B" w:rsidRPr="00652A6A">
              <w:rPr>
                <w:rStyle w:val="Hypertextovprepojenie"/>
                <w:sz w:val="24"/>
                <w:szCs w:val="24"/>
              </w:rPr>
              <w:t>3.1.2</w:t>
            </w:r>
            <w:r w:rsidR="0049177B" w:rsidRPr="00652A6A">
              <w:rPr>
                <w:rFonts w:eastAsiaTheme="minorEastAsia"/>
                <w:sz w:val="24"/>
                <w:szCs w:val="24"/>
                <w:lang w:eastAsia="sk-SK"/>
              </w:rPr>
              <w:tab/>
            </w:r>
            <w:r w:rsidR="0049177B" w:rsidRPr="00652A6A">
              <w:rPr>
                <w:rStyle w:val="Hypertextovprepojenie"/>
                <w:sz w:val="24"/>
                <w:szCs w:val="24"/>
              </w:rPr>
              <w:t>Nedaňové príjmy</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_Toc132929087 \h </w:instrText>
            </w:r>
            <w:r w:rsidR="0049177B" w:rsidRPr="00652A6A">
              <w:rPr>
                <w:webHidden/>
                <w:sz w:val="24"/>
                <w:szCs w:val="24"/>
              </w:rPr>
            </w:r>
            <w:r w:rsidR="0049177B" w:rsidRPr="00652A6A">
              <w:rPr>
                <w:webHidden/>
                <w:sz w:val="24"/>
                <w:szCs w:val="24"/>
              </w:rPr>
              <w:fldChar w:fldCharType="separate"/>
            </w:r>
            <w:r w:rsidR="001F78A4">
              <w:rPr>
                <w:webHidden/>
                <w:sz w:val="24"/>
                <w:szCs w:val="24"/>
              </w:rPr>
              <w:t>60</w:t>
            </w:r>
            <w:r w:rsidR="0049177B" w:rsidRPr="00652A6A">
              <w:rPr>
                <w:webHidden/>
                <w:sz w:val="24"/>
                <w:szCs w:val="24"/>
              </w:rPr>
              <w:fldChar w:fldCharType="end"/>
            </w:r>
          </w:hyperlink>
        </w:p>
        <w:p w14:paraId="0CED8627" w14:textId="2143A79A" w:rsidR="0049177B" w:rsidRPr="00652A6A" w:rsidRDefault="008E5816">
          <w:pPr>
            <w:pStyle w:val="Obsah3"/>
            <w:rPr>
              <w:rFonts w:eastAsiaTheme="minorEastAsia"/>
              <w:sz w:val="24"/>
              <w:szCs w:val="24"/>
              <w:lang w:eastAsia="sk-SK"/>
            </w:rPr>
          </w:pPr>
          <w:hyperlink w:anchor="_Toc132929088" w:history="1">
            <w:r w:rsidR="0049177B" w:rsidRPr="00652A6A">
              <w:rPr>
                <w:rStyle w:val="Hypertextovprepojenie"/>
                <w:sz w:val="24"/>
                <w:szCs w:val="24"/>
              </w:rPr>
              <w:t>3.1.3</w:t>
            </w:r>
            <w:r w:rsidR="0049177B" w:rsidRPr="00652A6A">
              <w:rPr>
                <w:rFonts w:eastAsiaTheme="minorEastAsia"/>
                <w:sz w:val="24"/>
                <w:szCs w:val="24"/>
                <w:lang w:eastAsia="sk-SK"/>
              </w:rPr>
              <w:tab/>
            </w:r>
            <w:r w:rsidR="0049177B" w:rsidRPr="00652A6A">
              <w:rPr>
                <w:rStyle w:val="Hypertextovprepojenie"/>
                <w:sz w:val="24"/>
                <w:szCs w:val="24"/>
              </w:rPr>
              <w:t>Granty a transfery</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_Toc132929088 \h </w:instrText>
            </w:r>
            <w:r w:rsidR="0049177B" w:rsidRPr="00652A6A">
              <w:rPr>
                <w:webHidden/>
                <w:sz w:val="24"/>
                <w:szCs w:val="24"/>
              </w:rPr>
            </w:r>
            <w:r w:rsidR="0049177B" w:rsidRPr="00652A6A">
              <w:rPr>
                <w:webHidden/>
                <w:sz w:val="24"/>
                <w:szCs w:val="24"/>
              </w:rPr>
              <w:fldChar w:fldCharType="separate"/>
            </w:r>
            <w:r w:rsidR="001F78A4">
              <w:rPr>
                <w:webHidden/>
                <w:sz w:val="24"/>
                <w:szCs w:val="24"/>
              </w:rPr>
              <w:t>66</w:t>
            </w:r>
            <w:r w:rsidR="0049177B" w:rsidRPr="00652A6A">
              <w:rPr>
                <w:webHidden/>
                <w:sz w:val="24"/>
                <w:szCs w:val="24"/>
              </w:rPr>
              <w:fldChar w:fldCharType="end"/>
            </w:r>
          </w:hyperlink>
        </w:p>
        <w:p w14:paraId="0F403D3E" w14:textId="72820EB6" w:rsidR="0049177B" w:rsidRPr="00652A6A" w:rsidRDefault="008E5816">
          <w:pPr>
            <w:pStyle w:val="Obsah2"/>
            <w:rPr>
              <w:rFonts w:eastAsiaTheme="minorEastAsia" w:cs="Times New Roman"/>
              <w:b w:val="0"/>
              <w:bCs w:val="0"/>
              <w:sz w:val="24"/>
              <w:szCs w:val="24"/>
              <w:lang w:eastAsia="sk-SK"/>
            </w:rPr>
          </w:pPr>
          <w:hyperlink w:anchor="_Toc132929089" w:history="1">
            <w:r w:rsidR="0049177B" w:rsidRPr="00652A6A">
              <w:rPr>
                <w:rStyle w:val="Hypertextovprepojenie"/>
                <w:rFonts w:cs="Times New Roman"/>
                <w:sz w:val="24"/>
                <w:szCs w:val="24"/>
              </w:rPr>
              <w:t>3.2</w:t>
            </w:r>
            <w:r w:rsidR="0049177B" w:rsidRPr="00652A6A">
              <w:rPr>
                <w:rFonts w:eastAsiaTheme="minorEastAsia" w:cs="Times New Roman"/>
                <w:b w:val="0"/>
                <w:bCs w:val="0"/>
                <w:sz w:val="24"/>
                <w:szCs w:val="24"/>
                <w:lang w:eastAsia="sk-SK"/>
              </w:rPr>
              <w:tab/>
            </w:r>
            <w:r w:rsidR="0049177B" w:rsidRPr="00652A6A">
              <w:rPr>
                <w:rStyle w:val="Hypertextovprepojenie"/>
                <w:rFonts w:cs="Times New Roman"/>
                <w:sz w:val="24"/>
                <w:szCs w:val="24"/>
              </w:rPr>
              <w:t>Výdavky štátneho rozpočtu</w:t>
            </w:r>
            <w:r w:rsidR="0049177B" w:rsidRPr="00652A6A">
              <w:rPr>
                <w:rFonts w:cs="Times New Roman"/>
                <w:webHidden/>
                <w:sz w:val="24"/>
                <w:szCs w:val="24"/>
              </w:rPr>
              <w:tab/>
            </w:r>
            <w:r w:rsidR="0049177B" w:rsidRPr="00652A6A">
              <w:rPr>
                <w:rFonts w:cs="Times New Roman"/>
                <w:webHidden/>
                <w:sz w:val="24"/>
                <w:szCs w:val="24"/>
              </w:rPr>
              <w:fldChar w:fldCharType="begin"/>
            </w:r>
            <w:r w:rsidR="0049177B" w:rsidRPr="00652A6A">
              <w:rPr>
                <w:rFonts w:cs="Times New Roman"/>
                <w:webHidden/>
                <w:sz w:val="24"/>
                <w:szCs w:val="24"/>
              </w:rPr>
              <w:instrText xml:space="preserve"> PAGEREF _Toc132929089 \h </w:instrText>
            </w:r>
            <w:r w:rsidR="0049177B" w:rsidRPr="00652A6A">
              <w:rPr>
                <w:rFonts w:cs="Times New Roman"/>
                <w:webHidden/>
                <w:sz w:val="24"/>
                <w:szCs w:val="24"/>
              </w:rPr>
            </w:r>
            <w:r w:rsidR="0049177B" w:rsidRPr="00652A6A">
              <w:rPr>
                <w:rFonts w:cs="Times New Roman"/>
                <w:webHidden/>
                <w:sz w:val="24"/>
                <w:szCs w:val="24"/>
              </w:rPr>
              <w:fldChar w:fldCharType="separate"/>
            </w:r>
            <w:r w:rsidR="001F78A4">
              <w:rPr>
                <w:rFonts w:cs="Times New Roman"/>
                <w:webHidden/>
                <w:sz w:val="24"/>
                <w:szCs w:val="24"/>
              </w:rPr>
              <w:t>68</w:t>
            </w:r>
            <w:r w:rsidR="0049177B" w:rsidRPr="00652A6A">
              <w:rPr>
                <w:rFonts w:cs="Times New Roman"/>
                <w:webHidden/>
                <w:sz w:val="24"/>
                <w:szCs w:val="24"/>
              </w:rPr>
              <w:fldChar w:fldCharType="end"/>
            </w:r>
          </w:hyperlink>
        </w:p>
        <w:p w14:paraId="2E7A3A68" w14:textId="4F1923FD" w:rsidR="0049177B" w:rsidRPr="00652A6A" w:rsidRDefault="008E5816">
          <w:pPr>
            <w:pStyle w:val="Obsah3"/>
            <w:rPr>
              <w:rFonts w:eastAsiaTheme="minorEastAsia"/>
              <w:sz w:val="24"/>
              <w:szCs w:val="24"/>
              <w:lang w:eastAsia="sk-SK"/>
            </w:rPr>
          </w:pPr>
          <w:hyperlink w:anchor="_Toc132929090" w:history="1">
            <w:r w:rsidR="0049177B" w:rsidRPr="00652A6A">
              <w:rPr>
                <w:rStyle w:val="Hypertextovprepojenie"/>
                <w:sz w:val="24"/>
                <w:szCs w:val="24"/>
              </w:rPr>
              <w:t>3.2.1</w:t>
            </w:r>
            <w:r w:rsidR="0049177B" w:rsidRPr="00652A6A">
              <w:rPr>
                <w:rFonts w:eastAsiaTheme="minorEastAsia"/>
                <w:sz w:val="24"/>
                <w:szCs w:val="24"/>
                <w:lang w:eastAsia="sk-SK"/>
              </w:rPr>
              <w:tab/>
            </w:r>
            <w:r w:rsidR="0049177B" w:rsidRPr="00652A6A">
              <w:rPr>
                <w:rStyle w:val="Hypertextovprepojenie"/>
                <w:sz w:val="24"/>
                <w:szCs w:val="24"/>
              </w:rPr>
              <w:t>Výdavky štátneho rozpočtu podľa ekonomickej klasifikácie</w:t>
            </w:r>
            <w:r w:rsidR="0049177B" w:rsidRPr="00652A6A">
              <w:rPr>
                <w:webHidden/>
                <w:sz w:val="24"/>
                <w:szCs w:val="24"/>
              </w:rPr>
              <w:tab/>
            </w:r>
            <w:r w:rsidR="0049177B" w:rsidRPr="00652A6A">
              <w:rPr>
                <w:webHidden/>
                <w:sz w:val="24"/>
                <w:szCs w:val="24"/>
              </w:rPr>
              <w:fldChar w:fldCharType="begin"/>
            </w:r>
            <w:r w:rsidR="0049177B" w:rsidRPr="00652A6A">
              <w:rPr>
                <w:webHidden/>
                <w:sz w:val="24"/>
                <w:szCs w:val="24"/>
              </w:rPr>
              <w:instrText xml:space="preserve"> PAGEREF _Toc132929090 \h </w:instrText>
            </w:r>
            <w:r w:rsidR="0049177B" w:rsidRPr="00652A6A">
              <w:rPr>
                <w:webHidden/>
                <w:sz w:val="24"/>
                <w:szCs w:val="24"/>
              </w:rPr>
            </w:r>
            <w:r w:rsidR="0049177B" w:rsidRPr="00652A6A">
              <w:rPr>
                <w:webHidden/>
                <w:sz w:val="24"/>
                <w:szCs w:val="24"/>
              </w:rPr>
              <w:fldChar w:fldCharType="separate"/>
            </w:r>
            <w:r w:rsidR="001F78A4">
              <w:rPr>
                <w:webHidden/>
                <w:sz w:val="24"/>
                <w:szCs w:val="24"/>
              </w:rPr>
              <w:t>69</w:t>
            </w:r>
            <w:r w:rsidR="0049177B" w:rsidRPr="00652A6A">
              <w:rPr>
                <w:webHidden/>
                <w:sz w:val="24"/>
                <w:szCs w:val="24"/>
              </w:rPr>
              <w:fldChar w:fldCharType="end"/>
            </w:r>
          </w:hyperlink>
        </w:p>
        <w:p w14:paraId="221F7B2E" w14:textId="4AFDAD7D" w:rsidR="0049177B" w:rsidRPr="00652A6A" w:rsidRDefault="008E5816">
          <w:pPr>
            <w:pStyle w:val="Obsah4"/>
            <w:rPr>
              <w:rFonts w:ascii="Times New Roman" w:eastAsiaTheme="minorEastAsia" w:hAnsi="Times New Roman" w:cs="Times New Roman"/>
              <w:noProof/>
              <w:sz w:val="24"/>
              <w:szCs w:val="24"/>
              <w:lang w:eastAsia="sk-SK"/>
            </w:rPr>
          </w:pPr>
          <w:hyperlink w:anchor="_Toc132929091" w:history="1">
            <w:r w:rsidR="0049177B" w:rsidRPr="00652A6A">
              <w:rPr>
                <w:rStyle w:val="Hypertextovprepojenie"/>
                <w:rFonts w:ascii="Times New Roman" w:hAnsi="Times New Roman" w:cs="Times New Roman"/>
                <w:noProof/>
                <w:sz w:val="24"/>
                <w:szCs w:val="24"/>
              </w:rPr>
              <w:t>3.2.1.1</w:t>
            </w:r>
            <w:r w:rsidR="0049177B" w:rsidRPr="00652A6A">
              <w:rPr>
                <w:rFonts w:ascii="Times New Roman" w:eastAsiaTheme="minorEastAsia" w:hAnsi="Times New Roman" w:cs="Times New Roman"/>
                <w:noProof/>
                <w:sz w:val="24"/>
                <w:szCs w:val="24"/>
                <w:lang w:eastAsia="sk-SK"/>
              </w:rPr>
              <w:tab/>
            </w:r>
            <w:r w:rsidR="0049177B" w:rsidRPr="00652A6A">
              <w:rPr>
                <w:rStyle w:val="Hypertextovprepojenie"/>
                <w:rFonts w:ascii="Times New Roman" w:hAnsi="Times New Roman" w:cs="Times New Roman"/>
                <w:noProof/>
                <w:sz w:val="24"/>
                <w:szCs w:val="24"/>
              </w:rPr>
              <w:t>Bežné výdavky</w:t>
            </w:r>
            <w:r w:rsidR="0049177B"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652A6A">
              <w:rPr>
                <w:rFonts w:ascii="Times New Roman" w:hAnsi="Times New Roman" w:cs="Times New Roman"/>
                <w:noProof/>
                <w:webHidden/>
                <w:sz w:val="24"/>
                <w:szCs w:val="24"/>
              </w:rPr>
              <w:t xml:space="preserve">  </w:t>
            </w:r>
            <w:r w:rsidR="0049177B" w:rsidRPr="00652A6A">
              <w:rPr>
                <w:rFonts w:ascii="Times New Roman" w:hAnsi="Times New Roman" w:cs="Times New Roman"/>
                <w:noProof/>
                <w:webHidden/>
                <w:sz w:val="24"/>
                <w:szCs w:val="24"/>
              </w:rPr>
              <w:fldChar w:fldCharType="begin"/>
            </w:r>
            <w:r w:rsidR="0049177B" w:rsidRPr="00652A6A">
              <w:rPr>
                <w:rFonts w:ascii="Times New Roman" w:hAnsi="Times New Roman" w:cs="Times New Roman"/>
                <w:noProof/>
                <w:webHidden/>
                <w:sz w:val="24"/>
                <w:szCs w:val="24"/>
              </w:rPr>
              <w:instrText xml:space="preserve"> PAGEREF _Toc132929091 \h </w:instrText>
            </w:r>
            <w:r w:rsidR="0049177B" w:rsidRPr="00652A6A">
              <w:rPr>
                <w:rFonts w:ascii="Times New Roman" w:hAnsi="Times New Roman" w:cs="Times New Roman"/>
                <w:noProof/>
                <w:webHidden/>
                <w:sz w:val="24"/>
                <w:szCs w:val="24"/>
              </w:rPr>
            </w:r>
            <w:r w:rsidR="0049177B" w:rsidRPr="00652A6A">
              <w:rPr>
                <w:rFonts w:ascii="Times New Roman" w:hAnsi="Times New Roman" w:cs="Times New Roman"/>
                <w:noProof/>
                <w:webHidden/>
                <w:sz w:val="24"/>
                <w:szCs w:val="24"/>
              </w:rPr>
              <w:fldChar w:fldCharType="separate"/>
            </w:r>
            <w:r w:rsidR="001F78A4">
              <w:rPr>
                <w:rFonts w:ascii="Times New Roman" w:hAnsi="Times New Roman" w:cs="Times New Roman"/>
                <w:noProof/>
                <w:webHidden/>
                <w:sz w:val="24"/>
                <w:szCs w:val="24"/>
              </w:rPr>
              <w:t>72</w:t>
            </w:r>
            <w:r w:rsidR="0049177B" w:rsidRPr="00652A6A">
              <w:rPr>
                <w:rFonts w:ascii="Times New Roman" w:hAnsi="Times New Roman" w:cs="Times New Roman"/>
                <w:noProof/>
                <w:webHidden/>
                <w:sz w:val="24"/>
                <w:szCs w:val="24"/>
              </w:rPr>
              <w:fldChar w:fldCharType="end"/>
            </w:r>
          </w:hyperlink>
        </w:p>
        <w:p w14:paraId="2CC54D8F" w14:textId="6048F94D" w:rsidR="0049177B" w:rsidRPr="00E24BCF" w:rsidRDefault="008E5816">
          <w:pPr>
            <w:pStyle w:val="Obsah4"/>
            <w:rPr>
              <w:rFonts w:eastAsiaTheme="minorEastAsia"/>
              <w:noProof/>
              <w:sz w:val="24"/>
              <w:szCs w:val="24"/>
              <w:lang w:eastAsia="sk-SK"/>
            </w:rPr>
          </w:pPr>
          <w:hyperlink w:anchor="_Toc132929092" w:history="1">
            <w:r w:rsidR="0049177B" w:rsidRPr="00652A6A">
              <w:rPr>
                <w:rStyle w:val="Hypertextovprepojenie"/>
                <w:rFonts w:ascii="Times New Roman" w:hAnsi="Times New Roman" w:cs="Times New Roman"/>
                <w:noProof/>
                <w:sz w:val="24"/>
                <w:szCs w:val="24"/>
              </w:rPr>
              <w:t>3.2.1.2</w:t>
            </w:r>
            <w:r w:rsidR="0049177B" w:rsidRPr="00652A6A">
              <w:rPr>
                <w:rFonts w:ascii="Times New Roman" w:eastAsiaTheme="minorEastAsia" w:hAnsi="Times New Roman" w:cs="Times New Roman"/>
                <w:noProof/>
                <w:sz w:val="24"/>
                <w:szCs w:val="24"/>
                <w:lang w:eastAsia="sk-SK"/>
              </w:rPr>
              <w:tab/>
            </w:r>
            <w:r w:rsidR="0049177B" w:rsidRPr="00652A6A">
              <w:rPr>
                <w:rStyle w:val="Hypertextovprepojenie"/>
                <w:rFonts w:ascii="Times New Roman" w:hAnsi="Times New Roman" w:cs="Times New Roman"/>
                <w:noProof/>
                <w:sz w:val="24"/>
                <w:szCs w:val="24"/>
              </w:rPr>
              <w:t>Kapitálové výdavky</w:t>
            </w:r>
            <w:r w:rsidR="0049177B"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r>
            <w:r w:rsidR="001126E7" w:rsidRPr="00652A6A">
              <w:rPr>
                <w:rFonts w:ascii="Times New Roman" w:hAnsi="Times New Roman" w:cs="Times New Roman"/>
                <w:noProof/>
                <w:webHidden/>
                <w:sz w:val="24"/>
                <w:szCs w:val="24"/>
              </w:rPr>
              <w:tab/>
              <w:t xml:space="preserve">  </w:t>
            </w:r>
            <w:r w:rsidR="0049177B" w:rsidRPr="00652A6A">
              <w:rPr>
                <w:rFonts w:ascii="Times New Roman" w:hAnsi="Times New Roman" w:cs="Times New Roman"/>
                <w:noProof/>
                <w:webHidden/>
                <w:sz w:val="24"/>
                <w:szCs w:val="24"/>
              </w:rPr>
              <w:fldChar w:fldCharType="begin"/>
            </w:r>
            <w:r w:rsidR="0049177B" w:rsidRPr="00652A6A">
              <w:rPr>
                <w:rFonts w:ascii="Times New Roman" w:hAnsi="Times New Roman" w:cs="Times New Roman"/>
                <w:noProof/>
                <w:webHidden/>
                <w:sz w:val="24"/>
                <w:szCs w:val="24"/>
              </w:rPr>
              <w:instrText xml:space="preserve"> PAGEREF _Toc132929092 \h </w:instrText>
            </w:r>
            <w:r w:rsidR="0049177B" w:rsidRPr="00652A6A">
              <w:rPr>
                <w:rFonts w:ascii="Times New Roman" w:hAnsi="Times New Roman" w:cs="Times New Roman"/>
                <w:noProof/>
                <w:webHidden/>
                <w:sz w:val="24"/>
                <w:szCs w:val="24"/>
              </w:rPr>
            </w:r>
            <w:r w:rsidR="0049177B" w:rsidRPr="00652A6A">
              <w:rPr>
                <w:rFonts w:ascii="Times New Roman" w:hAnsi="Times New Roman" w:cs="Times New Roman"/>
                <w:noProof/>
                <w:webHidden/>
                <w:sz w:val="24"/>
                <w:szCs w:val="24"/>
              </w:rPr>
              <w:fldChar w:fldCharType="separate"/>
            </w:r>
            <w:r w:rsidR="001F78A4">
              <w:rPr>
                <w:rFonts w:ascii="Times New Roman" w:hAnsi="Times New Roman" w:cs="Times New Roman"/>
                <w:noProof/>
                <w:webHidden/>
                <w:sz w:val="24"/>
                <w:szCs w:val="24"/>
              </w:rPr>
              <w:t>89</w:t>
            </w:r>
            <w:r w:rsidR="0049177B" w:rsidRPr="00652A6A">
              <w:rPr>
                <w:rFonts w:ascii="Times New Roman" w:hAnsi="Times New Roman" w:cs="Times New Roman"/>
                <w:noProof/>
                <w:webHidden/>
                <w:sz w:val="24"/>
                <w:szCs w:val="24"/>
              </w:rPr>
              <w:fldChar w:fldCharType="end"/>
            </w:r>
          </w:hyperlink>
        </w:p>
        <w:p w14:paraId="283D231E" w14:textId="570A84F3" w:rsidR="0049177B" w:rsidRPr="00E24BCF" w:rsidRDefault="008E5816">
          <w:pPr>
            <w:pStyle w:val="Obsah3"/>
            <w:rPr>
              <w:rFonts w:asciiTheme="minorHAnsi" w:eastAsiaTheme="minorEastAsia" w:hAnsiTheme="minorHAnsi" w:cstheme="minorBidi"/>
              <w:sz w:val="24"/>
              <w:szCs w:val="24"/>
              <w:lang w:eastAsia="sk-SK"/>
            </w:rPr>
          </w:pPr>
          <w:hyperlink w:anchor="_Toc132929093" w:history="1">
            <w:r w:rsidR="0049177B" w:rsidRPr="00E24BCF">
              <w:rPr>
                <w:rStyle w:val="Hypertextovprepojenie"/>
                <w:sz w:val="24"/>
                <w:szCs w:val="24"/>
              </w:rPr>
              <w:t>3.2.2</w:t>
            </w:r>
            <w:r w:rsidR="0049177B" w:rsidRPr="00E24BCF">
              <w:rPr>
                <w:rFonts w:asciiTheme="minorHAnsi" w:eastAsiaTheme="minorEastAsia" w:hAnsiTheme="minorHAnsi" w:cstheme="minorBidi"/>
                <w:sz w:val="24"/>
                <w:szCs w:val="24"/>
                <w:lang w:eastAsia="sk-SK"/>
              </w:rPr>
              <w:tab/>
            </w:r>
            <w:r w:rsidR="0049177B" w:rsidRPr="00E24BCF">
              <w:rPr>
                <w:rStyle w:val="Hypertextovprepojenie"/>
                <w:sz w:val="24"/>
                <w:szCs w:val="24"/>
              </w:rPr>
              <w:t>Výdavky podľa funkčnej klasifikácie</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_Toc132929093 \h </w:instrText>
            </w:r>
            <w:r w:rsidR="0049177B" w:rsidRPr="00E24BCF">
              <w:rPr>
                <w:webHidden/>
                <w:sz w:val="24"/>
                <w:szCs w:val="24"/>
              </w:rPr>
            </w:r>
            <w:r w:rsidR="0049177B" w:rsidRPr="00E24BCF">
              <w:rPr>
                <w:webHidden/>
                <w:sz w:val="24"/>
                <w:szCs w:val="24"/>
              </w:rPr>
              <w:fldChar w:fldCharType="separate"/>
            </w:r>
            <w:r w:rsidR="001F78A4">
              <w:rPr>
                <w:webHidden/>
                <w:sz w:val="24"/>
                <w:szCs w:val="24"/>
              </w:rPr>
              <w:t>100</w:t>
            </w:r>
            <w:r w:rsidR="0049177B" w:rsidRPr="00E24BCF">
              <w:rPr>
                <w:webHidden/>
                <w:sz w:val="24"/>
                <w:szCs w:val="24"/>
              </w:rPr>
              <w:fldChar w:fldCharType="end"/>
            </w:r>
          </w:hyperlink>
        </w:p>
        <w:p w14:paraId="4C790A44" w14:textId="63A1FE9C" w:rsidR="0049177B" w:rsidRPr="00E24BCF" w:rsidRDefault="008E5816">
          <w:pPr>
            <w:pStyle w:val="Obsah3"/>
            <w:rPr>
              <w:rFonts w:asciiTheme="minorHAnsi" w:eastAsiaTheme="minorEastAsia" w:hAnsiTheme="minorHAnsi" w:cstheme="minorBidi"/>
              <w:sz w:val="24"/>
              <w:szCs w:val="24"/>
              <w:lang w:eastAsia="sk-SK"/>
            </w:rPr>
          </w:pPr>
          <w:hyperlink w:anchor="_Toc132929094" w:history="1">
            <w:r w:rsidR="0049177B" w:rsidRPr="00E24BCF">
              <w:rPr>
                <w:rStyle w:val="Hypertextovprepojenie"/>
                <w:sz w:val="24"/>
                <w:szCs w:val="24"/>
              </w:rPr>
              <w:t>3.2.3</w:t>
            </w:r>
            <w:r w:rsidR="0049177B" w:rsidRPr="00E24BCF">
              <w:rPr>
                <w:rFonts w:asciiTheme="minorHAnsi" w:eastAsiaTheme="minorEastAsia" w:hAnsiTheme="minorHAnsi" w:cstheme="minorBidi"/>
                <w:sz w:val="24"/>
                <w:szCs w:val="24"/>
                <w:lang w:eastAsia="sk-SK"/>
              </w:rPr>
              <w:tab/>
            </w:r>
            <w:r w:rsidR="0049177B" w:rsidRPr="00E24BCF">
              <w:rPr>
                <w:rStyle w:val="Hypertextovprepojenie"/>
                <w:sz w:val="24"/>
                <w:szCs w:val="24"/>
              </w:rPr>
              <w:t>Vzťahy štátneho rozpočtu k obciam</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_Toc132929094 \h </w:instrText>
            </w:r>
            <w:r w:rsidR="0049177B" w:rsidRPr="00E24BCF">
              <w:rPr>
                <w:webHidden/>
                <w:sz w:val="24"/>
                <w:szCs w:val="24"/>
              </w:rPr>
            </w:r>
            <w:r w:rsidR="0049177B" w:rsidRPr="00E24BCF">
              <w:rPr>
                <w:webHidden/>
                <w:sz w:val="24"/>
                <w:szCs w:val="24"/>
              </w:rPr>
              <w:fldChar w:fldCharType="separate"/>
            </w:r>
            <w:r w:rsidR="001F78A4">
              <w:rPr>
                <w:webHidden/>
                <w:sz w:val="24"/>
                <w:szCs w:val="24"/>
              </w:rPr>
              <w:t>103</w:t>
            </w:r>
            <w:r w:rsidR="0049177B" w:rsidRPr="00E24BCF">
              <w:rPr>
                <w:webHidden/>
                <w:sz w:val="24"/>
                <w:szCs w:val="24"/>
              </w:rPr>
              <w:fldChar w:fldCharType="end"/>
            </w:r>
          </w:hyperlink>
        </w:p>
        <w:p w14:paraId="5A8BC0C6" w14:textId="30BAE3CD" w:rsidR="0049177B" w:rsidRPr="00E24BCF" w:rsidRDefault="008E5816">
          <w:pPr>
            <w:pStyle w:val="Obsah3"/>
            <w:rPr>
              <w:rFonts w:asciiTheme="minorHAnsi" w:eastAsiaTheme="minorEastAsia" w:hAnsiTheme="minorHAnsi" w:cstheme="minorBidi"/>
              <w:sz w:val="24"/>
              <w:szCs w:val="24"/>
              <w:lang w:eastAsia="sk-SK"/>
            </w:rPr>
          </w:pPr>
          <w:hyperlink w:anchor="_Toc132929095" w:history="1">
            <w:r w:rsidR="0049177B" w:rsidRPr="00E24BCF">
              <w:rPr>
                <w:rStyle w:val="Hypertextovprepojenie"/>
                <w:sz w:val="24"/>
                <w:szCs w:val="24"/>
              </w:rPr>
              <w:t>3.2.4</w:t>
            </w:r>
            <w:r w:rsidR="0049177B" w:rsidRPr="00E24BCF">
              <w:rPr>
                <w:rFonts w:asciiTheme="minorHAnsi" w:eastAsiaTheme="minorEastAsia" w:hAnsiTheme="minorHAnsi" w:cstheme="minorBidi"/>
                <w:sz w:val="24"/>
                <w:szCs w:val="24"/>
                <w:lang w:eastAsia="sk-SK"/>
              </w:rPr>
              <w:tab/>
            </w:r>
            <w:r w:rsidR="0049177B" w:rsidRPr="00E24BCF">
              <w:rPr>
                <w:rStyle w:val="Hypertextovprepojenie"/>
                <w:sz w:val="24"/>
                <w:szCs w:val="24"/>
              </w:rPr>
              <w:t>Vzťahy štátneho rozpočtu k vyšším územným celkom</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_Toc132929095 \h </w:instrText>
            </w:r>
            <w:r w:rsidR="0049177B" w:rsidRPr="00E24BCF">
              <w:rPr>
                <w:webHidden/>
                <w:sz w:val="24"/>
                <w:szCs w:val="24"/>
              </w:rPr>
            </w:r>
            <w:r w:rsidR="0049177B" w:rsidRPr="00E24BCF">
              <w:rPr>
                <w:webHidden/>
                <w:sz w:val="24"/>
                <w:szCs w:val="24"/>
              </w:rPr>
              <w:fldChar w:fldCharType="separate"/>
            </w:r>
            <w:r w:rsidR="001F78A4">
              <w:rPr>
                <w:webHidden/>
                <w:sz w:val="24"/>
                <w:szCs w:val="24"/>
              </w:rPr>
              <w:t>109</w:t>
            </w:r>
            <w:r w:rsidR="0049177B" w:rsidRPr="00E24BCF">
              <w:rPr>
                <w:webHidden/>
                <w:sz w:val="24"/>
                <w:szCs w:val="24"/>
              </w:rPr>
              <w:fldChar w:fldCharType="end"/>
            </w:r>
          </w:hyperlink>
        </w:p>
        <w:p w14:paraId="3E6F3F40" w14:textId="086B1094" w:rsidR="0049177B" w:rsidRPr="00E24BCF" w:rsidRDefault="008E5816">
          <w:pPr>
            <w:pStyle w:val="Obsah3"/>
            <w:rPr>
              <w:rFonts w:asciiTheme="minorHAnsi" w:eastAsiaTheme="minorEastAsia" w:hAnsiTheme="minorHAnsi" w:cstheme="minorBidi"/>
              <w:sz w:val="24"/>
              <w:szCs w:val="24"/>
              <w:lang w:eastAsia="sk-SK"/>
            </w:rPr>
          </w:pPr>
          <w:hyperlink w:anchor="_Toc132929096" w:history="1">
            <w:r w:rsidR="0049177B" w:rsidRPr="00E24BCF">
              <w:rPr>
                <w:rStyle w:val="Hypertextovprepojenie"/>
                <w:sz w:val="24"/>
                <w:szCs w:val="24"/>
              </w:rPr>
              <w:t>3.2.5</w:t>
            </w:r>
            <w:r w:rsidR="0049177B" w:rsidRPr="00E24BCF">
              <w:rPr>
                <w:rFonts w:asciiTheme="minorHAnsi" w:eastAsiaTheme="minorEastAsia" w:hAnsiTheme="minorHAnsi" w:cstheme="minorBidi"/>
                <w:sz w:val="24"/>
                <w:szCs w:val="24"/>
                <w:lang w:eastAsia="sk-SK"/>
              </w:rPr>
              <w:tab/>
            </w:r>
            <w:r w:rsidR="0049177B" w:rsidRPr="00E24BCF">
              <w:rPr>
                <w:rStyle w:val="Hypertextovprepojenie"/>
                <w:sz w:val="24"/>
                <w:szCs w:val="24"/>
              </w:rPr>
              <w:t>Čerpanie rezerv štátneho rozpočtu</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_Toc132929096 \h </w:instrText>
            </w:r>
            <w:r w:rsidR="0049177B" w:rsidRPr="00E24BCF">
              <w:rPr>
                <w:webHidden/>
                <w:sz w:val="24"/>
                <w:szCs w:val="24"/>
              </w:rPr>
            </w:r>
            <w:r w:rsidR="0049177B" w:rsidRPr="00E24BCF">
              <w:rPr>
                <w:webHidden/>
                <w:sz w:val="24"/>
                <w:szCs w:val="24"/>
              </w:rPr>
              <w:fldChar w:fldCharType="separate"/>
            </w:r>
            <w:r w:rsidR="001F78A4">
              <w:rPr>
                <w:webHidden/>
                <w:sz w:val="24"/>
                <w:szCs w:val="24"/>
              </w:rPr>
              <w:t>112</w:t>
            </w:r>
            <w:r w:rsidR="0049177B" w:rsidRPr="00E24BCF">
              <w:rPr>
                <w:webHidden/>
                <w:sz w:val="24"/>
                <w:szCs w:val="24"/>
              </w:rPr>
              <w:fldChar w:fldCharType="end"/>
            </w:r>
          </w:hyperlink>
        </w:p>
        <w:p w14:paraId="4CDA537D" w14:textId="3AB40CF2" w:rsidR="0049177B" w:rsidRPr="00E24BCF" w:rsidRDefault="008E5816">
          <w:pPr>
            <w:pStyle w:val="Obsah2"/>
            <w:rPr>
              <w:rFonts w:asciiTheme="minorHAnsi" w:eastAsiaTheme="minorEastAsia" w:hAnsiTheme="minorHAnsi"/>
              <w:b w:val="0"/>
              <w:bCs w:val="0"/>
              <w:sz w:val="24"/>
              <w:szCs w:val="24"/>
              <w:lang w:eastAsia="sk-SK"/>
            </w:rPr>
          </w:pPr>
          <w:hyperlink w:anchor="_Toc132929097" w:history="1">
            <w:r w:rsidR="0049177B" w:rsidRPr="00E24BCF">
              <w:rPr>
                <w:rStyle w:val="Hypertextovprepojenie"/>
                <w:sz w:val="24"/>
                <w:szCs w:val="24"/>
              </w:rPr>
              <w:t>3.3</w:t>
            </w:r>
            <w:r w:rsidR="0049177B" w:rsidRPr="00E24BCF">
              <w:rPr>
                <w:rFonts w:asciiTheme="minorHAnsi" w:eastAsiaTheme="minorEastAsia" w:hAnsiTheme="minorHAnsi"/>
                <w:b w:val="0"/>
                <w:bCs w:val="0"/>
                <w:sz w:val="24"/>
                <w:szCs w:val="24"/>
                <w:lang w:eastAsia="sk-SK"/>
              </w:rPr>
              <w:tab/>
            </w:r>
            <w:r w:rsidR="0049177B" w:rsidRPr="00E24BCF">
              <w:rPr>
                <w:rStyle w:val="Hypertextovprepojenie"/>
                <w:sz w:val="24"/>
                <w:szCs w:val="24"/>
              </w:rPr>
              <w:t>Štátne finančné aktíva</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_Toc132929097 \h </w:instrText>
            </w:r>
            <w:r w:rsidR="0049177B" w:rsidRPr="00E24BCF">
              <w:rPr>
                <w:webHidden/>
                <w:sz w:val="24"/>
                <w:szCs w:val="24"/>
              </w:rPr>
            </w:r>
            <w:r w:rsidR="0049177B" w:rsidRPr="00E24BCF">
              <w:rPr>
                <w:webHidden/>
                <w:sz w:val="24"/>
                <w:szCs w:val="24"/>
              </w:rPr>
              <w:fldChar w:fldCharType="separate"/>
            </w:r>
            <w:r w:rsidR="001F78A4">
              <w:rPr>
                <w:webHidden/>
                <w:sz w:val="24"/>
                <w:szCs w:val="24"/>
              </w:rPr>
              <w:t>127</w:t>
            </w:r>
            <w:r w:rsidR="0049177B" w:rsidRPr="00E24BCF">
              <w:rPr>
                <w:webHidden/>
                <w:sz w:val="24"/>
                <w:szCs w:val="24"/>
              </w:rPr>
              <w:fldChar w:fldCharType="end"/>
            </w:r>
          </w:hyperlink>
        </w:p>
        <w:p w14:paraId="6EC1C90F" w14:textId="3F210BEE" w:rsidR="0049177B" w:rsidRPr="00E24BCF" w:rsidRDefault="008E5816">
          <w:pPr>
            <w:pStyle w:val="Obsah2"/>
            <w:rPr>
              <w:rFonts w:asciiTheme="minorHAnsi" w:eastAsiaTheme="minorEastAsia" w:hAnsiTheme="minorHAnsi"/>
              <w:b w:val="0"/>
              <w:bCs w:val="0"/>
              <w:sz w:val="24"/>
              <w:szCs w:val="24"/>
              <w:lang w:eastAsia="sk-SK"/>
            </w:rPr>
          </w:pPr>
          <w:hyperlink w:anchor="_Toc132929098" w:history="1">
            <w:r w:rsidR="0049177B" w:rsidRPr="00E24BCF">
              <w:rPr>
                <w:rStyle w:val="Hypertextovprepojenie"/>
                <w:sz w:val="24"/>
                <w:szCs w:val="24"/>
              </w:rPr>
              <w:t>3.4</w:t>
            </w:r>
            <w:r w:rsidR="0049177B" w:rsidRPr="00E24BCF">
              <w:rPr>
                <w:rFonts w:asciiTheme="minorHAnsi" w:eastAsiaTheme="minorEastAsia" w:hAnsiTheme="minorHAnsi"/>
                <w:b w:val="0"/>
                <w:bCs w:val="0"/>
                <w:sz w:val="24"/>
                <w:szCs w:val="24"/>
                <w:lang w:eastAsia="sk-SK"/>
              </w:rPr>
              <w:tab/>
            </w:r>
            <w:r w:rsidR="0049177B" w:rsidRPr="00E24BCF">
              <w:rPr>
                <w:rStyle w:val="Hypertextovprepojenie"/>
                <w:sz w:val="24"/>
                <w:szCs w:val="24"/>
              </w:rPr>
              <w:t>Vzťahy štátneho rozpočtu k Európskej únii</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_Toc132929098 \h </w:instrText>
            </w:r>
            <w:r w:rsidR="0049177B" w:rsidRPr="00E24BCF">
              <w:rPr>
                <w:webHidden/>
                <w:sz w:val="24"/>
                <w:szCs w:val="24"/>
              </w:rPr>
            </w:r>
            <w:r w:rsidR="0049177B" w:rsidRPr="00E24BCF">
              <w:rPr>
                <w:webHidden/>
                <w:sz w:val="24"/>
                <w:szCs w:val="24"/>
              </w:rPr>
              <w:fldChar w:fldCharType="separate"/>
            </w:r>
            <w:r w:rsidR="001F78A4">
              <w:rPr>
                <w:webHidden/>
                <w:sz w:val="24"/>
                <w:szCs w:val="24"/>
              </w:rPr>
              <w:t>131</w:t>
            </w:r>
            <w:r w:rsidR="0049177B" w:rsidRPr="00E24BCF">
              <w:rPr>
                <w:webHidden/>
                <w:sz w:val="24"/>
                <w:szCs w:val="24"/>
              </w:rPr>
              <w:fldChar w:fldCharType="end"/>
            </w:r>
          </w:hyperlink>
        </w:p>
        <w:p w14:paraId="1B4B3ECF" w14:textId="5C12FF1D" w:rsidR="0049177B" w:rsidRPr="00E24BCF" w:rsidRDefault="008E5816">
          <w:pPr>
            <w:pStyle w:val="Obsah3"/>
            <w:rPr>
              <w:rFonts w:asciiTheme="minorHAnsi" w:eastAsiaTheme="minorEastAsia" w:hAnsiTheme="minorHAnsi" w:cstheme="minorBidi"/>
              <w:sz w:val="24"/>
              <w:szCs w:val="24"/>
              <w:lang w:eastAsia="sk-SK"/>
            </w:rPr>
          </w:pPr>
          <w:hyperlink w:anchor="_Toc132929099" w:history="1">
            <w:r w:rsidR="0049177B" w:rsidRPr="00E24BCF">
              <w:rPr>
                <w:rStyle w:val="Hypertextovprepojenie"/>
                <w:sz w:val="24"/>
                <w:szCs w:val="24"/>
              </w:rPr>
              <w:t>3.4.1</w:t>
            </w:r>
            <w:r w:rsidR="0049177B" w:rsidRPr="00E24BCF">
              <w:rPr>
                <w:rFonts w:asciiTheme="minorHAnsi" w:eastAsiaTheme="minorEastAsia" w:hAnsiTheme="minorHAnsi" w:cstheme="minorBidi"/>
                <w:sz w:val="24"/>
                <w:szCs w:val="24"/>
                <w:lang w:eastAsia="sk-SK"/>
              </w:rPr>
              <w:tab/>
            </w:r>
            <w:r w:rsidR="0049177B" w:rsidRPr="00E24BCF">
              <w:rPr>
                <w:rStyle w:val="Hypertextovprepojenie"/>
                <w:sz w:val="24"/>
                <w:szCs w:val="24"/>
              </w:rPr>
              <w:t>Príjmy z rozpočtu Európskej únie</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_Toc132929099 \h </w:instrText>
            </w:r>
            <w:r w:rsidR="0049177B" w:rsidRPr="00E24BCF">
              <w:rPr>
                <w:webHidden/>
                <w:sz w:val="24"/>
                <w:szCs w:val="24"/>
              </w:rPr>
            </w:r>
            <w:r w:rsidR="0049177B" w:rsidRPr="00E24BCF">
              <w:rPr>
                <w:webHidden/>
                <w:sz w:val="24"/>
                <w:szCs w:val="24"/>
              </w:rPr>
              <w:fldChar w:fldCharType="separate"/>
            </w:r>
            <w:r w:rsidR="001F78A4">
              <w:rPr>
                <w:webHidden/>
                <w:sz w:val="24"/>
                <w:szCs w:val="24"/>
              </w:rPr>
              <w:t>133</w:t>
            </w:r>
            <w:r w:rsidR="0049177B" w:rsidRPr="00E24BCF">
              <w:rPr>
                <w:webHidden/>
                <w:sz w:val="24"/>
                <w:szCs w:val="24"/>
              </w:rPr>
              <w:fldChar w:fldCharType="end"/>
            </w:r>
          </w:hyperlink>
        </w:p>
        <w:p w14:paraId="30B55681" w14:textId="14602298" w:rsidR="0049177B" w:rsidRPr="00E24BCF" w:rsidRDefault="008E5816">
          <w:pPr>
            <w:pStyle w:val="Obsah3"/>
            <w:rPr>
              <w:rFonts w:asciiTheme="minorHAnsi" w:eastAsiaTheme="minorEastAsia" w:hAnsiTheme="minorHAnsi" w:cstheme="minorBidi"/>
              <w:sz w:val="24"/>
              <w:szCs w:val="24"/>
              <w:lang w:eastAsia="sk-SK"/>
            </w:rPr>
          </w:pPr>
          <w:hyperlink w:anchor="_Toc132929100" w:history="1">
            <w:r w:rsidR="0049177B" w:rsidRPr="00E24BCF">
              <w:rPr>
                <w:rStyle w:val="Hypertextovprepojenie"/>
                <w:sz w:val="24"/>
                <w:szCs w:val="24"/>
              </w:rPr>
              <w:t>3.4.2</w:t>
            </w:r>
            <w:r w:rsidR="0049177B" w:rsidRPr="00E24BCF">
              <w:rPr>
                <w:rFonts w:asciiTheme="minorHAnsi" w:eastAsiaTheme="minorEastAsia" w:hAnsiTheme="minorHAnsi" w:cstheme="minorBidi"/>
                <w:sz w:val="24"/>
                <w:szCs w:val="24"/>
                <w:lang w:eastAsia="sk-SK"/>
              </w:rPr>
              <w:tab/>
            </w:r>
            <w:r w:rsidR="0049177B" w:rsidRPr="00E24BCF">
              <w:rPr>
                <w:rStyle w:val="Hypertextovprepojenie"/>
                <w:sz w:val="24"/>
                <w:szCs w:val="24"/>
              </w:rPr>
              <w:t>Výdavky štátneho rozpočtu rozpočtované vo väzbe na príjmy z EÚ</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_Toc132929100 \h </w:instrText>
            </w:r>
            <w:r w:rsidR="0049177B" w:rsidRPr="00E24BCF">
              <w:rPr>
                <w:webHidden/>
                <w:sz w:val="24"/>
                <w:szCs w:val="24"/>
              </w:rPr>
            </w:r>
            <w:r w:rsidR="0049177B" w:rsidRPr="00E24BCF">
              <w:rPr>
                <w:webHidden/>
                <w:sz w:val="24"/>
                <w:szCs w:val="24"/>
              </w:rPr>
              <w:fldChar w:fldCharType="separate"/>
            </w:r>
            <w:r w:rsidR="001F78A4">
              <w:rPr>
                <w:webHidden/>
                <w:sz w:val="24"/>
                <w:szCs w:val="24"/>
              </w:rPr>
              <w:t>134</w:t>
            </w:r>
            <w:r w:rsidR="0049177B" w:rsidRPr="00E24BCF">
              <w:rPr>
                <w:webHidden/>
                <w:sz w:val="24"/>
                <w:szCs w:val="24"/>
              </w:rPr>
              <w:fldChar w:fldCharType="end"/>
            </w:r>
          </w:hyperlink>
        </w:p>
        <w:p w14:paraId="37C45B65" w14:textId="158CD65E" w:rsidR="0049177B" w:rsidRPr="00E24BCF" w:rsidRDefault="008E5816">
          <w:pPr>
            <w:pStyle w:val="Obsah3"/>
            <w:rPr>
              <w:rFonts w:asciiTheme="minorHAnsi" w:eastAsiaTheme="minorEastAsia" w:hAnsiTheme="minorHAnsi" w:cstheme="minorBidi"/>
              <w:sz w:val="24"/>
              <w:szCs w:val="24"/>
              <w:lang w:eastAsia="sk-SK"/>
            </w:rPr>
          </w:pPr>
          <w:hyperlink w:anchor="_Toc132929101" w:history="1">
            <w:r w:rsidR="0049177B" w:rsidRPr="00E24BCF">
              <w:rPr>
                <w:rStyle w:val="Hypertextovprepojenie"/>
                <w:sz w:val="24"/>
                <w:szCs w:val="24"/>
              </w:rPr>
              <w:t>3.4.3</w:t>
            </w:r>
            <w:r w:rsidR="0049177B" w:rsidRPr="00E24BCF">
              <w:rPr>
                <w:rFonts w:asciiTheme="minorHAnsi" w:eastAsiaTheme="minorEastAsia" w:hAnsiTheme="minorHAnsi" w:cstheme="minorBidi"/>
                <w:sz w:val="24"/>
                <w:szCs w:val="24"/>
                <w:lang w:eastAsia="sk-SK"/>
              </w:rPr>
              <w:tab/>
            </w:r>
            <w:r w:rsidR="0049177B" w:rsidRPr="00E24BCF">
              <w:rPr>
                <w:rStyle w:val="Hypertextovprepojenie"/>
                <w:sz w:val="24"/>
                <w:szCs w:val="24"/>
              </w:rPr>
              <w:t>Prostriedky poskytnuté SR používané prostredníctvom samostatných účtov</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_Toc132929101 \h </w:instrText>
            </w:r>
            <w:r w:rsidR="0049177B" w:rsidRPr="00E24BCF">
              <w:rPr>
                <w:webHidden/>
                <w:sz w:val="24"/>
                <w:szCs w:val="24"/>
              </w:rPr>
            </w:r>
            <w:r w:rsidR="0049177B" w:rsidRPr="00E24BCF">
              <w:rPr>
                <w:webHidden/>
                <w:sz w:val="24"/>
                <w:szCs w:val="24"/>
              </w:rPr>
              <w:fldChar w:fldCharType="separate"/>
            </w:r>
            <w:r w:rsidR="001F78A4">
              <w:rPr>
                <w:webHidden/>
                <w:sz w:val="24"/>
                <w:szCs w:val="24"/>
              </w:rPr>
              <w:t>138</w:t>
            </w:r>
            <w:r w:rsidR="0049177B" w:rsidRPr="00E24BCF">
              <w:rPr>
                <w:webHidden/>
                <w:sz w:val="24"/>
                <w:szCs w:val="24"/>
              </w:rPr>
              <w:fldChar w:fldCharType="end"/>
            </w:r>
          </w:hyperlink>
        </w:p>
        <w:p w14:paraId="02F304F1" w14:textId="7FF3F804" w:rsidR="0049177B" w:rsidRPr="00E24BCF" w:rsidRDefault="008E5816">
          <w:pPr>
            <w:pStyle w:val="Obsah3"/>
            <w:rPr>
              <w:rFonts w:asciiTheme="minorHAnsi" w:eastAsiaTheme="minorEastAsia" w:hAnsiTheme="minorHAnsi" w:cstheme="minorBidi"/>
              <w:sz w:val="24"/>
              <w:szCs w:val="24"/>
              <w:lang w:eastAsia="sk-SK"/>
            </w:rPr>
          </w:pPr>
          <w:hyperlink w:anchor="_Toc132929102" w:history="1">
            <w:r w:rsidR="0049177B" w:rsidRPr="00E24BCF">
              <w:rPr>
                <w:rStyle w:val="Hypertextovprepojenie"/>
                <w:sz w:val="24"/>
                <w:szCs w:val="24"/>
              </w:rPr>
              <w:t>3.4.4</w:t>
            </w:r>
            <w:r w:rsidR="0049177B" w:rsidRPr="00E24BCF">
              <w:rPr>
                <w:rFonts w:asciiTheme="minorHAnsi" w:eastAsiaTheme="minorEastAsia" w:hAnsiTheme="minorHAnsi" w:cstheme="minorBidi"/>
                <w:sz w:val="24"/>
                <w:szCs w:val="24"/>
                <w:lang w:eastAsia="sk-SK"/>
              </w:rPr>
              <w:tab/>
            </w:r>
            <w:r w:rsidR="0049177B" w:rsidRPr="00E24BCF">
              <w:rPr>
                <w:rStyle w:val="Hypertextovprepojenie"/>
                <w:sz w:val="24"/>
                <w:szCs w:val="24"/>
              </w:rPr>
              <w:t>Zhrnutie čerpania záväzkov programových období po vstupe SR do EÚ</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_Toc132929102 \h </w:instrText>
            </w:r>
            <w:r w:rsidR="0049177B" w:rsidRPr="00E24BCF">
              <w:rPr>
                <w:webHidden/>
                <w:sz w:val="24"/>
                <w:szCs w:val="24"/>
              </w:rPr>
            </w:r>
            <w:r w:rsidR="0049177B" w:rsidRPr="00E24BCF">
              <w:rPr>
                <w:webHidden/>
                <w:sz w:val="24"/>
                <w:szCs w:val="24"/>
              </w:rPr>
              <w:fldChar w:fldCharType="separate"/>
            </w:r>
            <w:r w:rsidR="001F78A4">
              <w:rPr>
                <w:webHidden/>
                <w:sz w:val="24"/>
                <w:szCs w:val="24"/>
              </w:rPr>
              <w:t>139</w:t>
            </w:r>
            <w:r w:rsidR="0049177B" w:rsidRPr="00E24BCF">
              <w:rPr>
                <w:webHidden/>
                <w:sz w:val="24"/>
                <w:szCs w:val="24"/>
              </w:rPr>
              <w:fldChar w:fldCharType="end"/>
            </w:r>
          </w:hyperlink>
        </w:p>
        <w:p w14:paraId="40113D76" w14:textId="0D1F7210" w:rsidR="0049177B" w:rsidRPr="00E24BCF" w:rsidRDefault="008E5816">
          <w:pPr>
            <w:pStyle w:val="Obsah1"/>
            <w:rPr>
              <w:rFonts w:asciiTheme="minorHAnsi" w:eastAsiaTheme="minorEastAsia" w:hAnsiTheme="minorHAnsi"/>
              <w:b w:val="0"/>
              <w:bCs w:val="0"/>
              <w:sz w:val="24"/>
              <w:szCs w:val="24"/>
              <w:lang w:eastAsia="sk-SK"/>
            </w:rPr>
          </w:pPr>
          <w:hyperlink w:anchor="_Toc132929103" w:history="1">
            <w:r w:rsidR="0049177B" w:rsidRPr="00E24BCF">
              <w:rPr>
                <w:rStyle w:val="Hypertextovprepojenie"/>
                <w:sz w:val="24"/>
                <w:szCs w:val="24"/>
              </w:rPr>
              <w:t>Tabuľková príloha k hotovostnému plneniu ŠR</w:t>
            </w:r>
            <w:r w:rsidR="0049177B" w:rsidRPr="00E24BCF">
              <w:rPr>
                <w:webHidden/>
                <w:sz w:val="24"/>
                <w:szCs w:val="24"/>
              </w:rPr>
              <w:tab/>
            </w:r>
            <w:r w:rsidR="0049177B" w:rsidRPr="00E24BCF">
              <w:rPr>
                <w:webHidden/>
                <w:sz w:val="24"/>
                <w:szCs w:val="24"/>
              </w:rPr>
              <w:fldChar w:fldCharType="begin"/>
            </w:r>
            <w:r w:rsidR="0049177B" w:rsidRPr="00E24BCF">
              <w:rPr>
                <w:webHidden/>
                <w:sz w:val="24"/>
                <w:szCs w:val="24"/>
              </w:rPr>
              <w:instrText xml:space="preserve"> PAGEREF _Toc132929103 \h </w:instrText>
            </w:r>
            <w:r w:rsidR="0049177B" w:rsidRPr="00E24BCF">
              <w:rPr>
                <w:webHidden/>
                <w:sz w:val="24"/>
                <w:szCs w:val="24"/>
              </w:rPr>
            </w:r>
            <w:r w:rsidR="0049177B" w:rsidRPr="00E24BCF">
              <w:rPr>
                <w:webHidden/>
                <w:sz w:val="24"/>
                <w:szCs w:val="24"/>
              </w:rPr>
              <w:fldChar w:fldCharType="separate"/>
            </w:r>
            <w:r w:rsidR="001F78A4">
              <w:rPr>
                <w:webHidden/>
                <w:sz w:val="24"/>
                <w:szCs w:val="24"/>
              </w:rPr>
              <w:t>141</w:t>
            </w:r>
            <w:r w:rsidR="0049177B" w:rsidRPr="00E24BCF">
              <w:rPr>
                <w:webHidden/>
                <w:sz w:val="24"/>
                <w:szCs w:val="24"/>
              </w:rPr>
              <w:fldChar w:fldCharType="end"/>
            </w:r>
          </w:hyperlink>
        </w:p>
        <w:p w14:paraId="00AA119E" w14:textId="14C9865D" w:rsidR="008A0537" w:rsidRPr="007F2028" w:rsidRDefault="00C27205" w:rsidP="003B450C">
          <w:pPr>
            <w:spacing w:after="0" w:line="240" w:lineRule="auto"/>
            <w:rPr>
              <w:rFonts w:cs="Times New Roman"/>
              <w:sz w:val="23"/>
              <w:szCs w:val="23"/>
            </w:rPr>
          </w:pPr>
          <w:r w:rsidRPr="00E24BCF">
            <w:rPr>
              <w:rFonts w:cs="Times New Roman"/>
              <w:sz w:val="24"/>
              <w:szCs w:val="24"/>
            </w:rPr>
            <w:fldChar w:fldCharType="end"/>
          </w:r>
        </w:p>
      </w:sdtContent>
    </w:sdt>
    <w:p w14:paraId="325150F2" w14:textId="77777777" w:rsidR="008A0537" w:rsidRPr="007F2028" w:rsidRDefault="008A0537" w:rsidP="008A0537">
      <w:pPr>
        <w:rPr>
          <w:rFonts w:cs="Times New Roman"/>
          <w:sz w:val="23"/>
          <w:szCs w:val="23"/>
        </w:rPr>
      </w:pPr>
    </w:p>
    <w:p w14:paraId="483A000F" w14:textId="1DF915A1" w:rsidR="003B450C" w:rsidRDefault="00BE44CB">
      <w:pPr>
        <w:spacing w:after="160" w:line="259" w:lineRule="auto"/>
        <w:jc w:val="left"/>
        <w:rPr>
          <w:rFonts w:eastAsiaTheme="majorEastAsia" w:cstheme="majorBidi"/>
          <w:b/>
          <w:sz w:val="26"/>
          <w:szCs w:val="32"/>
        </w:rPr>
      </w:pPr>
      <w:r>
        <w:br w:type="page"/>
      </w:r>
    </w:p>
    <w:p w14:paraId="1F468ACD" w14:textId="4FFE06E5" w:rsidR="00B81657" w:rsidRDefault="005E427F" w:rsidP="00397B80">
      <w:pPr>
        <w:pStyle w:val="Nadpis1"/>
        <w:numPr>
          <w:ilvl w:val="0"/>
          <w:numId w:val="0"/>
        </w:numPr>
      </w:pPr>
      <w:bookmarkStart w:id="0" w:name="_Toc132929067"/>
      <w:r w:rsidRPr="00344297">
        <w:lastRenderedPageBreak/>
        <w:t>Zhrnutie</w:t>
      </w:r>
      <w:bookmarkEnd w:id="0"/>
    </w:p>
    <w:p w14:paraId="4ABAE53B" w14:textId="77777777" w:rsidR="00DF3AB5" w:rsidRDefault="00DF3AB5" w:rsidP="00547C43">
      <w:pPr>
        <w:numPr>
          <w:ilvl w:val="0"/>
          <w:numId w:val="8"/>
        </w:numPr>
        <w:spacing w:line="240" w:lineRule="auto"/>
        <w:ind w:left="357" w:right="-284" w:hanging="357"/>
        <w:rPr>
          <w:sz w:val="24"/>
          <w:szCs w:val="24"/>
        </w:rPr>
      </w:pPr>
      <w:r>
        <w:rPr>
          <w:b/>
          <w:sz w:val="24"/>
          <w:szCs w:val="24"/>
        </w:rPr>
        <w:t>Verejná správa v roku 2022 na základe predbežných výsledkov notifikovaných v metodike ESA 2010</w:t>
      </w:r>
      <w:r>
        <w:rPr>
          <w:rStyle w:val="Odkaznapoznmkupodiarou"/>
          <w:b/>
          <w:sz w:val="24"/>
          <w:szCs w:val="24"/>
        </w:rPr>
        <w:footnoteReference w:id="1"/>
      </w:r>
      <w:r>
        <w:rPr>
          <w:b/>
          <w:sz w:val="24"/>
          <w:szCs w:val="24"/>
        </w:rPr>
        <w:t xml:space="preserve"> hospodárila so schodkom 2 233 781 tis. eur, čo predstavuje</w:t>
      </w:r>
      <w:r>
        <w:rPr>
          <w:b/>
          <w:sz w:val="24"/>
          <w:szCs w:val="24"/>
        </w:rPr>
        <w:br/>
        <w:t>-2,0 % HDP.</w:t>
      </w:r>
      <w:r>
        <w:rPr>
          <w:sz w:val="24"/>
          <w:szCs w:val="24"/>
        </w:rPr>
        <w:t xml:space="preserve"> Pôvodný rozpočet verejnej správy z decembra 2021 predpokladal deficitné hospodárenie na úrovni -4,94 % HDP. Novelou zákona o štátnom rozpočte v októbri 2022 sa zmenil očakávaný schodok verejnej správy na úroveň -5,22 % HDP. </w:t>
      </w:r>
    </w:p>
    <w:p w14:paraId="7EF8E1F8" w14:textId="7964A85B" w:rsidR="00DF3AB5" w:rsidRDefault="00DF3AB5" w:rsidP="00547C43">
      <w:pPr>
        <w:numPr>
          <w:ilvl w:val="0"/>
          <w:numId w:val="8"/>
        </w:numPr>
        <w:spacing w:line="240" w:lineRule="auto"/>
        <w:ind w:left="357" w:right="-284" w:hanging="357"/>
        <w:rPr>
          <w:sz w:val="24"/>
          <w:szCs w:val="24"/>
        </w:rPr>
      </w:pPr>
      <w:r>
        <w:rPr>
          <w:b/>
          <w:sz w:val="24"/>
          <w:szCs w:val="24"/>
        </w:rPr>
        <w:t>Dlh verejnej správy</w:t>
      </w:r>
      <w:r>
        <w:rPr>
          <w:sz w:val="24"/>
          <w:szCs w:val="24"/>
        </w:rPr>
        <w:t xml:space="preserve"> </w:t>
      </w:r>
      <w:r>
        <w:rPr>
          <w:b/>
          <w:sz w:val="24"/>
          <w:szCs w:val="24"/>
        </w:rPr>
        <w:t xml:space="preserve">k 31. 12. 2022 </w:t>
      </w:r>
      <w:r>
        <w:rPr>
          <w:sz w:val="24"/>
          <w:szCs w:val="24"/>
        </w:rPr>
        <w:t xml:space="preserve">na základe prvej notifikácie výsledkov v metodike ESA 2010 </w:t>
      </w:r>
      <w:r>
        <w:rPr>
          <w:b/>
          <w:sz w:val="24"/>
          <w:szCs w:val="24"/>
        </w:rPr>
        <w:t>dosiahol výšku 61 378 782 tis. eur a v pomere k vyčíslenému HDP dosiahol 57,80 %.</w:t>
      </w:r>
      <w:r>
        <w:rPr>
          <w:sz w:val="24"/>
          <w:szCs w:val="24"/>
        </w:rPr>
        <w:t xml:space="preserve"> Z dôvodu predpokladaných výdavkov na boj proti pandémii a nižších príjmov verejnej správy sa očakával verejný dlh nad úrovňou 60 % HDP aj v roku 2022.  </w:t>
      </w:r>
    </w:p>
    <w:p w14:paraId="2D01E99F" w14:textId="658AEBEF" w:rsidR="00DF3AB5" w:rsidRDefault="00DF3AB5" w:rsidP="00547C43">
      <w:pPr>
        <w:numPr>
          <w:ilvl w:val="0"/>
          <w:numId w:val="8"/>
        </w:numPr>
        <w:spacing w:line="240" w:lineRule="auto"/>
        <w:ind w:left="357" w:right="-284" w:hanging="357"/>
        <w:rPr>
          <w:sz w:val="24"/>
          <w:szCs w:val="24"/>
        </w:rPr>
      </w:pPr>
      <w:r>
        <w:rPr>
          <w:b/>
          <w:sz w:val="24"/>
          <w:szCs w:val="24"/>
        </w:rPr>
        <w:t>Rast reálnej ekonomiky podľa jarnej notifikácie dosiahol 1,7 % (rast HDP v stálych cenách).</w:t>
      </w:r>
      <w:r>
        <w:rPr>
          <w:sz w:val="24"/>
          <w:szCs w:val="24"/>
        </w:rPr>
        <w:t xml:space="preserve"> Predpokladaný scenár ekonomického vývoja pri tvorbe rozpočtu na rok 2022 odhadoval rast HDP na úrovni 4,2 %. Nominálne HDP dosiahlo 109 651 919 tis. eur (v bežných cenách), čo je oproti roku 2021 viac </w:t>
      </w:r>
      <w:r w:rsidRPr="00891210">
        <w:rPr>
          <w:sz w:val="24"/>
          <w:szCs w:val="24"/>
        </w:rPr>
        <w:t>o </w:t>
      </w:r>
      <w:r w:rsidR="00891210" w:rsidRPr="00891210">
        <w:rPr>
          <w:sz w:val="24"/>
          <w:szCs w:val="24"/>
        </w:rPr>
        <w:t>9 328 466 </w:t>
      </w:r>
      <w:r w:rsidRPr="00891210">
        <w:rPr>
          <w:sz w:val="24"/>
          <w:szCs w:val="24"/>
        </w:rPr>
        <w:t>tis</w:t>
      </w:r>
      <w:r>
        <w:rPr>
          <w:sz w:val="24"/>
          <w:szCs w:val="24"/>
        </w:rPr>
        <w:t>.</w:t>
      </w:r>
      <w:r w:rsidR="00891210">
        <w:rPr>
          <w:sz w:val="24"/>
          <w:szCs w:val="24"/>
        </w:rPr>
        <w:t> </w:t>
      </w:r>
      <w:r>
        <w:rPr>
          <w:sz w:val="24"/>
          <w:szCs w:val="24"/>
        </w:rPr>
        <w:t xml:space="preserve">eur. </w:t>
      </w:r>
      <w:r w:rsidRPr="00F16CAD">
        <w:rPr>
          <w:sz w:val="24"/>
          <w:szCs w:val="24"/>
        </w:rPr>
        <w:t>HDP potiahli najmä výdavky domácností, avšak najmä na úkor svojich úspor. Vyššie vládne transfery podporili ekonomiku aj disponibilné príjmy domácností.</w:t>
      </w:r>
      <w:r>
        <w:rPr>
          <w:sz w:val="24"/>
          <w:szCs w:val="24"/>
        </w:rPr>
        <w:t xml:space="preserve"> Rast reálneho HDP ako aj reálnych miezd negatívne ovplyvnila rastúca inflácia, ktorá v roku 2022 dosiahla v priemere 12,8 %.</w:t>
      </w:r>
    </w:p>
    <w:p w14:paraId="3D6C3C6C" w14:textId="03D83938" w:rsidR="00DF3AB5" w:rsidRPr="003137DC" w:rsidRDefault="00DF3AB5" w:rsidP="00547C43">
      <w:pPr>
        <w:numPr>
          <w:ilvl w:val="0"/>
          <w:numId w:val="8"/>
        </w:numPr>
        <w:spacing w:line="240" w:lineRule="auto"/>
        <w:ind w:left="357" w:right="-284" w:hanging="357"/>
        <w:rPr>
          <w:sz w:val="24"/>
          <w:szCs w:val="24"/>
        </w:rPr>
      </w:pPr>
      <w:r w:rsidRPr="00A8106D">
        <w:rPr>
          <w:sz w:val="24"/>
          <w:szCs w:val="24"/>
        </w:rPr>
        <w:t>Plnenie rozpočtu verejnej správy podobne ako v predchádzajúcom roku bolo aj v roku 2022 ovplyvnené pandémiou</w:t>
      </w:r>
      <w:r w:rsidRPr="00A8106D">
        <w:rPr>
          <w:color w:val="000000" w:themeColor="text1"/>
          <w:sz w:val="24"/>
          <w:szCs w:val="24"/>
        </w:rPr>
        <w:t xml:space="preserve"> COVID-19</w:t>
      </w:r>
      <w:r w:rsidRPr="00A8106D">
        <w:rPr>
          <w:sz w:val="24"/>
          <w:szCs w:val="24"/>
        </w:rPr>
        <w:t xml:space="preserve">. Od marca 2022 sa však k negatívnym externým vplyvom na hospodárenie krajiny ,,pridala“ vojenská invázia Ruskej federácie na územie Ukrajiny. Komplikovaná </w:t>
      </w:r>
      <w:r w:rsidRPr="00FD16F6">
        <w:rPr>
          <w:sz w:val="24"/>
          <w:szCs w:val="24"/>
        </w:rPr>
        <w:t xml:space="preserve">situácia pretrvávala aj v dodávateľských reťazcoch a nedostupnosť niektorých dielov, najmä polovodičov, spomaľovala produkciu. </w:t>
      </w:r>
      <w:r w:rsidRPr="00FD16F6">
        <w:rPr>
          <w:b/>
          <w:sz w:val="24"/>
          <w:szCs w:val="24"/>
        </w:rPr>
        <w:t>Predbežne vyčíslený objem výdavkov súvisiaci s pandémiou COVID-19 s negatívnym vplyvom na saldo verejnej správy v metodike ESA 2010 dosiahol 898 mil. eur</w:t>
      </w:r>
      <w:r w:rsidRPr="00FD16F6">
        <w:rPr>
          <w:sz w:val="24"/>
          <w:szCs w:val="24"/>
        </w:rPr>
        <w:t xml:space="preserve">. </w:t>
      </w:r>
      <w:r w:rsidRPr="00FD16F6">
        <w:rPr>
          <w:b/>
          <w:sz w:val="24"/>
          <w:szCs w:val="24"/>
        </w:rPr>
        <w:t xml:space="preserve">Výdavky súvisiace s vojnou na Ukrajine boli </w:t>
      </w:r>
      <w:r w:rsidRPr="003137DC">
        <w:rPr>
          <w:b/>
          <w:sz w:val="24"/>
          <w:szCs w:val="24"/>
        </w:rPr>
        <w:t>vykázané v objeme 199 mil. eur.</w:t>
      </w:r>
    </w:p>
    <w:p w14:paraId="7C56D5E5" w14:textId="1897FF1B" w:rsidR="00DF3AB5" w:rsidRPr="003137DC" w:rsidRDefault="00DF3AB5" w:rsidP="00547C43">
      <w:pPr>
        <w:numPr>
          <w:ilvl w:val="0"/>
          <w:numId w:val="8"/>
        </w:numPr>
        <w:spacing w:line="240" w:lineRule="auto"/>
        <w:ind w:left="357" w:right="-284" w:hanging="357"/>
        <w:rPr>
          <w:sz w:val="24"/>
          <w:szCs w:val="24"/>
        </w:rPr>
      </w:pPr>
      <w:r w:rsidRPr="003137DC">
        <w:rPr>
          <w:sz w:val="24"/>
          <w:szCs w:val="24"/>
        </w:rPr>
        <w:t xml:space="preserve">V rámci Európskej únie (27 krajín) dosiahol </w:t>
      </w:r>
      <w:r w:rsidRPr="003137DC">
        <w:rPr>
          <w:b/>
          <w:sz w:val="24"/>
          <w:szCs w:val="24"/>
        </w:rPr>
        <w:t xml:space="preserve">priemerný schodok </w:t>
      </w:r>
      <w:r w:rsidR="008D46B4" w:rsidRPr="003137DC">
        <w:rPr>
          <w:b/>
          <w:sz w:val="24"/>
          <w:szCs w:val="24"/>
        </w:rPr>
        <w:t>3,4</w:t>
      </w:r>
      <w:r w:rsidRPr="003137DC">
        <w:rPr>
          <w:b/>
          <w:sz w:val="24"/>
          <w:szCs w:val="24"/>
        </w:rPr>
        <w:t> % HDP, čo je medziročne menej o</w:t>
      </w:r>
      <w:r w:rsidR="009D3C19" w:rsidRPr="003137DC">
        <w:rPr>
          <w:b/>
          <w:sz w:val="24"/>
          <w:szCs w:val="24"/>
        </w:rPr>
        <w:t> 1,4</w:t>
      </w:r>
      <w:r w:rsidRPr="003137DC">
        <w:rPr>
          <w:b/>
          <w:sz w:val="24"/>
          <w:szCs w:val="24"/>
        </w:rPr>
        <w:t xml:space="preserve"> p. b. </w:t>
      </w:r>
      <w:r w:rsidRPr="003137DC">
        <w:rPr>
          <w:sz w:val="24"/>
          <w:szCs w:val="24"/>
        </w:rPr>
        <w:t xml:space="preserve">V rámci eurozóny dosiahol priemerný deficit </w:t>
      </w:r>
      <w:r w:rsidR="008D46B4" w:rsidRPr="003137DC">
        <w:rPr>
          <w:sz w:val="24"/>
          <w:szCs w:val="24"/>
        </w:rPr>
        <w:t>3,6</w:t>
      </w:r>
      <w:r w:rsidRPr="003137DC">
        <w:rPr>
          <w:sz w:val="24"/>
          <w:szCs w:val="24"/>
        </w:rPr>
        <w:t> % HDP, a medziročne sa hospodárenia krajín používajúcich menu euro</w:t>
      </w:r>
      <w:r w:rsidR="009D3C19" w:rsidRPr="003137DC">
        <w:rPr>
          <w:sz w:val="24"/>
          <w:szCs w:val="24"/>
        </w:rPr>
        <w:t xml:space="preserve"> (bez vykázania Chorvátska)</w:t>
      </w:r>
      <w:r w:rsidRPr="003137DC">
        <w:rPr>
          <w:sz w:val="24"/>
          <w:szCs w:val="24"/>
        </w:rPr>
        <w:t xml:space="preserve"> zlepšilo o</w:t>
      </w:r>
      <w:r w:rsidR="009D3C19" w:rsidRPr="003137DC">
        <w:rPr>
          <w:sz w:val="24"/>
          <w:szCs w:val="24"/>
        </w:rPr>
        <w:t> 1,7</w:t>
      </w:r>
      <w:r w:rsidRPr="003137DC">
        <w:rPr>
          <w:sz w:val="24"/>
          <w:szCs w:val="24"/>
        </w:rPr>
        <w:t xml:space="preserve"> p. b. </w:t>
      </w:r>
      <w:r w:rsidRPr="003137DC">
        <w:rPr>
          <w:b/>
          <w:sz w:val="24"/>
          <w:szCs w:val="24"/>
        </w:rPr>
        <w:t xml:space="preserve">Priemerný dlh verejnej správy krajín EÚ dosiahol </w:t>
      </w:r>
      <w:r w:rsidR="008D46B4" w:rsidRPr="003137DC">
        <w:rPr>
          <w:b/>
          <w:sz w:val="24"/>
          <w:szCs w:val="24"/>
        </w:rPr>
        <w:t>84,0</w:t>
      </w:r>
      <w:r w:rsidRPr="003137DC">
        <w:rPr>
          <w:b/>
          <w:sz w:val="24"/>
          <w:szCs w:val="24"/>
        </w:rPr>
        <w:t xml:space="preserve"> % </w:t>
      </w:r>
      <w:r w:rsidRPr="003137DC">
        <w:rPr>
          <w:sz w:val="24"/>
          <w:szCs w:val="24"/>
        </w:rPr>
        <w:t xml:space="preserve">a krajín eurozóny </w:t>
      </w:r>
      <w:r w:rsidR="009D3C19" w:rsidRPr="003137DC">
        <w:rPr>
          <w:sz w:val="24"/>
          <w:szCs w:val="24"/>
        </w:rPr>
        <w:t>91,6</w:t>
      </w:r>
      <w:r w:rsidRPr="003137DC">
        <w:rPr>
          <w:sz w:val="24"/>
          <w:szCs w:val="24"/>
        </w:rPr>
        <w:t> % HDP.</w:t>
      </w:r>
    </w:p>
    <w:p w14:paraId="2A58AA27" w14:textId="77777777" w:rsidR="00DF3AB5" w:rsidRDefault="00DF3AB5" w:rsidP="00547C43">
      <w:pPr>
        <w:numPr>
          <w:ilvl w:val="0"/>
          <w:numId w:val="8"/>
        </w:numPr>
        <w:spacing w:line="240" w:lineRule="auto"/>
        <w:ind w:left="357" w:right="-284" w:hanging="357"/>
        <w:rPr>
          <w:sz w:val="24"/>
          <w:szCs w:val="24"/>
        </w:rPr>
      </w:pPr>
      <w:r>
        <w:rPr>
          <w:b/>
          <w:sz w:val="24"/>
          <w:szCs w:val="24"/>
        </w:rPr>
        <w:t>Hotovostný schodok štátneho rozpočtu</w:t>
      </w:r>
      <w:r>
        <w:rPr>
          <w:sz w:val="24"/>
          <w:szCs w:val="24"/>
        </w:rPr>
        <w:t xml:space="preserve"> dosiahol 4 524 852 tis. eur a oproti rozpočtu je nižší o 948 666 tis. eur. V porovnaní s deficitom za rok 2021, je dosiahnutý deficit za rok 2022 nižší o 2 489 275 tis. eur. Hotovostné príjmy štátneho rozpočtu dosiahli 19 029 702 tis. eur (110,6 % hodnoty príjmov roku 2021). Hotovostné výdavky boli 23 554 555 tis. eur (97,3 % hodnoty skutočných výdavkov roku 2021).</w:t>
      </w:r>
    </w:p>
    <w:p w14:paraId="26846CAA" w14:textId="77777777" w:rsidR="00DF3AB5" w:rsidRDefault="00DF3AB5" w:rsidP="00547C43">
      <w:pPr>
        <w:numPr>
          <w:ilvl w:val="0"/>
          <w:numId w:val="8"/>
        </w:numPr>
        <w:spacing w:line="240" w:lineRule="auto"/>
        <w:ind w:left="357" w:right="-284" w:hanging="357"/>
        <w:rPr>
          <w:sz w:val="24"/>
          <w:szCs w:val="24"/>
        </w:rPr>
      </w:pPr>
      <w:r>
        <w:rPr>
          <w:b/>
          <w:sz w:val="24"/>
          <w:szCs w:val="24"/>
        </w:rPr>
        <w:t>Hotovostný schodok bol krytý štátnymi dlhopismi</w:t>
      </w:r>
      <w:r>
        <w:rPr>
          <w:sz w:val="24"/>
          <w:szCs w:val="24"/>
        </w:rPr>
        <w:t xml:space="preserve"> v sume 4 424 853 tis. eur a prijatými zahraničnými bankovými úvermi v hodnote 100 000 tis. eur.</w:t>
      </w:r>
    </w:p>
    <w:p w14:paraId="5D80E711" w14:textId="5290AA54" w:rsidR="00005A9B" w:rsidRPr="001A0035" w:rsidRDefault="00005A9B" w:rsidP="009C250D">
      <w:pPr>
        <w:spacing w:line="240" w:lineRule="auto"/>
        <w:ind w:left="357" w:right="-284"/>
        <w:rPr>
          <w:sz w:val="24"/>
          <w:szCs w:val="24"/>
        </w:rPr>
      </w:pPr>
    </w:p>
    <w:p w14:paraId="4D18810A" w14:textId="77777777" w:rsidR="00CB3C45" w:rsidRDefault="00CB3C45">
      <w:pPr>
        <w:spacing w:after="160" w:line="259" w:lineRule="auto"/>
        <w:jc w:val="left"/>
        <w:rPr>
          <w:bCs/>
        </w:rPr>
      </w:pPr>
      <w:r>
        <w:rPr>
          <w:bCs/>
        </w:rPr>
        <w:br w:type="page"/>
      </w:r>
    </w:p>
    <w:p w14:paraId="2F8BA07E" w14:textId="6CE659BB" w:rsidR="005F5B88" w:rsidRDefault="005F5B88" w:rsidP="00AF7C97">
      <w:pPr>
        <w:pStyle w:val="Nadpis1"/>
        <w:ind w:left="567" w:hanging="567"/>
      </w:pPr>
      <w:bookmarkStart w:id="1" w:name="_Toc6415626"/>
      <w:bookmarkStart w:id="2" w:name="_Toc132929068"/>
      <w:r w:rsidRPr="001A1586">
        <w:lastRenderedPageBreak/>
        <w:t>Ekonomick</w:t>
      </w:r>
      <w:r w:rsidR="0021355F" w:rsidRPr="001A1586">
        <w:t>ý</w:t>
      </w:r>
      <w:r w:rsidRPr="001A1586">
        <w:t xml:space="preserve"> rámec rozpočtového hospodárenia Slovenskej republiky</w:t>
      </w:r>
      <w:bookmarkEnd w:id="1"/>
      <w:bookmarkEnd w:id="2"/>
    </w:p>
    <w:p w14:paraId="35F80E76" w14:textId="3334D7D1" w:rsidR="00C12E3A" w:rsidRPr="00C12E3A" w:rsidRDefault="00F16CAD" w:rsidP="00C12E3A">
      <w:pPr>
        <w:spacing w:line="240" w:lineRule="auto"/>
        <w:rPr>
          <w:sz w:val="24"/>
          <w:szCs w:val="24"/>
        </w:rPr>
      </w:pPr>
      <w:r w:rsidRPr="00F16CAD">
        <w:rPr>
          <w:sz w:val="24"/>
          <w:szCs w:val="24"/>
        </w:rPr>
        <w:t>Slovenská ekonomika v roku 2022 posilnila o 1,7</w:t>
      </w:r>
      <w:r w:rsidR="00B237AD">
        <w:rPr>
          <w:sz w:val="24"/>
          <w:szCs w:val="24"/>
        </w:rPr>
        <w:t> </w:t>
      </w:r>
      <w:r w:rsidRPr="00F16CAD">
        <w:rPr>
          <w:sz w:val="24"/>
          <w:szCs w:val="24"/>
        </w:rPr>
        <w:t>%, keď zotavenie z pandémie prerušila ruská invázia Ukrajiny. HDP potiahli najmä výdavky domácností, avšak najmä na úkor svojich úspor. Vyššie vládne transfery podporili ekonomiku aj disponibilné príjmy domácností. Na trh práce pribudlo 38 tisíc pracovných miest a inflačný šok ho výrazne nezasiahol. Dynamika nominálnych miezd však nestačila na infláciu a reáln</w:t>
      </w:r>
      <w:r w:rsidR="006C0D20">
        <w:rPr>
          <w:sz w:val="24"/>
          <w:szCs w:val="24"/>
        </w:rPr>
        <w:t>e</w:t>
      </w:r>
      <w:r w:rsidRPr="00F16CAD">
        <w:rPr>
          <w:sz w:val="24"/>
          <w:szCs w:val="24"/>
        </w:rPr>
        <w:t xml:space="preserve"> mzdy klesli o 4,2 %. Vyššie ceny potiahla čistá inflácia, do ktorej sa prenášal rast cien energií a komodít. Z pohľadu makroekonomických základní pre daňové a odvodové príjmy bol makroekonomický vývoj v roku 2022 výrazne lepší oproti očakávaniam rozpočtovej prognózy MF SR, išlo však o následky inflačného šoku a plošný nárast nominálnych veličín v ekonomike.</w:t>
      </w:r>
    </w:p>
    <w:p w14:paraId="1A98C117" w14:textId="72C678F8" w:rsidR="005F5B88" w:rsidRDefault="005F5B88" w:rsidP="00B02097">
      <w:pPr>
        <w:pStyle w:val="Nadpis2"/>
        <w:spacing w:before="240"/>
      </w:pPr>
      <w:bookmarkStart w:id="3" w:name="_Toc6415627"/>
      <w:bookmarkStart w:id="4" w:name="_Toc132929069"/>
      <w:r w:rsidRPr="0042635A">
        <w:t>Vonkajšie ekonomické prostredie</w:t>
      </w:r>
      <w:bookmarkEnd w:id="3"/>
      <w:bookmarkEnd w:id="4"/>
    </w:p>
    <w:p w14:paraId="48CC9BC5" w14:textId="77777777" w:rsidR="00F16CAD" w:rsidRPr="00F16CAD" w:rsidRDefault="00F16CAD" w:rsidP="00F16CAD">
      <w:pPr>
        <w:spacing w:line="240" w:lineRule="auto"/>
        <w:rPr>
          <w:sz w:val="24"/>
          <w:szCs w:val="24"/>
        </w:rPr>
      </w:pPr>
      <w:r w:rsidRPr="00F16CAD">
        <w:rPr>
          <w:sz w:val="24"/>
          <w:szCs w:val="24"/>
        </w:rPr>
        <w:t xml:space="preserve">Vonkajšie ekonomické prostredie v roku 2022 bolo charakterizované viacerými ekonomickými šokmi. Dôležitou udalosťou sa stalo vojenské napadnutie Ukrajiny zo strany Ruskej federácie, ktoré prekreslilo mapy svetového obchodu. Viaceré firmy sa preto rozhodli zanechať svoje podnikateľské aktivity v tejto krajine. Zároveň bolo zavedených niekoľko balíkov sankcií v snahe zamedziť Rusku profitovanie z medzinárodného obchodu. Rast svetovej ekonomiky sa v dôsledku tohto šoku, ako aj rastúcej inflácie, v roku 2022 spomalil na 3,4 % z 6,2 % v roku 2021 podľa odhadu Medzinárodného Menového Fondu. Rast brzdila aj slabšia výkonnosť Číny kvôli stále prísnym </w:t>
      </w:r>
      <w:proofErr w:type="spellStart"/>
      <w:r w:rsidRPr="00F16CAD">
        <w:rPr>
          <w:sz w:val="24"/>
          <w:szCs w:val="24"/>
        </w:rPr>
        <w:t>protipandemickým</w:t>
      </w:r>
      <w:proofErr w:type="spellEnd"/>
      <w:r w:rsidRPr="00F16CAD">
        <w:rPr>
          <w:sz w:val="24"/>
          <w:szCs w:val="24"/>
        </w:rPr>
        <w:t xml:space="preserve"> opatreniam, ktoré sa začali uvoľňovať až v závere roka. Komplikovaná situácia pretrvávala aj v dodávateľských reťazcoch a nedostupnosť niektorých dielov, najmä polovodičov, spomaľovala produkciu. Priemerné časy dodávok sa však začali postupne skracovať a úzke hrdlá dodávateľských reťazcov sa začali postupne rozpúšťať.</w:t>
      </w:r>
    </w:p>
    <w:p w14:paraId="6C80A0FE" w14:textId="5EFBA569" w:rsidR="00F16CAD" w:rsidRPr="00F16CAD" w:rsidRDefault="00F16CAD" w:rsidP="00F16CAD">
      <w:pPr>
        <w:spacing w:line="240" w:lineRule="auto"/>
        <w:rPr>
          <w:sz w:val="24"/>
          <w:szCs w:val="24"/>
        </w:rPr>
      </w:pPr>
      <w:r w:rsidRPr="00F16CAD">
        <w:rPr>
          <w:sz w:val="24"/>
          <w:szCs w:val="24"/>
        </w:rPr>
        <w:t>Zmena geopolitickej situácie negatívne ovplyvnila ekonomickú stabilitu v Európe. Energetická závislosť hlavných európskych ekonomík na dodávkach ruskej ropy a plynu sa stala zbraňou vo vojne. Výsledkom bol návrat inflácie do Eurozóny po dlhých rokoch. Tá počas celého roku presahovala 2-percentný inflačný cieľ Európskej centrálnej banky s vrcholom v októbri 2022 na úrovni 10,6%. Potiahol ju niekoľkonásobný rast cien energetických surovín, najmä plynu a elektriny. Vysoké ceny a snaha vyhnúť sa financovaniu vojny však prinútili Európsku úniu hľadať náhradné riešenia, čo sa podarilo v podobe dovozu skvapalneného plynu z USA a iných krajín, vďaka čomu ceny energetických komodít v závere roka poľavili. Problematickým bolo aj výrazné zdraženie ropy a </w:t>
      </w:r>
      <w:proofErr w:type="spellStart"/>
      <w:r w:rsidRPr="00F16CAD">
        <w:rPr>
          <w:sz w:val="24"/>
          <w:szCs w:val="24"/>
        </w:rPr>
        <w:t>dieslových</w:t>
      </w:r>
      <w:proofErr w:type="spellEnd"/>
      <w:r w:rsidRPr="00F16CAD">
        <w:rPr>
          <w:sz w:val="24"/>
          <w:szCs w:val="24"/>
        </w:rPr>
        <w:t xml:space="preserve"> palív v začiatočnom štádiu konfliktu, kedy sa ropa </w:t>
      </w:r>
      <w:proofErr w:type="spellStart"/>
      <w:r w:rsidRPr="00F16CAD">
        <w:rPr>
          <w:sz w:val="24"/>
          <w:szCs w:val="24"/>
        </w:rPr>
        <w:t>Brent</w:t>
      </w:r>
      <w:proofErr w:type="spellEnd"/>
      <w:r w:rsidRPr="00F16CAD">
        <w:rPr>
          <w:sz w:val="24"/>
          <w:szCs w:val="24"/>
        </w:rPr>
        <w:t xml:space="preserve"> predávala v máji na vrchole za viac ako 120 USD za barel. Obavy tiež vytváralo post-</w:t>
      </w:r>
      <w:proofErr w:type="spellStart"/>
      <w:r w:rsidRPr="00F16CAD">
        <w:rPr>
          <w:sz w:val="24"/>
          <w:szCs w:val="24"/>
        </w:rPr>
        <w:t>pandemické</w:t>
      </w:r>
      <w:proofErr w:type="spellEnd"/>
      <w:r w:rsidRPr="00F16CAD">
        <w:rPr>
          <w:sz w:val="24"/>
          <w:szCs w:val="24"/>
        </w:rPr>
        <w:t xml:space="preserve"> otváranie v Číne a jeho vplyv na ceny komodít, ako aj zákaz dovozu ropných produktov z Ruskej federácie. Výrazný negatívny efekt sa však nedostavil a ceny sa v závere roka priblížili úrovniam spred začiatku konfliktu. Pod ťarchou konfliktu trpel aj výmenný kurz EUR/USD, ktorý počas celého roka výrazne oslaboval a v októbri sa dostal pod paritu na úroveň približne 0,97 doláru za euro. Koncom roka sa však situácia zlepšila a došlo k miernemu zotaveniu na úroveň približne 1,07 doláru za euro.</w:t>
      </w:r>
    </w:p>
    <w:p w14:paraId="1DAD149B" w14:textId="77777777" w:rsidR="00F16CAD" w:rsidRPr="00F16CAD" w:rsidRDefault="00F16CAD" w:rsidP="00F16CAD">
      <w:pPr>
        <w:spacing w:line="240" w:lineRule="auto"/>
        <w:rPr>
          <w:sz w:val="24"/>
          <w:szCs w:val="24"/>
        </w:rPr>
      </w:pPr>
      <w:r w:rsidRPr="00F16CAD">
        <w:rPr>
          <w:sz w:val="24"/>
          <w:szCs w:val="24"/>
        </w:rPr>
        <w:t xml:space="preserve">Na rekordne vysokú infláciu reagovala aj Európska centrálna banka, ktorá po rokoch uvoľnenej menovej politiky pristúpila k najagresívnejšiemu sprísňovaniu politiky vo svojej krátkej histórií, podobne ako iné centrálne banky. Vďaka tomu sa dostala hlavná úroková sadba v závere roka na 2,5 % oproti 0 % zo začiatku roka. Sprísňovanie sa odzrkadlilo aj na zmenšujúcej sa súvahe centrálnej banky, ktorá prestala nahrádzať splatné cenné papiere vo svojej držbe novými v snahe obmedziť úverovanie a tým aj ekonomickú aktivitu. Na toto sprísňovanie reagovali aj finančné trhy, ktoré po väčšinu roka 2022 čelili poklesu. To sa však zmenilo v októbri 2022, kedy sa nálada na trhoch, ale aj v ekonomike začala zlepšovať, vďaka nenaplneným predpovediam o silnej zime </w:t>
      </w:r>
      <w:r w:rsidRPr="00F16CAD">
        <w:rPr>
          <w:sz w:val="24"/>
          <w:szCs w:val="24"/>
        </w:rPr>
        <w:lastRenderedPageBreak/>
        <w:t>a nedostatku energetických komodít, vďaka čomu si hlavné európske akciové indexy pripísali približne 20 %.</w:t>
      </w:r>
    </w:p>
    <w:tbl>
      <w:tblPr>
        <w:tblW w:w="9214" w:type="dxa"/>
        <w:jc w:val="center"/>
        <w:tblCellMar>
          <w:left w:w="70" w:type="dxa"/>
          <w:right w:w="70" w:type="dxa"/>
        </w:tblCellMar>
        <w:tblLook w:val="04A0" w:firstRow="1" w:lastRow="0" w:firstColumn="1" w:lastColumn="0" w:noHBand="0" w:noVBand="1"/>
      </w:tblPr>
      <w:tblGrid>
        <w:gridCol w:w="6047"/>
        <w:gridCol w:w="957"/>
        <w:gridCol w:w="1056"/>
        <w:gridCol w:w="1154"/>
      </w:tblGrid>
      <w:tr w:rsidR="00397CD2" w:rsidRPr="00AC1638" w14:paraId="2AA7FF7C" w14:textId="77777777" w:rsidTr="00CE362A">
        <w:trPr>
          <w:trHeight w:val="20"/>
          <w:jc w:val="center"/>
        </w:trPr>
        <w:tc>
          <w:tcPr>
            <w:tcW w:w="9214" w:type="dxa"/>
            <w:gridSpan w:val="4"/>
            <w:tcBorders>
              <w:bottom w:val="single" w:sz="4" w:space="0" w:color="auto"/>
            </w:tcBorders>
            <w:shd w:val="clear" w:color="auto" w:fill="auto"/>
            <w:noWrap/>
            <w:vAlign w:val="center"/>
            <w:hideMark/>
          </w:tcPr>
          <w:p w14:paraId="569EF19D" w14:textId="6C170FBE" w:rsidR="00C12E3A" w:rsidRPr="00AC1638" w:rsidRDefault="007F4CDB" w:rsidP="00BE44CB">
            <w:pPr>
              <w:spacing w:after="0" w:line="240" w:lineRule="auto"/>
              <w:rPr>
                <w:b/>
                <w:bCs/>
                <w:color w:val="5B9BD5" w:themeColor="accent1"/>
                <w:sz w:val="20"/>
                <w:szCs w:val="20"/>
              </w:rPr>
            </w:pPr>
            <w:r>
              <w:rPr>
                <w:b/>
                <w:bCs/>
                <w:color w:val="5B9BD5" w:themeColor="accent1"/>
                <w:sz w:val="20"/>
                <w:szCs w:val="20"/>
              </w:rPr>
              <w:t xml:space="preserve">Tabuľka 1 - </w:t>
            </w:r>
            <w:r w:rsidR="00C12E3A" w:rsidRPr="00AC1638">
              <w:rPr>
                <w:b/>
                <w:bCs/>
                <w:color w:val="5B9BD5" w:themeColor="accent1"/>
                <w:sz w:val="20"/>
                <w:szCs w:val="20"/>
              </w:rPr>
              <w:t xml:space="preserve">Vývoj vybraných </w:t>
            </w:r>
            <w:r w:rsidR="006F5E8E">
              <w:rPr>
                <w:b/>
                <w:bCs/>
                <w:color w:val="5B9BD5" w:themeColor="accent1"/>
                <w:sz w:val="20"/>
                <w:szCs w:val="20"/>
              </w:rPr>
              <w:t xml:space="preserve">makroekonomických </w:t>
            </w:r>
            <w:r w:rsidR="00C12E3A" w:rsidRPr="00AC1638">
              <w:rPr>
                <w:b/>
                <w:bCs/>
                <w:color w:val="5B9BD5" w:themeColor="accent1"/>
                <w:sz w:val="20"/>
                <w:szCs w:val="20"/>
              </w:rPr>
              <w:t>ukazovateľov eurozóny</w:t>
            </w:r>
          </w:p>
        </w:tc>
      </w:tr>
      <w:tr w:rsidR="00C12E3A" w:rsidRPr="00506A3C" w14:paraId="31A3188B" w14:textId="77777777" w:rsidTr="00CE362A">
        <w:trPr>
          <w:trHeight w:val="289"/>
          <w:jc w:val="center"/>
        </w:trPr>
        <w:tc>
          <w:tcPr>
            <w:tcW w:w="6047" w:type="dxa"/>
            <w:tcBorders>
              <w:top w:val="single" w:sz="4" w:space="0" w:color="auto"/>
              <w:bottom w:val="single" w:sz="4" w:space="0" w:color="auto"/>
            </w:tcBorders>
            <w:shd w:val="clear" w:color="auto" w:fill="auto"/>
            <w:noWrap/>
            <w:vAlign w:val="center"/>
            <w:hideMark/>
          </w:tcPr>
          <w:p w14:paraId="0A00FDA9" w14:textId="77777777" w:rsidR="00C12E3A" w:rsidRPr="00506A3C" w:rsidRDefault="00C12E3A" w:rsidP="00382A08">
            <w:pPr>
              <w:spacing w:after="0" w:line="240" w:lineRule="auto"/>
              <w:jc w:val="right"/>
              <w:rPr>
                <w:color w:val="000000"/>
                <w:sz w:val="18"/>
                <w:szCs w:val="18"/>
              </w:rPr>
            </w:pPr>
          </w:p>
        </w:tc>
        <w:tc>
          <w:tcPr>
            <w:tcW w:w="957" w:type="dxa"/>
            <w:tcBorders>
              <w:top w:val="single" w:sz="4" w:space="0" w:color="auto"/>
              <w:bottom w:val="single" w:sz="4" w:space="0" w:color="auto"/>
            </w:tcBorders>
            <w:shd w:val="clear" w:color="auto" w:fill="auto"/>
            <w:noWrap/>
            <w:vAlign w:val="center"/>
            <w:hideMark/>
          </w:tcPr>
          <w:p w14:paraId="630FE60E" w14:textId="0FDF8963" w:rsidR="00C12E3A" w:rsidRPr="00506A3C" w:rsidRDefault="00C12E3A" w:rsidP="00F16CAD">
            <w:pPr>
              <w:spacing w:after="0" w:line="240" w:lineRule="auto"/>
              <w:jc w:val="right"/>
              <w:rPr>
                <w:b/>
                <w:bCs/>
                <w:color w:val="000000"/>
                <w:sz w:val="18"/>
                <w:szCs w:val="18"/>
              </w:rPr>
            </w:pPr>
            <w:r w:rsidRPr="00506A3C">
              <w:rPr>
                <w:b/>
                <w:bCs/>
                <w:color w:val="000000"/>
                <w:sz w:val="18"/>
                <w:szCs w:val="18"/>
              </w:rPr>
              <w:t>20</w:t>
            </w:r>
            <w:r w:rsidR="00F16CAD">
              <w:rPr>
                <w:b/>
                <w:bCs/>
                <w:color w:val="000000"/>
                <w:sz w:val="18"/>
                <w:szCs w:val="18"/>
              </w:rPr>
              <w:t>20</w:t>
            </w:r>
          </w:p>
        </w:tc>
        <w:tc>
          <w:tcPr>
            <w:tcW w:w="1056" w:type="dxa"/>
            <w:tcBorders>
              <w:top w:val="single" w:sz="4" w:space="0" w:color="auto"/>
              <w:bottom w:val="single" w:sz="4" w:space="0" w:color="auto"/>
            </w:tcBorders>
            <w:shd w:val="clear" w:color="auto" w:fill="auto"/>
            <w:noWrap/>
            <w:vAlign w:val="center"/>
            <w:hideMark/>
          </w:tcPr>
          <w:p w14:paraId="73F9809F" w14:textId="786E611A" w:rsidR="00C12E3A" w:rsidRPr="00506A3C" w:rsidRDefault="00C12E3A" w:rsidP="00F16CAD">
            <w:pPr>
              <w:spacing w:after="0" w:line="240" w:lineRule="auto"/>
              <w:jc w:val="right"/>
              <w:rPr>
                <w:b/>
                <w:bCs/>
                <w:color w:val="000000"/>
                <w:sz w:val="18"/>
                <w:szCs w:val="18"/>
              </w:rPr>
            </w:pPr>
            <w:r w:rsidRPr="00506A3C">
              <w:rPr>
                <w:b/>
                <w:bCs/>
                <w:color w:val="000000"/>
                <w:sz w:val="18"/>
                <w:szCs w:val="18"/>
              </w:rPr>
              <w:t>202</w:t>
            </w:r>
            <w:r w:rsidR="00F16CAD">
              <w:rPr>
                <w:b/>
                <w:bCs/>
                <w:color w:val="000000"/>
                <w:sz w:val="18"/>
                <w:szCs w:val="18"/>
              </w:rPr>
              <w:t>1</w:t>
            </w:r>
          </w:p>
        </w:tc>
        <w:tc>
          <w:tcPr>
            <w:tcW w:w="1154" w:type="dxa"/>
            <w:tcBorders>
              <w:top w:val="single" w:sz="4" w:space="0" w:color="auto"/>
              <w:bottom w:val="single" w:sz="4" w:space="0" w:color="auto"/>
            </w:tcBorders>
            <w:shd w:val="clear" w:color="auto" w:fill="auto"/>
            <w:noWrap/>
            <w:vAlign w:val="center"/>
            <w:hideMark/>
          </w:tcPr>
          <w:p w14:paraId="45C85649" w14:textId="2A8D2C46" w:rsidR="00C12E3A" w:rsidRPr="00506A3C" w:rsidRDefault="00C12E3A" w:rsidP="00F16CAD">
            <w:pPr>
              <w:spacing w:after="0" w:line="240" w:lineRule="auto"/>
              <w:jc w:val="right"/>
              <w:rPr>
                <w:b/>
                <w:bCs/>
                <w:color w:val="000000"/>
                <w:sz w:val="18"/>
                <w:szCs w:val="18"/>
              </w:rPr>
            </w:pPr>
            <w:r w:rsidRPr="00506A3C">
              <w:rPr>
                <w:b/>
                <w:bCs/>
                <w:color w:val="000000"/>
                <w:sz w:val="18"/>
                <w:szCs w:val="18"/>
              </w:rPr>
              <w:t>202</w:t>
            </w:r>
            <w:r w:rsidR="00F16CAD">
              <w:rPr>
                <w:b/>
                <w:bCs/>
                <w:color w:val="000000"/>
                <w:sz w:val="18"/>
                <w:szCs w:val="18"/>
              </w:rPr>
              <w:t>2</w:t>
            </w:r>
          </w:p>
        </w:tc>
      </w:tr>
      <w:tr w:rsidR="00F16CAD" w:rsidRPr="00C12E3A" w14:paraId="2C3EB5F8" w14:textId="77777777" w:rsidTr="00CE362A">
        <w:trPr>
          <w:trHeight w:val="289"/>
          <w:jc w:val="center"/>
        </w:trPr>
        <w:tc>
          <w:tcPr>
            <w:tcW w:w="6047" w:type="dxa"/>
            <w:tcBorders>
              <w:top w:val="single" w:sz="4" w:space="0" w:color="auto"/>
            </w:tcBorders>
            <w:shd w:val="clear" w:color="auto" w:fill="auto"/>
            <w:noWrap/>
            <w:vAlign w:val="center"/>
            <w:hideMark/>
          </w:tcPr>
          <w:p w14:paraId="58F16728" w14:textId="77777777" w:rsidR="00F16CAD" w:rsidRPr="00C12E3A" w:rsidRDefault="00F16CAD" w:rsidP="00F16CAD">
            <w:pPr>
              <w:spacing w:after="0" w:line="240" w:lineRule="auto"/>
              <w:jc w:val="left"/>
              <w:rPr>
                <w:rFonts w:eastAsia="Times New Roman" w:cs="Times New Roman"/>
                <w:color w:val="000000"/>
                <w:sz w:val="20"/>
                <w:szCs w:val="20"/>
                <w:lang w:eastAsia="sk-SK"/>
              </w:rPr>
            </w:pPr>
            <w:r w:rsidRPr="00C12E3A">
              <w:rPr>
                <w:rFonts w:eastAsia="Times New Roman" w:cs="Times New Roman"/>
                <w:color w:val="000000"/>
                <w:sz w:val="20"/>
                <w:szCs w:val="20"/>
                <w:lang w:eastAsia="sk-SK"/>
              </w:rPr>
              <w:t>Hrubý domáci produkt (% rast)</w:t>
            </w:r>
          </w:p>
        </w:tc>
        <w:tc>
          <w:tcPr>
            <w:tcW w:w="957" w:type="dxa"/>
            <w:tcBorders>
              <w:top w:val="single" w:sz="4" w:space="0" w:color="auto"/>
            </w:tcBorders>
            <w:shd w:val="clear" w:color="auto" w:fill="auto"/>
            <w:noWrap/>
            <w:vAlign w:val="center"/>
            <w:hideMark/>
          </w:tcPr>
          <w:p w14:paraId="400F617E" w14:textId="701108C5"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-6,1</w:t>
            </w:r>
          </w:p>
        </w:tc>
        <w:tc>
          <w:tcPr>
            <w:tcW w:w="1056" w:type="dxa"/>
            <w:tcBorders>
              <w:top w:val="single" w:sz="4" w:space="0" w:color="auto"/>
            </w:tcBorders>
            <w:shd w:val="clear" w:color="auto" w:fill="auto"/>
            <w:noWrap/>
            <w:vAlign w:val="center"/>
            <w:hideMark/>
          </w:tcPr>
          <w:p w14:paraId="291BF132" w14:textId="4E29B859"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5,3</w:t>
            </w:r>
          </w:p>
        </w:tc>
        <w:tc>
          <w:tcPr>
            <w:tcW w:w="1154" w:type="dxa"/>
            <w:tcBorders>
              <w:top w:val="single" w:sz="4" w:space="0" w:color="auto"/>
            </w:tcBorders>
            <w:shd w:val="clear" w:color="auto" w:fill="auto"/>
            <w:noWrap/>
            <w:vAlign w:val="center"/>
          </w:tcPr>
          <w:p w14:paraId="3000DD83" w14:textId="4D724D93"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3,5</w:t>
            </w:r>
          </w:p>
        </w:tc>
      </w:tr>
      <w:tr w:rsidR="00F16CAD" w:rsidRPr="00C12E3A" w14:paraId="476705C5" w14:textId="77777777" w:rsidTr="00CE362A">
        <w:trPr>
          <w:trHeight w:val="289"/>
          <w:jc w:val="center"/>
        </w:trPr>
        <w:tc>
          <w:tcPr>
            <w:tcW w:w="6047" w:type="dxa"/>
            <w:shd w:val="clear" w:color="auto" w:fill="auto"/>
            <w:noWrap/>
            <w:vAlign w:val="center"/>
            <w:hideMark/>
          </w:tcPr>
          <w:p w14:paraId="7CD7BA97" w14:textId="77777777" w:rsidR="00F16CAD" w:rsidRPr="00C12E3A" w:rsidRDefault="00F16CAD" w:rsidP="00F16CAD">
            <w:pPr>
              <w:spacing w:after="0" w:line="240" w:lineRule="auto"/>
              <w:jc w:val="left"/>
              <w:rPr>
                <w:rFonts w:eastAsia="Times New Roman" w:cs="Times New Roman"/>
                <w:color w:val="000000"/>
                <w:sz w:val="20"/>
                <w:szCs w:val="20"/>
                <w:lang w:eastAsia="sk-SK"/>
              </w:rPr>
            </w:pPr>
            <w:r w:rsidRPr="00C12E3A">
              <w:rPr>
                <w:rFonts w:eastAsia="Times New Roman" w:cs="Times New Roman"/>
                <w:color w:val="000000"/>
                <w:sz w:val="20"/>
                <w:szCs w:val="20"/>
                <w:lang w:eastAsia="sk-SK"/>
              </w:rPr>
              <w:t>Zamestnanosť (ESA, % rast)</w:t>
            </w:r>
          </w:p>
        </w:tc>
        <w:tc>
          <w:tcPr>
            <w:tcW w:w="957" w:type="dxa"/>
            <w:shd w:val="clear" w:color="auto" w:fill="auto"/>
            <w:noWrap/>
            <w:vAlign w:val="center"/>
            <w:hideMark/>
          </w:tcPr>
          <w:p w14:paraId="7B1E2857" w14:textId="48D92D08"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-1,5</w:t>
            </w:r>
          </w:p>
        </w:tc>
        <w:tc>
          <w:tcPr>
            <w:tcW w:w="1056" w:type="dxa"/>
            <w:shd w:val="clear" w:color="auto" w:fill="auto"/>
            <w:noWrap/>
            <w:vAlign w:val="center"/>
            <w:hideMark/>
          </w:tcPr>
          <w:p w14:paraId="4EFE8A9D" w14:textId="20E8C0A3"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1,4</w:t>
            </w:r>
          </w:p>
        </w:tc>
        <w:tc>
          <w:tcPr>
            <w:tcW w:w="1154" w:type="dxa"/>
            <w:shd w:val="clear" w:color="auto" w:fill="auto"/>
            <w:noWrap/>
            <w:vAlign w:val="center"/>
          </w:tcPr>
          <w:p w14:paraId="1618905D" w14:textId="6B85E28F"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2,2</w:t>
            </w:r>
          </w:p>
        </w:tc>
      </w:tr>
      <w:tr w:rsidR="00F16CAD" w:rsidRPr="00C12E3A" w14:paraId="4784EC13" w14:textId="77777777" w:rsidTr="00CE362A">
        <w:trPr>
          <w:trHeight w:val="289"/>
          <w:jc w:val="center"/>
        </w:trPr>
        <w:tc>
          <w:tcPr>
            <w:tcW w:w="6047" w:type="dxa"/>
            <w:shd w:val="clear" w:color="auto" w:fill="auto"/>
            <w:noWrap/>
            <w:vAlign w:val="center"/>
            <w:hideMark/>
          </w:tcPr>
          <w:p w14:paraId="56552311" w14:textId="77777777" w:rsidR="00F16CAD" w:rsidRPr="00C12E3A" w:rsidRDefault="00F16CAD" w:rsidP="00F16CAD">
            <w:pPr>
              <w:spacing w:after="0" w:line="240" w:lineRule="auto"/>
              <w:jc w:val="left"/>
              <w:rPr>
                <w:rFonts w:eastAsia="Times New Roman" w:cs="Times New Roman"/>
                <w:color w:val="000000"/>
                <w:sz w:val="20"/>
                <w:szCs w:val="20"/>
                <w:lang w:eastAsia="sk-SK"/>
              </w:rPr>
            </w:pPr>
            <w:r w:rsidRPr="00C12E3A">
              <w:rPr>
                <w:rFonts w:eastAsia="Times New Roman" w:cs="Times New Roman"/>
                <w:color w:val="000000"/>
                <w:sz w:val="20"/>
                <w:szCs w:val="20"/>
                <w:lang w:eastAsia="sk-SK"/>
              </w:rPr>
              <w:t>Miera nezamestnanosti (VZPS, %)</w:t>
            </w:r>
          </w:p>
        </w:tc>
        <w:tc>
          <w:tcPr>
            <w:tcW w:w="957" w:type="dxa"/>
            <w:shd w:val="clear" w:color="auto" w:fill="auto"/>
            <w:noWrap/>
            <w:vAlign w:val="center"/>
            <w:hideMark/>
          </w:tcPr>
          <w:p w14:paraId="1B2F2E7A" w14:textId="72B64AF2"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8,0</w:t>
            </w:r>
          </w:p>
        </w:tc>
        <w:tc>
          <w:tcPr>
            <w:tcW w:w="1056" w:type="dxa"/>
            <w:shd w:val="clear" w:color="auto" w:fill="auto"/>
            <w:noWrap/>
            <w:vAlign w:val="center"/>
            <w:hideMark/>
          </w:tcPr>
          <w:p w14:paraId="7C16B5FD" w14:textId="284CB929"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7,7</w:t>
            </w:r>
          </w:p>
        </w:tc>
        <w:tc>
          <w:tcPr>
            <w:tcW w:w="1154" w:type="dxa"/>
            <w:shd w:val="clear" w:color="auto" w:fill="auto"/>
            <w:noWrap/>
            <w:vAlign w:val="center"/>
          </w:tcPr>
          <w:p w14:paraId="0E50A98B" w14:textId="110BB6B1"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6,7</w:t>
            </w:r>
          </w:p>
        </w:tc>
      </w:tr>
      <w:tr w:rsidR="00F16CAD" w:rsidRPr="00C12E3A" w14:paraId="16E510A6" w14:textId="77777777" w:rsidTr="00CE362A">
        <w:trPr>
          <w:trHeight w:val="289"/>
          <w:jc w:val="center"/>
        </w:trPr>
        <w:tc>
          <w:tcPr>
            <w:tcW w:w="6047" w:type="dxa"/>
            <w:shd w:val="clear" w:color="auto" w:fill="auto"/>
            <w:noWrap/>
            <w:vAlign w:val="center"/>
            <w:hideMark/>
          </w:tcPr>
          <w:p w14:paraId="51615FAE" w14:textId="77777777" w:rsidR="00F16CAD" w:rsidRPr="00C12E3A" w:rsidRDefault="00F16CAD" w:rsidP="00F16CAD">
            <w:pPr>
              <w:spacing w:after="0" w:line="240" w:lineRule="auto"/>
              <w:jc w:val="left"/>
              <w:rPr>
                <w:rFonts w:eastAsia="Times New Roman" w:cs="Times New Roman"/>
                <w:color w:val="000000"/>
                <w:sz w:val="20"/>
                <w:szCs w:val="20"/>
                <w:lang w:eastAsia="sk-SK"/>
              </w:rPr>
            </w:pPr>
            <w:r w:rsidRPr="00C12E3A">
              <w:rPr>
                <w:rFonts w:eastAsia="Times New Roman" w:cs="Times New Roman"/>
                <w:color w:val="000000"/>
                <w:sz w:val="20"/>
                <w:szCs w:val="20"/>
                <w:lang w:eastAsia="sk-SK"/>
              </w:rPr>
              <w:t>Kompenzácie na zamestnanca* (% rast)</w:t>
            </w:r>
          </w:p>
        </w:tc>
        <w:tc>
          <w:tcPr>
            <w:tcW w:w="957" w:type="dxa"/>
            <w:shd w:val="clear" w:color="auto" w:fill="auto"/>
            <w:noWrap/>
            <w:vAlign w:val="center"/>
            <w:hideMark/>
          </w:tcPr>
          <w:p w14:paraId="1FA07AB1" w14:textId="1ABE327F"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-1,8</w:t>
            </w:r>
          </w:p>
        </w:tc>
        <w:tc>
          <w:tcPr>
            <w:tcW w:w="1056" w:type="dxa"/>
            <w:shd w:val="clear" w:color="auto" w:fill="auto"/>
            <w:noWrap/>
            <w:vAlign w:val="center"/>
            <w:hideMark/>
          </w:tcPr>
          <w:p w14:paraId="6A8FA207" w14:textId="64E01BDE"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5,5</w:t>
            </w:r>
          </w:p>
        </w:tc>
        <w:tc>
          <w:tcPr>
            <w:tcW w:w="1154" w:type="dxa"/>
            <w:shd w:val="clear" w:color="auto" w:fill="auto"/>
            <w:noWrap/>
            <w:vAlign w:val="center"/>
          </w:tcPr>
          <w:p w14:paraId="2347DC8F" w14:textId="230FE55D"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7,1</w:t>
            </w:r>
          </w:p>
        </w:tc>
      </w:tr>
      <w:tr w:rsidR="00F16CAD" w:rsidRPr="00C12E3A" w14:paraId="3B88AC0B" w14:textId="77777777" w:rsidTr="00CE362A">
        <w:trPr>
          <w:trHeight w:val="289"/>
          <w:jc w:val="center"/>
        </w:trPr>
        <w:tc>
          <w:tcPr>
            <w:tcW w:w="6047" w:type="dxa"/>
            <w:shd w:val="clear" w:color="auto" w:fill="auto"/>
            <w:noWrap/>
            <w:vAlign w:val="center"/>
            <w:hideMark/>
          </w:tcPr>
          <w:p w14:paraId="6CBC7AB5" w14:textId="77777777" w:rsidR="00F16CAD" w:rsidRPr="00C12E3A" w:rsidRDefault="00F16CAD" w:rsidP="00F16CAD">
            <w:pPr>
              <w:spacing w:after="0" w:line="240" w:lineRule="auto"/>
              <w:jc w:val="left"/>
              <w:rPr>
                <w:rFonts w:eastAsia="Times New Roman" w:cs="Times New Roman"/>
                <w:color w:val="000000"/>
                <w:sz w:val="20"/>
                <w:szCs w:val="20"/>
                <w:lang w:eastAsia="sk-SK"/>
              </w:rPr>
            </w:pPr>
            <w:r w:rsidRPr="00C12E3A">
              <w:rPr>
                <w:rFonts w:eastAsia="Times New Roman" w:cs="Times New Roman"/>
                <w:color w:val="000000"/>
                <w:sz w:val="20"/>
                <w:szCs w:val="20"/>
                <w:lang w:eastAsia="sk-SK"/>
              </w:rPr>
              <w:t>Miera inflácie (HICP, %)</w:t>
            </w:r>
          </w:p>
        </w:tc>
        <w:tc>
          <w:tcPr>
            <w:tcW w:w="957" w:type="dxa"/>
            <w:shd w:val="clear" w:color="auto" w:fill="auto"/>
            <w:noWrap/>
            <w:vAlign w:val="center"/>
            <w:hideMark/>
          </w:tcPr>
          <w:p w14:paraId="15BC59C2" w14:textId="0B2ACA58"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0,3</w:t>
            </w:r>
          </w:p>
        </w:tc>
        <w:tc>
          <w:tcPr>
            <w:tcW w:w="1056" w:type="dxa"/>
            <w:shd w:val="clear" w:color="auto" w:fill="auto"/>
            <w:noWrap/>
            <w:vAlign w:val="center"/>
            <w:hideMark/>
          </w:tcPr>
          <w:p w14:paraId="75CC1F72" w14:textId="5F4ABD0E"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2,6</w:t>
            </w:r>
          </w:p>
        </w:tc>
        <w:tc>
          <w:tcPr>
            <w:tcW w:w="1154" w:type="dxa"/>
            <w:shd w:val="clear" w:color="auto" w:fill="auto"/>
            <w:noWrap/>
            <w:vAlign w:val="center"/>
          </w:tcPr>
          <w:p w14:paraId="32DF4C8E" w14:textId="2CD82135"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8,4</w:t>
            </w:r>
          </w:p>
        </w:tc>
      </w:tr>
      <w:tr w:rsidR="00F16CAD" w:rsidRPr="00C12E3A" w14:paraId="3678BC9F" w14:textId="77777777" w:rsidTr="00CE362A">
        <w:trPr>
          <w:trHeight w:val="289"/>
          <w:jc w:val="center"/>
        </w:trPr>
        <w:tc>
          <w:tcPr>
            <w:tcW w:w="6047" w:type="dxa"/>
            <w:shd w:val="clear" w:color="auto" w:fill="auto"/>
            <w:noWrap/>
            <w:vAlign w:val="center"/>
            <w:hideMark/>
          </w:tcPr>
          <w:p w14:paraId="053CEE47" w14:textId="77777777" w:rsidR="00F16CAD" w:rsidRPr="00C12E3A" w:rsidRDefault="00F16CAD" w:rsidP="00F16CAD">
            <w:pPr>
              <w:spacing w:after="0" w:line="240" w:lineRule="auto"/>
              <w:jc w:val="left"/>
              <w:rPr>
                <w:rFonts w:eastAsia="Times New Roman" w:cs="Times New Roman"/>
                <w:color w:val="000000"/>
                <w:sz w:val="20"/>
                <w:szCs w:val="20"/>
                <w:lang w:eastAsia="sk-SK"/>
              </w:rPr>
            </w:pPr>
            <w:r w:rsidRPr="00C12E3A">
              <w:rPr>
                <w:rFonts w:eastAsia="Times New Roman" w:cs="Times New Roman"/>
                <w:color w:val="000000"/>
                <w:sz w:val="20"/>
                <w:szCs w:val="20"/>
                <w:lang w:eastAsia="sk-SK"/>
              </w:rPr>
              <w:t>10-ročný nemecký dlhopis (% výnos)</w:t>
            </w:r>
          </w:p>
        </w:tc>
        <w:tc>
          <w:tcPr>
            <w:tcW w:w="957" w:type="dxa"/>
            <w:shd w:val="clear" w:color="auto" w:fill="auto"/>
            <w:noWrap/>
            <w:vAlign w:val="center"/>
            <w:hideMark/>
          </w:tcPr>
          <w:p w14:paraId="0D8DC9D3" w14:textId="69A196FD"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-0,48</w:t>
            </w:r>
          </w:p>
        </w:tc>
        <w:tc>
          <w:tcPr>
            <w:tcW w:w="1056" w:type="dxa"/>
            <w:shd w:val="clear" w:color="auto" w:fill="auto"/>
            <w:noWrap/>
            <w:vAlign w:val="center"/>
            <w:hideMark/>
          </w:tcPr>
          <w:p w14:paraId="138467B1" w14:textId="2D681A8F"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-0,34</w:t>
            </w:r>
          </w:p>
        </w:tc>
        <w:tc>
          <w:tcPr>
            <w:tcW w:w="1154" w:type="dxa"/>
            <w:shd w:val="clear" w:color="auto" w:fill="auto"/>
            <w:noWrap/>
            <w:vAlign w:val="center"/>
          </w:tcPr>
          <w:p w14:paraId="598AA214" w14:textId="7242ECA4"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1,17</w:t>
            </w:r>
          </w:p>
        </w:tc>
      </w:tr>
      <w:tr w:rsidR="00F16CAD" w:rsidRPr="00C12E3A" w14:paraId="70B6CA1E" w14:textId="77777777" w:rsidTr="00CE362A">
        <w:trPr>
          <w:trHeight w:val="289"/>
          <w:jc w:val="center"/>
        </w:trPr>
        <w:tc>
          <w:tcPr>
            <w:tcW w:w="6047" w:type="dxa"/>
            <w:shd w:val="clear" w:color="auto" w:fill="auto"/>
            <w:noWrap/>
            <w:vAlign w:val="center"/>
            <w:hideMark/>
          </w:tcPr>
          <w:p w14:paraId="50E8F40E" w14:textId="77777777" w:rsidR="00F16CAD" w:rsidRPr="00C12E3A" w:rsidRDefault="00F16CAD" w:rsidP="00F16CAD">
            <w:pPr>
              <w:spacing w:after="0" w:line="240" w:lineRule="auto"/>
              <w:jc w:val="left"/>
              <w:rPr>
                <w:rFonts w:eastAsia="Times New Roman" w:cs="Times New Roman"/>
                <w:color w:val="000000"/>
                <w:sz w:val="20"/>
                <w:szCs w:val="20"/>
                <w:lang w:eastAsia="sk-SK"/>
              </w:rPr>
            </w:pPr>
            <w:r w:rsidRPr="00C12E3A">
              <w:rPr>
                <w:rFonts w:eastAsia="Times New Roman" w:cs="Times New Roman"/>
                <w:color w:val="000000"/>
                <w:sz w:val="20"/>
                <w:szCs w:val="20"/>
                <w:lang w:eastAsia="sk-SK"/>
              </w:rPr>
              <w:t>Kurz USD/EUR (priemer roka)</w:t>
            </w:r>
          </w:p>
        </w:tc>
        <w:tc>
          <w:tcPr>
            <w:tcW w:w="957" w:type="dxa"/>
            <w:shd w:val="clear" w:color="auto" w:fill="auto"/>
            <w:noWrap/>
            <w:vAlign w:val="center"/>
            <w:hideMark/>
          </w:tcPr>
          <w:p w14:paraId="13E7A431" w14:textId="3EC0B986"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1,14</w:t>
            </w:r>
          </w:p>
        </w:tc>
        <w:tc>
          <w:tcPr>
            <w:tcW w:w="1056" w:type="dxa"/>
            <w:shd w:val="clear" w:color="auto" w:fill="auto"/>
            <w:noWrap/>
            <w:vAlign w:val="center"/>
            <w:hideMark/>
          </w:tcPr>
          <w:p w14:paraId="38929CE1" w14:textId="6E03DA7A"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1,18</w:t>
            </w:r>
          </w:p>
        </w:tc>
        <w:tc>
          <w:tcPr>
            <w:tcW w:w="1154" w:type="dxa"/>
            <w:shd w:val="clear" w:color="auto" w:fill="auto"/>
            <w:noWrap/>
            <w:vAlign w:val="center"/>
          </w:tcPr>
          <w:p w14:paraId="6B993C9A" w14:textId="788276CC"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1,05</w:t>
            </w:r>
          </w:p>
        </w:tc>
      </w:tr>
      <w:tr w:rsidR="00F16CAD" w:rsidRPr="00C12E3A" w14:paraId="6795B143" w14:textId="77777777" w:rsidTr="00CE362A">
        <w:trPr>
          <w:trHeight w:val="289"/>
          <w:jc w:val="center"/>
        </w:trPr>
        <w:tc>
          <w:tcPr>
            <w:tcW w:w="6047" w:type="dxa"/>
            <w:tcBorders>
              <w:bottom w:val="single" w:sz="4" w:space="0" w:color="auto"/>
            </w:tcBorders>
            <w:shd w:val="clear" w:color="auto" w:fill="auto"/>
            <w:noWrap/>
            <w:vAlign w:val="center"/>
            <w:hideMark/>
          </w:tcPr>
          <w:p w14:paraId="2F74C993" w14:textId="77777777" w:rsidR="00F16CAD" w:rsidRPr="00C12E3A" w:rsidRDefault="00F16CAD" w:rsidP="00F16CAD">
            <w:pPr>
              <w:spacing w:after="0" w:line="240" w:lineRule="auto"/>
              <w:jc w:val="left"/>
              <w:rPr>
                <w:rFonts w:eastAsia="Times New Roman" w:cs="Times New Roman"/>
                <w:color w:val="000000"/>
                <w:sz w:val="20"/>
                <w:szCs w:val="20"/>
                <w:lang w:eastAsia="sk-SK"/>
              </w:rPr>
            </w:pPr>
            <w:r w:rsidRPr="00C12E3A">
              <w:rPr>
                <w:rFonts w:eastAsia="Times New Roman" w:cs="Times New Roman"/>
                <w:color w:val="000000"/>
                <w:sz w:val="20"/>
                <w:szCs w:val="20"/>
                <w:lang w:eastAsia="sk-SK"/>
              </w:rPr>
              <w:t xml:space="preserve">Cena ropy </w:t>
            </w:r>
            <w:proofErr w:type="spellStart"/>
            <w:r w:rsidRPr="00C12E3A">
              <w:rPr>
                <w:rFonts w:eastAsia="Times New Roman" w:cs="Times New Roman"/>
                <w:color w:val="000000"/>
                <w:sz w:val="20"/>
                <w:szCs w:val="20"/>
                <w:lang w:eastAsia="sk-SK"/>
              </w:rPr>
              <w:t>Brent</w:t>
            </w:r>
            <w:proofErr w:type="spellEnd"/>
            <w:r w:rsidRPr="00C12E3A">
              <w:rPr>
                <w:rFonts w:eastAsia="Times New Roman" w:cs="Times New Roman"/>
                <w:color w:val="000000"/>
                <w:sz w:val="20"/>
                <w:szCs w:val="20"/>
                <w:lang w:eastAsia="sk-SK"/>
              </w:rPr>
              <w:t xml:space="preserve"> (USD/</w:t>
            </w:r>
            <w:proofErr w:type="spellStart"/>
            <w:r w:rsidRPr="00C12E3A">
              <w:rPr>
                <w:rFonts w:eastAsia="Times New Roman" w:cs="Times New Roman"/>
                <w:color w:val="000000"/>
                <w:sz w:val="20"/>
                <w:szCs w:val="20"/>
                <w:lang w:eastAsia="sk-SK"/>
              </w:rPr>
              <w:t>bl</w:t>
            </w:r>
            <w:proofErr w:type="spellEnd"/>
            <w:r w:rsidRPr="00C12E3A">
              <w:rPr>
                <w:rFonts w:eastAsia="Times New Roman" w:cs="Times New Roman"/>
                <w:color w:val="000000"/>
                <w:sz w:val="20"/>
                <w:szCs w:val="20"/>
                <w:lang w:eastAsia="sk-SK"/>
              </w:rPr>
              <w:t>)</w:t>
            </w:r>
          </w:p>
        </w:tc>
        <w:tc>
          <w:tcPr>
            <w:tcW w:w="957" w:type="dxa"/>
            <w:tcBorders>
              <w:bottom w:val="single" w:sz="4" w:space="0" w:color="auto"/>
            </w:tcBorders>
            <w:shd w:val="clear" w:color="auto" w:fill="auto"/>
            <w:noWrap/>
            <w:vAlign w:val="center"/>
            <w:hideMark/>
          </w:tcPr>
          <w:p w14:paraId="2E65DCCD" w14:textId="6B78DAFB"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43,2</w:t>
            </w:r>
          </w:p>
        </w:tc>
        <w:tc>
          <w:tcPr>
            <w:tcW w:w="1056" w:type="dxa"/>
            <w:tcBorders>
              <w:bottom w:val="single" w:sz="4" w:space="0" w:color="auto"/>
            </w:tcBorders>
            <w:shd w:val="clear" w:color="auto" w:fill="auto"/>
            <w:noWrap/>
            <w:vAlign w:val="center"/>
            <w:hideMark/>
          </w:tcPr>
          <w:p w14:paraId="14D47A7E" w14:textId="3FE70331"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70,8</w:t>
            </w:r>
          </w:p>
        </w:tc>
        <w:tc>
          <w:tcPr>
            <w:tcW w:w="1154" w:type="dxa"/>
            <w:tcBorders>
              <w:bottom w:val="single" w:sz="4" w:space="0" w:color="auto"/>
            </w:tcBorders>
            <w:shd w:val="clear" w:color="auto" w:fill="auto"/>
            <w:noWrap/>
            <w:vAlign w:val="center"/>
          </w:tcPr>
          <w:p w14:paraId="366BFB55" w14:textId="69451722" w:rsidR="00F16CAD" w:rsidRPr="00C12E3A" w:rsidRDefault="00F16CAD" w:rsidP="00F16CAD">
            <w:pPr>
              <w:spacing w:after="0" w:line="240" w:lineRule="auto"/>
              <w:jc w:val="right"/>
              <w:rPr>
                <w:rFonts w:eastAsia="Times New Roman" w:cs="Times New Roman"/>
                <w:color w:val="000000"/>
                <w:sz w:val="20"/>
                <w:szCs w:val="20"/>
                <w:lang w:eastAsia="sk-SK"/>
              </w:rPr>
            </w:pPr>
            <w:r w:rsidRPr="00F14B7D">
              <w:rPr>
                <w:color w:val="000000"/>
                <w:sz w:val="18"/>
                <w:szCs w:val="18"/>
              </w:rPr>
              <w:t>98,9</w:t>
            </w:r>
          </w:p>
        </w:tc>
      </w:tr>
    </w:tbl>
    <w:p w14:paraId="74772930" w14:textId="016A07BB" w:rsidR="00CE362A" w:rsidRPr="00CE362A" w:rsidRDefault="00CE362A" w:rsidP="00CE362A">
      <w:pPr>
        <w:spacing w:after="0" w:line="240" w:lineRule="auto"/>
        <w:jc w:val="left"/>
        <w:rPr>
          <w:rFonts w:eastAsia="Times New Roman" w:cs="Times New Roman"/>
          <w:iCs/>
          <w:color w:val="000000"/>
          <w:sz w:val="20"/>
          <w:szCs w:val="20"/>
          <w:lang w:eastAsia="sk-SK"/>
        </w:rPr>
      </w:pPr>
      <w:bookmarkStart w:id="5" w:name="_Toc6415628"/>
      <w:r w:rsidRPr="006F5E8E">
        <w:rPr>
          <w:rFonts w:eastAsia="Times New Roman" w:cs="Times New Roman"/>
          <w:color w:val="000000"/>
          <w:sz w:val="16"/>
          <w:szCs w:val="16"/>
          <w:lang w:eastAsia="sk-SK"/>
        </w:rPr>
        <w:t>*</w:t>
      </w:r>
      <w:r w:rsidRPr="00CE362A">
        <w:rPr>
          <w:rFonts w:eastAsia="Times New Roman" w:cs="Times New Roman"/>
          <w:iCs/>
          <w:color w:val="000000"/>
          <w:sz w:val="20"/>
          <w:szCs w:val="20"/>
          <w:lang w:eastAsia="sk-SK"/>
        </w:rPr>
        <w:t xml:space="preserve">suma všetkých miezd a odvodov na jedného zamestnanca                                              Zdroj: </w:t>
      </w:r>
      <w:proofErr w:type="spellStart"/>
      <w:r w:rsidRPr="00CE362A">
        <w:rPr>
          <w:rFonts w:eastAsia="Times New Roman" w:cs="Times New Roman"/>
          <w:iCs/>
          <w:color w:val="000000"/>
          <w:sz w:val="20"/>
          <w:szCs w:val="20"/>
          <w:lang w:eastAsia="sk-SK"/>
        </w:rPr>
        <w:t>Eurostat</w:t>
      </w:r>
      <w:proofErr w:type="spellEnd"/>
      <w:r w:rsidRPr="00CE362A">
        <w:rPr>
          <w:rFonts w:eastAsia="Times New Roman" w:cs="Times New Roman"/>
          <w:iCs/>
          <w:color w:val="000000"/>
          <w:sz w:val="20"/>
          <w:szCs w:val="20"/>
          <w:lang w:eastAsia="sk-SK"/>
        </w:rPr>
        <w:t xml:space="preserve">, </w:t>
      </w:r>
      <w:proofErr w:type="spellStart"/>
      <w:r w:rsidRPr="00CE362A">
        <w:rPr>
          <w:rFonts w:eastAsia="Times New Roman" w:cs="Times New Roman"/>
          <w:iCs/>
          <w:color w:val="000000"/>
          <w:sz w:val="20"/>
          <w:szCs w:val="20"/>
          <w:lang w:eastAsia="sk-SK"/>
        </w:rPr>
        <w:t>Bloomberg</w:t>
      </w:r>
      <w:proofErr w:type="spellEnd"/>
      <w:r w:rsidRPr="00CE362A">
        <w:rPr>
          <w:rFonts w:eastAsia="Times New Roman" w:cs="Times New Roman"/>
          <w:iCs/>
          <w:color w:val="000000"/>
          <w:sz w:val="20"/>
          <w:szCs w:val="20"/>
          <w:lang w:eastAsia="sk-SK"/>
        </w:rPr>
        <w:t xml:space="preserve"> v ekonomike („</w:t>
      </w:r>
      <w:proofErr w:type="spellStart"/>
      <w:r w:rsidRPr="00CE362A">
        <w:rPr>
          <w:rFonts w:eastAsia="Times New Roman" w:cs="Times New Roman"/>
          <w:iCs/>
          <w:color w:val="000000"/>
          <w:sz w:val="20"/>
          <w:szCs w:val="20"/>
          <w:lang w:eastAsia="sk-SK"/>
        </w:rPr>
        <w:t>superhrubá</w:t>
      </w:r>
      <w:proofErr w:type="spellEnd"/>
      <w:r w:rsidRPr="00CE362A">
        <w:rPr>
          <w:rFonts w:eastAsia="Times New Roman" w:cs="Times New Roman"/>
          <w:iCs/>
          <w:color w:val="000000"/>
          <w:sz w:val="20"/>
          <w:szCs w:val="20"/>
          <w:lang w:eastAsia="sk-SK"/>
        </w:rPr>
        <w:t>“ mzda</w:t>
      </w:r>
      <w:r w:rsidRPr="00CE362A">
        <w:rPr>
          <w:rFonts w:eastAsia="Times New Roman" w:cs="Times New Roman"/>
          <w:color w:val="1F497D"/>
          <w:sz w:val="20"/>
          <w:szCs w:val="20"/>
          <w:lang w:eastAsia="sk-SK"/>
        </w:rPr>
        <w:t>)</w:t>
      </w:r>
      <w:r w:rsidRPr="00CE362A">
        <w:rPr>
          <w:rFonts w:eastAsia="Times New Roman" w:cs="Times New Roman"/>
          <w:iCs/>
          <w:color w:val="000000"/>
          <w:sz w:val="20"/>
          <w:szCs w:val="20"/>
          <w:lang w:eastAsia="sk-SK"/>
        </w:rPr>
        <w:t xml:space="preserve"> </w:t>
      </w:r>
    </w:p>
    <w:p w14:paraId="7134557C" w14:textId="183A80F0" w:rsidR="005F5B88" w:rsidRDefault="005F5B88" w:rsidP="00A20EDF">
      <w:pPr>
        <w:pStyle w:val="Nadpis2"/>
        <w:spacing w:before="0" w:line="240" w:lineRule="auto"/>
      </w:pPr>
      <w:bookmarkStart w:id="6" w:name="_Toc132929070"/>
      <w:r>
        <w:t>Makroekonomický vývoj SR</w:t>
      </w:r>
      <w:bookmarkEnd w:id="5"/>
      <w:bookmarkEnd w:id="6"/>
    </w:p>
    <w:p w14:paraId="7FC076D8" w14:textId="4E7F828F" w:rsidR="005F5B88" w:rsidRPr="000F375D" w:rsidRDefault="005F5B88" w:rsidP="00AF7C97">
      <w:pPr>
        <w:pStyle w:val="Nadpis3"/>
      </w:pPr>
      <w:bookmarkStart w:id="7" w:name="_Toc6415629"/>
      <w:bookmarkStart w:id="8" w:name="_Toc132929071"/>
      <w:r w:rsidRPr="000F375D">
        <w:t>Hrubý domáci produkt</w:t>
      </w:r>
      <w:bookmarkEnd w:id="7"/>
      <w:bookmarkEnd w:id="8"/>
    </w:p>
    <w:p w14:paraId="0CB15CFA" w14:textId="10F81D52" w:rsidR="00F16CAD" w:rsidRPr="00F16CAD" w:rsidRDefault="00F16CAD" w:rsidP="00F16CAD">
      <w:pPr>
        <w:spacing w:line="240" w:lineRule="auto"/>
        <w:rPr>
          <w:sz w:val="24"/>
          <w:szCs w:val="24"/>
        </w:rPr>
      </w:pPr>
      <w:r w:rsidRPr="00F16CAD">
        <w:rPr>
          <w:sz w:val="24"/>
          <w:szCs w:val="24"/>
        </w:rPr>
        <w:t>Slovenskú ekonomiku v roku 2022 spomalila vojna a inflačný šok, reálne HDP vzrástlo o 1,7 %. Dopyt podržali domácnosti, ktoré napriek dvojcifernej inflácií spotrebovali medziročne viac i keď na úkor svojich úspor z pandémie. Zo zahraničia plynuli väčšie objemy dovozu surovín z dôvodu odklonu od ruských zdrojov a k negatívnej bilancii obchodu so zahraničím prispel tiež slabnúci zahraničný dopyt. Neistota na trhoch brzdila tvorbu pracovných miest a nárast nominálnych miezd, ktorý nakoniec zaostal za infláciou. Vysoký dopyt po zamestnancoch v úspešnejších sektoroch naďalej prispieval k poklesu miery nezamestnanosti a trh práce ostal stabilný.</w:t>
      </w:r>
    </w:p>
    <w:p w14:paraId="792285A4" w14:textId="77777777" w:rsidR="00F16CAD" w:rsidRPr="00F16CAD" w:rsidRDefault="00F16CAD" w:rsidP="00F16CAD">
      <w:pPr>
        <w:spacing w:line="240" w:lineRule="auto"/>
        <w:rPr>
          <w:sz w:val="24"/>
          <w:szCs w:val="24"/>
        </w:rPr>
      </w:pPr>
      <w:r w:rsidRPr="00F16CAD">
        <w:rPr>
          <w:sz w:val="24"/>
          <w:szCs w:val="24"/>
        </w:rPr>
        <w:t xml:space="preserve">V sektoroch sa v roku 2022 darilo najviac obchodu a službám (dopravné, ubytovacie a stravovacie služby), ktoré spolu prispeli k rastu HDP 1,7 </w:t>
      </w:r>
      <w:proofErr w:type="spellStart"/>
      <w:r w:rsidRPr="00F16CAD">
        <w:rPr>
          <w:sz w:val="24"/>
          <w:szCs w:val="24"/>
        </w:rPr>
        <w:t>p.b</w:t>
      </w:r>
      <w:proofErr w:type="spellEnd"/>
      <w:r w:rsidRPr="00F16CAD">
        <w:rPr>
          <w:sz w:val="24"/>
          <w:szCs w:val="24"/>
        </w:rPr>
        <w:t xml:space="preserve">. s medziročným nárastom 7,5 %. Priemysel stagnoval z dôvodu rastu výrobných nákladov, slabšieho dopytu v zahraničí a pokračujúcich problémov s nedostatkom komponentov. Začalo sa dariť sektoru stavebníctva, ktorého pridaná hodnota vzrástla o 2,8 % a prispela k rastu HDP 0,2 </w:t>
      </w:r>
      <w:proofErr w:type="spellStart"/>
      <w:r w:rsidRPr="00F16CAD">
        <w:rPr>
          <w:sz w:val="24"/>
          <w:szCs w:val="24"/>
        </w:rPr>
        <w:t>p.b</w:t>
      </w:r>
      <w:proofErr w:type="spellEnd"/>
      <w:r w:rsidRPr="00F16CAD">
        <w:rPr>
          <w:sz w:val="24"/>
          <w:szCs w:val="24"/>
        </w:rPr>
        <w:t>. Zbytok hospodárstva v reálnych objemoch stagnoval.</w:t>
      </w:r>
    </w:p>
    <w:tbl>
      <w:tblPr>
        <w:tblW w:w="9547" w:type="dxa"/>
        <w:tblCellMar>
          <w:left w:w="70" w:type="dxa"/>
          <w:right w:w="70" w:type="dxa"/>
        </w:tblCellMar>
        <w:tblLook w:val="04A0" w:firstRow="1" w:lastRow="0" w:firstColumn="1" w:lastColumn="0" w:noHBand="0" w:noVBand="1"/>
      </w:tblPr>
      <w:tblGrid>
        <w:gridCol w:w="74"/>
        <w:gridCol w:w="1632"/>
        <w:gridCol w:w="1004"/>
        <w:gridCol w:w="631"/>
        <w:gridCol w:w="631"/>
        <w:gridCol w:w="606"/>
        <w:gridCol w:w="4895"/>
        <w:gridCol w:w="74"/>
      </w:tblGrid>
      <w:tr w:rsidR="00397CD2" w:rsidRPr="00AC1638" w14:paraId="0FD668C8" w14:textId="77777777" w:rsidTr="004C214D">
        <w:trPr>
          <w:gridAfter w:val="1"/>
          <w:wAfter w:w="74" w:type="dxa"/>
          <w:trHeight w:val="345"/>
        </w:trPr>
        <w:tc>
          <w:tcPr>
            <w:tcW w:w="9473" w:type="dxa"/>
            <w:gridSpan w:val="7"/>
            <w:tcBorders>
              <w:bottom w:val="single" w:sz="4" w:space="0" w:color="auto"/>
            </w:tcBorders>
            <w:shd w:val="clear" w:color="auto" w:fill="auto"/>
            <w:vAlign w:val="center"/>
            <w:hideMark/>
          </w:tcPr>
          <w:p w14:paraId="54DF268A" w14:textId="397A7607" w:rsidR="00700390" w:rsidRPr="00AC1638" w:rsidRDefault="00F20854" w:rsidP="001A269C">
            <w:pPr>
              <w:spacing w:after="0" w:line="240" w:lineRule="auto"/>
              <w:rPr>
                <w:rFonts w:cs="Times New Roman"/>
                <w:b/>
                <w:bCs/>
                <w:color w:val="5B9BD5" w:themeColor="accent1"/>
                <w:sz w:val="20"/>
                <w:szCs w:val="20"/>
              </w:rPr>
            </w:pPr>
            <w:r>
              <w:rPr>
                <w:rFonts w:cs="Times New Roman"/>
                <w:b/>
                <w:bCs/>
                <w:color w:val="5B9BD5" w:themeColor="accent1"/>
                <w:sz w:val="20"/>
                <w:szCs w:val="20"/>
              </w:rPr>
              <w:t xml:space="preserve">Tabuľka 2 - </w:t>
            </w:r>
            <w:r w:rsidR="00700390" w:rsidRPr="00AC1638">
              <w:rPr>
                <w:rFonts w:cs="Times New Roman"/>
                <w:b/>
                <w:bCs/>
                <w:color w:val="5B9BD5" w:themeColor="accent1"/>
                <w:sz w:val="20"/>
                <w:szCs w:val="20"/>
              </w:rPr>
              <w:t xml:space="preserve">Vývoj HDP a jeho hlavných zložiek </w:t>
            </w:r>
            <w:r>
              <w:rPr>
                <w:rFonts w:cs="Times New Roman"/>
                <w:b/>
                <w:bCs/>
                <w:color w:val="5B9BD5" w:themeColor="accent1"/>
                <w:sz w:val="20"/>
                <w:szCs w:val="20"/>
              </w:rPr>
              <w:t xml:space="preserve">              Graf 1 - </w:t>
            </w:r>
            <w:r w:rsidRPr="00AC1638">
              <w:rPr>
                <w:rFonts w:cs="Times New Roman"/>
                <w:b/>
                <w:bCs/>
                <w:color w:val="5B9BD5" w:themeColor="accent1"/>
                <w:sz w:val="20"/>
                <w:szCs w:val="20"/>
              </w:rPr>
              <w:t xml:space="preserve">Vývoj HDP a jeho hlavných zložiek </w:t>
            </w:r>
            <w:r>
              <w:rPr>
                <w:rFonts w:cs="Times New Roman"/>
                <w:b/>
                <w:bCs/>
                <w:color w:val="5B9BD5" w:themeColor="accent1"/>
                <w:sz w:val="20"/>
                <w:szCs w:val="20"/>
              </w:rPr>
              <w:t xml:space="preserve">              </w:t>
            </w:r>
          </w:p>
        </w:tc>
      </w:tr>
      <w:tr w:rsidR="00F20854" w:rsidRPr="00397CD2" w14:paraId="21512455" w14:textId="77777777" w:rsidTr="00F16CAD">
        <w:trPr>
          <w:gridBefore w:val="1"/>
          <w:wBefore w:w="74" w:type="dxa"/>
          <w:trHeight w:val="345"/>
        </w:trPr>
        <w:tc>
          <w:tcPr>
            <w:tcW w:w="2636" w:type="dxa"/>
            <w:gridSpan w:val="2"/>
            <w:tcBorders>
              <w:top w:val="single" w:sz="4" w:space="0" w:color="auto"/>
              <w:bottom w:val="single" w:sz="4" w:space="0" w:color="auto"/>
            </w:tcBorders>
            <w:shd w:val="clear" w:color="auto" w:fill="auto"/>
            <w:vAlign w:val="center"/>
            <w:hideMark/>
          </w:tcPr>
          <w:p w14:paraId="2F7E82AB" w14:textId="77777777" w:rsidR="00700390" w:rsidRPr="00397CD2" w:rsidRDefault="00700390" w:rsidP="00382A08">
            <w:pPr>
              <w:spacing w:after="0" w:line="240" w:lineRule="auto"/>
              <w:rPr>
                <w:rFonts w:cs="Times New Roman"/>
                <w:b/>
                <w:bCs/>
                <w:color w:val="000000"/>
                <w:sz w:val="18"/>
                <w:szCs w:val="18"/>
              </w:rPr>
            </w:pPr>
            <w:r w:rsidRPr="00397CD2">
              <w:rPr>
                <w:rFonts w:cs="Times New Roman"/>
                <w:b/>
                <w:bCs/>
                <w:color w:val="000000"/>
                <w:sz w:val="18"/>
                <w:szCs w:val="16"/>
              </w:rPr>
              <w:t>reálny rast v %</w:t>
            </w:r>
          </w:p>
        </w:tc>
        <w:tc>
          <w:tcPr>
            <w:tcW w:w="631" w:type="dxa"/>
            <w:tcBorders>
              <w:top w:val="single" w:sz="4" w:space="0" w:color="auto"/>
              <w:bottom w:val="single" w:sz="4" w:space="0" w:color="auto"/>
            </w:tcBorders>
            <w:shd w:val="clear" w:color="auto" w:fill="auto"/>
            <w:vAlign w:val="center"/>
            <w:hideMark/>
          </w:tcPr>
          <w:p w14:paraId="2367B4F0" w14:textId="78B9927C" w:rsidR="00700390" w:rsidRPr="00397CD2" w:rsidRDefault="00700390" w:rsidP="00E14C34">
            <w:pPr>
              <w:spacing w:after="0" w:line="240" w:lineRule="auto"/>
              <w:jc w:val="center"/>
              <w:rPr>
                <w:rFonts w:cs="Times New Roman"/>
                <w:b/>
                <w:bCs/>
                <w:color w:val="000000"/>
                <w:sz w:val="18"/>
                <w:szCs w:val="18"/>
              </w:rPr>
            </w:pPr>
            <w:r w:rsidRPr="00397CD2">
              <w:rPr>
                <w:rFonts w:cs="Times New Roman"/>
                <w:b/>
                <w:bCs/>
                <w:color w:val="000000"/>
                <w:sz w:val="18"/>
                <w:szCs w:val="16"/>
              </w:rPr>
              <w:t>20</w:t>
            </w:r>
            <w:r w:rsidR="00E14C34">
              <w:rPr>
                <w:rFonts w:cs="Times New Roman"/>
                <w:b/>
                <w:bCs/>
                <w:color w:val="000000"/>
                <w:sz w:val="18"/>
                <w:szCs w:val="16"/>
              </w:rPr>
              <w:t>20</w:t>
            </w:r>
          </w:p>
        </w:tc>
        <w:tc>
          <w:tcPr>
            <w:tcW w:w="631" w:type="dxa"/>
            <w:tcBorders>
              <w:top w:val="single" w:sz="4" w:space="0" w:color="auto"/>
              <w:bottom w:val="single" w:sz="4" w:space="0" w:color="auto"/>
            </w:tcBorders>
            <w:shd w:val="clear" w:color="auto" w:fill="auto"/>
            <w:vAlign w:val="center"/>
            <w:hideMark/>
          </w:tcPr>
          <w:p w14:paraId="5C95145B" w14:textId="76C29A72" w:rsidR="00700390" w:rsidRPr="00397CD2" w:rsidRDefault="00700390" w:rsidP="00E14C34">
            <w:pPr>
              <w:spacing w:after="0" w:line="240" w:lineRule="auto"/>
              <w:jc w:val="center"/>
              <w:rPr>
                <w:rFonts w:cs="Times New Roman"/>
                <w:b/>
                <w:bCs/>
                <w:color w:val="000000"/>
                <w:sz w:val="18"/>
                <w:szCs w:val="18"/>
              </w:rPr>
            </w:pPr>
            <w:r w:rsidRPr="00397CD2">
              <w:rPr>
                <w:rFonts w:cs="Times New Roman"/>
                <w:b/>
                <w:bCs/>
                <w:color w:val="000000"/>
                <w:sz w:val="18"/>
                <w:szCs w:val="16"/>
              </w:rPr>
              <w:t>20</w:t>
            </w:r>
            <w:r w:rsidR="00E14C34">
              <w:rPr>
                <w:rFonts w:cs="Times New Roman"/>
                <w:b/>
                <w:bCs/>
                <w:color w:val="000000"/>
                <w:sz w:val="18"/>
                <w:szCs w:val="16"/>
              </w:rPr>
              <w:t>21</w:t>
            </w:r>
          </w:p>
        </w:tc>
        <w:tc>
          <w:tcPr>
            <w:tcW w:w="606" w:type="dxa"/>
            <w:tcBorders>
              <w:top w:val="single" w:sz="4" w:space="0" w:color="auto"/>
              <w:bottom w:val="single" w:sz="4" w:space="0" w:color="auto"/>
            </w:tcBorders>
            <w:shd w:val="clear" w:color="auto" w:fill="auto"/>
            <w:vAlign w:val="center"/>
            <w:hideMark/>
          </w:tcPr>
          <w:p w14:paraId="5E3AD799" w14:textId="5D9E4E14" w:rsidR="00700390" w:rsidRPr="00397CD2" w:rsidRDefault="00700390" w:rsidP="00E14C34">
            <w:pPr>
              <w:spacing w:after="0" w:line="240" w:lineRule="auto"/>
              <w:jc w:val="center"/>
              <w:rPr>
                <w:rFonts w:cs="Times New Roman"/>
                <w:b/>
                <w:bCs/>
                <w:color w:val="000000"/>
                <w:sz w:val="18"/>
                <w:szCs w:val="18"/>
              </w:rPr>
            </w:pPr>
            <w:r w:rsidRPr="00397CD2">
              <w:rPr>
                <w:rFonts w:cs="Times New Roman"/>
                <w:b/>
                <w:bCs/>
                <w:color w:val="000000"/>
                <w:sz w:val="18"/>
                <w:szCs w:val="16"/>
              </w:rPr>
              <w:t>202</w:t>
            </w:r>
            <w:r w:rsidR="00E14C34">
              <w:rPr>
                <w:rFonts w:cs="Times New Roman"/>
                <w:b/>
                <w:bCs/>
                <w:color w:val="000000"/>
                <w:sz w:val="18"/>
                <w:szCs w:val="16"/>
              </w:rPr>
              <w:t>2</w:t>
            </w:r>
          </w:p>
        </w:tc>
        <w:tc>
          <w:tcPr>
            <w:tcW w:w="4969" w:type="dxa"/>
            <w:gridSpan w:val="2"/>
            <w:vMerge w:val="restart"/>
            <w:shd w:val="clear" w:color="auto" w:fill="auto"/>
            <w:hideMark/>
          </w:tcPr>
          <w:p w14:paraId="126E020B" w14:textId="6D590617" w:rsidR="00700390" w:rsidRPr="00397CD2" w:rsidRDefault="00F16CAD" w:rsidP="006D0C70">
            <w:pPr>
              <w:jc w:val="center"/>
              <w:rPr>
                <w:rFonts w:cs="Times New Roman"/>
                <w:b/>
                <w:bCs/>
                <w:color w:val="000000"/>
                <w:sz w:val="18"/>
                <w:szCs w:val="18"/>
                <w:highlight w:val="yellow"/>
              </w:rPr>
            </w:pPr>
            <w:r>
              <w:rPr>
                <w:noProof/>
                <w:lang w:eastAsia="sk-SK"/>
              </w:rPr>
              <w:drawing>
                <wp:inline distT="0" distB="0" distL="0" distR="0" wp14:anchorId="0B4B84C4" wp14:editId="3A764224">
                  <wp:extent cx="2905125" cy="1982065"/>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F16CAD" w:rsidRPr="009569FC" w14:paraId="03AA21D2" w14:textId="77777777" w:rsidTr="00CE362A">
        <w:trPr>
          <w:gridBefore w:val="1"/>
          <w:wBefore w:w="74" w:type="dxa"/>
          <w:trHeight w:val="289"/>
        </w:trPr>
        <w:tc>
          <w:tcPr>
            <w:tcW w:w="2636" w:type="dxa"/>
            <w:gridSpan w:val="2"/>
            <w:shd w:val="clear" w:color="auto" w:fill="auto"/>
            <w:vAlign w:val="center"/>
            <w:hideMark/>
          </w:tcPr>
          <w:p w14:paraId="40EB9D88" w14:textId="17042807" w:rsidR="00F16CAD" w:rsidRPr="00700390" w:rsidRDefault="00F16CAD" w:rsidP="00F16CAD">
            <w:pPr>
              <w:spacing w:after="0" w:line="240" w:lineRule="auto"/>
              <w:rPr>
                <w:rFonts w:cs="Times New Roman"/>
                <w:b/>
                <w:bCs/>
                <w:color w:val="000000"/>
                <w:sz w:val="18"/>
                <w:szCs w:val="18"/>
              </w:rPr>
            </w:pPr>
            <w:r w:rsidRPr="00700390">
              <w:rPr>
                <w:rFonts w:cs="Times New Roman"/>
                <w:b/>
                <w:bCs/>
                <w:color w:val="000000"/>
                <w:sz w:val="18"/>
                <w:szCs w:val="18"/>
              </w:rPr>
              <w:t>HDP</w:t>
            </w:r>
            <w:r w:rsidR="00B237AD">
              <w:rPr>
                <w:rStyle w:val="Odkaznapoznmkupodiarou"/>
                <w:rFonts w:cs="Times New Roman"/>
                <w:b/>
                <w:bCs/>
                <w:color w:val="000000"/>
                <w:sz w:val="18"/>
                <w:szCs w:val="18"/>
              </w:rPr>
              <w:footnoteReference w:id="2"/>
            </w:r>
            <w:r w:rsidRPr="00700390">
              <w:rPr>
                <w:rFonts w:cs="Times New Roman"/>
                <w:b/>
                <w:bCs/>
                <w:color w:val="000000"/>
                <w:sz w:val="18"/>
                <w:szCs w:val="18"/>
              </w:rPr>
              <w:t xml:space="preserve"> </w:t>
            </w:r>
          </w:p>
        </w:tc>
        <w:tc>
          <w:tcPr>
            <w:tcW w:w="631" w:type="dxa"/>
            <w:shd w:val="clear" w:color="auto" w:fill="auto"/>
            <w:vAlign w:val="bottom"/>
            <w:hideMark/>
          </w:tcPr>
          <w:p w14:paraId="2A073D47" w14:textId="4DAD2E33" w:rsidR="00F16CAD" w:rsidRPr="00F16CAD" w:rsidRDefault="00F16CAD" w:rsidP="00F16CAD">
            <w:pPr>
              <w:spacing w:after="0" w:line="240" w:lineRule="auto"/>
              <w:jc w:val="center"/>
              <w:rPr>
                <w:rFonts w:cs="Times New Roman"/>
                <w:sz w:val="18"/>
              </w:rPr>
            </w:pPr>
            <w:r w:rsidRPr="00F16CAD">
              <w:rPr>
                <w:rFonts w:cs="Times New Roman"/>
                <w:sz w:val="18"/>
              </w:rPr>
              <w:t>-3,</w:t>
            </w:r>
            <w:r w:rsidR="00B237AD">
              <w:rPr>
                <w:rFonts w:cs="Times New Roman"/>
                <w:sz w:val="18"/>
              </w:rPr>
              <w:t>3</w:t>
            </w:r>
            <w:r w:rsidRPr="00F16CAD">
              <w:rPr>
                <w:rFonts w:cs="Times New Roman"/>
                <w:sz w:val="18"/>
              </w:rPr>
              <w:t>4</w:t>
            </w:r>
          </w:p>
        </w:tc>
        <w:tc>
          <w:tcPr>
            <w:tcW w:w="631" w:type="dxa"/>
            <w:shd w:val="clear" w:color="auto" w:fill="auto"/>
            <w:vAlign w:val="bottom"/>
            <w:hideMark/>
          </w:tcPr>
          <w:p w14:paraId="72C6A295" w14:textId="30F489CB" w:rsidR="00F16CAD" w:rsidRPr="00F16CAD" w:rsidRDefault="00B237AD" w:rsidP="00F16CAD">
            <w:pPr>
              <w:spacing w:after="0" w:line="240" w:lineRule="auto"/>
              <w:jc w:val="center"/>
              <w:rPr>
                <w:rFonts w:cs="Times New Roman"/>
                <w:sz w:val="18"/>
              </w:rPr>
            </w:pPr>
            <w:r>
              <w:rPr>
                <w:rFonts w:cs="Times New Roman"/>
                <w:sz w:val="18"/>
              </w:rPr>
              <w:t>4,9</w:t>
            </w:r>
          </w:p>
        </w:tc>
        <w:tc>
          <w:tcPr>
            <w:tcW w:w="606" w:type="dxa"/>
            <w:shd w:val="clear" w:color="auto" w:fill="auto"/>
            <w:vAlign w:val="bottom"/>
            <w:hideMark/>
          </w:tcPr>
          <w:p w14:paraId="49582D82" w14:textId="50772265" w:rsidR="00F16CAD" w:rsidRPr="00F16CAD" w:rsidRDefault="00F16CAD" w:rsidP="00F16CAD">
            <w:pPr>
              <w:spacing w:after="0" w:line="240" w:lineRule="auto"/>
              <w:jc w:val="center"/>
              <w:rPr>
                <w:rFonts w:cs="Times New Roman"/>
                <w:sz w:val="18"/>
              </w:rPr>
            </w:pPr>
            <w:r w:rsidRPr="00F16CAD">
              <w:rPr>
                <w:rFonts w:cs="Times New Roman"/>
                <w:sz w:val="18"/>
              </w:rPr>
              <w:t>1,7</w:t>
            </w:r>
          </w:p>
        </w:tc>
        <w:tc>
          <w:tcPr>
            <w:tcW w:w="4969" w:type="dxa"/>
            <w:gridSpan w:val="2"/>
            <w:vMerge/>
            <w:shd w:val="clear" w:color="auto" w:fill="auto"/>
            <w:vAlign w:val="center"/>
            <w:hideMark/>
          </w:tcPr>
          <w:p w14:paraId="56D6A5F9" w14:textId="77777777" w:rsidR="00F16CAD" w:rsidRPr="00700390" w:rsidRDefault="00F16CAD" w:rsidP="00F16CAD">
            <w:pPr>
              <w:rPr>
                <w:rFonts w:cs="Times New Roman"/>
                <w:b/>
                <w:bCs/>
                <w:color w:val="000000"/>
                <w:sz w:val="18"/>
                <w:szCs w:val="18"/>
                <w:highlight w:val="yellow"/>
              </w:rPr>
            </w:pPr>
          </w:p>
        </w:tc>
      </w:tr>
      <w:tr w:rsidR="00F16CAD" w:rsidRPr="009569FC" w14:paraId="502C7FEC" w14:textId="77777777" w:rsidTr="00CE362A">
        <w:trPr>
          <w:gridBefore w:val="1"/>
          <w:wBefore w:w="74" w:type="dxa"/>
          <w:trHeight w:val="289"/>
        </w:trPr>
        <w:tc>
          <w:tcPr>
            <w:tcW w:w="1632" w:type="dxa"/>
            <w:shd w:val="clear" w:color="auto" w:fill="auto"/>
            <w:vAlign w:val="center"/>
            <w:hideMark/>
          </w:tcPr>
          <w:p w14:paraId="30E01908" w14:textId="77777777" w:rsidR="00F16CAD" w:rsidRPr="00700390" w:rsidRDefault="00F16CAD" w:rsidP="00F16CAD">
            <w:pPr>
              <w:rPr>
                <w:rFonts w:cs="Times New Roman"/>
                <w:color w:val="000000"/>
                <w:sz w:val="18"/>
                <w:szCs w:val="18"/>
              </w:rPr>
            </w:pPr>
            <w:r w:rsidRPr="00700390">
              <w:rPr>
                <w:rFonts w:cs="Times New Roman"/>
                <w:color w:val="000000"/>
                <w:sz w:val="18"/>
                <w:szCs w:val="18"/>
              </w:rPr>
              <w:t>z toho:</w:t>
            </w:r>
          </w:p>
        </w:tc>
        <w:tc>
          <w:tcPr>
            <w:tcW w:w="1635" w:type="dxa"/>
            <w:gridSpan w:val="2"/>
            <w:shd w:val="clear" w:color="auto" w:fill="auto"/>
            <w:vAlign w:val="center"/>
            <w:hideMark/>
          </w:tcPr>
          <w:p w14:paraId="202D1409" w14:textId="77777777" w:rsidR="00F16CAD" w:rsidRPr="00F16CAD" w:rsidRDefault="00F16CAD" w:rsidP="00F16CAD">
            <w:pPr>
              <w:jc w:val="center"/>
              <w:rPr>
                <w:rFonts w:cs="Times New Roman"/>
                <w:sz w:val="18"/>
                <w:highlight w:val="yellow"/>
              </w:rPr>
            </w:pPr>
          </w:p>
        </w:tc>
        <w:tc>
          <w:tcPr>
            <w:tcW w:w="631" w:type="dxa"/>
            <w:shd w:val="clear" w:color="auto" w:fill="auto"/>
            <w:vAlign w:val="center"/>
            <w:hideMark/>
          </w:tcPr>
          <w:p w14:paraId="7C6665B9" w14:textId="77777777" w:rsidR="00F16CAD" w:rsidRPr="00F16CAD" w:rsidRDefault="00F16CAD" w:rsidP="00F16CAD">
            <w:pPr>
              <w:jc w:val="center"/>
              <w:rPr>
                <w:rFonts w:cs="Times New Roman"/>
                <w:sz w:val="18"/>
                <w:highlight w:val="yellow"/>
              </w:rPr>
            </w:pPr>
          </w:p>
        </w:tc>
        <w:tc>
          <w:tcPr>
            <w:tcW w:w="606" w:type="dxa"/>
            <w:shd w:val="clear" w:color="auto" w:fill="auto"/>
            <w:vAlign w:val="center"/>
            <w:hideMark/>
          </w:tcPr>
          <w:p w14:paraId="7F595CD8" w14:textId="77777777" w:rsidR="00F16CAD" w:rsidRPr="00F16CAD" w:rsidRDefault="00F16CAD" w:rsidP="00F16CAD">
            <w:pPr>
              <w:jc w:val="center"/>
              <w:rPr>
                <w:rFonts w:cs="Times New Roman"/>
                <w:sz w:val="18"/>
                <w:highlight w:val="yellow"/>
              </w:rPr>
            </w:pPr>
          </w:p>
        </w:tc>
        <w:tc>
          <w:tcPr>
            <w:tcW w:w="4969" w:type="dxa"/>
            <w:gridSpan w:val="2"/>
            <w:vMerge/>
            <w:shd w:val="clear" w:color="auto" w:fill="auto"/>
            <w:vAlign w:val="center"/>
            <w:hideMark/>
          </w:tcPr>
          <w:p w14:paraId="224BC760" w14:textId="77777777" w:rsidR="00F16CAD" w:rsidRPr="00700390" w:rsidRDefault="00F16CAD" w:rsidP="00F16CAD">
            <w:pPr>
              <w:rPr>
                <w:rFonts w:cs="Times New Roman"/>
                <w:b/>
                <w:bCs/>
                <w:color w:val="000000"/>
                <w:sz w:val="18"/>
                <w:szCs w:val="18"/>
                <w:highlight w:val="yellow"/>
              </w:rPr>
            </w:pPr>
          </w:p>
        </w:tc>
      </w:tr>
      <w:tr w:rsidR="00F16CAD" w:rsidRPr="009569FC" w14:paraId="0415E90F" w14:textId="77777777" w:rsidTr="00CE362A">
        <w:trPr>
          <w:gridBefore w:val="1"/>
          <w:wBefore w:w="74" w:type="dxa"/>
          <w:trHeight w:val="289"/>
        </w:trPr>
        <w:tc>
          <w:tcPr>
            <w:tcW w:w="2636" w:type="dxa"/>
            <w:gridSpan w:val="2"/>
            <w:shd w:val="clear" w:color="auto" w:fill="auto"/>
            <w:vAlign w:val="center"/>
            <w:hideMark/>
          </w:tcPr>
          <w:p w14:paraId="5634569A" w14:textId="77777777" w:rsidR="00F16CAD" w:rsidRPr="00700390" w:rsidRDefault="00F16CAD" w:rsidP="00F16CAD">
            <w:pPr>
              <w:rPr>
                <w:rFonts w:cs="Times New Roman"/>
                <w:color w:val="000000"/>
                <w:sz w:val="18"/>
                <w:szCs w:val="18"/>
              </w:rPr>
            </w:pPr>
            <w:r w:rsidRPr="00700390">
              <w:rPr>
                <w:rFonts w:cs="Times New Roman"/>
                <w:bCs/>
                <w:color w:val="000000"/>
                <w:sz w:val="18"/>
                <w:szCs w:val="18"/>
              </w:rPr>
              <w:t xml:space="preserve">  Konečná spotreba domácností</w:t>
            </w:r>
          </w:p>
        </w:tc>
        <w:tc>
          <w:tcPr>
            <w:tcW w:w="631" w:type="dxa"/>
            <w:shd w:val="clear" w:color="auto" w:fill="auto"/>
            <w:vAlign w:val="bottom"/>
            <w:hideMark/>
          </w:tcPr>
          <w:p w14:paraId="30EB31EE" w14:textId="1E0F11C9" w:rsidR="00F16CAD" w:rsidRPr="00F16CAD" w:rsidRDefault="00F16CAD" w:rsidP="00F16CAD">
            <w:pPr>
              <w:jc w:val="center"/>
              <w:rPr>
                <w:rFonts w:cs="Times New Roman"/>
                <w:sz w:val="18"/>
              </w:rPr>
            </w:pPr>
            <w:r w:rsidRPr="00F16CAD">
              <w:rPr>
                <w:rFonts w:cs="Times New Roman"/>
                <w:sz w:val="18"/>
              </w:rPr>
              <w:t>-1,2</w:t>
            </w:r>
          </w:p>
        </w:tc>
        <w:tc>
          <w:tcPr>
            <w:tcW w:w="631" w:type="dxa"/>
            <w:shd w:val="clear" w:color="auto" w:fill="auto"/>
            <w:vAlign w:val="bottom"/>
            <w:hideMark/>
          </w:tcPr>
          <w:p w14:paraId="49E74516" w14:textId="3D2FFD54" w:rsidR="00F16CAD" w:rsidRPr="00F16CAD" w:rsidRDefault="00F16CAD" w:rsidP="00F16CAD">
            <w:pPr>
              <w:jc w:val="center"/>
              <w:rPr>
                <w:rFonts w:cs="Times New Roman"/>
                <w:sz w:val="18"/>
              </w:rPr>
            </w:pPr>
            <w:r w:rsidRPr="00F16CAD">
              <w:rPr>
                <w:rFonts w:cs="Times New Roman"/>
                <w:sz w:val="18"/>
              </w:rPr>
              <w:t>1,7</w:t>
            </w:r>
          </w:p>
        </w:tc>
        <w:tc>
          <w:tcPr>
            <w:tcW w:w="606" w:type="dxa"/>
            <w:shd w:val="clear" w:color="auto" w:fill="auto"/>
            <w:vAlign w:val="bottom"/>
            <w:hideMark/>
          </w:tcPr>
          <w:p w14:paraId="48523DB9" w14:textId="72163044" w:rsidR="00F16CAD" w:rsidRPr="00F16CAD" w:rsidRDefault="00F16CAD" w:rsidP="00F16CAD">
            <w:pPr>
              <w:jc w:val="center"/>
              <w:rPr>
                <w:rFonts w:cs="Times New Roman"/>
                <w:sz w:val="18"/>
              </w:rPr>
            </w:pPr>
            <w:r w:rsidRPr="00F16CAD">
              <w:rPr>
                <w:rFonts w:cs="Times New Roman"/>
                <w:sz w:val="18"/>
              </w:rPr>
              <w:t>5,1</w:t>
            </w:r>
          </w:p>
        </w:tc>
        <w:tc>
          <w:tcPr>
            <w:tcW w:w="4969" w:type="dxa"/>
            <w:gridSpan w:val="2"/>
            <w:vMerge/>
            <w:shd w:val="clear" w:color="auto" w:fill="auto"/>
            <w:vAlign w:val="center"/>
            <w:hideMark/>
          </w:tcPr>
          <w:p w14:paraId="1616CF28" w14:textId="77777777" w:rsidR="00F16CAD" w:rsidRPr="00700390" w:rsidRDefault="00F16CAD" w:rsidP="00F16CAD">
            <w:pPr>
              <w:rPr>
                <w:rFonts w:cs="Times New Roman"/>
                <w:b/>
                <w:bCs/>
                <w:color w:val="000000"/>
                <w:sz w:val="18"/>
                <w:szCs w:val="18"/>
                <w:highlight w:val="yellow"/>
              </w:rPr>
            </w:pPr>
          </w:p>
        </w:tc>
      </w:tr>
      <w:tr w:rsidR="00F16CAD" w:rsidRPr="009569FC" w14:paraId="64728DC8" w14:textId="77777777" w:rsidTr="00CE362A">
        <w:trPr>
          <w:gridBefore w:val="1"/>
          <w:wBefore w:w="74" w:type="dxa"/>
          <w:trHeight w:val="289"/>
        </w:trPr>
        <w:tc>
          <w:tcPr>
            <w:tcW w:w="2636" w:type="dxa"/>
            <w:gridSpan w:val="2"/>
            <w:shd w:val="clear" w:color="auto" w:fill="auto"/>
            <w:vAlign w:val="center"/>
            <w:hideMark/>
          </w:tcPr>
          <w:p w14:paraId="579A886A" w14:textId="77777777" w:rsidR="00F16CAD" w:rsidRPr="00700390" w:rsidRDefault="00F16CAD" w:rsidP="00F16CAD">
            <w:pPr>
              <w:rPr>
                <w:rFonts w:cs="Times New Roman"/>
                <w:color w:val="000000"/>
                <w:sz w:val="18"/>
                <w:szCs w:val="18"/>
              </w:rPr>
            </w:pPr>
            <w:r w:rsidRPr="00700390">
              <w:rPr>
                <w:rFonts w:cs="Times New Roman"/>
                <w:bCs/>
                <w:color w:val="000000"/>
                <w:sz w:val="18"/>
                <w:szCs w:val="18"/>
              </w:rPr>
              <w:t xml:space="preserve">  Konečná spotreba ver. správy</w:t>
            </w:r>
          </w:p>
        </w:tc>
        <w:tc>
          <w:tcPr>
            <w:tcW w:w="631" w:type="dxa"/>
            <w:shd w:val="clear" w:color="auto" w:fill="auto"/>
            <w:vAlign w:val="bottom"/>
            <w:hideMark/>
          </w:tcPr>
          <w:p w14:paraId="5E702B8A" w14:textId="2897B608" w:rsidR="00F16CAD" w:rsidRPr="00F16CAD" w:rsidRDefault="00F16CAD" w:rsidP="00F16CAD">
            <w:pPr>
              <w:jc w:val="center"/>
              <w:rPr>
                <w:rFonts w:cs="Times New Roman"/>
                <w:sz w:val="18"/>
              </w:rPr>
            </w:pPr>
            <w:r w:rsidRPr="00F16CAD">
              <w:rPr>
                <w:rFonts w:cs="Times New Roman"/>
                <w:sz w:val="18"/>
              </w:rPr>
              <w:t>-0,6</w:t>
            </w:r>
          </w:p>
        </w:tc>
        <w:tc>
          <w:tcPr>
            <w:tcW w:w="631" w:type="dxa"/>
            <w:shd w:val="clear" w:color="auto" w:fill="auto"/>
            <w:vAlign w:val="bottom"/>
            <w:hideMark/>
          </w:tcPr>
          <w:p w14:paraId="10432F98" w14:textId="2AC20A06" w:rsidR="00F16CAD" w:rsidRPr="00F16CAD" w:rsidRDefault="00F16CAD" w:rsidP="00F16CAD">
            <w:pPr>
              <w:jc w:val="center"/>
              <w:rPr>
                <w:rFonts w:cs="Times New Roman"/>
                <w:sz w:val="18"/>
              </w:rPr>
            </w:pPr>
            <w:r w:rsidRPr="00F16CAD">
              <w:rPr>
                <w:rFonts w:cs="Times New Roman"/>
                <w:sz w:val="18"/>
              </w:rPr>
              <w:t>4,2</w:t>
            </w:r>
          </w:p>
        </w:tc>
        <w:tc>
          <w:tcPr>
            <w:tcW w:w="606" w:type="dxa"/>
            <w:shd w:val="clear" w:color="auto" w:fill="auto"/>
            <w:vAlign w:val="bottom"/>
            <w:hideMark/>
          </w:tcPr>
          <w:p w14:paraId="7C858141" w14:textId="413A2328" w:rsidR="00F16CAD" w:rsidRPr="00F16CAD" w:rsidRDefault="00F16CAD" w:rsidP="00F16CAD">
            <w:pPr>
              <w:jc w:val="center"/>
              <w:rPr>
                <w:rFonts w:cs="Times New Roman"/>
                <w:sz w:val="18"/>
              </w:rPr>
            </w:pPr>
            <w:r w:rsidRPr="00F16CAD">
              <w:rPr>
                <w:rFonts w:cs="Times New Roman"/>
                <w:sz w:val="18"/>
              </w:rPr>
              <w:t>-3,2</w:t>
            </w:r>
          </w:p>
        </w:tc>
        <w:tc>
          <w:tcPr>
            <w:tcW w:w="4969" w:type="dxa"/>
            <w:gridSpan w:val="2"/>
            <w:vMerge/>
            <w:shd w:val="clear" w:color="auto" w:fill="auto"/>
            <w:vAlign w:val="center"/>
            <w:hideMark/>
          </w:tcPr>
          <w:p w14:paraId="28BC8CCE" w14:textId="77777777" w:rsidR="00F16CAD" w:rsidRPr="00700390" w:rsidRDefault="00F16CAD" w:rsidP="00F16CAD">
            <w:pPr>
              <w:rPr>
                <w:rFonts w:cs="Times New Roman"/>
                <w:b/>
                <w:bCs/>
                <w:color w:val="000000"/>
                <w:sz w:val="18"/>
                <w:szCs w:val="18"/>
                <w:highlight w:val="yellow"/>
              </w:rPr>
            </w:pPr>
          </w:p>
        </w:tc>
      </w:tr>
      <w:tr w:rsidR="00F16CAD" w:rsidRPr="009569FC" w14:paraId="723C0F14" w14:textId="77777777" w:rsidTr="00CE362A">
        <w:trPr>
          <w:gridBefore w:val="1"/>
          <w:wBefore w:w="74" w:type="dxa"/>
          <w:trHeight w:val="289"/>
        </w:trPr>
        <w:tc>
          <w:tcPr>
            <w:tcW w:w="2636" w:type="dxa"/>
            <w:gridSpan w:val="2"/>
            <w:shd w:val="clear" w:color="auto" w:fill="auto"/>
            <w:vAlign w:val="center"/>
            <w:hideMark/>
          </w:tcPr>
          <w:p w14:paraId="19B60E6C" w14:textId="77777777" w:rsidR="00F16CAD" w:rsidRPr="00700390" w:rsidRDefault="00F16CAD" w:rsidP="00F16CAD">
            <w:pPr>
              <w:rPr>
                <w:rFonts w:cs="Times New Roman"/>
                <w:color w:val="000000"/>
                <w:sz w:val="18"/>
                <w:szCs w:val="18"/>
                <w:highlight w:val="yellow"/>
              </w:rPr>
            </w:pPr>
            <w:r w:rsidRPr="00700390">
              <w:rPr>
                <w:rFonts w:cs="Times New Roman"/>
                <w:color w:val="000000"/>
                <w:sz w:val="18"/>
                <w:szCs w:val="18"/>
              </w:rPr>
              <w:t xml:space="preserve">  Tvorba hrubého fixného kapitálu</w:t>
            </w:r>
          </w:p>
        </w:tc>
        <w:tc>
          <w:tcPr>
            <w:tcW w:w="631" w:type="dxa"/>
            <w:shd w:val="clear" w:color="auto" w:fill="auto"/>
            <w:vAlign w:val="bottom"/>
            <w:hideMark/>
          </w:tcPr>
          <w:p w14:paraId="7853F3C3" w14:textId="7A7A9876" w:rsidR="00F16CAD" w:rsidRPr="00F16CAD" w:rsidRDefault="00F16CAD" w:rsidP="00F16CAD">
            <w:pPr>
              <w:jc w:val="center"/>
              <w:rPr>
                <w:rFonts w:cs="Times New Roman"/>
                <w:sz w:val="18"/>
              </w:rPr>
            </w:pPr>
            <w:r w:rsidRPr="00F16CAD">
              <w:rPr>
                <w:rFonts w:cs="Times New Roman"/>
                <w:sz w:val="18"/>
              </w:rPr>
              <w:t>-10,8</w:t>
            </w:r>
          </w:p>
        </w:tc>
        <w:tc>
          <w:tcPr>
            <w:tcW w:w="631" w:type="dxa"/>
            <w:shd w:val="clear" w:color="auto" w:fill="auto"/>
            <w:vAlign w:val="bottom"/>
            <w:hideMark/>
          </w:tcPr>
          <w:p w14:paraId="47BB7853" w14:textId="13CB9BC7" w:rsidR="00F16CAD" w:rsidRPr="00F16CAD" w:rsidRDefault="00F16CAD" w:rsidP="00F16CAD">
            <w:pPr>
              <w:jc w:val="center"/>
              <w:rPr>
                <w:rFonts w:cs="Times New Roman"/>
                <w:sz w:val="18"/>
              </w:rPr>
            </w:pPr>
            <w:r w:rsidRPr="00F16CAD">
              <w:rPr>
                <w:rFonts w:cs="Times New Roman"/>
                <w:sz w:val="18"/>
              </w:rPr>
              <w:t>0,2</w:t>
            </w:r>
          </w:p>
        </w:tc>
        <w:tc>
          <w:tcPr>
            <w:tcW w:w="606" w:type="dxa"/>
            <w:shd w:val="clear" w:color="auto" w:fill="auto"/>
            <w:vAlign w:val="bottom"/>
            <w:hideMark/>
          </w:tcPr>
          <w:p w14:paraId="7E03E4FC" w14:textId="4B5B7317" w:rsidR="00F16CAD" w:rsidRPr="00F16CAD" w:rsidRDefault="00F16CAD" w:rsidP="00F16CAD">
            <w:pPr>
              <w:jc w:val="center"/>
              <w:rPr>
                <w:rFonts w:cs="Times New Roman"/>
                <w:sz w:val="18"/>
              </w:rPr>
            </w:pPr>
            <w:r w:rsidRPr="00F16CAD">
              <w:rPr>
                <w:rFonts w:cs="Times New Roman"/>
                <w:sz w:val="18"/>
              </w:rPr>
              <w:t>6,5</w:t>
            </w:r>
          </w:p>
        </w:tc>
        <w:tc>
          <w:tcPr>
            <w:tcW w:w="4969" w:type="dxa"/>
            <w:gridSpan w:val="2"/>
            <w:vMerge/>
            <w:shd w:val="clear" w:color="auto" w:fill="auto"/>
            <w:vAlign w:val="center"/>
            <w:hideMark/>
          </w:tcPr>
          <w:p w14:paraId="767499C5" w14:textId="77777777" w:rsidR="00F16CAD" w:rsidRPr="00700390" w:rsidRDefault="00F16CAD" w:rsidP="00F16CAD">
            <w:pPr>
              <w:rPr>
                <w:rFonts w:cs="Times New Roman"/>
                <w:b/>
                <w:bCs/>
                <w:color w:val="000000"/>
                <w:sz w:val="18"/>
                <w:szCs w:val="18"/>
                <w:highlight w:val="yellow"/>
              </w:rPr>
            </w:pPr>
          </w:p>
        </w:tc>
      </w:tr>
      <w:tr w:rsidR="00F16CAD" w:rsidRPr="009569FC" w14:paraId="5C2CB7AA" w14:textId="77777777" w:rsidTr="00CE362A">
        <w:trPr>
          <w:gridBefore w:val="1"/>
          <w:wBefore w:w="74" w:type="dxa"/>
          <w:trHeight w:val="289"/>
        </w:trPr>
        <w:tc>
          <w:tcPr>
            <w:tcW w:w="2636" w:type="dxa"/>
            <w:gridSpan w:val="2"/>
            <w:shd w:val="clear" w:color="auto" w:fill="auto"/>
            <w:vAlign w:val="center"/>
            <w:hideMark/>
          </w:tcPr>
          <w:p w14:paraId="051B5D7E" w14:textId="77777777" w:rsidR="00F16CAD" w:rsidRPr="00700390" w:rsidRDefault="00F16CAD" w:rsidP="00F16CAD">
            <w:pPr>
              <w:rPr>
                <w:rFonts w:cs="Times New Roman"/>
                <w:color w:val="000000"/>
                <w:sz w:val="18"/>
                <w:szCs w:val="18"/>
              </w:rPr>
            </w:pPr>
            <w:r w:rsidRPr="00700390">
              <w:rPr>
                <w:rFonts w:cs="Times New Roman"/>
                <w:bCs/>
                <w:color w:val="000000"/>
                <w:sz w:val="18"/>
                <w:szCs w:val="18"/>
              </w:rPr>
              <w:t xml:space="preserve">  Vývoz výrobkov a služieb</w:t>
            </w:r>
          </w:p>
        </w:tc>
        <w:tc>
          <w:tcPr>
            <w:tcW w:w="631" w:type="dxa"/>
            <w:shd w:val="clear" w:color="auto" w:fill="auto"/>
            <w:vAlign w:val="bottom"/>
            <w:hideMark/>
          </w:tcPr>
          <w:p w14:paraId="05DE5B8E" w14:textId="58410839" w:rsidR="00F16CAD" w:rsidRPr="00F16CAD" w:rsidRDefault="00F16CAD" w:rsidP="00F16CAD">
            <w:pPr>
              <w:jc w:val="center"/>
              <w:rPr>
                <w:rFonts w:cs="Times New Roman"/>
                <w:sz w:val="18"/>
              </w:rPr>
            </w:pPr>
            <w:r w:rsidRPr="00F16CAD">
              <w:rPr>
                <w:rFonts w:cs="Times New Roman"/>
                <w:sz w:val="18"/>
              </w:rPr>
              <w:t>-6,4</w:t>
            </w:r>
          </w:p>
        </w:tc>
        <w:tc>
          <w:tcPr>
            <w:tcW w:w="631" w:type="dxa"/>
            <w:shd w:val="clear" w:color="auto" w:fill="auto"/>
            <w:vAlign w:val="bottom"/>
            <w:hideMark/>
          </w:tcPr>
          <w:p w14:paraId="3E6B1394" w14:textId="63D9127D" w:rsidR="00F16CAD" w:rsidRPr="00F16CAD" w:rsidRDefault="00F16CAD" w:rsidP="00F16CAD">
            <w:pPr>
              <w:jc w:val="center"/>
              <w:rPr>
                <w:rFonts w:cs="Times New Roman"/>
                <w:sz w:val="18"/>
              </w:rPr>
            </w:pPr>
            <w:r w:rsidRPr="00F16CAD">
              <w:rPr>
                <w:rFonts w:cs="Times New Roman"/>
                <w:sz w:val="18"/>
              </w:rPr>
              <w:t>10,6</w:t>
            </w:r>
          </w:p>
        </w:tc>
        <w:tc>
          <w:tcPr>
            <w:tcW w:w="606" w:type="dxa"/>
            <w:shd w:val="clear" w:color="auto" w:fill="auto"/>
            <w:vAlign w:val="bottom"/>
            <w:hideMark/>
          </w:tcPr>
          <w:p w14:paraId="2CDAE910" w14:textId="3CE4FAB9" w:rsidR="00F16CAD" w:rsidRPr="00F16CAD" w:rsidRDefault="00F16CAD" w:rsidP="00F16CAD">
            <w:pPr>
              <w:jc w:val="center"/>
              <w:rPr>
                <w:rFonts w:cs="Times New Roman"/>
                <w:sz w:val="18"/>
              </w:rPr>
            </w:pPr>
            <w:r w:rsidRPr="00F16CAD">
              <w:rPr>
                <w:rFonts w:cs="Times New Roman"/>
                <w:sz w:val="18"/>
              </w:rPr>
              <w:t>1,0</w:t>
            </w:r>
          </w:p>
        </w:tc>
        <w:tc>
          <w:tcPr>
            <w:tcW w:w="4969" w:type="dxa"/>
            <w:gridSpan w:val="2"/>
            <w:vMerge/>
            <w:shd w:val="clear" w:color="auto" w:fill="auto"/>
            <w:vAlign w:val="center"/>
            <w:hideMark/>
          </w:tcPr>
          <w:p w14:paraId="652BCB8C" w14:textId="77777777" w:rsidR="00F16CAD" w:rsidRPr="00700390" w:rsidRDefault="00F16CAD" w:rsidP="00F16CAD">
            <w:pPr>
              <w:rPr>
                <w:rFonts w:cs="Times New Roman"/>
                <w:b/>
                <w:bCs/>
                <w:color w:val="000000"/>
                <w:sz w:val="18"/>
                <w:szCs w:val="18"/>
                <w:highlight w:val="yellow"/>
              </w:rPr>
            </w:pPr>
          </w:p>
        </w:tc>
      </w:tr>
      <w:tr w:rsidR="00F16CAD" w:rsidRPr="009569FC" w14:paraId="0B162EDE" w14:textId="77777777" w:rsidTr="00CE362A">
        <w:trPr>
          <w:gridBefore w:val="1"/>
          <w:wBefore w:w="74" w:type="dxa"/>
          <w:trHeight w:val="289"/>
        </w:trPr>
        <w:tc>
          <w:tcPr>
            <w:tcW w:w="2636" w:type="dxa"/>
            <w:gridSpan w:val="2"/>
            <w:tcBorders>
              <w:bottom w:val="single" w:sz="4" w:space="0" w:color="auto"/>
            </w:tcBorders>
            <w:shd w:val="clear" w:color="auto" w:fill="auto"/>
            <w:vAlign w:val="center"/>
            <w:hideMark/>
          </w:tcPr>
          <w:p w14:paraId="3A8ECDA0" w14:textId="77777777" w:rsidR="00F16CAD" w:rsidRPr="00700390" w:rsidRDefault="00F16CAD" w:rsidP="00F16CAD">
            <w:pPr>
              <w:rPr>
                <w:rFonts w:cs="Times New Roman"/>
                <w:color w:val="000000"/>
                <w:sz w:val="18"/>
                <w:szCs w:val="18"/>
              </w:rPr>
            </w:pPr>
            <w:r w:rsidRPr="00700390">
              <w:rPr>
                <w:rFonts w:cs="Times New Roman"/>
                <w:bCs/>
                <w:color w:val="000000"/>
                <w:sz w:val="18"/>
                <w:szCs w:val="18"/>
              </w:rPr>
              <w:t xml:space="preserve">  Dovoz výrobkov a služieb</w:t>
            </w:r>
          </w:p>
        </w:tc>
        <w:tc>
          <w:tcPr>
            <w:tcW w:w="631" w:type="dxa"/>
            <w:tcBorders>
              <w:bottom w:val="single" w:sz="4" w:space="0" w:color="auto"/>
            </w:tcBorders>
            <w:shd w:val="clear" w:color="auto" w:fill="auto"/>
            <w:vAlign w:val="center"/>
            <w:hideMark/>
          </w:tcPr>
          <w:p w14:paraId="137336F0" w14:textId="5F4082D1" w:rsidR="00F16CAD" w:rsidRPr="00F16CAD" w:rsidRDefault="00F16CAD" w:rsidP="00F16CAD">
            <w:pPr>
              <w:jc w:val="center"/>
              <w:rPr>
                <w:rFonts w:cs="Times New Roman"/>
                <w:sz w:val="18"/>
                <w:highlight w:val="yellow"/>
              </w:rPr>
            </w:pPr>
            <w:r w:rsidRPr="00F16CAD">
              <w:rPr>
                <w:rFonts w:cs="Times New Roman"/>
                <w:sz w:val="18"/>
              </w:rPr>
              <w:t>-8,2</w:t>
            </w:r>
          </w:p>
        </w:tc>
        <w:tc>
          <w:tcPr>
            <w:tcW w:w="631" w:type="dxa"/>
            <w:tcBorders>
              <w:bottom w:val="single" w:sz="4" w:space="0" w:color="auto"/>
            </w:tcBorders>
            <w:shd w:val="clear" w:color="auto" w:fill="auto"/>
            <w:vAlign w:val="center"/>
            <w:hideMark/>
          </w:tcPr>
          <w:p w14:paraId="460F576D" w14:textId="72A7A5CF" w:rsidR="00F16CAD" w:rsidRPr="00F16CAD" w:rsidRDefault="00F16CAD" w:rsidP="00F16CAD">
            <w:pPr>
              <w:jc w:val="center"/>
              <w:rPr>
                <w:rFonts w:cs="Times New Roman"/>
                <w:sz w:val="18"/>
                <w:highlight w:val="yellow"/>
              </w:rPr>
            </w:pPr>
            <w:r w:rsidRPr="00F16CAD">
              <w:rPr>
                <w:rFonts w:cs="Times New Roman"/>
                <w:sz w:val="18"/>
              </w:rPr>
              <w:t>12,1</w:t>
            </w:r>
          </w:p>
        </w:tc>
        <w:tc>
          <w:tcPr>
            <w:tcW w:w="606" w:type="dxa"/>
            <w:tcBorders>
              <w:bottom w:val="single" w:sz="4" w:space="0" w:color="auto"/>
            </w:tcBorders>
            <w:shd w:val="clear" w:color="auto" w:fill="auto"/>
            <w:vAlign w:val="center"/>
            <w:hideMark/>
          </w:tcPr>
          <w:p w14:paraId="5599B9F4" w14:textId="666F5494" w:rsidR="00F16CAD" w:rsidRPr="00F16CAD" w:rsidRDefault="00F16CAD" w:rsidP="00F16CAD">
            <w:pPr>
              <w:jc w:val="center"/>
              <w:rPr>
                <w:rFonts w:cs="Times New Roman"/>
                <w:sz w:val="18"/>
                <w:highlight w:val="yellow"/>
              </w:rPr>
            </w:pPr>
            <w:r w:rsidRPr="00F16CAD">
              <w:rPr>
                <w:rFonts w:cs="Times New Roman"/>
                <w:sz w:val="18"/>
              </w:rPr>
              <w:t>3,0</w:t>
            </w:r>
          </w:p>
        </w:tc>
        <w:tc>
          <w:tcPr>
            <w:tcW w:w="4969" w:type="dxa"/>
            <w:gridSpan w:val="2"/>
            <w:vMerge/>
            <w:tcBorders>
              <w:bottom w:val="single" w:sz="4" w:space="0" w:color="auto"/>
            </w:tcBorders>
            <w:shd w:val="clear" w:color="auto" w:fill="auto"/>
            <w:vAlign w:val="center"/>
            <w:hideMark/>
          </w:tcPr>
          <w:p w14:paraId="057F98D1" w14:textId="77777777" w:rsidR="00F16CAD" w:rsidRPr="00700390" w:rsidRDefault="00F16CAD" w:rsidP="00F16CAD">
            <w:pPr>
              <w:rPr>
                <w:rFonts w:cs="Times New Roman"/>
                <w:b/>
                <w:bCs/>
                <w:color w:val="000000"/>
                <w:sz w:val="18"/>
                <w:szCs w:val="18"/>
                <w:highlight w:val="yellow"/>
              </w:rPr>
            </w:pPr>
          </w:p>
        </w:tc>
      </w:tr>
      <w:tr w:rsidR="00700390" w:rsidRPr="00F05830" w14:paraId="5DA51F59" w14:textId="77777777" w:rsidTr="00F20854">
        <w:trPr>
          <w:gridBefore w:val="1"/>
          <w:wBefore w:w="74" w:type="dxa"/>
          <w:trHeight w:val="345"/>
        </w:trPr>
        <w:tc>
          <w:tcPr>
            <w:tcW w:w="4504" w:type="dxa"/>
            <w:gridSpan w:val="5"/>
            <w:tcBorders>
              <w:top w:val="single" w:sz="4" w:space="0" w:color="auto"/>
            </w:tcBorders>
            <w:shd w:val="clear" w:color="auto" w:fill="auto"/>
            <w:vAlign w:val="center"/>
            <w:hideMark/>
          </w:tcPr>
          <w:p w14:paraId="6D10C32D" w14:textId="77777777" w:rsidR="00700390" w:rsidRPr="00F05830" w:rsidRDefault="00700390" w:rsidP="006D0C70">
            <w:pPr>
              <w:jc w:val="right"/>
              <w:rPr>
                <w:rFonts w:cs="Times New Roman"/>
                <w:iCs/>
                <w:color w:val="000000"/>
                <w:sz w:val="16"/>
                <w:szCs w:val="16"/>
              </w:rPr>
            </w:pPr>
            <w:r w:rsidRPr="00F05830">
              <w:rPr>
                <w:rFonts w:cs="Times New Roman"/>
                <w:iCs/>
                <w:color w:val="000000"/>
                <w:sz w:val="16"/>
                <w:szCs w:val="16"/>
              </w:rPr>
              <w:t>Zdroj: ŠÚ SR</w:t>
            </w:r>
          </w:p>
        </w:tc>
        <w:tc>
          <w:tcPr>
            <w:tcW w:w="4969" w:type="dxa"/>
            <w:gridSpan w:val="2"/>
            <w:tcBorders>
              <w:top w:val="single" w:sz="4" w:space="0" w:color="auto"/>
            </w:tcBorders>
            <w:shd w:val="clear" w:color="auto" w:fill="auto"/>
            <w:vAlign w:val="center"/>
            <w:hideMark/>
          </w:tcPr>
          <w:p w14:paraId="371C8EF5" w14:textId="60D74D02" w:rsidR="00700390" w:rsidRPr="00F05830" w:rsidRDefault="00700390" w:rsidP="006D0C70">
            <w:pPr>
              <w:jc w:val="right"/>
              <w:rPr>
                <w:rFonts w:cs="Times New Roman"/>
                <w:color w:val="000000"/>
                <w:sz w:val="16"/>
                <w:szCs w:val="16"/>
              </w:rPr>
            </w:pPr>
            <w:r w:rsidRPr="00F05830">
              <w:rPr>
                <w:rFonts w:cs="Times New Roman"/>
                <w:iCs/>
                <w:color w:val="000000"/>
                <w:sz w:val="16"/>
                <w:szCs w:val="16"/>
              </w:rPr>
              <w:t>Zdroj: ŠÚ SR</w:t>
            </w:r>
          </w:p>
        </w:tc>
      </w:tr>
    </w:tbl>
    <w:p w14:paraId="159C45F7" w14:textId="20EC6CD1" w:rsidR="005F5B88" w:rsidRPr="00F07624" w:rsidRDefault="005F5B88" w:rsidP="00F07624">
      <w:pPr>
        <w:pStyle w:val="Nadpis3"/>
        <w:rPr>
          <w:rFonts w:eastAsiaTheme="minorHAnsi"/>
        </w:rPr>
      </w:pPr>
      <w:bookmarkStart w:id="9" w:name="_Toc6415630"/>
      <w:bookmarkStart w:id="10" w:name="_Toc132929072"/>
      <w:r w:rsidRPr="00F07624">
        <w:rPr>
          <w:rFonts w:eastAsiaTheme="minorHAnsi"/>
        </w:rPr>
        <w:lastRenderedPageBreak/>
        <w:t xml:space="preserve">Trh </w:t>
      </w:r>
      <w:r w:rsidRPr="00F07624">
        <w:t>práce</w:t>
      </w:r>
      <w:bookmarkEnd w:id="9"/>
      <w:bookmarkEnd w:id="10"/>
    </w:p>
    <w:p w14:paraId="57AA5607" w14:textId="719EB579" w:rsidR="00E14C34" w:rsidRPr="00E14C34" w:rsidRDefault="00E14C34" w:rsidP="00E14C34">
      <w:pPr>
        <w:spacing w:line="240" w:lineRule="auto"/>
        <w:rPr>
          <w:sz w:val="24"/>
          <w:szCs w:val="24"/>
        </w:rPr>
      </w:pPr>
      <w:r w:rsidRPr="00E14C34">
        <w:rPr>
          <w:sz w:val="24"/>
          <w:szCs w:val="24"/>
        </w:rPr>
        <w:t xml:space="preserve">Dynamika tvorby pracovných miest sa po dvoch rokoch vrátila k rastu. K zvýšeniu zamestnanosti prispeli v roku 2022 všetky sektory ekonomiky, najviac však služby. Zamestnanosť v stavebníctve presiahla </w:t>
      </w:r>
      <w:proofErr w:type="spellStart"/>
      <w:r w:rsidRPr="00E14C34">
        <w:rPr>
          <w:sz w:val="24"/>
          <w:szCs w:val="24"/>
        </w:rPr>
        <w:t>predpandemické</w:t>
      </w:r>
      <w:proofErr w:type="spellEnd"/>
      <w:r w:rsidRPr="00E14C34">
        <w:rPr>
          <w:sz w:val="24"/>
          <w:szCs w:val="24"/>
        </w:rPr>
        <w:t xml:space="preserve"> hodnoty. V</w:t>
      </w:r>
      <w:r w:rsidR="007B651D">
        <w:rPr>
          <w:sz w:val="24"/>
          <w:szCs w:val="24"/>
        </w:rPr>
        <w:t>ysoké ceny energií a problémy v </w:t>
      </w:r>
      <w:r w:rsidRPr="00E14C34">
        <w:rPr>
          <w:sz w:val="24"/>
          <w:szCs w:val="24"/>
        </w:rPr>
        <w:t>dodávateľských reťazcoch sa podpísali pod poklesy zamestnanosti v priemysle v druhej polovici roka. Počet pracujúcich cudzincov dosiahol na konci roka nový rekord (takmer 90 tisíc) a k tvorbe pracovných miest prispel v roku 2022 takmer tretinou. K vyššej zamestnanosti prispeli najmä odídenci z Ukrajiny, ktorých sa do konca roka zamestnalo zhruba 15 tisíc. Po prvotnej silnej vlne sa do konca roka ich zamestnávanie ustálilo na stabilných prírastkoch zhruba 1 tisíc mesačne. V roku 2022 rástli nominálne mzdy o 7,7 %, čo však nestačilo na infláciu a reálne mzdy tak poklesli o 4,4 %.</w:t>
      </w:r>
    </w:p>
    <w:tbl>
      <w:tblPr>
        <w:tblW w:w="5000" w:type="pct"/>
        <w:tblLayout w:type="fixed"/>
        <w:tblCellMar>
          <w:left w:w="70" w:type="dxa"/>
          <w:right w:w="70" w:type="dxa"/>
        </w:tblCellMar>
        <w:tblLook w:val="0000" w:firstRow="0" w:lastRow="0" w:firstColumn="0" w:lastColumn="0" w:noHBand="0" w:noVBand="0"/>
      </w:tblPr>
      <w:tblGrid>
        <w:gridCol w:w="4751"/>
        <w:gridCol w:w="4463"/>
      </w:tblGrid>
      <w:tr w:rsidR="00397CD2" w:rsidRPr="000C3131" w14:paraId="27A5BED3" w14:textId="77777777" w:rsidTr="00397CD2">
        <w:trPr>
          <w:trHeight w:val="562"/>
        </w:trPr>
        <w:tc>
          <w:tcPr>
            <w:tcW w:w="2578" w:type="pct"/>
            <w:tcBorders>
              <w:top w:val="nil"/>
              <w:left w:val="nil"/>
              <w:bottom w:val="single" w:sz="4" w:space="0" w:color="auto"/>
              <w:right w:val="nil"/>
            </w:tcBorders>
            <w:shd w:val="clear" w:color="auto" w:fill="auto"/>
            <w:vAlign w:val="center"/>
          </w:tcPr>
          <w:p w14:paraId="1C3704B5" w14:textId="7A5E177B" w:rsidR="00790612" w:rsidRPr="000C3131" w:rsidRDefault="00F05830" w:rsidP="00AC1638">
            <w:pPr>
              <w:spacing w:after="0" w:line="240" w:lineRule="auto"/>
              <w:jc w:val="left"/>
              <w:rPr>
                <w:rFonts w:cs="Times New Roman"/>
                <w:b/>
                <w:bCs/>
                <w:color w:val="5B9BD5" w:themeColor="accent1"/>
                <w:sz w:val="20"/>
                <w:szCs w:val="20"/>
              </w:rPr>
            </w:pPr>
            <w:r w:rsidRPr="000C3131">
              <w:rPr>
                <w:rFonts w:cs="Times New Roman"/>
                <w:b/>
                <w:color w:val="5B9BD5" w:themeColor="accent1"/>
                <w:sz w:val="20"/>
                <w:szCs w:val="20"/>
              </w:rPr>
              <w:t xml:space="preserve">Graf 2 - </w:t>
            </w:r>
            <w:r w:rsidR="00790612" w:rsidRPr="000C3131">
              <w:rPr>
                <w:rFonts w:cs="Times New Roman"/>
                <w:b/>
                <w:color w:val="5B9BD5" w:themeColor="accent1"/>
                <w:sz w:val="20"/>
                <w:szCs w:val="20"/>
              </w:rPr>
              <w:t>Príspevky sektorov k vývoju zamestnanosti (ESA, v p. b.)</w:t>
            </w:r>
          </w:p>
        </w:tc>
        <w:tc>
          <w:tcPr>
            <w:tcW w:w="2422" w:type="pct"/>
            <w:tcBorders>
              <w:top w:val="nil"/>
              <w:left w:val="nil"/>
              <w:bottom w:val="single" w:sz="4" w:space="0" w:color="auto"/>
              <w:right w:val="nil"/>
            </w:tcBorders>
            <w:shd w:val="clear" w:color="auto" w:fill="auto"/>
            <w:vAlign w:val="center"/>
          </w:tcPr>
          <w:p w14:paraId="05BC661B" w14:textId="22CED761" w:rsidR="00790612" w:rsidRPr="000C3131" w:rsidRDefault="00F05830" w:rsidP="00AC1638">
            <w:pPr>
              <w:spacing w:after="0" w:line="240" w:lineRule="auto"/>
              <w:jc w:val="left"/>
              <w:rPr>
                <w:rFonts w:cs="Times New Roman"/>
                <w:b/>
                <w:bCs/>
                <w:color w:val="5B9BD5" w:themeColor="accent1"/>
                <w:sz w:val="20"/>
                <w:szCs w:val="20"/>
              </w:rPr>
            </w:pPr>
            <w:r w:rsidRPr="000C3131">
              <w:rPr>
                <w:rFonts w:cs="Times New Roman"/>
                <w:b/>
                <w:color w:val="5B9BD5" w:themeColor="accent1"/>
                <w:sz w:val="20"/>
                <w:szCs w:val="20"/>
              </w:rPr>
              <w:t xml:space="preserve">Graf 3 - </w:t>
            </w:r>
            <w:r w:rsidR="00790612" w:rsidRPr="000C3131">
              <w:rPr>
                <w:rFonts w:cs="Times New Roman"/>
                <w:b/>
                <w:color w:val="5B9BD5" w:themeColor="accent1"/>
                <w:sz w:val="20"/>
                <w:szCs w:val="20"/>
              </w:rPr>
              <w:t>Rast nominálnej produktivity práce a mzdy (v %)</w:t>
            </w:r>
          </w:p>
        </w:tc>
      </w:tr>
      <w:tr w:rsidR="00790612" w:rsidRPr="00790612" w14:paraId="476DCEE4" w14:textId="77777777" w:rsidTr="00397CD2">
        <w:trPr>
          <w:trHeight w:val="3118"/>
        </w:trPr>
        <w:tc>
          <w:tcPr>
            <w:tcW w:w="2578" w:type="pct"/>
            <w:tcBorders>
              <w:top w:val="single" w:sz="4" w:space="0" w:color="auto"/>
              <w:left w:val="nil"/>
              <w:bottom w:val="single" w:sz="8" w:space="0" w:color="auto"/>
              <w:right w:val="nil"/>
            </w:tcBorders>
          </w:tcPr>
          <w:p w14:paraId="1C967427" w14:textId="296E588C" w:rsidR="00790612" w:rsidRPr="00790612" w:rsidRDefault="00E14C34" w:rsidP="004B6995">
            <w:pPr>
              <w:rPr>
                <w:rFonts w:cs="Times New Roman"/>
                <w:b/>
                <w:bCs/>
                <w:sz w:val="16"/>
                <w:szCs w:val="16"/>
              </w:rPr>
            </w:pPr>
            <w:r>
              <w:rPr>
                <w:noProof/>
                <w:lang w:eastAsia="sk-SK"/>
              </w:rPr>
              <w:drawing>
                <wp:inline distT="0" distB="0" distL="0" distR="0" wp14:anchorId="0947C9DB" wp14:editId="0AA7843D">
                  <wp:extent cx="2880360" cy="202565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422" w:type="pct"/>
            <w:tcBorders>
              <w:top w:val="single" w:sz="4" w:space="0" w:color="auto"/>
              <w:left w:val="nil"/>
              <w:bottom w:val="single" w:sz="8" w:space="0" w:color="auto"/>
              <w:right w:val="nil"/>
            </w:tcBorders>
          </w:tcPr>
          <w:p w14:paraId="52F2CB4B" w14:textId="3DC29C0A" w:rsidR="00790612" w:rsidRPr="00790612" w:rsidRDefault="00E14C34" w:rsidP="004B6995">
            <w:pPr>
              <w:spacing w:after="100" w:afterAutospacing="1"/>
              <w:rPr>
                <w:rFonts w:cs="Times New Roman"/>
                <w:b/>
                <w:bCs/>
                <w:sz w:val="16"/>
                <w:szCs w:val="16"/>
              </w:rPr>
            </w:pPr>
            <w:r>
              <w:rPr>
                <w:noProof/>
                <w:lang w:eastAsia="sk-SK"/>
              </w:rPr>
              <w:drawing>
                <wp:inline distT="0" distB="0" distL="0" distR="0" wp14:anchorId="6DE8F6C9" wp14:editId="271C3141">
                  <wp:extent cx="2787650" cy="206629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90612" w:rsidRPr="00F05830" w14:paraId="4A178690" w14:textId="77777777" w:rsidTr="004B6995">
        <w:trPr>
          <w:trHeight w:val="113"/>
        </w:trPr>
        <w:tc>
          <w:tcPr>
            <w:tcW w:w="2578" w:type="pct"/>
            <w:tcBorders>
              <w:top w:val="nil"/>
              <w:left w:val="nil"/>
              <w:bottom w:val="nil"/>
              <w:right w:val="nil"/>
            </w:tcBorders>
          </w:tcPr>
          <w:p w14:paraId="5AA6E814" w14:textId="109B4B34" w:rsidR="00790612" w:rsidRPr="00F05830" w:rsidRDefault="00790612" w:rsidP="00536B4C">
            <w:pPr>
              <w:jc w:val="right"/>
              <w:rPr>
                <w:rFonts w:cs="Times New Roman"/>
                <w:iCs/>
                <w:sz w:val="16"/>
                <w:szCs w:val="16"/>
              </w:rPr>
            </w:pPr>
            <w:r w:rsidRPr="00F05830">
              <w:rPr>
                <w:rFonts w:cs="Times New Roman"/>
                <w:iCs/>
                <w:sz w:val="16"/>
                <w:szCs w:val="16"/>
              </w:rPr>
              <w:t xml:space="preserve">Zdroj: ŠÚ SR, MF SR </w:t>
            </w:r>
          </w:p>
        </w:tc>
        <w:tc>
          <w:tcPr>
            <w:tcW w:w="2422" w:type="pct"/>
            <w:tcBorders>
              <w:top w:val="nil"/>
              <w:left w:val="nil"/>
              <w:bottom w:val="nil"/>
              <w:right w:val="nil"/>
            </w:tcBorders>
          </w:tcPr>
          <w:p w14:paraId="50222CA5" w14:textId="77777777" w:rsidR="00790612" w:rsidRPr="00F05830" w:rsidRDefault="00790612" w:rsidP="004B6995">
            <w:pPr>
              <w:jc w:val="right"/>
              <w:rPr>
                <w:rFonts w:cs="Times New Roman"/>
                <w:iCs/>
                <w:sz w:val="16"/>
                <w:szCs w:val="16"/>
              </w:rPr>
            </w:pPr>
            <w:r w:rsidRPr="00F05830">
              <w:rPr>
                <w:rFonts w:cs="Times New Roman"/>
                <w:iCs/>
                <w:sz w:val="16"/>
                <w:szCs w:val="16"/>
              </w:rPr>
              <w:t xml:space="preserve">Zdroj: ŠÚ SR, MF SR </w:t>
            </w:r>
          </w:p>
        </w:tc>
      </w:tr>
    </w:tbl>
    <w:p w14:paraId="2734D432" w14:textId="738A00D1" w:rsidR="005F5B88" w:rsidRPr="000F375D" w:rsidRDefault="005F5B88" w:rsidP="000D7202">
      <w:pPr>
        <w:pStyle w:val="Nadpis3"/>
      </w:pPr>
      <w:bookmarkStart w:id="11" w:name="_Toc6415631"/>
      <w:bookmarkStart w:id="12" w:name="_Toc132929073"/>
      <w:r w:rsidRPr="000D7202">
        <w:t>Vývoj</w:t>
      </w:r>
      <w:r w:rsidRPr="000F375D">
        <w:t xml:space="preserve"> cien</w:t>
      </w:r>
      <w:bookmarkEnd w:id="11"/>
      <w:bookmarkEnd w:id="12"/>
    </w:p>
    <w:p w14:paraId="15E2A9D5" w14:textId="77777777" w:rsidR="000C3C49" w:rsidRDefault="001E076F" w:rsidP="001E076F">
      <w:pPr>
        <w:spacing w:line="240" w:lineRule="auto"/>
        <w:rPr>
          <w:sz w:val="24"/>
          <w:szCs w:val="24"/>
        </w:rPr>
      </w:pPr>
      <w:r w:rsidRPr="001E076F">
        <w:rPr>
          <w:sz w:val="24"/>
          <w:szCs w:val="24"/>
        </w:rPr>
        <w:t>Ceny v roku 2022 prudko rástli. Z úrovne 8,5 % na začiatku roka sa inflácia zvýšila až k 15,4 % v decembri. Vojna na Ukrajine prudko zdvihla globálne ceny energetických a poľnohospodárskych komodít. Rast cien potravín tak v minulom roku ešte zrýchlil. Potraviny tak spolu s regulovanými cenami energií a nákladmi na bývanie (imputované nájomné) boli hlavným faktorom nárastu cenovej hladiny. Ceny však rástli naprieč jednotlivými kategóriami, a to najmä v doprave, hoteloch, kaviarňach a reštauráciách a v nábytku a vybaveniu domácnosti. Za rok 2022 tak stúpli ceny merané indexom CPI v priemere o 12,</w:t>
      </w:r>
      <w:r w:rsidR="00307871">
        <w:rPr>
          <w:sz w:val="24"/>
          <w:szCs w:val="24"/>
        </w:rPr>
        <w:t>8</w:t>
      </w:r>
      <w:r w:rsidRPr="001E076F">
        <w:rPr>
          <w:sz w:val="24"/>
          <w:szCs w:val="24"/>
        </w:rPr>
        <w:t> % (12,1 % podľa HICP).</w:t>
      </w:r>
    </w:p>
    <w:p w14:paraId="3F1B1874" w14:textId="1A56FADD" w:rsidR="001E076F" w:rsidRPr="001E076F" w:rsidRDefault="001E076F" w:rsidP="001E076F">
      <w:pPr>
        <w:spacing w:line="240" w:lineRule="auto"/>
        <w:rPr>
          <w:sz w:val="24"/>
          <w:szCs w:val="24"/>
        </w:rPr>
      </w:pPr>
      <w:r w:rsidRPr="001E076F">
        <w:rPr>
          <w:sz w:val="24"/>
          <w:szCs w:val="24"/>
        </w:rPr>
        <w:t xml:space="preserve"> </w:t>
      </w:r>
    </w:p>
    <w:p w14:paraId="30BD563C" w14:textId="1A80297E" w:rsidR="005F5B88" w:rsidRPr="000F375D" w:rsidRDefault="005F5B88" w:rsidP="000D7202">
      <w:pPr>
        <w:pStyle w:val="Nadpis3"/>
      </w:pPr>
      <w:bookmarkStart w:id="13" w:name="_Toc6415632"/>
      <w:bookmarkStart w:id="14" w:name="_Toc132929074"/>
      <w:r w:rsidRPr="000D7202">
        <w:t>Platobná</w:t>
      </w:r>
      <w:r w:rsidRPr="000F375D">
        <w:t xml:space="preserve"> bilancia</w:t>
      </w:r>
      <w:bookmarkEnd w:id="13"/>
      <w:bookmarkEnd w:id="14"/>
    </w:p>
    <w:p w14:paraId="04E33D97" w14:textId="5833E235" w:rsidR="005A0A7B" w:rsidRDefault="001E076F" w:rsidP="00127ED5">
      <w:pPr>
        <w:spacing w:line="240" w:lineRule="auto"/>
        <w:rPr>
          <w:sz w:val="24"/>
          <w:szCs w:val="24"/>
        </w:rPr>
      </w:pPr>
      <w:r w:rsidRPr="001E076F">
        <w:rPr>
          <w:sz w:val="24"/>
          <w:szCs w:val="24"/>
        </w:rPr>
        <w:t>V roku 2022 sa deficit platobnej bilancie prudko prehĺbil a spadol na úroveň -8,2 % HDP. Vojna na Ukrajine viedla k nárastu cien dovážaných komodít (najmä ropy a plynu), rast nominálnych importov tak výrazne predbehol rast exportov, čo viedlo k prehĺbeniu deficitu obchodnej bilancie</w:t>
      </w:r>
      <w:r w:rsidR="00307871">
        <w:rPr>
          <w:sz w:val="24"/>
          <w:szCs w:val="24"/>
        </w:rPr>
        <w:t>,</w:t>
      </w:r>
      <w:r w:rsidRPr="001E076F">
        <w:rPr>
          <w:sz w:val="24"/>
          <w:szCs w:val="24"/>
        </w:rPr>
        <w:t> prebytok obchodu so službami sa zmiernil. Mierne sa znížil aj prebytok bilancie služieb, klesli však aj deficity primárnych aj sekundárnych výnosov.</w:t>
      </w:r>
    </w:p>
    <w:p w14:paraId="66572C0C" w14:textId="77777777" w:rsidR="005A0A7B" w:rsidRDefault="005A0A7B">
      <w:pPr>
        <w:spacing w:after="160" w:line="259" w:lineRule="auto"/>
        <w:jc w:val="left"/>
        <w:rPr>
          <w:sz w:val="24"/>
          <w:szCs w:val="24"/>
        </w:rPr>
      </w:pPr>
      <w:r>
        <w:rPr>
          <w:sz w:val="24"/>
          <w:szCs w:val="24"/>
        </w:rPr>
        <w:br w:type="page"/>
      </w:r>
    </w:p>
    <w:tbl>
      <w:tblPr>
        <w:tblW w:w="5000" w:type="pct"/>
        <w:tblLayout w:type="fixed"/>
        <w:tblCellMar>
          <w:left w:w="70" w:type="dxa"/>
          <w:right w:w="70" w:type="dxa"/>
        </w:tblCellMar>
        <w:tblLook w:val="0000" w:firstRow="0" w:lastRow="0" w:firstColumn="0" w:lastColumn="0" w:noHBand="0" w:noVBand="0"/>
      </w:tblPr>
      <w:tblGrid>
        <w:gridCol w:w="4751"/>
        <w:gridCol w:w="4463"/>
      </w:tblGrid>
      <w:tr w:rsidR="00397CD2" w:rsidRPr="00397CD2" w14:paraId="57DC7278" w14:textId="77777777" w:rsidTr="00A20EDF">
        <w:trPr>
          <w:trHeight w:val="562"/>
        </w:trPr>
        <w:tc>
          <w:tcPr>
            <w:tcW w:w="2578" w:type="pct"/>
            <w:tcBorders>
              <w:top w:val="nil"/>
              <w:left w:val="nil"/>
              <w:bottom w:val="single" w:sz="4" w:space="0" w:color="auto"/>
              <w:right w:val="nil"/>
            </w:tcBorders>
            <w:shd w:val="clear" w:color="auto" w:fill="auto"/>
            <w:vAlign w:val="center"/>
          </w:tcPr>
          <w:p w14:paraId="46C4044E" w14:textId="4AA74CE2" w:rsidR="00127ED5" w:rsidRPr="00397CD2" w:rsidRDefault="00F05830" w:rsidP="00382A08">
            <w:pPr>
              <w:spacing w:after="0" w:line="240" w:lineRule="auto"/>
              <w:jc w:val="left"/>
              <w:rPr>
                <w:rFonts w:cs="Times New Roman"/>
                <w:b/>
                <w:bCs/>
                <w:color w:val="5B9BD5" w:themeColor="accent1"/>
                <w:sz w:val="20"/>
              </w:rPr>
            </w:pPr>
            <w:r>
              <w:rPr>
                <w:rFonts w:cs="Times New Roman"/>
                <w:b/>
                <w:color w:val="5B9BD5" w:themeColor="accent1"/>
                <w:sz w:val="20"/>
              </w:rPr>
              <w:lastRenderedPageBreak/>
              <w:t xml:space="preserve">Graf 4 - </w:t>
            </w:r>
            <w:r w:rsidR="00127ED5" w:rsidRPr="00397CD2">
              <w:rPr>
                <w:rFonts w:cs="Times New Roman"/>
                <w:b/>
                <w:color w:val="5B9BD5" w:themeColor="accent1"/>
                <w:sz w:val="20"/>
              </w:rPr>
              <w:t>Štr</w:t>
            </w:r>
            <w:r w:rsidR="00397CD2">
              <w:rPr>
                <w:rFonts w:cs="Times New Roman"/>
                <w:b/>
                <w:color w:val="5B9BD5" w:themeColor="accent1"/>
                <w:sz w:val="20"/>
              </w:rPr>
              <w:t>uktúra spotrebiteľskej inflácie</w:t>
            </w:r>
            <w:r w:rsidR="00127ED5" w:rsidRPr="00397CD2">
              <w:rPr>
                <w:rFonts w:cs="Times New Roman"/>
                <w:b/>
                <w:color w:val="5B9BD5" w:themeColor="accent1"/>
                <w:sz w:val="20"/>
              </w:rPr>
              <w:t>–medziročné príspevky</w:t>
            </w:r>
            <w:r w:rsidR="00397CD2">
              <w:rPr>
                <w:rFonts w:cs="Times New Roman"/>
                <w:b/>
                <w:color w:val="5B9BD5" w:themeColor="accent1"/>
                <w:sz w:val="20"/>
              </w:rPr>
              <w:t xml:space="preserve"> </w:t>
            </w:r>
            <w:r w:rsidR="00127ED5" w:rsidRPr="00397CD2">
              <w:rPr>
                <w:rFonts w:cs="Times New Roman"/>
                <w:b/>
                <w:color w:val="5B9BD5" w:themeColor="accent1"/>
                <w:sz w:val="20"/>
              </w:rPr>
              <w:t xml:space="preserve">zložiek CPI (p. b.) </w:t>
            </w:r>
          </w:p>
        </w:tc>
        <w:tc>
          <w:tcPr>
            <w:tcW w:w="2422" w:type="pct"/>
            <w:tcBorders>
              <w:top w:val="nil"/>
              <w:left w:val="nil"/>
              <w:bottom w:val="single" w:sz="4" w:space="0" w:color="auto"/>
              <w:right w:val="nil"/>
            </w:tcBorders>
            <w:shd w:val="clear" w:color="auto" w:fill="auto"/>
            <w:vAlign w:val="center"/>
          </w:tcPr>
          <w:p w14:paraId="68E5EDB0" w14:textId="0D54619E" w:rsidR="00127ED5" w:rsidRPr="00397CD2" w:rsidRDefault="00F05830" w:rsidP="00382A08">
            <w:pPr>
              <w:spacing w:after="0" w:line="240" w:lineRule="auto"/>
              <w:jc w:val="left"/>
              <w:rPr>
                <w:rFonts w:cs="Times New Roman"/>
                <w:b/>
                <w:bCs/>
                <w:color w:val="5B9BD5" w:themeColor="accent1"/>
                <w:sz w:val="20"/>
              </w:rPr>
            </w:pPr>
            <w:r>
              <w:rPr>
                <w:rFonts w:cs="Times New Roman"/>
                <w:b/>
                <w:bCs/>
                <w:color w:val="5B9BD5" w:themeColor="accent1"/>
                <w:sz w:val="20"/>
              </w:rPr>
              <w:t xml:space="preserve">Graf 5 - </w:t>
            </w:r>
            <w:r w:rsidR="00127ED5" w:rsidRPr="00397CD2">
              <w:rPr>
                <w:rFonts w:cs="Times New Roman"/>
                <w:b/>
                <w:bCs/>
                <w:color w:val="5B9BD5" w:themeColor="accent1"/>
                <w:sz w:val="20"/>
              </w:rPr>
              <w:t>Vývoj bežného účtu platobnej bilancie podľa jeho zložiek (% HDP)</w:t>
            </w:r>
          </w:p>
        </w:tc>
      </w:tr>
      <w:tr w:rsidR="00127ED5" w:rsidRPr="0042667C" w14:paraId="2F43D742" w14:textId="77777777" w:rsidTr="00A20EDF">
        <w:trPr>
          <w:trHeight w:val="3118"/>
        </w:trPr>
        <w:tc>
          <w:tcPr>
            <w:tcW w:w="2578" w:type="pct"/>
            <w:tcBorders>
              <w:top w:val="single" w:sz="4" w:space="0" w:color="auto"/>
              <w:left w:val="nil"/>
              <w:bottom w:val="single" w:sz="4" w:space="0" w:color="auto"/>
              <w:right w:val="nil"/>
            </w:tcBorders>
          </w:tcPr>
          <w:p w14:paraId="3F205743" w14:textId="6F115A56" w:rsidR="00127ED5" w:rsidRPr="0042667C" w:rsidRDefault="001E076F" w:rsidP="006D0C70">
            <w:pPr>
              <w:rPr>
                <w:rFonts w:ascii="NeueHaasGroteskText W02" w:hAnsi="NeueHaasGroteskText W02" w:cs="Garamond"/>
                <w:b/>
                <w:bCs/>
                <w:sz w:val="16"/>
                <w:szCs w:val="16"/>
              </w:rPr>
            </w:pPr>
            <w:r>
              <w:rPr>
                <w:noProof/>
                <w:lang w:eastAsia="sk-SK"/>
              </w:rPr>
              <w:drawing>
                <wp:inline distT="0" distB="0" distL="0" distR="0" wp14:anchorId="07C397D9" wp14:editId="51F1DA9D">
                  <wp:extent cx="2771775" cy="21336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422" w:type="pct"/>
            <w:tcBorders>
              <w:top w:val="single" w:sz="4" w:space="0" w:color="auto"/>
              <w:left w:val="nil"/>
              <w:bottom w:val="single" w:sz="4" w:space="0" w:color="auto"/>
              <w:right w:val="nil"/>
            </w:tcBorders>
          </w:tcPr>
          <w:p w14:paraId="56C06DDF" w14:textId="4B382F6F" w:rsidR="00127ED5" w:rsidRPr="0042667C" w:rsidRDefault="001E076F" w:rsidP="006D0C70">
            <w:pPr>
              <w:spacing w:after="100" w:afterAutospacing="1"/>
              <w:rPr>
                <w:rFonts w:ascii="NeueHaasGroteskText W02" w:hAnsi="NeueHaasGroteskText W02" w:cs="Garamond"/>
                <w:b/>
                <w:bCs/>
                <w:sz w:val="16"/>
                <w:szCs w:val="16"/>
              </w:rPr>
            </w:pPr>
            <w:r>
              <w:rPr>
                <w:noProof/>
                <w:lang w:eastAsia="sk-SK"/>
              </w:rPr>
              <w:drawing>
                <wp:inline distT="0" distB="0" distL="0" distR="0" wp14:anchorId="4580886B" wp14:editId="0ABFA072">
                  <wp:extent cx="2505075" cy="207645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27ED5" w:rsidRPr="00F05830" w14:paraId="38454F04" w14:textId="77777777" w:rsidTr="000C3C49">
        <w:trPr>
          <w:trHeight w:val="113"/>
        </w:trPr>
        <w:tc>
          <w:tcPr>
            <w:tcW w:w="2578" w:type="pct"/>
            <w:tcBorders>
              <w:top w:val="single" w:sz="4" w:space="0" w:color="auto"/>
              <w:left w:val="nil"/>
              <w:right w:val="nil"/>
            </w:tcBorders>
          </w:tcPr>
          <w:p w14:paraId="58A5D13F" w14:textId="77777777" w:rsidR="00127ED5" w:rsidRPr="00F05830" w:rsidRDefault="00127ED5" w:rsidP="006D0C70">
            <w:pPr>
              <w:jc w:val="right"/>
              <w:rPr>
                <w:rFonts w:cs="Times New Roman"/>
                <w:iCs/>
                <w:sz w:val="16"/>
                <w:szCs w:val="16"/>
              </w:rPr>
            </w:pPr>
            <w:r w:rsidRPr="00F05830">
              <w:rPr>
                <w:rFonts w:cs="Times New Roman"/>
                <w:iCs/>
                <w:sz w:val="16"/>
                <w:szCs w:val="16"/>
              </w:rPr>
              <w:t xml:space="preserve">Zdroj: ŠÚ SR, MF SR   </w:t>
            </w:r>
          </w:p>
        </w:tc>
        <w:tc>
          <w:tcPr>
            <w:tcW w:w="2422" w:type="pct"/>
            <w:tcBorders>
              <w:top w:val="single" w:sz="4" w:space="0" w:color="auto"/>
              <w:left w:val="nil"/>
              <w:right w:val="nil"/>
            </w:tcBorders>
          </w:tcPr>
          <w:p w14:paraId="6C5948A8" w14:textId="77777777" w:rsidR="00127ED5" w:rsidRPr="00F05830" w:rsidRDefault="00127ED5" w:rsidP="006D0C70">
            <w:pPr>
              <w:jc w:val="right"/>
              <w:rPr>
                <w:rFonts w:cs="Times New Roman"/>
                <w:iCs/>
                <w:sz w:val="16"/>
                <w:szCs w:val="16"/>
              </w:rPr>
            </w:pPr>
            <w:r w:rsidRPr="00F05830">
              <w:rPr>
                <w:rFonts w:cs="Times New Roman"/>
                <w:iCs/>
                <w:sz w:val="16"/>
                <w:szCs w:val="16"/>
              </w:rPr>
              <w:t xml:space="preserve">Zdroj: NBS, MF SR </w:t>
            </w:r>
          </w:p>
        </w:tc>
      </w:tr>
      <w:tr w:rsidR="000C3C49" w:rsidRPr="00F05830" w14:paraId="61960A12" w14:textId="77777777" w:rsidTr="000C3C49">
        <w:trPr>
          <w:trHeight w:val="113"/>
        </w:trPr>
        <w:tc>
          <w:tcPr>
            <w:tcW w:w="2578" w:type="pct"/>
            <w:tcBorders>
              <w:left w:val="nil"/>
              <w:bottom w:val="nil"/>
              <w:right w:val="nil"/>
            </w:tcBorders>
          </w:tcPr>
          <w:p w14:paraId="302A335A" w14:textId="77777777" w:rsidR="000C3C49" w:rsidRPr="00F05830" w:rsidRDefault="000C3C49" w:rsidP="006D0C70">
            <w:pPr>
              <w:jc w:val="right"/>
              <w:rPr>
                <w:rFonts w:cs="Times New Roman"/>
                <w:iCs/>
                <w:sz w:val="16"/>
                <w:szCs w:val="16"/>
              </w:rPr>
            </w:pPr>
          </w:p>
        </w:tc>
        <w:tc>
          <w:tcPr>
            <w:tcW w:w="2422" w:type="pct"/>
            <w:tcBorders>
              <w:left w:val="nil"/>
              <w:bottom w:val="nil"/>
              <w:right w:val="nil"/>
            </w:tcBorders>
          </w:tcPr>
          <w:p w14:paraId="5E00D91D" w14:textId="77777777" w:rsidR="000C3C49" w:rsidRPr="00F05830" w:rsidRDefault="000C3C49" w:rsidP="006D0C70">
            <w:pPr>
              <w:jc w:val="right"/>
              <w:rPr>
                <w:rFonts w:cs="Times New Roman"/>
                <w:iCs/>
                <w:sz w:val="16"/>
                <w:szCs w:val="16"/>
              </w:rPr>
            </w:pPr>
          </w:p>
        </w:tc>
      </w:tr>
    </w:tbl>
    <w:p w14:paraId="6AA20DFE" w14:textId="42C4A607" w:rsidR="005F5B88" w:rsidRPr="000F375D" w:rsidRDefault="001737A0" w:rsidP="0008303C">
      <w:pPr>
        <w:pStyle w:val="Nadpis3"/>
      </w:pPr>
      <w:bookmarkStart w:id="15" w:name="_Toc6415633"/>
      <w:r>
        <w:t xml:space="preserve"> </w:t>
      </w:r>
      <w:bookmarkStart w:id="16" w:name="_Toc132929075"/>
      <w:r w:rsidR="005F5B88" w:rsidRPr="000F375D">
        <w:t>Porovnanie makroekonomických predpokladov rozpočtu a</w:t>
      </w:r>
      <w:r w:rsidR="00790612" w:rsidRPr="000F375D">
        <w:t> </w:t>
      </w:r>
      <w:r w:rsidR="005F5B88" w:rsidRPr="000F375D">
        <w:t>skutočnosti</w:t>
      </w:r>
      <w:bookmarkEnd w:id="15"/>
      <w:bookmarkEnd w:id="16"/>
    </w:p>
    <w:p w14:paraId="2F736A05" w14:textId="284FABB9" w:rsidR="001E076F" w:rsidRPr="001E076F" w:rsidRDefault="001E076F" w:rsidP="001E076F">
      <w:pPr>
        <w:spacing w:line="240" w:lineRule="auto"/>
        <w:rPr>
          <w:sz w:val="24"/>
          <w:szCs w:val="24"/>
        </w:rPr>
      </w:pPr>
      <w:r w:rsidRPr="001E076F">
        <w:rPr>
          <w:sz w:val="24"/>
          <w:szCs w:val="24"/>
        </w:rPr>
        <w:t>Vývoj reálnej ekonomiky bol menej priaznivý ako očakávala prognóza MF SR použitá pri zostavovaní rozpočtu verejnej správy pre rok 2022. Prudký nárast inflácie zdvihol nominálne veličiny, zároveň však ukrojil z rastu reálnych veličín. Napriek poklesu reálnej mzdy reálna spotreba rástla, podporovaná čerpaním úspor. Investície aj vládna spotreba rástli oproti prognóze pomalšie. Spomalenie exportu bolo výraznejšie</w:t>
      </w:r>
      <w:r w:rsidR="007B651D">
        <w:rPr>
          <w:sz w:val="24"/>
          <w:szCs w:val="24"/>
        </w:rPr>
        <w:t xml:space="preserve"> ako spomalenie rastu importu, </w:t>
      </w:r>
      <w:r w:rsidRPr="001E076F">
        <w:rPr>
          <w:sz w:val="24"/>
          <w:szCs w:val="24"/>
        </w:rPr>
        <w:t>čo ťahalo celkový HDP nadol. Vďaka odolnému trhu práce, rast zamestnanosti aj pokles miery nezamestnanosti prekonal prognózu.</w:t>
      </w:r>
    </w:p>
    <w:p w14:paraId="79B71176" w14:textId="77777777" w:rsidR="001E076F" w:rsidRPr="001E076F" w:rsidRDefault="001E076F" w:rsidP="001E076F">
      <w:pPr>
        <w:spacing w:line="240" w:lineRule="auto"/>
        <w:rPr>
          <w:sz w:val="24"/>
          <w:szCs w:val="24"/>
        </w:rPr>
      </w:pPr>
    </w:p>
    <w:p w14:paraId="7F25DF4A" w14:textId="6CF53A78" w:rsidR="001E076F" w:rsidRPr="001E076F" w:rsidRDefault="001E076F" w:rsidP="001E076F">
      <w:pPr>
        <w:spacing w:line="240" w:lineRule="auto"/>
        <w:rPr>
          <w:sz w:val="24"/>
          <w:szCs w:val="24"/>
        </w:rPr>
      </w:pPr>
      <w:r w:rsidRPr="001E076F">
        <w:rPr>
          <w:sz w:val="24"/>
          <w:szCs w:val="24"/>
        </w:rPr>
        <w:t xml:space="preserve">Z pohľadu makroekonomických základní pre dane a odvody skončil rok 2022 pozitívne. Robustný trh podporil rast nominálnych miezd, rýchlejšie rástla aj zamestnanosť. Mzdová báza, ktorá je najvýznamnejšou základňou pre daň z príjmu fyzických osôb a odvodov, tak rástla výrazne rýchlejšie. Inflácia vytlačila nahor nominálnu spotrebu domácností a HDP, vďaka úsporám rástla aj reálna spotreba. Pomalšie rástol len reálny HDP. </w:t>
      </w:r>
    </w:p>
    <w:tbl>
      <w:tblPr>
        <w:tblW w:w="9357" w:type="dxa"/>
        <w:jc w:val="center"/>
        <w:tblCellMar>
          <w:left w:w="70" w:type="dxa"/>
          <w:right w:w="70" w:type="dxa"/>
        </w:tblCellMar>
        <w:tblLook w:val="04A0" w:firstRow="1" w:lastRow="0" w:firstColumn="1" w:lastColumn="0" w:noHBand="0" w:noVBand="1"/>
      </w:tblPr>
      <w:tblGrid>
        <w:gridCol w:w="4536"/>
        <w:gridCol w:w="1134"/>
        <w:gridCol w:w="1701"/>
        <w:gridCol w:w="1986"/>
      </w:tblGrid>
      <w:tr w:rsidR="00382A08" w:rsidRPr="00397CD2" w14:paraId="39FF2A8B" w14:textId="77777777" w:rsidTr="007C5FE8">
        <w:trPr>
          <w:trHeight w:val="293"/>
          <w:jc w:val="center"/>
        </w:trPr>
        <w:tc>
          <w:tcPr>
            <w:tcW w:w="9357" w:type="dxa"/>
            <w:gridSpan w:val="4"/>
            <w:tcBorders>
              <w:top w:val="nil"/>
              <w:left w:val="nil"/>
              <w:bottom w:val="single" w:sz="4" w:space="0" w:color="auto"/>
            </w:tcBorders>
            <w:shd w:val="clear" w:color="000000" w:fill="auto"/>
            <w:vAlign w:val="bottom"/>
            <w:hideMark/>
          </w:tcPr>
          <w:p w14:paraId="493965B2" w14:textId="14EF1A32" w:rsidR="00382A08" w:rsidRPr="00397CD2" w:rsidRDefault="00F05830" w:rsidP="00B237AD">
            <w:pPr>
              <w:spacing w:after="0" w:line="240" w:lineRule="auto"/>
              <w:jc w:val="left"/>
              <w:rPr>
                <w:rFonts w:cs="Times New Roman"/>
                <w:b/>
                <w:bCs/>
                <w:color w:val="5B9BD5" w:themeColor="accent1"/>
                <w:sz w:val="20"/>
                <w:szCs w:val="20"/>
              </w:rPr>
            </w:pPr>
            <w:r>
              <w:rPr>
                <w:rFonts w:cs="Times New Roman"/>
                <w:b/>
                <w:bCs/>
                <w:color w:val="5B9BD5" w:themeColor="accent1"/>
                <w:sz w:val="20"/>
                <w:szCs w:val="20"/>
              </w:rPr>
              <w:t xml:space="preserve">Tabuľka 3 - </w:t>
            </w:r>
            <w:r w:rsidR="00382A08" w:rsidRPr="00397CD2">
              <w:rPr>
                <w:rFonts w:cs="Times New Roman"/>
                <w:b/>
                <w:bCs/>
                <w:color w:val="5B9BD5" w:themeColor="accent1"/>
                <w:sz w:val="20"/>
                <w:szCs w:val="20"/>
              </w:rPr>
              <w:t>Porovnanie skutočnosti za rok 202</w:t>
            </w:r>
            <w:r w:rsidR="00B237AD">
              <w:rPr>
                <w:rFonts w:cs="Times New Roman"/>
                <w:b/>
                <w:bCs/>
                <w:color w:val="5B9BD5" w:themeColor="accent1"/>
                <w:sz w:val="20"/>
                <w:szCs w:val="20"/>
              </w:rPr>
              <w:t>2</w:t>
            </w:r>
            <w:r w:rsidR="00382A08" w:rsidRPr="00397CD2">
              <w:rPr>
                <w:rFonts w:cs="Times New Roman"/>
                <w:b/>
                <w:bCs/>
                <w:color w:val="5B9BD5" w:themeColor="accent1"/>
                <w:sz w:val="20"/>
                <w:szCs w:val="20"/>
              </w:rPr>
              <w:t xml:space="preserve"> s predpokladmi pre tvorbu rozpočtu na roky 202</w:t>
            </w:r>
            <w:r w:rsidR="001E076F">
              <w:rPr>
                <w:rFonts w:cs="Times New Roman"/>
                <w:b/>
                <w:bCs/>
                <w:color w:val="5B9BD5" w:themeColor="accent1"/>
                <w:sz w:val="20"/>
                <w:szCs w:val="20"/>
              </w:rPr>
              <w:t>2</w:t>
            </w:r>
            <w:r w:rsidR="00382A08" w:rsidRPr="00397CD2">
              <w:rPr>
                <w:rFonts w:cs="Times New Roman"/>
                <w:b/>
                <w:bCs/>
                <w:color w:val="5B9BD5" w:themeColor="accent1"/>
                <w:sz w:val="20"/>
                <w:szCs w:val="20"/>
              </w:rPr>
              <w:t>-202</w:t>
            </w:r>
            <w:r w:rsidR="001E076F">
              <w:rPr>
                <w:rFonts w:cs="Times New Roman"/>
                <w:b/>
                <w:bCs/>
                <w:color w:val="5B9BD5" w:themeColor="accent1"/>
                <w:sz w:val="20"/>
                <w:szCs w:val="20"/>
              </w:rPr>
              <w:t>4</w:t>
            </w:r>
          </w:p>
        </w:tc>
      </w:tr>
      <w:tr w:rsidR="00127ED5" w:rsidRPr="00127ED5" w14:paraId="08F7DCC5" w14:textId="77777777" w:rsidTr="00CE362A">
        <w:trPr>
          <w:trHeight w:val="289"/>
          <w:jc w:val="center"/>
        </w:trPr>
        <w:tc>
          <w:tcPr>
            <w:tcW w:w="4536" w:type="dxa"/>
            <w:tcBorders>
              <w:top w:val="single" w:sz="4" w:space="0" w:color="auto"/>
              <w:left w:val="nil"/>
              <w:bottom w:val="single" w:sz="8" w:space="0" w:color="auto"/>
              <w:right w:val="nil"/>
            </w:tcBorders>
            <w:shd w:val="clear" w:color="000000" w:fill="auto"/>
            <w:vAlign w:val="center"/>
            <w:hideMark/>
          </w:tcPr>
          <w:p w14:paraId="0D0FD7E9" w14:textId="2D012B43" w:rsidR="00127ED5" w:rsidRPr="00127ED5" w:rsidRDefault="00127ED5" w:rsidP="00382A08">
            <w:pPr>
              <w:spacing w:after="0" w:line="240" w:lineRule="auto"/>
              <w:jc w:val="left"/>
              <w:rPr>
                <w:rFonts w:cs="Times New Roman"/>
                <w:b/>
                <w:bCs/>
                <w:color w:val="000000"/>
                <w:sz w:val="20"/>
                <w:szCs w:val="20"/>
              </w:rPr>
            </w:pPr>
            <w:r w:rsidRPr="00127ED5">
              <w:rPr>
                <w:rFonts w:cs="Times New Roman"/>
                <w:b/>
                <w:bCs/>
                <w:color w:val="000000"/>
                <w:sz w:val="20"/>
                <w:szCs w:val="20"/>
              </w:rPr>
              <w:t>%, ak nie je uvedené inak</w:t>
            </w:r>
          </w:p>
        </w:tc>
        <w:tc>
          <w:tcPr>
            <w:tcW w:w="1134" w:type="dxa"/>
            <w:tcBorders>
              <w:top w:val="single" w:sz="4" w:space="0" w:color="auto"/>
              <w:left w:val="nil"/>
              <w:bottom w:val="single" w:sz="8" w:space="0" w:color="auto"/>
              <w:right w:val="nil"/>
            </w:tcBorders>
            <w:shd w:val="clear" w:color="000000" w:fill="auto"/>
            <w:vAlign w:val="center"/>
            <w:hideMark/>
          </w:tcPr>
          <w:p w14:paraId="33DACF13" w14:textId="273782CE" w:rsidR="00127ED5" w:rsidRPr="00127ED5" w:rsidRDefault="00397CD2" w:rsidP="001E076F">
            <w:pPr>
              <w:spacing w:after="0" w:line="240" w:lineRule="auto"/>
              <w:jc w:val="right"/>
              <w:rPr>
                <w:rFonts w:cs="Times New Roman"/>
                <w:b/>
                <w:bCs/>
                <w:color w:val="000000"/>
                <w:sz w:val="20"/>
                <w:szCs w:val="20"/>
              </w:rPr>
            </w:pPr>
            <w:r>
              <w:rPr>
                <w:rFonts w:cs="Times New Roman"/>
                <w:b/>
                <w:bCs/>
                <w:color w:val="000000"/>
                <w:sz w:val="20"/>
                <w:szCs w:val="20"/>
              </w:rPr>
              <w:t>2</w:t>
            </w:r>
            <w:r w:rsidR="00127ED5" w:rsidRPr="00127ED5">
              <w:rPr>
                <w:rFonts w:cs="Times New Roman"/>
                <w:b/>
                <w:bCs/>
                <w:color w:val="000000"/>
                <w:sz w:val="20"/>
                <w:szCs w:val="20"/>
              </w:rPr>
              <w:t>02</w:t>
            </w:r>
            <w:r w:rsidR="001E076F">
              <w:rPr>
                <w:rFonts w:cs="Times New Roman"/>
                <w:b/>
                <w:bCs/>
                <w:color w:val="000000"/>
                <w:sz w:val="20"/>
                <w:szCs w:val="20"/>
              </w:rPr>
              <w:t>2</w:t>
            </w:r>
            <w:r>
              <w:rPr>
                <w:rFonts w:cs="Times New Roman"/>
                <w:b/>
                <w:bCs/>
                <w:color w:val="000000"/>
                <w:sz w:val="20"/>
                <w:szCs w:val="20"/>
              </w:rPr>
              <w:t xml:space="preserve"> R</w:t>
            </w:r>
          </w:p>
        </w:tc>
        <w:tc>
          <w:tcPr>
            <w:tcW w:w="1701" w:type="dxa"/>
            <w:tcBorders>
              <w:top w:val="single" w:sz="4" w:space="0" w:color="auto"/>
              <w:left w:val="nil"/>
              <w:bottom w:val="single" w:sz="8" w:space="0" w:color="auto"/>
              <w:right w:val="nil"/>
            </w:tcBorders>
            <w:shd w:val="clear" w:color="000000" w:fill="auto"/>
            <w:vAlign w:val="center"/>
            <w:hideMark/>
          </w:tcPr>
          <w:p w14:paraId="6C46E60A" w14:textId="627AF102" w:rsidR="00127ED5" w:rsidRPr="00127ED5" w:rsidRDefault="00397CD2" w:rsidP="001E076F">
            <w:pPr>
              <w:spacing w:after="0" w:line="240" w:lineRule="auto"/>
              <w:jc w:val="right"/>
              <w:rPr>
                <w:rFonts w:cs="Times New Roman"/>
                <w:b/>
                <w:bCs/>
                <w:color w:val="000000"/>
                <w:sz w:val="20"/>
                <w:szCs w:val="20"/>
              </w:rPr>
            </w:pPr>
            <w:r>
              <w:rPr>
                <w:rFonts w:cs="Times New Roman"/>
                <w:b/>
                <w:bCs/>
                <w:color w:val="000000"/>
                <w:sz w:val="20"/>
                <w:szCs w:val="20"/>
              </w:rPr>
              <w:t>202</w:t>
            </w:r>
            <w:r w:rsidR="001E076F">
              <w:rPr>
                <w:rFonts w:cs="Times New Roman"/>
                <w:b/>
                <w:bCs/>
                <w:color w:val="000000"/>
                <w:sz w:val="20"/>
                <w:szCs w:val="20"/>
              </w:rPr>
              <w:t>2</w:t>
            </w:r>
            <w:r>
              <w:rPr>
                <w:rFonts w:cs="Times New Roman"/>
                <w:b/>
                <w:bCs/>
                <w:color w:val="000000"/>
                <w:sz w:val="20"/>
                <w:szCs w:val="20"/>
              </w:rPr>
              <w:t xml:space="preserve"> S</w:t>
            </w:r>
          </w:p>
        </w:tc>
        <w:tc>
          <w:tcPr>
            <w:tcW w:w="1986" w:type="dxa"/>
            <w:tcBorders>
              <w:top w:val="single" w:sz="4" w:space="0" w:color="auto"/>
              <w:left w:val="nil"/>
              <w:bottom w:val="single" w:sz="8" w:space="0" w:color="auto"/>
              <w:right w:val="nil"/>
            </w:tcBorders>
            <w:shd w:val="clear" w:color="000000" w:fill="auto"/>
            <w:vAlign w:val="center"/>
            <w:hideMark/>
          </w:tcPr>
          <w:p w14:paraId="76F3FB2D" w14:textId="77777777" w:rsidR="00127ED5" w:rsidRPr="00127ED5" w:rsidRDefault="00127ED5" w:rsidP="00382A08">
            <w:pPr>
              <w:spacing w:after="0" w:line="240" w:lineRule="auto"/>
              <w:jc w:val="right"/>
              <w:rPr>
                <w:rFonts w:cs="Times New Roman"/>
                <w:b/>
                <w:bCs/>
                <w:color w:val="000000"/>
                <w:sz w:val="20"/>
                <w:szCs w:val="20"/>
              </w:rPr>
            </w:pPr>
            <w:r w:rsidRPr="00127ED5">
              <w:rPr>
                <w:rFonts w:cs="Times New Roman"/>
                <w:b/>
                <w:bCs/>
                <w:color w:val="000000"/>
                <w:sz w:val="20"/>
                <w:szCs w:val="20"/>
              </w:rPr>
              <w:t>Rozdiel v </w:t>
            </w:r>
            <w:proofErr w:type="spellStart"/>
            <w:r w:rsidRPr="00127ED5">
              <w:rPr>
                <w:rFonts w:cs="Times New Roman"/>
                <w:b/>
                <w:bCs/>
                <w:color w:val="000000"/>
                <w:sz w:val="20"/>
                <w:szCs w:val="20"/>
              </w:rPr>
              <w:t>p.b</w:t>
            </w:r>
            <w:proofErr w:type="spellEnd"/>
            <w:r w:rsidRPr="00127ED5">
              <w:rPr>
                <w:rFonts w:cs="Times New Roman"/>
                <w:b/>
                <w:bCs/>
                <w:color w:val="000000"/>
                <w:sz w:val="20"/>
                <w:szCs w:val="20"/>
              </w:rPr>
              <w:t>.</w:t>
            </w:r>
          </w:p>
        </w:tc>
      </w:tr>
      <w:tr w:rsidR="001E076F" w:rsidRPr="00127ED5" w14:paraId="2D52B8DE" w14:textId="77777777" w:rsidTr="00CE362A">
        <w:trPr>
          <w:trHeight w:val="289"/>
          <w:jc w:val="center"/>
        </w:trPr>
        <w:tc>
          <w:tcPr>
            <w:tcW w:w="4536" w:type="dxa"/>
            <w:tcBorders>
              <w:top w:val="nil"/>
              <w:left w:val="nil"/>
              <w:bottom w:val="nil"/>
              <w:right w:val="nil"/>
            </w:tcBorders>
            <w:shd w:val="clear" w:color="auto" w:fill="auto"/>
            <w:vAlign w:val="bottom"/>
            <w:hideMark/>
          </w:tcPr>
          <w:p w14:paraId="27DD28F1" w14:textId="3F66C1EC"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Hrubý domáci produkt, reálny rast</w:t>
            </w:r>
          </w:p>
        </w:tc>
        <w:tc>
          <w:tcPr>
            <w:tcW w:w="1134" w:type="dxa"/>
            <w:tcBorders>
              <w:top w:val="nil"/>
              <w:left w:val="nil"/>
              <w:bottom w:val="nil"/>
              <w:right w:val="nil"/>
            </w:tcBorders>
            <w:shd w:val="clear" w:color="auto" w:fill="auto"/>
            <w:vAlign w:val="bottom"/>
            <w:hideMark/>
          </w:tcPr>
          <w:p w14:paraId="6A7861F1" w14:textId="6E1F5F07"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4,2</w:t>
            </w:r>
          </w:p>
        </w:tc>
        <w:tc>
          <w:tcPr>
            <w:tcW w:w="1701" w:type="dxa"/>
            <w:tcBorders>
              <w:top w:val="nil"/>
              <w:left w:val="nil"/>
              <w:bottom w:val="nil"/>
              <w:right w:val="nil"/>
            </w:tcBorders>
            <w:shd w:val="clear" w:color="auto" w:fill="auto"/>
            <w:vAlign w:val="bottom"/>
            <w:hideMark/>
          </w:tcPr>
          <w:p w14:paraId="275243D4" w14:textId="013E8FC7"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1,7</w:t>
            </w:r>
          </w:p>
        </w:tc>
        <w:tc>
          <w:tcPr>
            <w:tcW w:w="1986" w:type="dxa"/>
            <w:tcBorders>
              <w:top w:val="nil"/>
              <w:left w:val="nil"/>
              <w:bottom w:val="nil"/>
              <w:right w:val="nil"/>
            </w:tcBorders>
            <w:shd w:val="clear" w:color="auto" w:fill="auto"/>
            <w:vAlign w:val="bottom"/>
            <w:hideMark/>
          </w:tcPr>
          <w:p w14:paraId="1A00D75D" w14:textId="220F2622"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-2,5</w:t>
            </w:r>
          </w:p>
        </w:tc>
      </w:tr>
      <w:tr w:rsidR="001E076F" w:rsidRPr="00127ED5" w14:paraId="0E767BC6" w14:textId="77777777" w:rsidTr="00CE362A">
        <w:trPr>
          <w:trHeight w:val="289"/>
          <w:jc w:val="center"/>
        </w:trPr>
        <w:tc>
          <w:tcPr>
            <w:tcW w:w="4536" w:type="dxa"/>
            <w:tcBorders>
              <w:top w:val="nil"/>
              <w:left w:val="nil"/>
              <w:bottom w:val="nil"/>
              <w:right w:val="nil"/>
            </w:tcBorders>
            <w:shd w:val="clear" w:color="auto" w:fill="auto"/>
            <w:vAlign w:val="bottom"/>
            <w:hideMark/>
          </w:tcPr>
          <w:p w14:paraId="598AEB52" w14:textId="34DC50AB"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Hrubý domáci</w:t>
            </w:r>
            <w:r>
              <w:rPr>
                <w:rFonts w:eastAsia="Times New Roman" w:cs="Times New Roman"/>
                <w:color w:val="000000"/>
                <w:sz w:val="20"/>
                <w:szCs w:val="20"/>
                <w:lang w:eastAsia="sk-SK"/>
              </w:rPr>
              <w:t xml:space="preserve"> produkt v bežných cenách mld. e</w:t>
            </w:r>
            <w:r w:rsidRPr="00127ED5">
              <w:rPr>
                <w:rFonts w:eastAsia="Times New Roman" w:cs="Times New Roman"/>
                <w:color w:val="000000"/>
                <w:sz w:val="20"/>
                <w:szCs w:val="20"/>
                <w:lang w:eastAsia="sk-SK"/>
              </w:rPr>
              <w:t>ur</w:t>
            </w:r>
          </w:p>
        </w:tc>
        <w:tc>
          <w:tcPr>
            <w:tcW w:w="1134" w:type="dxa"/>
            <w:tcBorders>
              <w:top w:val="nil"/>
              <w:left w:val="nil"/>
              <w:bottom w:val="nil"/>
              <w:right w:val="nil"/>
            </w:tcBorders>
            <w:shd w:val="clear" w:color="auto" w:fill="auto"/>
            <w:vAlign w:val="bottom"/>
            <w:hideMark/>
          </w:tcPr>
          <w:p w14:paraId="41729E5A" w14:textId="5D72D7C5"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104,9</w:t>
            </w:r>
          </w:p>
        </w:tc>
        <w:tc>
          <w:tcPr>
            <w:tcW w:w="1701" w:type="dxa"/>
            <w:tcBorders>
              <w:top w:val="nil"/>
              <w:left w:val="nil"/>
              <w:bottom w:val="nil"/>
              <w:right w:val="nil"/>
            </w:tcBorders>
            <w:shd w:val="clear" w:color="auto" w:fill="auto"/>
            <w:noWrap/>
            <w:vAlign w:val="bottom"/>
            <w:hideMark/>
          </w:tcPr>
          <w:p w14:paraId="6531BC4F" w14:textId="04E72836" w:rsidR="001E076F" w:rsidRPr="001E076F" w:rsidRDefault="00B237AD" w:rsidP="001E076F">
            <w:pPr>
              <w:spacing w:after="0" w:line="240" w:lineRule="auto"/>
              <w:jc w:val="right"/>
              <w:rPr>
                <w:rFonts w:eastAsia="Times New Roman" w:cs="Times New Roman"/>
                <w:color w:val="000000"/>
                <w:sz w:val="20"/>
                <w:szCs w:val="20"/>
                <w:lang w:eastAsia="sk-SK"/>
              </w:rPr>
            </w:pPr>
            <w:r>
              <w:rPr>
                <w:rFonts w:cs="Times New Roman"/>
                <w:color w:val="000000"/>
                <w:sz w:val="18"/>
                <w:szCs w:val="18"/>
              </w:rPr>
              <w:t>109</w:t>
            </w:r>
            <w:r w:rsidR="001E076F" w:rsidRPr="001E076F">
              <w:rPr>
                <w:rFonts w:cs="Times New Roman"/>
                <w:color w:val="000000"/>
                <w:sz w:val="18"/>
                <w:szCs w:val="18"/>
              </w:rPr>
              <w:t>,7</w:t>
            </w:r>
          </w:p>
        </w:tc>
        <w:tc>
          <w:tcPr>
            <w:tcW w:w="1986" w:type="dxa"/>
            <w:tcBorders>
              <w:top w:val="nil"/>
              <w:left w:val="nil"/>
              <w:bottom w:val="nil"/>
              <w:right w:val="nil"/>
            </w:tcBorders>
            <w:shd w:val="clear" w:color="auto" w:fill="auto"/>
            <w:vAlign w:val="bottom"/>
            <w:hideMark/>
          </w:tcPr>
          <w:p w14:paraId="401205D4" w14:textId="57B8BDFF" w:rsidR="001E076F" w:rsidRPr="001E076F" w:rsidRDefault="001E076F" w:rsidP="00B237AD">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w:t>
            </w:r>
            <w:r w:rsidR="00B237AD">
              <w:rPr>
                <w:rFonts w:cs="Times New Roman"/>
                <w:color w:val="000000"/>
                <w:sz w:val="18"/>
                <w:szCs w:val="18"/>
              </w:rPr>
              <w:t>4</w:t>
            </w:r>
            <w:r w:rsidRPr="001E076F">
              <w:rPr>
                <w:rFonts w:cs="Times New Roman"/>
                <w:color w:val="000000"/>
                <w:sz w:val="18"/>
                <w:szCs w:val="18"/>
              </w:rPr>
              <w:t>,8</w:t>
            </w:r>
          </w:p>
        </w:tc>
      </w:tr>
      <w:tr w:rsidR="001E076F" w:rsidRPr="00127ED5" w14:paraId="5483E4E0" w14:textId="77777777" w:rsidTr="00CE362A">
        <w:trPr>
          <w:trHeight w:val="289"/>
          <w:jc w:val="center"/>
        </w:trPr>
        <w:tc>
          <w:tcPr>
            <w:tcW w:w="4536" w:type="dxa"/>
            <w:tcBorders>
              <w:top w:val="nil"/>
              <w:left w:val="nil"/>
              <w:bottom w:val="nil"/>
              <w:right w:val="nil"/>
            </w:tcBorders>
            <w:shd w:val="clear" w:color="auto" w:fill="auto"/>
            <w:vAlign w:val="bottom"/>
            <w:hideMark/>
          </w:tcPr>
          <w:p w14:paraId="727701AA" w14:textId="208F2B10"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Konečná spotreba domácností a NISD, reálny rast</w:t>
            </w:r>
          </w:p>
        </w:tc>
        <w:tc>
          <w:tcPr>
            <w:tcW w:w="1134" w:type="dxa"/>
            <w:tcBorders>
              <w:top w:val="nil"/>
              <w:left w:val="nil"/>
              <w:bottom w:val="nil"/>
              <w:right w:val="nil"/>
            </w:tcBorders>
            <w:shd w:val="clear" w:color="auto" w:fill="auto"/>
            <w:vAlign w:val="bottom"/>
            <w:hideMark/>
          </w:tcPr>
          <w:p w14:paraId="5A87D370" w14:textId="7F513DF3"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2,4</w:t>
            </w:r>
          </w:p>
        </w:tc>
        <w:tc>
          <w:tcPr>
            <w:tcW w:w="1701" w:type="dxa"/>
            <w:tcBorders>
              <w:top w:val="nil"/>
              <w:left w:val="nil"/>
              <w:bottom w:val="nil"/>
              <w:right w:val="nil"/>
            </w:tcBorders>
            <w:shd w:val="clear" w:color="auto" w:fill="auto"/>
            <w:vAlign w:val="bottom"/>
            <w:hideMark/>
          </w:tcPr>
          <w:p w14:paraId="27C7531F" w14:textId="4772527B"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5,1</w:t>
            </w:r>
          </w:p>
        </w:tc>
        <w:tc>
          <w:tcPr>
            <w:tcW w:w="1986" w:type="dxa"/>
            <w:tcBorders>
              <w:top w:val="nil"/>
              <w:left w:val="nil"/>
              <w:bottom w:val="nil"/>
              <w:right w:val="nil"/>
            </w:tcBorders>
            <w:shd w:val="clear" w:color="auto" w:fill="auto"/>
            <w:vAlign w:val="bottom"/>
            <w:hideMark/>
          </w:tcPr>
          <w:p w14:paraId="24CC812A" w14:textId="46245FBE"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+2,7</w:t>
            </w:r>
          </w:p>
        </w:tc>
      </w:tr>
      <w:tr w:rsidR="001E076F" w:rsidRPr="00127ED5" w14:paraId="075054B7" w14:textId="77777777" w:rsidTr="00CE362A">
        <w:trPr>
          <w:trHeight w:val="289"/>
          <w:jc w:val="center"/>
        </w:trPr>
        <w:tc>
          <w:tcPr>
            <w:tcW w:w="4536" w:type="dxa"/>
            <w:tcBorders>
              <w:top w:val="nil"/>
              <w:left w:val="nil"/>
              <w:bottom w:val="nil"/>
              <w:right w:val="nil"/>
            </w:tcBorders>
            <w:shd w:val="clear" w:color="auto" w:fill="auto"/>
            <w:vAlign w:val="bottom"/>
            <w:hideMark/>
          </w:tcPr>
          <w:p w14:paraId="62F03D30" w14:textId="2F73BDFC"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Konečná spotreba domácností a NISD, nominálny rast</w:t>
            </w:r>
          </w:p>
        </w:tc>
        <w:tc>
          <w:tcPr>
            <w:tcW w:w="1134" w:type="dxa"/>
            <w:tcBorders>
              <w:top w:val="nil"/>
              <w:left w:val="nil"/>
              <w:bottom w:val="nil"/>
              <w:right w:val="nil"/>
            </w:tcBorders>
            <w:shd w:val="clear" w:color="auto" w:fill="auto"/>
            <w:vAlign w:val="bottom"/>
            <w:hideMark/>
          </w:tcPr>
          <w:p w14:paraId="35685625" w14:textId="67BE0016"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6,9</w:t>
            </w:r>
          </w:p>
        </w:tc>
        <w:tc>
          <w:tcPr>
            <w:tcW w:w="1701" w:type="dxa"/>
            <w:tcBorders>
              <w:top w:val="nil"/>
              <w:left w:val="nil"/>
              <w:bottom w:val="nil"/>
              <w:right w:val="nil"/>
            </w:tcBorders>
            <w:shd w:val="clear" w:color="auto" w:fill="auto"/>
            <w:vAlign w:val="bottom"/>
            <w:hideMark/>
          </w:tcPr>
          <w:p w14:paraId="7EBD9F02" w14:textId="12EC4911"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18,0</w:t>
            </w:r>
          </w:p>
        </w:tc>
        <w:tc>
          <w:tcPr>
            <w:tcW w:w="1986" w:type="dxa"/>
            <w:tcBorders>
              <w:top w:val="nil"/>
              <w:left w:val="nil"/>
              <w:bottom w:val="nil"/>
              <w:right w:val="nil"/>
            </w:tcBorders>
            <w:shd w:val="clear" w:color="auto" w:fill="auto"/>
            <w:vAlign w:val="bottom"/>
            <w:hideMark/>
          </w:tcPr>
          <w:p w14:paraId="4B89FA33" w14:textId="78FAFAC0"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+11,1</w:t>
            </w:r>
          </w:p>
        </w:tc>
      </w:tr>
      <w:tr w:rsidR="001E076F" w:rsidRPr="00127ED5" w14:paraId="02CA8C9B" w14:textId="77777777" w:rsidTr="00CE362A">
        <w:trPr>
          <w:trHeight w:val="289"/>
          <w:jc w:val="center"/>
        </w:trPr>
        <w:tc>
          <w:tcPr>
            <w:tcW w:w="4536" w:type="dxa"/>
            <w:tcBorders>
              <w:top w:val="nil"/>
              <w:left w:val="nil"/>
              <w:bottom w:val="nil"/>
              <w:right w:val="nil"/>
            </w:tcBorders>
            <w:shd w:val="clear" w:color="auto" w:fill="auto"/>
            <w:vAlign w:val="bottom"/>
            <w:hideMark/>
          </w:tcPr>
          <w:p w14:paraId="2FCEB052" w14:textId="642A5F70"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Priemerná mesačná mzda, reálny rast</w:t>
            </w:r>
          </w:p>
        </w:tc>
        <w:tc>
          <w:tcPr>
            <w:tcW w:w="1134" w:type="dxa"/>
            <w:tcBorders>
              <w:top w:val="nil"/>
              <w:left w:val="nil"/>
              <w:bottom w:val="nil"/>
              <w:right w:val="nil"/>
            </w:tcBorders>
            <w:shd w:val="clear" w:color="auto" w:fill="auto"/>
            <w:vAlign w:val="bottom"/>
            <w:hideMark/>
          </w:tcPr>
          <w:p w14:paraId="274F0A57" w14:textId="76AA2683"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1,3</w:t>
            </w:r>
          </w:p>
        </w:tc>
        <w:tc>
          <w:tcPr>
            <w:tcW w:w="1701" w:type="dxa"/>
            <w:tcBorders>
              <w:top w:val="nil"/>
              <w:left w:val="nil"/>
              <w:bottom w:val="nil"/>
              <w:right w:val="nil"/>
            </w:tcBorders>
            <w:shd w:val="clear" w:color="auto" w:fill="auto"/>
            <w:vAlign w:val="bottom"/>
            <w:hideMark/>
          </w:tcPr>
          <w:p w14:paraId="1E4C6933" w14:textId="6DB79CC6"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-4,2</w:t>
            </w:r>
          </w:p>
        </w:tc>
        <w:tc>
          <w:tcPr>
            <w:tcW w:w="1986" w:type="dxa"/>
            <w:tcBorders>
              <w:top w:val="nil"/>
              <w:left w:val="nil"/>
              <w:bottom w:val="nil"/>
              <w:right w:val="nil"/>
            </w:tcBorders>
            <w:shd w:val="clear" w:color="auto" w:fill="auto"/>
            <w:vAlign w:val="bottom"/>
            <w:hideMark/>
          </w:tcPr>
          <w:p w14:paraId="746C88D7" w14:textId="657E6CF6"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-5,5</w:t>
            </w:r>
          </w:p>
        </w:tc>
      </w:tr>
      <w:tr w:rsidR="001E076F" w:rsidRPr="00127ED5" w14:paraId="22C0A22F" w14:textId="77777777" w:rsidTr="00CE362A">
        <w:trPr>
          <w:trHeight w:val="289"/>
          <w:jc w:val="center"/>
        </w:trPr>
        <w:tc>
          <w:tcPr>
            <w:tcW w:w="4536" w:type="dxa"/>
            <w:tcBorders>
              <w:top w:val="nil"/>
              <w:left w:val="nil"/>
              <w:bottom w:val="nil"/>
              <w:right w:val="nil"/>
            </w:tcBorders>
            <w:shd w:val="clear" w:color="auto" w:fill="auto"/>
            <w:vAlign w:val="bottom"/>
            <w:hideMark/>
          </w:tcPr>
          <w:p w14:paraId="2F80CA63" w14:textId="489C2A52"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Priemerná mesačná mzda, nominálny rast</w:t>
            </w:r>
          </w:p>
        </w:tc>
        <w:tc>
          <w:tcPr>
            <w:tcW w:w="1134" w:type="dxa"/>
            <w:tcBorders>
              <w:top w:val="nil"/>
              <w:left w:val="nil"/>
              <w:bottom w:val="nil"/>
              <w:right w:val="nil"/>
            </w:tcBorders>
            <w:shd w:val="clear" w:color="auto" w:fill="auto"/>
            <w:vAlign w:val="bottom"/>
            <w:hideMark/>
          </w:tcPr>
          <w:p w14:paraId="7AE0F4A8" w14:textId="78699D1F"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5,5</w:t>
            </w:r>
          </w:p>
        </w:tc>
        <w:tc>
          <w:tcPr>
            <w:tcW w:w="1701" w:type="dxa"/>
            <w:tcBorders>
              <w:top w:val="nil"/>
              <w:left w:val="nil"/>
              <w:bottom w:val="nil"/>
              <w:right w:val="nil"/>
            </w:tcBorders>
            <w:shd w:val="clear" w:color="auto" w:fill="auto"/>
            <w:vAlign w:val="bottom"/>
            <w:hideMark/>
          </w:tcPr>
          <w:p w14:paraId="2316C6D2" w14:textId="322367B6"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8,1</w:t>
            </w:r>
          </w:p>
        </w:tc>
        <w:tc>
          <w:tcPr>
            <w:tcW w:w="1986" w:type="dxa"/>
            <w:tcBorders>
              <w:top w:val="nil"/>
              <w:left w:val="nil"/>
              <w:bottom w:val="nil"/>
              <w:right w:val="nil"/>
            </w:tcBorders>
            <w:shd w:val="clear" w:color="auto" w:fill="auto"/>
            <w:vAlign w:val="bottom"/>
            <w:hideMark/>
          </w:tcPr>
          <w:p w14:paraId="3BD62E72" w14:textId="4497E8CF"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+2,6</w:t>
            </w:r>
          </w:p>
        </w:tc>
      </w:tr>
      <w:tr w:rsidR="001E076F" w:rsidRPr="00127ED5" w14:paraId="3DDDF704" w14:textId="77777777" w:rsidTr="00CE362A">
        <w:trPr>
          <w:trHeight w:val="289"/>
          <w:jc w:val="center"/>
        </w:trPr>
        <w:tc>
          <w:tcPr>
            <w:tcW w:w="4536" w:type="dxa"/>
            <w:tcBorders>
              <w:top w:val="nil"/>
              <w:left w:val="nil"/>
              <w:bottom w:val="nil"/>
              <w:right w:val="nil"/>
            </w:tcBorders>
            <w:shd w:val="clear" w:color="auto" w:fill="auto"/>
            <w:vAlign w:val="bottom"/>
            <w:hideMark/>
          </w:tcPr>
          <w:p w14:paraId="531AA596" w14:textId="77777777"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Zamestnanosť (ESA)</w:t>
            </w:r>
          </w:p>
        </w:tc>
        <w:tc>
          <w:tcPr>
            <w:tcW w:w="1134" w:type="dxa"/>
            <w:tcBorders>
              <w:top w:val="nil"/>
              <w:left w:val="nil"/>
              <w:bottom w:val="nil"/>
              <w:right w:val="nil"/>
            </w:tcBorders>
            <w:shd w:val="clear" w:color="auto" w:fill="auto"/>
            <w:vAlign w:val="bottom"/>
            <w:hideMark/>
          </w:tcPr>
          <w:p w14:paraId="404F5464" w14:textId="16BF5B25"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0,8</w:t>
            </w:r>
          </w:p>
        </w:tc>
        <w:tc>
          <w:tcPr>
            <w:tcW w:w="1701" w:type="dxa"/>
            <w:tcBorders>
              <w:top w:val="nil"/>
              <w:left w:val="nil"/>
              <w:bottom w:val="nil"/>
              <w:right w:val="nil"/>
            </w:tcBorders>
            <w:shd w:val="clear" w:color="auto" w:fill="auto"/>
            <w:vAlign w:val="bottom"/>
            <w:hideMark/>
          </w:tcPr>
          <w:p w14:paraId="3E65658F" w14:textId="2D91A09F"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1,8</w:t>
            </w:r>
          </w:p>
        </w:tc>
        <w:tc>
          <w:tcPr>
            <w:tcW w:w="1986" w:type="dxa"/>
            <w:tcBorders>
              <w:top w:val="nil"/>
              <w:left w:val="nil"/>
              <w:bottom w:val="nil"/>
              <w:right w:val="nil"/>
            </w:tcBorders>
            <w:shd w:val="clear" w:color="auto" w:fill="auto"/>
            <w:vAlign w:val="bottom"/>
            <w:hideMark/>
          </w:tcPr>
          <w:p w14:paraId="52F5E1A2" w14:textId="127ECB6C"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+1,0</w:t>
            </w:r>
          </w:p>
        </w:tc>
      </w:tr>
      <w:tr w:rsidR="001E076F" w:rsidRPr="00127ED5" w14:paraId="48E2843F" w14:textId="77777777" w:rsidTr="00CE362A">
        <w:trPr>
          <w:trHeight w:val="289"/>
          <w:jc w:val="center"/>
        </w:trPr>
        <w:tc>
          <w:tcPr>
            <w:tcW w:w="4536" w:type="dxa"/>
            <w:tcBorders>
              <w:top w:val="nil"/>
              <w:left w:val="nil"/>
              <w:bottom w:val="nil"/>
              <w:right w:val="nil"/>
            </w:tcBorders>
            <w:shd w:val="clear" w:color="auto" w:fill="auto"/>
            <w:vAlign w:val="bottom"/>
          </w:tcPr>
          <w:p w14:paraId="075A3544" w14:textId="77777777"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Miera nezamestnanosti (VZPS)</w:t>
            </w:r>
          </w:p>
        </w:tc>
        <w:tc>
          <w:tcPr>
            <w:tcW w:w="1134" w:type="dxa"/>
            <w:tcBorders>
              <w:top w:val="nil"/>
              <w:left w:val="nil"/>
              <w:bottom w:val="nil"/>
              <w:right w:val="nil"/>
            </w:tcBorders>
            <w:shd w:val="clear" w:color="auto" w:fill="auto"/>
            <w:vAlign w:val="bottom"/>
          </w:tcPr>
          <w:p w14:paraId="2ABA18E4" w14:textId="58338B88"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6,7</w:t>
            </w:r>
          </w:p>
        </w:tc>
        <w:tc>
          <w:tcPr>
            <w:tcW w:w="1701" w:type="dxa"/>
            <w:tcBorders>
              <w:top w:val="nil"/>
              <w:left w:val="nil"/>
              <w:bottom w:val="nil"/>
              <w:right w:val="nil"/>
            </w:tcBorders>
            <w:shd w:val="clear" w:color="auto" w:fill="auto"/>
            <w:vAlign w:val="bottom"/>
          </w:tcPr>
          <w:p w14:paraId="4059BC98" w14:textId="6C2684D6"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6,2</w:t>
            </w:r>
          </w:p>
        </w:tc>
        <w:tc>
          <w:tcPr>
            <w:tcW w:w="1986" w:type="dxa"/>
            <w:tcBorders>
              <w:top w:val="nil"/>
              <w:left w:val="nil"/>
              <w:bottom w:val="nil"/>
              <w:right w:val="nil"/>
            </w:tcBorders>
            <w:shd w:val="clear" w:color="auto" w:fill="auto"/>
            <w:vAlign w:val="bottom"/>
          </w:tcPr>
          <w:p w14:paraId="4DA4DDEC" w14:textId="7D0AB1CC"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-0,5</w:t>
            </w:r>
          </w:p>
        </w:tc>
      </w:tr>
      <w:tr w:rsidR="001E076F" w:rsidRPr="00127ED5" w14:paraId="3FF5BF83" w14:textId="77777777" w:rsidTr="00CE362A">
        <w:trPr>
          <w:trHeight w:val="289"/>
          <w:jc w:val="center"/>
        </w:trPr>
        <w:tc>
          <w:tcPr>
            <w:tcW w:w="4536" w:type="dxa"/>
            <w:tcBorders>
              <w:top w:val="nil"/>
              <w:left w:val="nil"/>
              <w:bottom w:val="nil"/>
              <w:right w:val="nil"/>
            </w:tcBorders>
            <w:shd w:val="clear" w:color="auto" w:fill="auto"/>
            <w:vAlign w:val="bottom"/>
            <w:hideMark/>
          </w:tcPr>
          <w:p w14:paraId="34F832BD" w14:textId="2A107571"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Index spotrebiteľských cien, priemerný rast</w:t>
            </w:r>
          </w:p>
        </w:tc>
        <w:tc>
          <w:tcPr>
            <w:tcW w:w="1134" w:type="dxa"/>
            <w:tcBorders>
              <w:top w:val="nil"/>
              <w:left w:val="nil"/>
              <w:bottom w:val="nil"/>
              <w:right w:val="nil"/>
            </w:tcBorders>
            <w:shd w:val="clear" w:color="auto" w:fill="auto"/>
            <w:vAlign w:val="bottom"/>
            <w:hideMark/>
          </w:tcPr>
          <w:p w14:paraId="30BF4BF0" w14:textId="135FE9BD"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4,2</w:t>
            </w:r>
          </w:p>
        </w:tc>
        <w:tc>
          <w:tcPr>
            <w:tcW w:w="1701" w:type="dxa"/>
            <w:tcBorders>
              <w:top w:val="nil"/>
              <w:left w:val="nil"/>
              <w:bottom w:val="nil"/>
              <w:right w:val="nil"/>
            </w:tcBorders>
            <w:shd w:val="clear" w:color="auto" w:fill="auto"/>
            <w:vAlign w:val="bottom"/>
            <w:hideMark/>
          </w:tcPr>
          <w:p w14:paraId="35D0F068" w14:textId="6D338ED2"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12,</w:t>
            </w:r>
            <w:r w:rsidR="00307871">
              <w:rPr>
                <w:rFonts w:cs="Times New Roman"/>
                <w:color w:val="000000"/>
                <w:sz w:val="18"/>
                <w:szCs w:val="18"/>
              </w:rPr>
              <w:t>8</w:t>
            </w:r>
          </w:p>
        </w:tc>
        <w:tc>
          <w:tcPr>
            <w:tcW w:w="1986" w:type="dxa"/>
            <w:tcBorders>
              <w:top w:val="nil"/>
              <w:left w:val="nil"/>
              <w:bottom w:val="nil"/>
              <w:right w:val="nil"/>
            </w:tcBorders>
            <w:shd w:val="clear" w:color="auto" w:fill="auto"/>
            <w:vAlign w:val="bottom"/>
            <w:hideMark/>
          </w:tcPr>
          <w:p w14:paraId="2BA3A4CB" w14:textId="7FCC97E8"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+8,5</w:t>
            </w:r>
          </w:p>
        </w:tc>
      </w:tr>
      <w:tr w:rsidR="001E076F" w:rsidRPr="00127ED5" w14:paraId="2EB1996F" w14:textId="77777777" w:rsidTr="00CE362A">
        <w:trPr>
          <w:trHeight w:val="289"/>
          <w:jc w:val="center"/>
        </w:trPr>
        <w:tc>
          <w:tcPr>
            <w:tcW w:w="4536" w:type="dxa"/>
            <w:tcBorders>
              <w:top w:val="nil"/>
              <w:left w:val="nil"/>
              <w:bottom w:val="nil"/>
              <w:right w:val="nil"/>
            </w:tcBorders>
            <w:shd w:val="clear" w:color="auto" w:fill="auto"/>
            <w:vAlign w:val="bottom"/>
          </w:tcPr>
          <w:p w14:paraId="51C0CE2B" w14:textId="77777777" w:rsidR="001E076F" w:rsidRPr="00127ED5" w:rsidRDefault="001E076F" w:rsidP="001E076F">
            <w:pPr>
              <w:spacing w:after="0" w:line="240" w:lineRule="auto"/>
              <w:jc w:val="left"/>
              <w:rPr>
                <w:rFonts w:eastAsia="Times New Roman" w:cs="Times New Roman"/>
                <w:color w:val="000000"/>
                <w:sz w:val="20"/>
                <w:szCs w:val="20"/>
                <w:lang w:eastAsia="sk-SK"/>
              </w:rPr>
            </w:pPr>
            <w:r w:rsidRPr="00127ED5">
              <w:rPr>
                <w:rFonts w:eastAsia="Times New Roman" w:cs="Times New Roman"/>
                <w:color w:val="000000"/>
                <w:sz w:val="20"/>
                <w:szCs w:val="20"/>
                <w:lang w:eastAsia="sk-SK"/>
              </w:rPr>
              <w:t>Saldo bežného účtu platobnej bilancie (% HDP)</w:t>
            </w:r>
          </w:p>
        </w:tc>
        <w:tc>
          <w:tcPr>
            <w:tcW w:w="1134" w:type="dxa"/>
            <w:tcBorders>
              <w:top w:val="nil"/>
              <w:left w:val="nil"/>
              <w:bottom w:val="nil"/>
              <w:right w:val="nil"/>
            </w:tcBorders>
            <w:shd w:val="clear" w:color="auto" w:fill="auto"/>
            <w:vAlign w:val="bottom"/>
          </w:tcPr>
          <w:p w14:paraId="6CB22FB2" w14:textId="1FC03D96"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0,3</w:t>
            </w:r>
          </w:p>
        </w:tc>
        <w:tc>
          <w:tcPr>
            <w:tcW w:w="1701" w:type="dxa"/>
            <w:tcBorders>
              <w:top w:val="nil"/>
              <w:left w:val="nil"/>
              <w:bottom w:val="nil"/>
              <w:right w:val="nil"/>
            </w:tcBorders>
            <w:shd w:val="clear" w:color="auto" w:fill="auto"/>
            <w:vAlign w:val="bottom"/>
          </w:tcPr>
          <w:p w14:paraId="0ADCA4F8" w14:textId="0E77D012"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-8,2</w:t>
            </w:r>
          </w:p>
        </w:tc>
        <w:tc>
          <w:tcPr>
            <w:tcW w:w="1986" w:type="dxa"/>
            <w:tcBorders>
              <w:top w:val="nil"/>
              <w:left w:val="nil"/>
              <w:bottom w:val="nil"/>
              <w:right w:val="nil"/>
            </w:tcBorders>
            <w:shd w:val="clear" w:color="auto" w:fill="auto"/>
            <w:vAlign w:val="bottom"/>
          </w:tcPr>
          <w:p w14:paraId="4DB187BF" w14:textId="39072DA7" w:rsidR="001E076F" w:rsidRPr="001E076F" w:rsidRDefault="001E076F" w:rsidP="001E076F">
            <w:pPr>
              <w:spacing w:after="0" w:line="240" w:lineRule="auto"/>
              <w:jc w:val="right"/>
              <w:rPr>
                <w:rFonts w:eastAsia="Times New Roman" w:cs="Times New Roman"/>
                <w:color w:val="000000"/>
                <w:sz w:val="20"/>
                <w:szCs w:val="20"/>
                <w:lang w:eastAsia="sk-SK"/>
              </w:rPr>
            </w:pPr>
            <w:r w:rsidRPr="001E076F">
              <w:rPr>
                <w:rFonts w:cs="Times New Roman"/>
                <w:color w:val="000000"/>
                <w:sz w:val="18"/>
                <w:szCs w:val="18"/>
              </w:rPr>
              <w:t>-8,5</w:t>
            </w:r>
          </w:p>
        </w:tc>
      </w:tr>
      <w:tr w:rsidR="00127ED5" w:rsidRPr="00F05830" w14:paraId="3EF13F79" w14:textId="77777777" w:rsidTr="007C5FE8">
        <w:trPr>
          <w:trHeight w:val="268"/>
          <w:jc w:val="center"/>
        </w:trPr>
        <w:tc>
          <w:tcPr>
            <w:tcW w:w="9357" w:type="dxa"/>
            <w:gridSpan w:val="4"/>
            <w:tcBorders>
              <w:top w:val="single" w:sz="8" w:space="0" w:color="auto"/>
              <w:left w:val="nil"/>
              <w:right w:val="nil"/>
            </w:tcBorders>
            <w:shd w:val="clear" w:color="auto" w:fill="auto"/>
            <w:vAlign w:val="bottom"/>
            <w:hideMark/>
          </w:tcPr>
          <w:p w14:paraId="6E57F224" w14:textId="0014899D" w:rsidR="00127ED5" w:rsidRPr="00F05830" w:rsidRDefault="00127ED5" w:rsidP="006D0C70">
            <w:pPr>
              <w:jc w:val="right"/>
              <w:rPr>
                <w:rFonts w:cs="Times New Roman"/>
                <w:iCs/>
                <w:color w:val="000000"/>
                <w:sz w:val="16"/>
                <w:szCs w:val="16"/>
              </w:rPr>
            </w:pPr>
            <w:proofErr w:type="spellStart"/>
            <w:r w:rsidRPr="00F05830">
              <w:rPr>
                <w:rFonts w:cs="Times New Roman"/>
                <w:iCs/>
                <w:color w:val="000000"/>
                <w:sz w:val="16"/>
                <w:szCs w:val="16"/>
                <w:lang w:val="de-DE"/>
              </w:rPr>
              <w:t>Zdroj</w:t>
            </w:r>
            <w:proofErr w:type="spellEnd"/>
            <w:r w:rsidRPr="00F05830">
              <w:rPr>
                <w:rFonts w:cs="Times New Roman"/>
                <w:iCs/>
                <w:color w:val="000000"/>
                <w:sz w:val="16"/>
                <w:szCs w:val="16"/>
                <w:lang w:val="de-DE"/>
              </w:rPr>
              <w:t>: MF SR, ŠÚ SR</w:t>
            </w:r>
          </w:p>
        </w:tc>
      </w:tr>
    </w:tbl>
    <w:p w14:paraId="2CE10466" w14:textId="77777777" w:rsidR="001737A0" w:rsidRDefault="001737A0">
      <w:r>
        <w:br w:type="page"/>
      </w:r>
    </w:p>
    <w:tbl>
      <w:tblPr>
        <w:tblW w:w="90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8"/>
        <w:gridCol w:w="785"/>
        <w:gridCol w:w="785"/>
        <w:gridCol w:w="731"/>
        <w:gridCol w:w="709"/>
        <w:gridCol w:w="740"/>
        <w:gridCol w:w="742"/>
      </w:tblGrid>
      <w:tr w:rsidR="007C5FE8" w:rsidRPr="001737A0" w14:paraId="4C2B4597" w14:textId="77777777" w:rsidTr="000C3C49">
        <w:trPr>
          <w:trHeight w:val="227"/>
        </w:trPr>
        <w:tc>
          <w:tcPr>
            <w:tcW w:w="9070" w:type="dxa"/>
            <w:gridSpan w:val="7"/>
            <w:tcBorders>
              <w:top w:val="nil"/>
              <w:bottom w:val="single" w:sz="4" w:space="0" w:color="auto"/>
            </w:tcBorders>
            <w:shd w:val="clear" w:color="auto" w:fill="auto"/>
            <w:noWrap/>
            <w:vAlign w:val="center"/>
            <w:hideMark/>
          </w:tcPr>
          <w:p w14:paraId="6E1F91DA" w14:textId="44B1F36B" w:rsidR="007C5FE8" w:rsidRPr="001737A0" w:rsidRDefault="001737A0" w:rsidP="001737A0">
            <w:pPr>
              <w:spacing w:after="0" w:line="240" w:lineRule="auto"/>
              <w:jc w:val="left"/>
              <w:rPr>
                <w:rFonts w:cs="Times New Roman"/>
                <w:b/>
                <w:bCs/>
                <w:color w:val="5B9BD5" w:themeColor="accent1"/>
                <w:sz w:val="20"/>
                <w:szCs w:val="20"/>
              </w:rPr>
            </w:pPr>
            <w:r>
              <w:rPr>
                <w:rFonts w:cs="Times New Roman"/>
                <w:b/>
                <w:bCs/>
                <w:color w:val="5B9BD5" w:themeColor="accent1"/>
                <w:sz w:val="20"/>
                <w:szCs w:val="20"/>
              </w:rPr>
              <w:lastRenderedPageBreak/>
              <w:t xml:space="preserve">Tabuľka 4 - </w:t>
            </w:r>
            <w:r w:rsidR="007C5FE8" w:rsidRPr="001737A0">
              <w:rPr>
                <w:rFonts w:cs="Times New Roman"/>
                <w:b/>
                <w:bCs/>
                <w:color w:val="5B9BD5" w:themeColor="accent1"/>
                <w:sz w:val="20"/>
                <w:szCs w:val="20"/>
              </w:rPr>
              <w:t>Prognóza vybraných ukazovateľov ekonomiky (september 2021)</w:t>
            </w:r>
          </w:p>
        </w:tc>
      </w:tr>
      <w:tr w:rsidR="007C5FE8" w:rsidRPr="0092685D" w14:paraId="10555A6E" w14:textId="77777777" w:rsidTr="000C3C49">
        <w:trPr>
          <w:trHeight w:val="227"/>
        </w:trPr>
        <w:tc>
          <w:tcPr>
            <w:tcW w:w="4578" w:type="dxa"/>
            <w:vMerge w:val="restart"/>
            <w:tcBorders>
              <w:left w:val="single" w:sz="4" w:space="0" w:color="auto"/>
            </w:tcBorders>
            <w:shd w:val="clear" w:color="auto" w:fill="auto"/>
            <w:noWrap/>
            <w:vAlign w:val="center"/>
            <w:hideMark/>
          </w:tcPr>
          <w:p w14:paraId="33199330" w14:textId="77777777" w:rsidR="007C5FE8" w:rsidRPr="0092685D" w:rsidRDefault="007C5FE8" w:rsidP="001737A0">
            <w:pPr>
              <w:jc w:val="center"/>
              <w:rPr>
                <w:b/>
                <w:bCs/>
                <w:sz w:val="14"/>
                <w:szCs w:val="14"/>
              </w:rPr>
            </w:pPr>
            <w:r w:rsidRPr="0092685D">
              <w:rPr>
                <w:b/>
                <w:bCs/>
                <w:sz w:val="14"/>
                <w:szCs w:val="14"/>
              </w:rPr>
              <w:t xml:space="preserve">Ukazovateľ </w:t>
            </w:r>
            <w:r w:rsidRPr="0092685D">
              <w:rPr>
                <w:b/>
                <w:sz w:val="14"/>
                <w:szCs w:val="14"/>
              </w:rPr>
              <w:t>(rast v %, ak nie je uvedené inak)</w:t>
            </w:r>
          </w:p>
        </w:tc>
        <w:tc>
          <w:tcPr>
            <w:tcW w:w="1570" w:type="dxa"/>
            <w:gridSpan w:val="2"/>
            <w:shd w:val="clear" w:color="auto" w:fill="auto"/>
            <w:noWrap/>
            <w:vAlign w:val="center"/>
          </w:tcPr>
          <w:p w14:paraId="77307066" w14:textId="77777777" w:rsidR="007C5FE8" w:rsidRPr="0092685D" w:rsidRDefault="007C5FE8" w:rsidP="005371DF">
            <w:pPr>
              <w:jc w:val="center"/>
              <w:rPr>
                <w:b/>
                <w:bCs/>
                <w:sz w:val="14"/>
                <w:szCs w:val="14"/>
              </w:rPr>
            </w:pPr>
            <w:r w:rsidRPr="0092685D">
              <w:rPr>
                <w:b/>
                <w:bCs/>
                <w:sz w:val="14"/>
                <w:szCs w:val="14"/>
              </w:rPr>
              <w:t>Skutočnosť</w:t>
            </w:r>
          </w:p>
        </w:tc>
        <w:tc>
          <w:tcPr>
            <w:tcW w:w="2922" w:type="dxa"/>
            <w:gridSpan w:val="4"/>
            <w:tcBorders>
              <w:right w:val="single" w:sz="4" w:space="0" w:color="auto"/>
            </w:tcBorders>
            <w:shd w:val="clear" w:color="auto" w:fill="auto"/>
            <w:noWrap/>
            <w:vAlign w:val="center"/>
            <w:hideMark/>
          </w:tcPr>
          <w:p w14:paraId="185502B3" w14:textId="77777777" w:rsidR="007C5FE8" w:rsidRPr="0092685D" w:rsidRDefault="007C5FE8" w:rsidP="005371DF">
            <w:pPr>
              <w:jc w:val="center"/>
              <w:rPr>
                <w:b/>
                <w:bCs/>
                <w:sz w:val="14"/>
                <w:szCs w:val="14"/>
              </w:rPr>
            </w:pPr>
            <w:r w:rsidRPr="0092685D">
              <w:rPr>
                <w:b/>
                <w:bCs/>
                <w:sz w:val="14"/>
                <w:szCs w:val="14"/>
              </w:rPr>
              <w:t>Prognóza</w:t>
            </w:r>
          </w:p>
        </w:tc>
      </w:tr>
      <w:tr w:rsidR="007C5FE8" w:rsidRPr="0092685D" w14:paraId="1EC913CF" w14:textId="77777777" w:rsidTr="000C3C49">
        <w:trPr>
          <w:trHeight w:val="227"/>
        </w:trPr>
        <w:tc>
          <w:tcPr>
            <w:tcW w:w="4578" w:type="dxa"/>
            <w:vMerge/>
            <w:tcBorders>
              <w:left w:val="single" w:sz="4" w:space="0" w:color="auto"/>
            </w:tcBorders>
            <w:shd w:val="clear" w:color="auto" w:fill="auto"/>
            <w:vAlign w:val="center"/>
            <w:hideMark/>
          </w:tcPr>
          <w:p w14:paraId="357AF9CA" w14:textId="77777777" w:rsidR="007C5FE8" w:rsidRPr="0092685D" w:rsidRDefault="007C5FE8" w:rsidP="005371DF">
            <w:pPr>
              <w:rPr>
                <w:b/>
                <w:bCs/>
                <w:sz w:val="14"/>
                <w:szCs w:val="14"/>
              </w:rPr>
            </w:pPr>
          </w:p>
        </w:tc>
        <w:tc>
          <w:tcPr>
            <w:tcW w:w="785" w:type="dxa"/>
            <w:shd w:val="clear" w:color="auto" w:fill="auto"/>
            <w:noWrap/>
            <w:vAlign w:val="center"/>
          </w:tcPr>
          <w:p w14:paraId="49CD8D54" w14:textId="77777777" w:rsidR="007C5FE8" w:rsidRPr="0092685D" w:rsidRDefault="007C5FE8" w:rsidP="005371DF">
            <w:pPr>
              <w:jc w:val="center"/>
              <w:rPr>
                <w:b/>
                <w:sz w:val="14"/>
                <w:szCs w:val="14"/>
              </w:rPr>
            </w:pPr>
            <w:r w:rsidRPr="0092685D">
              <w:rPr>
                <w:b/>
                <w:sz w:val="14"/>
                <w:szCs w:val="14"/>
              </w:rPr>
              <w:t>2019</w:t>
            </w:r>
          </w:p>
        </w:tc>
        <w:tc>
          <w:tcPr>
            <w:tcW w:w="785" w:type="dxa"/>
            <w:shd w:val="clear" w:color="auto" w:fill="auto"/>
            <w:vAlign w:val="center"/>
          </w:tcPr>
          <w:p w14:paraId="6DB3AC46" w14:textId="77777777" w:rsidR="007C5FE8" w:rsidRPr="0092685D" w:rsidRDefault="007C5FE8" w:rsidP="005371DF">
            <w:pPr>
              <w:jc w:val="center"/>
              <w:rPr>
                <w:b/>
                <w:sz w:val="14"/>
                <w:szCs w:val="14"/>
              </w:rPr>
            </w:pPr>
            <w:r w:rsidRPr="0092685D">
              <w:rPr>
                <w:b/>
                <w:sz w:val="14"/>
                <w:szCs w:val="14"/>
              </w:rPr>
              <w:t>2020</w:t>
            </w:r>
          </w:p>
        </w:tc>
        <w:tc>
          <w:tcPr>
            <w:tcW w:w="731" w:type="dxa"/>
            <w:shd w:val="clear" w:color="auto" w:fill="auto"/>
            <w:noWrap/>
            <w:vAlign w:val="center"/>
            <w:hideMark/>
          </w:tcPr>
          <w:p w14:paraId="20E4F4B0" w14:textId="77777777" w:rsidR="007C5FE8" w:rsidRPr="0092685D" w:rsidRDefault="007C5FE8" w:rsidP="005371DF">
            <w:pPr>
              <w:jc w:val="center"/>
              <w:rPr>
                <w:b/>
                <w:sz w:val="14"/>
                <w:szCs w:val="14"/>
              </w:rPr>
            </w:pPr>
            <w:r w:rsidRPr="0092685D">
              <w:rPr>
                <w:b/>
                <w:sz w:val="14"/>
                <w:szCs w:val="14"/>
              </w:rPr>
              <w:t>2021</w:t>
            </w:r>
          </w:p>
        </w:tc>
        <w:tc>
          <w:tcPr>
            <w:tcW w:w="709" w:type="dxa"/>
            <w:shd w:val="clear" w:color="auto" w:fill="auto"/>
            <w:noWrap/>
            <w:vAlign w:val="center"/>
            <w:hideMark/>
          </w:tcPr>
          <w:p w14:paraId="0A8BD623" w14:textId="77777777" w:rsidR="007C5FE8" w:rsidRPr="0092685D" w:rsidRDefault="007C5FE8" w:rsidP="005371DF">
            <w:pPr>
              <w:jc w:val="center"/>
              <w:rPr>
                <w:b/>
                <w:sz w:val="14"/>
                <w:szCs w:val="14"/>
              </w:rPr>
            </w:pPr>
            <w:r w:rsidRPr="0092685D">
              <w:rPr>
                <w:b/>
                <w:sz w:val="14"/>
                <w:szCs w:val="14"/>
              </w:rPr>
              <w:t>2022</w:t>
            </w:r>
          </w:p>
        </w:tc>
        <w:tc>
          <w:tcPr>
            <w:tcW w:w="740" w:type="dxa"/>
            <w:shd w:val="clear" w:color="auto" w:fill="auto"/>
            <w:noWrap/>
            <w:vAlign w:val="center"/>
            <w:hideMark/>
          </w:tcPr>
          <w:p w14:paraId="31A2BA28" w14:textId="77777777" w:rsidR="007C5FE8" w:rsidRPr="0092685D" w:rsidRDefault="007C5FE8" w:rsidP="005371DF">
            <w:pPr>
              <w:jc w:val="center"/>
              <w:rPr>
                <w:b/>
                <w:sz w:val="14"/>
                <w:szCs w:val="14"/>
              </w:rPr>
            </w:pPr>
            <w:r w:rsidRPr="0092685D">
              <w:rPr>
                <w:b/>
                <w:sz w:val="14"/>
                <w:szCs w:val="14"/>
              </w:rPr>
              <w:t>2023</w:t>
            </w:r>
          </w:p>
        </w:tc>
        <w:tc>
          <w:tcPr>
            <w:tcW w:w="742" w:type="dxa"/>
            <w:tcBorders>
              <w:right w:val="single" w:sz="4" w:space="0" w:color="auto"/>
            </w:tcBorders>
            <w:shd w:val="clear" w:color="auto" w:fill="auto"/>
            <w:noWrap/>
            <w:vAlign w:val="center"/>
            <w:hideMark/>
          </w:tcPr>
          <w:p w14:paraId="4ACC6846" w14:textId="77777777" w:rsidR="007C5FE8" w:rsidRPr="0092685D" w:rsidRDefault="007C5FE8" w:rsidP="005371DF">
            <w:pPr>
              <w:jc w:val="center"/>
              <w:rPr>
                <w:b/>
                <w:sz w:val="14"/>
                <w:szCs w:val="14"/>
              </w:rPr>
            </w:pPr>
            <w:r w:rsidRPr="0092685D">
              <w:rPr>
                <w:b/>
                <w:sz w:val="14"/>
                <w:szCs w:val="14"/>
              </w:rPr>
              <w:t>2024</w:t>
            </w:r>
          </w:p>
        </w:tc>
      </w:tr>
      <w:tr w:rsidR="007C5FE8" w:rsidRPr="0092685D" w14:paraId="4339C1C7" w14:textId="77777777" w:rsidTr="000C3C49">
        <w:trPr>
          <w:trHeight w:val="227"/>
        </w:trPr>
        <w:tc>
          <w:tcPr>
            <w:tcW w:w="9070" w:type="dxa"/>
            <w:gridSpan w:val="7"/>
            <w:tcBorders>
              <w:left w:val="single" w:sz="4" w:space="0" w:color="auto"/>
              <w:right w:val="single" w:sz="4" w:space="0" w:color="auto"/>
            </w:tcBorders>
            <w:noWrap/>
            <w:vAlign w:val="center"/>
            <w:hideMark/>
          </w:tcPr>
          <w:p w14:paraId="23099F87" w14:textId="77777777" w:rsidR="007C5FE8" w:rsidRPr="0092685D" w:rsidRDefault="007C5FE8" w:rsidP="001737A0">
            <w:pPr>
              <w:spacing w:line="240" w:lineRule="auto"/>
              <w:rPr>
                <w:b/>
                <w:bCs/>
                <w:sz w:val="14"/>
                <w:szCs w:val="14"/>
              </w:rPr>
            </w:pPr>
            <w:r w:rsidRPr="0092685D">
              <w:rPr>
                <w:b/>
                <w:bCs/>
                <w:sz w:val="14"/>
                <w:szCs w:val="14"/>
              </w:rPr>
              <w:t>Hrubý domáci produkt</w:t>
            </w:r>
            <w:r w:rsidRPr="0092685D">
              <w:rPr>
                <w:sz w:val="14"/>
                <w:szCs w:val="14"/>
              </w:rPr>
              <w:t> </w:t>
            </w:r>
          </w:p>
        </w:tc>
      </w:tr>
      <w:tr w:rsidR="007C5FE8" w:rsidRPr="0092685D" w14:paraId="5C176B32" w14:textId="77777777" w:rsidTr="000C3C49">
        <w:trPr>
          <w:trHeight w:val="227"/>
        </w:trPr>
        <w:tc>
          <w:tcPr>
            <w:tcW w:w="4578" w:type="dxa"/>
            <w:tcBorders>
              <w:left w:val="single" w:sz="4" w:space="0" w:color="auto"/>
            </w:tcBorders>
            <w:noWrap/>
            <w:vAlign w:val="center"/>
            <w:hideMark/>
          </w:tcPr>
          <w:p w14:paraId="19CBD0ED" w14:textId="77777777" w:rsidR="007C5FE8" w:rsidRPr="0092685D" w:rsidRDefault="007C5FE8" w:rsidP="001737A0">
            <w:pPr>
              <w:spacing w:line="240" w:lineRule="auto"/>
              <w:rPr>
                <w:sz w:val="14"/>
                <w:szCs w:val="14"/>
              </w:rPr>
            </w:pPr>
            <w:r w:rsidRPr="0092685D">
              <w:rPr>
                <w:sz w:val="14"/>
                <w:szCs w:val="14"/>
              </w:rPr>
              <w:t xml:space="preserve">HDP, </w:t>
            </w:r>
            <w:proofErr w:type="spellStart"/>
            <w:r w:rsidRPr="0092685D">
              <w:rPr>
                <w:sz w:val="14"/>
                <w:szCs w:val="14"/>
              </w:rPr>
              <w:t>s.c</w:t>
            </w:r>
            <w:proofErr w:type="spellEnd"/>
            <w:r w:rsidRPr="0092685D">
              <w:rPr>
                <w:sz w:val="14"/>
                <w:szCs w:val="14"/>
              </w:rPr>
              <w:t>.</w:t>
            </w:r>
          </w:p>
        </w:tc>
        <w:tc>
          <w:tcPr>
            <w:tcW w:w="785" w:type="dxa"/>
            <w:noWrap/>
            <w:vAlign w:val="bottom"/>
          </w:tcPr>
          <w:p w14:paraId="3B1AE193" w14:textId="77777777" w:rsidR="007C5FE8" w:rsidRPr="0092685D" w:rsidRDefault="007C5FE8" w:rsidP="001737A0">
            <w:pPr>
              <w:spacing w:line="240" w:lineRule="auto"/>
              <w:jc w:val="center"/>
              <w:rPr>
                <w:sz w:val="14"/>
                <w:szCs w:val="14"/>
              </w:rPr>
            </w:pPr>
            <w:r w:rsidRPr="0092685D">
              <w:rPr>
                <w:sz w:val="14"/>
                <w:szCs w:val="14"/>
              </w:rPr>
              <w:t>2,5</w:t>
            </w:r>
          </w:p>
        </w:tc>
        <w:tc>
          <w:tcPr>
            <w:tcW w:w="785" w:type="dxa"/>
            <w:vAlign w:val="bottom"/>
          </w:tcPr>
          <w:p w14:paraId="114C9734" w14:textId="77777777" w:rsidR="007C5FE8" w:rsidRPr="0092685D" w:rsidRDefault="007C5FE8" w:rsidP="001737A0">
            <w:pPr>
              <w:spacing w:line="240" w:lineRule="auto"/>
              <w:jc w:val="center"/>
              <w:rPr>
                <w:sz w:val="14"/>
                <w:szCs w:val="14"/>
              </w:rPr>
            </w:pPr>
            <w:r w:rsidRPr="0092685D">
              <w:rPr>
                <w:sz w:val="14"/>
                <w:szCs w:val="14"/>
              </w:rPr>
              <w:t>-4,8</w:t>
            </w:r>
          </w:p>
        </w:tc>
        <w:tc>
          <w:tcPr>
            <w:tcW w:w="731" w:type="dxa"/>
            <w:noWrap/>
            <w:vAlign w:val="center"/>
          </w:tcPr>
          <w:p w14:paraId="42514E5A" w14:textId="77777777" w:rsidR="007C5FE8" w:rsidRPr="0092685D" w:rsidRDefault="007C5FE8" w:rsidP="001737A0">
            <w:pPr>
              <w:spacing w:line="240" w:lineRule="auto"/>
              <w:jc w:val="center"/>
              <w:rPr>
                <w:sz w:val="14"/>
                <w:szCs w:val="14"/>
              </w:rPr>
            </w:pPr>
            <w:r w:rsidRPr="0092685D">
              <w:rPr>
                <w:sz w:val="14"/>
                <w:szCs w:val="14"/>
              </w:rPr>
              <w:t>3,7</w:t>
            </w:r>
          </w:p>
        </w:tc>
        <w:tc>
          <w:tcPr>
            <w:tcW w:w="709" w:type="dxa"/>
            <w:noWrap/>
            <w:vAlign w:val="center"/>
          </w:tcPr>
          <w:p w14:paraId="4437AFD5" w14:textId="77777777" w:rsidR="007C5FE8" w:rsidRPr="0092685D" w:rsidRDefault="007C5FE8" w:rsidP="001737A0">
            <w:pPr>
              <w:spacing w:line="240" w:lineRule="auto"/>
              <w:jc w:val="center"/>
              <w:rPr>
                <w:sz w:val="14"/>
                <w:szCs w:val="14"/>
              </w:rPr>
            </w:pPr>
            <w:r w:rsidRPr="0092685D">
              <w:rPr>
                <w:sz w:val="14"/>
                <w:szCs w:val="14"/>
              </w:rPr>
              <w:t>4,2</w:t>
            </w:r>
          </w:p>
        </w:tc>
        <w:tc>
          <w:tcPr>
            <w:tcW w:w="740" w:type="dxa"/>
            <w:noWrap/>
            <w:vAlign w:val="center"/>
          </w:tcPr>
          <w:p w14:paraId="27614FC1" w14:textId="77777777" w:rsidR="007C5FE8" w:rsidRPr="0092685D" w:rsidRDefault="007C5FE8" w:rsidP="001737A0">
            <w:pPr>
              <w:spacing w:line="240" w:lineRule="auto"/>
              <w:jc w:val="center"/>
              <w:rPr>
                <w:sz w:val="14"/>
                <w:szCs w:val="14"/>
              </w:rPr>
            </w:pPr>
            <w:r w:rsidRPr="0092685D">
              <w:rPr>
                <w:sz w:val="14"/>
                <w:szCs w:val="14"/>
              </w:rPr>
              <w:t>5,0</w:t>
            </w:r>
          </w:p>
        </w:tc>
        <w:tc>
          <w:tcPr>
            <w:tcW w:w="742" w:type="dxa"/>
            <w:tcBorders>
              <w:right w:val="single" w:sz="4" w:space="0" w:color="auto"/>
            </w:tcBorders>
            <w:noWrap/>
            <w:vAlign w:val="center"/>
          </w:tcPr>
          <w:p w14:paraId="5B3D5CA1" w14:textId="77777777" w:rsidR="007C5FE8" w:rsidRPr="0092685D" w:rsidRDefault="007C5FE8" w:rsidP="001737A0">
            <w:pPr>
              <w:spacing w:line="240" w:lineRule="auto"/>
              <w:jc w:val="center"/>
              <w:rPr>
                <w:sz w:val="14"/>
                <w:szCs w:val="14"/>
              </w:rPr>
            </w:pPr>
            <w:r w:rsidRPr="0092685D">
              <w:rPr>
                <w:sz w:val="14"/>
                <w:szCs w:val="14"/>
              </w:rPr>
              <w:t>0,7</w:t>
            </w:r>
          </w:p>
        </w:tc>
      </w:tr>
      <w:tr w:rsidR="007C5FE8" w:rsidRPr="0092685D" w14:paraId="05E3581D" w14:textId="77777777" w:rsidTr="000C3C49">
        <w:trPr>
          <w:trHeight w:val="227"/>
        </w:trPr>
        <w:tc>
          <w:tcPr>
            <w:tcW w:w="4578" w:type="dxa"/>
            <w:tcBorders>
              <w:left w:val="single" w:sz="4" w:space="0" w:color="auto"/>
            </w:tcBorders>
            <w:noWrap/>
            <w:vAlign w:val="center"/>
            <w:hideMark/>
          </w:tcPr>
          <w:p w14:paraId="09784DC9" w14:textId="77777777" w:rsidR="007C5FE8" w:rsidRPr="0092685D" w:rsidRDefault="007C5FE8" w:rsidP="001737A0">
            <w:pPr>
              <w:spacing w:line="240" w:lineRule="auto"/>
              <w:rPr>
                <w:sz w:val="14"/>
                <w:szCs w:val="14"/>
              </w:rPr>
            </w:pPr>
            <w:r w:rsidRPr="0092685D">
              <w:rPr>
                <w:sz w:val="14"/>
                <w:szCs w:val="14"/>
              </w:rPr>
              <w:t xml:space="preserve">HDP, </w:t>
            </w:r>
            <w:proofErr w:type="spellStart"/>
            <w:r w:rsidRPr="0092685D">
              <w:rPr>
                <w:sz w:val="14"/>
                <w:szCs w:val="14"/>
              </w:rPr>
              <w:t>b.c</w:t>
            </w:r>
            <w:proofErr w:type="spellEnd"/>
            <w:r w:rsidRPr="0092685D">
              <w:rPr>
                <w:sz w:val="14"/>
                <w:szCs w:val="14"/>
              </w:rPr>
              <w:t>. (mld. eur)</w:t>
            </w:r>
            <w:r>
              <w:rPr>
                <w:rStyle w:val="Odkaznapoznmkupodiarou"/>
                <w:sz w:val="14"/>
                <w:szCs w:val="14"/>
              </w:rPr>
              <w:footnoteReference w:id="3"/>
            </w:r>
          </w:p>
        </w:tc>
        <w:tc>
          <w:tcPr>
            <w:tcW w:w="785" w:type="dxa"/>
            <w:noWrap/>
            <w:vAlign w:val="bottom"/>
          </w:tcPr>
          <w:p w14:paraId="674CCBB8" w14:textId="77777777" w:rsidR="007C5FE8" w:rsidRPr="0092685D" w:rsidRDefault="007C5FE8" w:rsidP="001737A0">
            <w:pPr>
              <w:spacing w:line="240" w:lineRule="auto"/>
              <w:jc w:val="center"/>
              <w:rPr>
                <w:sz w:val="14"/>
                <w:szCs w:val="14"/>
              </w:rPr>
            </w:pPr>
            <w:r>
              <w:rPr>
                <w:sz w:val="14"/>
                <w:szCs w:val="14"/>
              </w:rPr>
              <w:t>94,0</w:t>
            </w:r>
          </w:p>
        </w:tc>
        <w:tc>
          <w:tcPr>
            <w:tcW w:w="785" w:type="dxa"/>
            <w:vAlign w:val="bottom"/>
          </w:tcPr>
          <w:p w14:paraId="0830386D" w14:textId="77777777" w:rsidR="007C5FE8" w:rsidRPr="0092685D" w:rsidRDefault="007C5FE8" w:rsidP="001737A0">
            <w:pPr>
              <w:spacing w:line="240" w:lineRule="auto"/>
              <w:jc w:val="center"/>
              <w:rPr>
                <w:sz w:val="14"/>
                <w:szCs w:val="14"/>
              </w:rPr>
            </w:pPr>
            <w:r>
              <w:rPr>
                <w:sz w:val="14"/>
                <w:szCs w:val="14"/>
              </w:rPr>
              <w:t>92,1</w:t>
            </w:r>
          </w:p>
        </w:tc>
        <w:tc>
          <w:tcPr>
            <w:tcW w:w="731" w:type="dxa"/>
            <w:noWrap/>
            <w:vAlign w:val="bottom"/>
          </w:tcPr>
          <w:p w14:paraId="3CF15443" w14:textId="77777777" w:rsidR="007C5FE8" w:rsidRPr="0092685D" w:rsidRDefault="007C5FE8" w:rsidP="001737A0">
            <w:pPr>
              <w:spacing w:line="240" w:lineRule="auto"/>
              <w:jc w:val="center"/>
              <w:rPr>
                <w:sz w:val="14"/>
                <w:szCs w:val="14"/>
              </w:rPr>
            </w:pPr>
            <w:r>
              <w:rPr>
                <w:sz w:val="14"/>
                <w:szCs w:val="14"/>
              </w:rPr>
              <w:t>97,4</w:t>
            </w:r>
          </w:p>
        </w:tc>
        <w:tc>
          <w:tcPr>
            <w:tcW w:w="709" w:type="dxa"/>
            <w:noWrap/>
            <w:vAlign w:val="bottom"/>
          </w:tcPr>
          <w:p w14:paraId="113A5DB1" w14:textId="77777777" w:rsidR="007C5FE8" w:rsidRPr="0092685D" w:rsidRDefault="007C5FE8" w:rsidP="001737A0">
            <w:pPr>
              <w:spacing w:line="240" w:lineRule="auto"/>
              <w:jc w:val="center"/>
              <w:rPr>
                <w:sz w:val="14"/>
                <w:szCs w:val="14"/>
              </w:rPr>
            </w:pPr>
            <w:r>
              <w:rPr>
                <w:sz w:val="14"/>
                <w:szCs w:val="14"/>
              </w:rPr>
              <w:t>105,5</w:t>
            </w:r>
          </w:p>
        </w:tc>
        <w:tc>
          <w:tcPr>
            <w:tcW w:w="740" w:type="dxa"/>
            <w:noWrap/>
            <w:vAlign w:val="bottom"/>
          </w:tcPr>
          <w:p w14:paraId="0729107E" w14:textId="77777777" w:rsidR="007C5FE8" w:rsidRPr="0092685D" w:rsidRDefault="007C5FE8" w:rsidP="001737A0">
            <w:pPr>
              <w:spacing w:line="240" w:lineRule="auto"/>
              <w:jc w:val="center"/>
              <w:rPr>
                <w:sz w:val="14"/>
                <w:szCs w:val="14"/>
              </w:rPr>
            </w:pPr>
            <w:r>
              <w:rPr>
                <w:sz w:val="14"/>
                <w:szCs w:val="14"/>
              </w:rPr>
              <w:t>113,9</w:t>
            </w:r>
          </w:p>
        </w:tc>
        <w:tc>
          <w:tcPr>
            <w:tcW w:w="742" w:type="dxa"/>
            <w:tcBorders>
              <w:right w:val="single" w:sz="4" w:space="0" w:color="auto"/>
            </w:tcBorders>
            <w:noWrap/>
            <w:vAlign w:val="bottom"/>
          </w:tcPr>
          <w:p w14:paraId="4D6A664C" w14:textId="77777777" w:rsidR="007C5FE8" w:rsidRPr="0092685D" w:rsidRDefault="007C5FE8" w:rsidP="001737A0">
            <w:pPr>
              <w:spacing w:line="240" w:lineRule="auto"/>
              <w:jc w:val="center"/>
              <w:rPr>
                <w:sz w:val="14"/>
                <w:szCs w:val="14"/>
              </w:rPr>
            </w:pPr>
            <w:r>
              <w:rPr>
                <w:sz w:val="14"/>
                <w:szCs w:val="14"/>
              </w:rPr>
              <w:t>117,2</w:t>
            </w:r>
          </w:p>
        </w:tc>
      </w:tr>
      <w:tr w:rsidR="007C5FE8" w:rsidRPr="0092685D" w14:paraId="37C17965" w14:textId="77777777" w:rsidTr="000C3C49">
        <w:trPr>
          <w:trHeight w:val="227"/>
        </w:trPr>
        <w:tc>
          <w:tcPr>
            <w:tcW w:w="4578" w:type="dxa"/>
            <w:tcBorders>
              <w:left w:val="single" w:sz="4" w:space="0" w:color="auto"/>
            </w:tcBorders>
            <w:noWrap/>
            <w:vAlign w:val="center"/>
            <w:hideMark/>
          </w:tcPr>
          <w:p w14:paraId="7DB81697" w14:textId="77777777" w:rsidR="007C5FE8" w:rsidRPr="0092685D" w:rsidRDefault="007C5FE8" w:rsidP="001737A0">
            <w:pPr>
              <w:spacing w:line="240" w:lineRule="auto"/>
              <w:rPr>
                <w:sz w:val="14"/>
                <w:szCs w:val="14"/>
              </w:rPr>
            </w:pPr>
            <w:r w:rsidRPr="0092685D">
              <w:rPr>
                <w:sz w:val="14"/>
                <w:szCs w:val="14"/>
              </w:rPr>
              <w:t xml:space="preserve">Súkromná spotreba, </w:t>
            </w:r>
            <w:proofErr w:type="spellStart"/>
            <w:r w:rsidRPr="0092685D">
              <w:rPr>
                <w:sz w:val="14"/>
                <w:szCs w:val="14"/>
              </w:rPr>
              <w:t>s.c</w:t>
            </w:r>
            <w:proofErr w:type="spellEnd"/>
            <w:r w:rsidRPr="0092685D">
              <w:rPr>
                <w:sz w:val="14"/>
                <w:szCs w:val="14"/>
              </w:rPr>
              <w:t>.</w:t>
            </w:r>
          </w:p>
        </w:tc>
        <w:tc>
          <w:tcPr>
            <w:tcW w:w="785" w:type="dxa"/>
            <w:noWrap/>
            <w:vAlign w:val="bottom"/>
          </w:tcPr>
          <w:p w14:paraId="1A4798B1" w14:textId="77777777" w:rsidR="007C5FE8" w:rsidRPr="0092685D" w:rsidRDefault="007C5FE8" w:rsidP="001737A0">
            <w:pPr>
              <w:spacing w:line="240" w:lineRule="auto"/>
              <w:jc w:val="center"/>
              <w:rPr>
                <w:sz w:val="14"/>
                <w:szCs w:val="14"/>
              </w:rPr>
            </w:pPr>
            <w:r w:rsidRPr="0092685D">
              <w:rPr>
                <w:sz w:val="14"/>
                <w:szCs w:val="14"/>
              </w:rPr>
              <w:t>2,7</w:t>
            </w:r>
          </w:p>
        </w:tc>
        <w:tc>
          <w:tcPr>
            <w:tcW w:w="785" w:type="dxa"/>
            <w:vAlign w:val="bottom"/>
          </w:tcPr>
          <w:p w14:paraId="47B97F43" w14:textId="77777777" w:rsidR="007C5FE8" w:rsidRPr="0092685D" w:rsidRDefault="007C5FE8" w:rsidP="001737A0">
            <w:pPr>
              <w:spacing w:line="240" w:lineRule="auto"/>
              <w:jc w:val="center"/>
              <w:rPr>
                <w:sz w:val="14"/>
                <w:szCs w:val="14"/>
              </w:rPr>
            </w:pPr>
            <w:r w:rsidRPr="0092685D">
              <w:rPr>
                <w:sz w:val="14"/>
                <w:szCs w:val="14"/>
              </w:rPr>
              <w:t>-1,0</w:t>
            </w:r>
          </w:p>
        </w:tc>
        <w:tc>
          <w:tcPr>
            <w:tcW w:w="731" w:type="dxa"/>
            <w:noWrap/>
            <w:vAlign w:val="bottom"/>
          </w:tcPr>
          <w:p w14:paraId="325419B0" w14:textId="77777777" w:rsidR="007C5FE8" w:rsidRPr="0092685D" w:rsidRDefault="007C5FE8" w:rsidP="001737A0">
            <w:pPr>
              <w:spacing w:line="240" w:lineRule="auto"/>
              <w:jc w:val="center"/>
              <w:rPr>
                <w:sz w:val="14"/>
                <w:szCs w:val="14"/>
              </w:rPr>
            </w:pPr>
            <w:r w:rsidRPr="0092685D">
              <w:rPr>
                <w:sz w:val="14"/>
                <w:szCs w:val="14"/>
              </w:rPr>
              <w:t>0,2</w:t>
            </w:r>
          </w:p>
        </w:tc>
        <w:tc>
          <w:tcPr>
            <w:tcW w:w="709" w:type="dxa"/>
            <w:noWrap/>
            <w:vAlign w:val="bottom"/>
          </w:tcPr>
          <w:p w14:paraId="5F6A4170" w14:textId="77777777" w:rsidR="007C5FE8" w:rsidRPr="0092685D" w:rsidRDefault="007C5FE8" w:rsidP="001737A0">
            <w:pPr>
              <w:spacing w:line="240" w:lineRule="auto"/>
              <w:jc w:val="center"/>
              <w:rPr>
                <w:sz w:val="14"/>
                <w:szCs w:val="14"/>
              </w:rPr>
            </w:pPr>
            <w:r w:rsidRPr="0092685D">
              <w:rPr>
                <w:sz w:val="14"/>
                <w:szCs w:val="14"/>
              </w:rPr>
              <w:t>2,4</w:t>
            </w:r>
          </w:p>
        </w:tc>
        <w:tc>
          <w:tcPr>
            <w:tcW w:w="740" w:type="dxa"/>
            <w:noWrap/>
            <w:vAlign w:val="bottom"/>
          </w:tcPr>
          <w:p w14:paraId="0A5D50FD" w14:textId="77777777" w:rsidR="007C5FE8" w:rsidRPr="0092685D" w:rsidRDefault="007C5FE8" w:rsidP="001737A0">
            <w:pPr>
              <w:spacing w:line="240" w:lineRule="auto"/>
              <w:jc w:val="center"/>
              <w:rPr>
                <w:sz w:val="14"/>
                <w:szCs w:val="14"/>
              </w:rPr>
            </w:pPr>
            <w:r w:rsidRPr="0092685D">
              <w:rPr>
                <w:sz w:val="14"/>
                <w:szCs w:val="14"/>
              </w:rPr>
              <w:t>3,6</w:t>
            </w:r>
          </w:p>
        </w:tc>
        <w:tc>
          <w:tcPr>
            <w:tcW w:w="742" w:type="dxa"/>
            <w:tcBorders>
              <w:right w:val="single" w:sz="4" w:space="0" w:color="auto"/>
            </w:tcBorders>
            <w:noWrap/>
            <w:vAlign w:val="bottom"/>
          </w:tcPr>
          <w:p w14:paraId="38F8B195" w14:textId="77777777" w:rsidR="007C5FE8" w:rsidRPr="0092685D" w:rsidRDefault="007C5FE8" w:rsidP="001737A0">
            <w:pPr>
              <w:spacing w:line="240" w:lineRule="auto"/>
              <w:jc w:val="center"/>
              <w:rPr>
                <w:sz w:val="14"/>
                <w:szCs w:val="14"/>
              </w:rPr>
            </w:pPr>
            <w:r w:rsidRPr="0092685D">
              <w:rPr>
                <w:sz w:val="14"/>
                <w:szCs w:val="14"/>
              </w:rPr>
              <w:t>3,9</w:t>
            </w:r>
          </w:p>
        </w:tc>
      </w:tr>
      <w:tr w:rsidR="007C5FE8" w:rsidRPr="0092685D" w14:paraId="0DB45803" w14:textId="77777777" w:rsidTr="000C3C49">
        <w:trPr>
          <w:trHeight w:val="227"/>
        </w:trPr>
        <w:tc>
          <w:tcPr>
            <w:tcW w:w="4578" w:type="dxa"/>
            <w:tcBorders>
              <w:left w:val="single" w:sz="4" w:space="0" w:color="auto"/>
            </w:tcBorders>
            <w:noWrap/>
            <w:vAlign w:val="center"/>
            <w:hideMark/>
          </w:tcPr>
          <w:p w14:paraId="145AF07C" w14:textId="77777777" w:rsidR="007C5FE8" w:rsidRPr="0092685D" w:rsidRDefault="007C5FE8" w:rsidP="001737A0">
            <w:pPr>
              <w:spacing w:line="240" w:lineRule="auto"/>
              <w:rPr>
                <w:sz w:val="14"/>
                <w:szCs w:val="14"/>
              </w:rPr>
            </w:pPr>
            <w:r w:rsidRPr="0092685D">
              <w:rPr>
                <w:sz w:val="14"/>
                <w:szCs w:val="14"/>
              </w:rPr>
              <w:t xml:space="preserve">Súkromná spotreba, </w:t>
            </w:r>
            <w:proofErr w:type="spellStart"/>
            <w:r w:rsidRPr="0092685D">
              <w:rPr>
                <w:sz w:val="14"/>
                <w:szCs w:val="14"/>
              </w:rPr>
              <w:t>b.c</w:t>
            </w:r>
            <w:proofErr w:type="spellEnd"/>
            <w:r w:rsidRPr="0092685D">
              <w:rPr>
                <w:sz w:val="14"/>
                <w:szCs w:val="14"/>
              </w:rPr>
              <w:t>.</w:t>
            </w:r>
          </w:p>
        </w:tc>
        <w:tc>
          <w:tcPr>
            <w:tcW w:w="785" w:type="dxa"/>
            <w:noWrap/>
            <w:vAlign w:val="bottom"/>
          </w:tcPr>
          <w:p w14:paraId="7FC881E3" w14:textId="77777777" w:rsidR="007C5FE8" w:rsidRPr="0092685D" w:rsidRDefault="007C5FE8" w:rsidP="001737A0">
            <w:pPr>
              <w:spacing w:line="240" w:lineRule="auto"/>
              <w:jc w:val="center"/>
              <w:rPr>
                <w:sz w:val="14"/>
                <w:szCs w:val="14"/>
              </w:rPr>
            </w:pPr>
            <w:r w:rsidRPr="0092685D">
              <w:rPr>
                <w:sz w:val="14"/>
                <w:szCs w:val="14"/>
              </w:rPr>
              <w:t>5,5</w:t>
            </w:r>
          </w:p>
        </w:tc>
        <w:tc>
          <w:tcPr>
            <w:tcW w:w="785" w:type="dxa"/>
            <w:vAlign w:val="bottom"/>
          </w:tcPr>
          <w:p w14:paraId="4A2BCE2F" w14:textId="77777777" w:rsidR="007C5FE8" w:rsidRPr="0092685D" w:rsidRDefault="007C5FE8" w:rsidP="001737A0">
            <w:pPr>
              <w:spacing w:line="240" w:lineRule="auto"/>
              <w:jc w:val="center"/>
              <w:rPr>
                <w:sz w:val="14"/>
                <w:szCs w:val="14"/>
              </w:rPr>
            </w:pPr>
            <w:r w:rsidRPr="0092685D">
              <w:rPr>
                <w:sz w:val="14"/>
                <w:szCs w:val="14"/>
              </w:rPr>
              <w:t>1,1</w:t>
            </w:r>
          </w:p>
        </w:tc>
        <w:tc>
          <w:tcPr>
            <w:tcW w:w="731" w:type="dxa"/>
            <w:noWrap/>
            <w:vAlign w:val="bottom"/>
          </w:tcPr>
          <w:p w14:paraId="0D91D07F" w14:textId="77777777" w:rsidR="007C5FE8" w:rsidRPr="0092685D" w:rsidRDefault="007C5FE8" w:rsidP="001737A0">
            <w:pPr>
              <w:spacing w:line="240" w:lineRule="auto"/>
              <w:jc w:val="center"/>
              <w:rPr>
                <w:sz w:val="14"/>
                <w:szCs w:val="14"/>
              </w:rPr>
            </w:pPr>
            <w:r w:rsidRPr="0092685D">
              <w:rPr>
                <w:sz w:val="14"/>
                <w:szCs w:val="14"/>
              </w:rPr>
              <w:t>2,5</w:t>
            </w:r>
          </w:p>
        </w:tc>
        <w:tc>
          <w:tcPr>
            <w:tcW w:w="709" w:type="dxa"/>
            <w:noWrap/>
            <w:vAlign w:val="bottom"/>
          </w:tcPr>
          <w:p w14:paraId="2DF84F6F" w14:textId="77777777" w:rsidR="007C5FE8" w:rsidRPr="0092685D" w:rsidRDefault="007C5FE8" w:rsidP="001737A0">
            <w:pPr>
              <w:spacing w:line="240" w:lineRule="auto"/>
              <w:jc w:val="center"/>
              <w:rPr>
                <w:sz w:val="14"/>
                <w:szCs w:val="14"/>
              </w:rPr>
            </w:pPr>
            <w:r w:rsidRPr="0092685D">
              <w:rPr>
                <w:sz w:val="14"/>
                <w:szCs w:val="14"/>
              </w:rPr>
              <w:t>6,9</w:t>
            </w:r>
          </w:p>
        </w:tc>
        <w:tc>
          <w:tcPr>
            <w:tcW w:w="740" w:type="dxa"/>
            <w:noWrap/>
            <w:vAlign w:val="bottom"/>
          </w:tcPr>
          <w:p w14:paraId="2A0C311D" w14:textId="77777777" w:rsidR="007C5FE8" w:rsidRPr="0092685D" w:rsidRDefault="007C5FE8" w:rsidP="001737A0">
            <w:pPr>
              <w:spacing w:line="240" w:lineRule="auto"/>
              <w:jc w:val="center"/>
              <w:rPr>
                <w:sz w:val="14"/>
                <w:szCs w:val="14"/>
              </w:rPr>
            </w:pPr>
            <w:r w:rsidRPr="0092685D">
              <w:rPr>
                <w:sz w:val="14"/>
                <w:szCs w:val="14"/>
              </w:rPr>
              <w:t>6,8</w:t>
            </w:r>
          </w:p>
        </w:tc>
        <w:tc>
          <w:tcPr>
            <w:tcW w:w="742" w:type="dxa"/>
            <w:tcBorders>
              <w:right w:val="single" w:sz="4" w:space="0" w:color="auto"/>
            </w:tcBorders>
            <w:noWrap/>
            <w:vAlign w:val="bottom"/>
          </w:tcPr>
          <w:p w14:paraId="30C4EC92" w14:textId="77777777" w:rsidR="007C5FE8" w:rsidRPr="0092685D" w:rsidRDefault="007C5FE8" w:rsidP="001737A0">
            <w:pPr>
              <w:spacing w:line="240" w:lineRule="auto"/>
              <w:jc w:val="center"/>
              <w:rPr>
                <w:sz w:val="14"/>
                <w:szCs w:val="14"/>
              </w:rPr>
            </w:pPr>
            <w:r w:rsidRPr="0092685D">
              <w:rPr>
                <w:sz w:val="14"/>
                <w:szCs w:val="14"/>
              </w:rPr>
              <w:t>5,6</w:t>
            </w:r>
          </w:p>
        </w:tc>
      </w:tr>
      <w:tr w:rsidR="007C5FE8" w:rsidRPr="0092685D" w14:paraId="2E916B18" w14:textId="77777777" w:rsidTr="000C3C49">
        <w:trPr>
          <w:trHeight w:val="227"/>
        </w:trPr>
        <w:tc>
          <w:tcPr>
            <w:tcW w:w="4578" w:type="dxa"/>
            <w:tcBorders>
              <w:left w:val="single" w:sz="4" w:space="0" w:color="auto"/>
            </w:tcBorders>
            <w:noWrap/>
            <w:vAlign w:val="center"/>
            <w:hideMark/>
          </w:tcPr>
          <w:p w14:paraId="5AA11CB1" w14:textId="77777777" w:rsidR="007C5FE8" w:rsidRPr="0092685D" w:rsidRDefault="007C5FE8" w:rsidP="001737A0">
            <w:pPr>
              <w:spacing w:line="240" w:lineRule="auto"/>
              <w:rPr>
                <w:sz w:val="14"/>
                <w:szCs w:val="14"/>
              </w:rPr>
            </w:pPr>
            <w:r w:rsidRPr="0092685D">
              <w:rPr>
                <w:sz w:val="14"/>
                <w:szCs w:val="14"/>
              </w:rPr>
              <w:t>Vládna spotreba</w:t>
            </w:r>
          </w:p>
        </w:tc>
        <w:tc>
          <w:tcPr>
            <w:tcW w:w="785" w:type="dxa"/>
            <w:noWrap/>
            <w:vAlign w:val="bottom"/>
          </w:tcPr>
          <w:p w14:paraId="71D69594" w14:textId="77777777" w:rsidR="007C5FE8" w:rsidRPr="0092685D" w:rsidRDefault="007C5FE8" w:rsidP="001737A0">
            <w:pPr>
              <w:spacing w:line="240" w:lineRule="auto"/>
              <w:jc w:val="center"/>
              <w:rPr>
                <w:sz w:val="14"/>
                <w:szCs w:val="14"/>
              </w:rPr>
            </w:pPr>
            <w:r w:rsidRPr="0092685D">
              <w:rPr>
                <w:sz w:val="14"/>
                <w:szCs w:val="14"/>
              </w:rPr>
              <w:t>4,6</w:t>
            </w:r>
          </w:p>
        </w:tc>
        <w:tc>
          <w:tcPr>
            <w:tcW w:w="785" w:type="dxa"/>
            <w:vAlign w:val="bottom"/>
          </w:tcPr>
          <w:p w14:paraId="50354274" w14:textId="77777777" w:rsidR="007C5FE8" w:rsidRPr="0092685D" w:rsidRDefault="007C5FE8" w:rsidP="001737A0">
            <w:pPr>
              <w:spacing w:line="240" w:lineRule="auto"/>
              <w:jc w:val="center"/>
              <w:rPr>
                <w:sz w:val="14"/>
                <w:szCs w:val="14"/>
              </w:rPr>
            </w:pPr>
            <w:r w:rsidRPr="0092685D">
              <w:rPr>
                <w:sz w:val="14"/>
                <w:szCs w:val="14"/>
              </w:rPr>
              <w:t>0,3</w:t>
            </w:r>
          </w:p>
        </w:tc>
        <w:tc>
          <w:tcPr>
            <w:tcW w:w="731" w:type="dxa"/>
            <w:noWrap/>
            <w:vAlign w:val="bottom"/>
          </w:tcPr>
          <w:p w14:paraId="2643475D" w14:textId="77777777" w:rsidR="007C5FE8" w:rsidRPr="0092685D" w:rsidRDefault="007C5FE8" w:rsidP="001737A0">
            <w:pPr>
              <w:spacing w:line="240" w:lineRule="auto"/>
              <w:jc w:val="center"/>
              <w:rPr>
                <w:sz w:val="14"/>
                <w:szCs w:val="14"/>
              </w:rPr>
            </w:pPr>
            <w:r w:rsidRPr="0092685D">
              <w:rPr>
                <w:sz w:val="14"/>
                <w:szCs w:val="14"/>
              </w:rPr>
              <w:t>4,9</w:t>
            </w:r>
          </w:p>
        </w:tc>
        <w:tc>
          <w:tcPr>
            <w:tcW w:w="709" w:type="dxa"/>
            <w:noWrap/>
            <w:vAlign w:val="bottom"/>
          </w:tcPr>
          <w:p w14:paraId="7E1591D9" w14:textId="77777777" w:rsidR="007C5FE8" w:rsidRPr="0092685D" w:rsidRDefault="007C5FE8" w:rsidP="001737A0">
            <w:pPr>
              <w:spacing w:line="240" w:lineRule="auto"/>
              <w:jc w:val="center"/>
              <w:rPr>
                <w:sz w:val="14"/>
                <w:szCs w:val="14"/>
              </w:rPr>
            </w:pPr>
            <w:r w:rsidRPr="0092685D">
              <w:rPr>
                <w:sz w:val="14"/>
                <w:szCs w:val="14"/>
              </w:rPr>
              <w:t>4,1</w:t>
            </w:r>
          </w:p>
        </w:tc>
        <w:tc>
          <w:tcPr>
            <w:tcW w:w="740" w:type="dxa"/>
            <w:noWrap/>
            <w:vAlign w:val="bottom"/>
          </w:tcPr>
          <w:p w14:paraId="1C893496" w14:textId="77777777" w:rsidR="007C5FE8" w:rsidRPr="0092685D" w:rsidRDefault="007C5FE8" w:rsidP="001737A0">
            <w:pPr>
              <w:spacing w:line="240" w:lineRule="auto"/>
              <w:jc w:val="center"/>
              <w:rPr>
                <w:sz w:val="14"/>
                <w:szCs w:val="14"/>
              </w:rPr>
            </w:pPr>
            <w:r w:rsidRPr="0092685D">
              <w:rPr>
                <w:sz w:val="14"/>
                <w:szCs w:val="14"/>
              </w:rPr>
              <w:t>1,8</w:t>
            </w:r>
          </w:p>
        </w:tc>
        <w:tc>
          <w:tcPr>
            <w:tcW w:w="742" w:type="dxa"/>
            <w:tcBorders>
              <w:right w:val="single" w:sz="4" w:space="0" w:color="auto"/>
            </w:tcBorders>
            <w:noWrap/>
            <w:vAlign w:val="bottom"/>
          </w:tcPr>
          <w:p w14:paraId="56B3109E" w14:textId="77777777" w:rsidR="007C5FE8" w:rsidRPr="0092685D" w:rsidRDefault="007C5FE8" w:rsidP="001737A0">
            <w:pPr>
              <w:spacing w:line="240" w:lineRule="auto"/>
              <w:jc w:val="center"/>
              <w:rPr>
                <w:sz w:val="14"/>
                <w:szCs w:val="14"/>
              </w:rPr>
            </w:pPr>
            <w:r w:rsidRPr="0092685D">
              <w:rPr>
                <w:sz w:val="14"/>
                <w:szCs w:val="14"/>
              </w:rPr>
              <w:t>-0,4</w:t>
            </w:r>
          </w:p>
        </w:tc>
      </w:tr>
      <w:tr w:rsidR="007C5FE8" w:rsidRPr="0092685D" w14:paraId="4872B9F4" w14:textId="77777777" w:rsidTr="000C3C49">
        <w:trPr>
          <w:trHeight w:val="227"/>
        </w:trPr>
        <w:tc>
          <w:tcPr>
            <w:tcW w:w="4578" w:type="dxa"/>
            <w:tcBorders>
              <w:left w:val="single" w:sz="4" w:space="0" w:color="auto"/>
            </w:tcBorders>
            <w:noWrap/>
            <w:vAlign w:val="center"/>
            <w:hideMark/>
          </w:tcPr>
          <w:p w14:paraId="1BC64E90" w14:textId="77777777" w:rsidR="007C5FE8" w:rsidRPr="0092685D" w:rsidRDefault="007C5FE8" w:rsidP="001737A0">
            <w:pPr>
              <w:spacing w:line="240" w:lineRule="auto"/>
              <w:rPr>
                <w:sz w:val="14"/>
                <w:szCs w:val="14"/>
              </w:rPr>
            </w:pPr>
            <w:r w:rsidRPr="0092685D">
              <w:rPr>
                <w:sz w:val="14"/>
                <w:szCs w:val="14"/>
              </w:rPr>
              <w:t>Fixné investície</w:t>
            </w:r>
          </w:p>
        </w:tc>
        <w:tc>
          <w:tcPr>
            <w:tcW w:w="785" w:type="dxa"/>
            <w:noWrap/>
            <w:vAlign w:val="bottom"/>
          </w:tcPr>
          <w:p w14:paraId="21C0B1CC" w14:textId="77777777" w:rsidR="007C5FE8" w:rsidRPr="0092685D" w:rsidRDefault="007C5FE8" w:rsidP="001737A0">
            <w:pPr>
              <w:spacing w:line="240" w:lineRule="auto"/>
              <w:jc w:val="center"/>
              <w:rPr>
                <w:sz w:val="14"/>
                <w:szCs w:val="14"/>
              </w:rPr>
            </w:pPr>
            <w:r w:rsidRPr="0092685D">
              <w:rPr>
                <w:sz w:val="14"/>
                <w:szCs w:val="14"/>
              </w:rPr>
              <w:t>6,6</w:t>
            </w:r>
          </w:p>
        </w:tc>
        <w:tc>
          <w:tcPr>
            <w:tcW w:w="785" w:type="dxa"/>
            <w:vAlign w:val="bottom"/>
          </w:tcPr>
          <w:p w14:paraId="78719D86" w14:textId="77777777" w:rsidR="007C5FE8" w:rsidRPr="0092685D" w:rsidRDefault="007C5FE8" w:rsidP="001737A0">
            <w:pPr>
              <w:spacing w:line="240" w:lineRule="auto"/>
              <w:jc w:val="center"/>
              <w:rPr>
                <w:sz w:val="14"/>
                <w:szCs w:val="14"/>
              </w:rPr>
            </w:pPr>
            <w:r w:rsidRPr="0092685D">
              <w:rPr>
                <w:sz w:val="14"/>
                <w:szCs w:val="14"/>
              </w:rPr>
              <w:t>-12,0</w:t>
            </w:r>
          </w:p>
        </w:tc>
        <w:tc>
          <w:tcPr>
            <w:tcW w:w="731" w:type="dxa"/>
            <w:noWrap/>
            <w:vAlign w:val="bottom"/>
          </w:tcPr>
          <w:p w14:paraId="39B50348" w14:textId="77777777" w:rsidR="007C5FE8" w:rsidRPr="0092685D" w:rsidRDefault="007C5FE8" w:rsidP="001737A0">
            <w:pPr>
              <w:spacing w:line="240" w:lineRule="auto"/>
              <w:jc w:val="center"/>
              <w:rPr>
                <w:sz w:val="14"/>
                <w:szCs w:val="14"/>
              </w:rPr>
            </w:pPr>
            <w:r w:rsidRPr="0092685D">
              <w:rPr>
                <w:sz w:val="14"/>
                <w:szCs w:val="14"/>
              </w:rPr>
              <w:t>-0,3</w:t>
            </w:r>
          </w:p>
        </w:tc>
        <w:tc>
          <w:tcPr>
            <w:tcW w:w="709" w:type="dxa"/>
            <w:noWrap/>
            <w:vAlign w:val="bottom"/>
          </w:tcPr>
          <w:p w14:paraId="704BC6AE" w14:textId="77777777" w:rsidR="007C5FE8" w:rsidRPr="0092685D" w:rsidRDefault="007C5FE8" w:rsidP="001737A0">
            <w:pPr>
              <w:spacing w:line="240" w:lineRule="auto"/>
              <w:jc w:val="center"/>
              <w:rPr>
                <w:sz w:val="14"/>
                <w:szCs w:val="14"/>
              </w:rPr>
            </w:pPr>
            <w:r w:rsidRPr="0092685D">
              <w:rPr>
                <w:sz w:val="14"/>
                <w:szCs w:val="14"/>
              </w:rPr>
              <w:t>16,7</w:t>
            </w:r>
          </w:p>
        </w:tc>
        <w:tc>
          <w:tcPr>
            <w:tcW w:w="740" w:type="dxa"/>
            <w:noWrap/>
            <w:vAlign w:val="bottom"/>
          </w:tcPr>
          <w:p w14:paraId="26120623" w14:textId="77777777" w:rsidR="007C5FE8" w:rsidRPr="0092685D" w:rsidRDefault="007C5FE8" w:rsidP="001737A0">
            <w:pPr>
              <w:spacing w:line="240" w:lineRule="auto"/>
              <w:jc w:val="center"/>
              <w:rPr>
                <w:sz w:val="14"/>
                <w:szCs w:val="14"/>
              </w:rPr>
            </w:pPr>
            <w:r w:rsidRPr="0092685D">
              <w:rPr>
                <w:sz w:val="14"/>
                <w:szCs w:val="14"/>
              </w:rPr>
              <w:t>15,2</w:t>
            </w:r>
          </w:p>
        </w:tc>
        <w:tc>
          <w:tcPr>
            <w:tcW w:w="742" w:type="dxa"/>
            <w:tcBorders>
              <w:right w:val="single" w:sz="4" w:space="0" w:color="auto"/>
            </w:tcBorders>
            <w:noWrap/>
            <w:vAlign w:val="bottom"/>
          </w:tcPr>
          <w:p w14:paraId="1C82292F" w14:textId="77777777" w:rsidR="007C5FE8" w:rsidRPr="0092685D" w:rsidRDefault="007C5FE8" w:rsidP="001737A0">
            <w:pPr>
              <w:spacing w:line="240" w:lineRule="auto"/>
              <w:jc w:val="center"/>
              <w:rPr>
                <w:sz w:val="14"/>
                <w:szCs w:val="14"/>
              </w:rPr>
            </w:pPr>
            <w:r w:rsidRPr="0092685D">
              <w:rPr>
                <w:sz w:val="14"/>
                <w:szCs w:val="14"/>
              </w:rPr>
              <w:t>-12,2</w:t>
            </w:r>
          </w:p>
        </w:tc>
      </w:tr>
      <w:tr w:rsidR="007C5FE8" w:rsidRPr="0092685D" w14:paraId="2248D506" w14:textId="77777777" w:rsidTr="000C3C49">
        <w:trPr>
          <w:trHeight w:val="227"/>
        </w:trPr>
        <w:tc>
          <w:tcPr>
            <w:tcW w:w="4578" w:type="dxa"/>
            <w:tcBorders>
              <w:left w:val="single" w:sz="4" w:space="0" w:color="auto"/>
            </w:tcBorders>
            <w:noWrap/>
            <w:vAlign w:val="center"/>
            <w:hideMark/>
          </w:tcPr>
          <w:p w14:paraId="7454A339" w14:textId="77777777" w:rsidR="007C5FE8" w:rsidRPr="0092685D" w:rsidRDefault="007C5FE8" w:rsidP="001737A0">
            <w:pPr>
              <w:spacing w:line="240" w:lineRule="auto"/>
              <w:rPr>
                <w:sz w:val="14"/>
                <w:szCs w:val="14"/>
              </w:rPr>
            </w:pPr>
            <w:r w:rsidRPr="0092685D">
              <w:rPr>
                <w:sz w:val="14"/>
                <w:szCs w:val="14"/>
              </w:rPr>
              <w:t>Export tovarov a služieb</w:t>
            </w:r>
          </w:p>
        </w:tc>
        <w:tc>
          <w:tcPr>
            <w:tcW w:w="785" w:type="dxa"/>
            <w:noWrap/>
            <w:vAlign w:val="bottom"/>
          </w:tcPr>
          <w:p w14:paraId="6E06BCE3" w14:textId="77777777" w:rsidR="007C5FE8" w:rsidRPr="0092685D" w:rsidRDefault="007C5FE8" w:rsidP="001737A0">
            <w:pPr>
              <w:spacing w:line="240" w:lineRule="auto"/>
              <w:jc w:val="center"/>
              <w:rPr>
                <w:sz w:val="14"/>
                <w:szCs w:val="14"/>
              </w:rPr>
            </w:pPr>
            <w:r w:rsidRPr="0092685D">
              <w:rPr>
                <w:sz w:val="14"/>
                <w:szCs w:val="14"/>
              </w:rPr>
              <w:t>0,8</w:t>
            </w:r>
          </w:p>
        </w:tc>
        <w:tc>
          <w:tcPr>
            <w:tcW w:w="785" w:type="dxa"/>
            <w:vAlign w:val="bottom"/>
          </w:tcPr>
          <w:p w14:paraId="138941FC" w14:textId="77777777" w:rsidR="007C5FE8" w:rsidRPr="0092685D" w:rsidRDefault="007C5FE8" w:rsidP="001737A0">
            <w:pPr>
              <w:spacing w:line="240" w:lineRule="auto"/>
              <w:jc w:val="center"/>
              <w:rPr>
                <w:sz w:val="14"/>
                <w:szCs w:val="14"/>
              </w:rPr>
            </w:pPr>
            <w:r w:rsidRPr="0092685D">
              <w:rPr>
                <w:sz w:val="14"/>
                <w:szCs w:val="14"/>
              </w:rPr>
              <w:t>-7,5</w:t>
            </w:r>
          </w:p>
        </w:tc>
        <w:tc>
          <w:tcPr>
            <w:tcW w:w="731" w:type="dxa"/>
            <w:noWrap/>
            <w:vAlign w:val="bottom"/>
          </w:tcPr>
          <w:p w14:paraId="13B51B38" w14:textId="77777777" w:rsidR="007C5FE8" w:rsidRPr="0092685D" w:rsidRDefault="007C5FE8" w:rsidP="001737A0">
            <w:pPr>
              <w:spacing w:line="240" w:lineRule="auto"/>
              <w:jc w:val="center"/>
              <w:rPr>
                <w:sz w:val="14"/>
                <w:szCs w:val="14"/>
              </w:rPr>
            </w:pPr>
            <w:r w:rsidRPr="0092685D">
              <w:rPr>
                <w:sz w:val="14"/>
                <w:szCs w:val="14"/>
              </w:rPr>
              <w:t>10,5</w:t>
            </w:r>
          </w:p>
        </w:tc>
        <w:tc>
          <w:tcPr>
            <w:tcW w:w="709" w:type="dxa"/>
            <w:noWrap/>
            <w:vAlign w:val="bottom"/>
          </w:tcPr>
          <w:p w14:paraId="25E1EF70" w14:textId="77777777" w:rsidR="007C5FE8" w:rsidRPr="0092685D" w:rsidRDefault="007C5FE8" w:rsidP="001737A0">
            <w:pPr>
              <w:spacing w:line="240" w:lineRule="auto"/>
              <w:jc w:val="center"/>
              <w:rPr>
                <w:sz w:val="14"/>
                <w:szCs w:val="14"/>
              </w:rPr>
            </w:pPr>
            <w:r w:rsidRPr="0092685D">
              <w:rPr>
                <w:sz w:val="14"/>
                <w:szCs w:val="14"/>
              </w:rPr>
              <w:t>3,1</w:t>
            </w:r>
          </w:p>
        </w:tc>
        <w:tc>
          <w:tcPr>
            <w:tcW w:w="740" w:type="dxa"/>
            <w:noWrap/>
            <w:vAlign w:val="bottom"/>
          </w:tcPr>
          <w:p w14:paraId="67AB6916" w14:textId="77777777" w:rsidR="007C5FE8" w:rsidRPr="0092685D" w:rsidRDefault="007C5FE8" w:rsidP="001737A0">
            <w:pPr>
              <w:spacing w:line="240" w:lineRule="auto"/>
              <w:jc w:val="center"/>
              <w:rPr>
                <w:sz w:val="14"/>
                <w:szCs w:val="14"/>
              </w:rPr>
            </w:pPr>
            <w:r w:rsidRPr="0092685D">
              <w:rPr>
                <w:sz w:val="14"/>
                <w:szCs w:val="14"/>
              </w:rPr>
              <w:t>6,0</w:t>
            </w:r>
          </w:p>
        </w:tc>
        <w:tc>
          <w:tcPr>
            <w:tcW w:w="742" w:type="dxa"/>
            <w:tcBorders>
              <w:right w:val="single" w:sz="4" w:space="0" w:color="auto"/>
            </w:tcBorders>
            <w:noWrap/>
            <w:vAlign w:val="bottom"/>
          </w:tcPr>
          <w:p w14:paraId="35EB632F" w14:textId="77777777" w:rsidR="007C5FE8" w:rsidRPr="0092685D" w:rsidRDefault="007C5FE8" w:rsidP="001737A0">
            <w:pPr>
              <w:spacing w:line="240" w:lineRule="auto"/>
              <w:jc w:val="center"/>
              <w:rPr>
                <w:sz w:val="14"/>
                <w:szCs w:val="14"/>
              </w:rPr>
            </w:pPr>
            <w:r w:rsidRPr="0092685D">
              <w:rPr>
                <w:sz w:val="14"/>
                <w:szCs w:val="14"/>
              </w:rPr>
              <w:t>4,0</w:t>
            </w:r>
          </w:p>
        </w:tc>
      </w:tr>
      <w:tr w:rsidR="007C5FE8" w:rsidRPr="0092685D" w14:paraId="71F78726" w14:textId="77777777" w:rsidTr="000C3C49">
        <w:trPr>
          <w:trHeight w:val="227"/>
        </w:trPr>
        <w:tc>
          <w:tcPr>
            <w:tcW w:w="4578" w:type="dxa"/>
            <w:tcBorders>
              <w:left w:val="single" w:sz="4" w:space="0" w:color="auto"/>
            </w:tcBorders>
            <w:noWrap/>
            <w:vAlign w:val="center"/>
            <w:hideMark/>
          </w:tcPr>
          <w:p w14:paraId="5F20FD93" w14:textId="77777777" w:rsidR="007C5FE8" w:rsidRPr="0092685D" w:rsidRDefault="007C5FE8" w:rsidP="001737A0">
            <w:pPr>
              <w:spacing w:line="240" w:lineRule="auto"/>
              <w:rPr>
                <w:sz w:val="14"/>
                <w:szCs w:val="14"/>
              </w:rPr>
            </w:pPr>
            <w:r w:rsidRPr="0092685D">
              <w:rPr>
                <w:sz w:val="14"/>
                <w:szCs w:val="14"/>
              </w:rPr>
              <w:t>Import tovarov a služieb</w:t>
            </w:r>
          </w:p>
        </w:tc>
        <w:tc>
          <w:tcPr>
            <w:tcW w:w="785" w:type="dxa"/>
            <w:noWrap/>
            <w:vAlign w:val="bottom"/>
          </w:tcPr>
          <w:p w14:paraId="0FACEBAA" w14:textId="77777777" w:rsidR="007C5FE8" w:rsidRPr="0092685D" w:rsidRDefault="007C5FE8" w:rsidP="001737A0">
            <w:pPr>
              <w:spacing w:line="240" w:lineRule="auto"/>
              <w:jc w:val="center"/>
              <w:rPr>
                <w:sz w:val="14"/>
                <w:szCs w:val="14"/>
              </w:rPr>
            </w:pPr>
            <w:r w:rsidRPr="0092685D">
              <w:rPr>
                <w:sz w:val="14"/>
                <w:szCs w:val="14"/>
              </w:rPr>
              <w:t>2,1</w:t>
            </w:r>
          </w:p>
        </w:tc>
        <w:tc>
          <w:tcPr>
            <w:tcW w:w="785" w:type="dxa"/>
            <w:vAlign w:val="bottom"/>
          </w:tcPr>
          <w:p w14:paraId="77D98483" w14:textId="77777777" w:rsidR="007C5FE8" w:rsidRPr="0092685D" w:rsidRDefault="007C5FE8" w:rsidP="001737A0">
            <w:pPr>
              <w:spacing w:line="240" w:lineRule="auto"/>
              <w:jc w:val="center"/>
              <w:rPr>
                <w:sz w:val="14"/>
                <w:szCs w:val="14"/>
              </w:rPr>
            </w:pPr>
            <w:r w:rsidRPr="0092685D">
              <w:rPr>
                <w:sz w:val="14"/>
                <w:szCs w:val="14"/>
              </w:rPr>
              <w:t>-8,3</w:t>
            </w:r>
          </w:p>
        </w:tc>
        <w:tc>
          <w:tcPr>
            <w:tcW w:w="731" w:type="dxa"/>
            <w:noWrap/>
            <w:vAlign w:val="bottom"/>
          </w:tcPr>
          <w:p w14:paraId="6EBD98C9" w14:textId="77777777" w:rsidR="007C5FE8" w:rsidRPr="0092685D" w:rsidRDefault="007C5FE8" w:rsidP="001737A0">
            <w:pPr>
              <w:spacing w:line="240" w:lineRule="auto"/>
              <w:jc w:val="center"/>
              <w:rPr>
                <w:sz w:val="14"/>
                <w:szCs w:val="14"/>
              </w:rPr>
            </w:pPr>
            <w:r w:rsidRPr="0092685D">
              <w:rPr>
                <w:sz w:val="14"/>
                <w:szCs w:val="14"/>
              </w:rPr>
              <w:t>10,9</w:t>
            </w:r>
          </w:p>
        </w:tc>
        <w:tc>
          <w:tcPr>
            <w:tcW w:w="709" w:type="dxa"/>
            <w:noWrap/>
            <w:vAlign w:val="bottom"/>
          </w:tcPr>
          <w:p w14:paraId="7A9B5951" w14:textId="77777777" w:rsidR="007C5FE8" w:rsidRPr="0092685D" w:rsidRDefault="007C5FE8" w:rsidP="001737A0">
            <w:pPr>
              <w:spacing w:line="240" w:lineRule="auto"/>
              <w:jc w:val="center"/>
              <w:rPr>
                <w:sz w:val="14"/>
                <w:szCs w:val="14"/>
              </w:rPr>
            </w:pPr>
            <w:r w:rsidRPr="0092685D">
              <w:rPr>
                <w:sz w:val="14"/>
                <w:szCs w:val="14"/>
              </w:rPr>
              <w:t>3,9</w:t>
            </w:r>
          </w:p>
        </w:tc>
        <w:tc>
          <w:tcPr>
            <w:tcW w:w="740" w:type="dxa"/>
            <w:noWrap/>
            <w:vAlign w:val="bottom"/>
          </w:tcPr>
          <w:p w14:paraId="34BE73D5" w14:textId="77777777" w:rsidR="007C5FE8" w:rsidRPr="0092685D" w:rsidRDefault="007C5FE8" w:rsidP="001737A0">
            <w:pPr>
              <w:spacing w:line="240" w:lineRule="auto"/>
              <w:jc w:val="center"/>
              <w:rPr>
                <w:sz w:val="14"/>
                <w:szCs w:val="14"/>
              </w:rPr>
            </w:pPr>
            <w:r w:rsidRPr="0092685D">
              <w:rPr>
                <w:sz w:val="14"/>
                <w:szCs w:val="14"/>
              </w:rPr>
              <w:t>6,5</w:t>
            </w:r>
          </w:p>
        </w:tc>
        <w:tc>
          <w:tcPr>
            <w:tcW w:w="742" w:type="dxa"/>
            <w:tcBorders>
              <w:right w:val="single" w:sz="4" w:space="0" w:color="auto"/>
            </w:tcBorders>
            <w:noWrap/>
            <w:vAlign w:val="bottom"/>
          </w:tcPr>
          <w:p w14:paraId="096E9284" w14:textId="77777777" w:rsidR="007C5FE8" w:rsidRPr="0092685D" w:rsidRDefault="007C5FE8" w:rsidP="001737A0">
            <w:pPr>
              <w:spacing w:line="240" w:lineRule="auto"/>
              <w:jc w:val="center"/>
              <w:rPr>
                <w:sz w:val="14"/>
                <w:szCs w:val="14"/>
              </w:rPr>
            </w:pPr>
            <w:r w:rsidRPr="0092685D">
              <w:rPr>
                <w:sz w:val="14"/>
                <w:szCs w:val="14"/>
              </w:rPr>
              <w:t>2,4</w:t>
            </w:r>
          </w:p>
        </w:tc>
      </w:tr>
      <w:tr w:rsidR="007C5FE8" w:rsidRPr="0092685D" w14:paraId="2A1409CE" w14:textId="77777777" w:rsidTr="000C3C49">
        <w:trPr>
          <w:trHeight w:val="227"/>
        </w:trPr>
        <w:tc>
          <w:tcPr>
            <w:tcW w:w="9070" w:type="dxa"/>
            <w:gridSpan w:val="7"/>
            <w:tcBorders>
              <w:left w:val="single" w:sz="4" w:space="0" w:color="auto"/>
              <w:right w:val="single" w:sz="4" w:space="0" w:color="auto"/>
            </w:tcBorders>
            <w:noWrap/>
            <w:vAlign w:val="center"/>
            <w:hideMark/>
          </w:tcPr>
          <w:p w14:paraId="4008BBA9" w14:textId="77777777" w:rsidR="007C5FE8" w:rsidRPr="0092685D" w:rsidRDefault="007C5FE8" w:rsidP="001737A0">
            <w:pPr>
              <w:spacing w:line="240" w:lineRule="auto"/>
              <w:rPr>
                <w:b/>
                <w:bCs/>
                <w:sz w:val="14"/>
                <w:szCs w:val="14"/>
              </w:rPr>
            </w:pPr>
            <w:r w:rsidRPr="0092685D">
              <w:rPr>
                <w:b/>
                <w:bCs/>
                <w:sz w:val="14"/>
                <w:szCs w:val="14"/>
              </w:rPr>
              <w:t>Trh práce</w:t>
            </w:r>
          </w:p>
        </w:tc>
      </w:tr>
      <w:tr w:rsidR="007C5FE8" w:rsidRPr="0092685D" w14:paraId="71EBB648" w14:textId="77777777" w:rsidTr="000C3C49">
        <w:trPr>
          <w:trHeight w:val="227"/>
        </w:trPr>
        <w:tc>
          <w:tcPr>
            <w:tcW w:w="4578" w:type="dxa"/>
            <w:tcBorders>
              <w:left w:val="single" w:sz="4" w:space="0" w:color="auto"/>
            </w:tcBorders>
            <w:noWrap/>
            <w:vAlign w:val="center"/>
            <w:hideMark/>
          </w:tcPr>
          <w:p w14:paraId="5DC8DB48" w14:textId="77777777" w:rsidR="007C5FE8" w:rsidRPr="0092685D" w:rsidRDefault="007C5FE8" w:rsidP="001737A0">
            <w:pPr>
              <w:spacing w:line="240" w:lineRule="auto"/>
              <w:rPr>
                <w:sz w:val="14"/>
                <w:szCs w:val="14"/>
              </w:rPr>
            </w:pPr>
            <w:r w:rsidRPr="0092685D">
              <w:rPr>
                <w:sz w:val="14"/>
                <w:szCs w:val="14"/>
              </w:rPr>
              <w:t>Zamestnanosť (štatistické výkazníctvo)</w:t>
            </w:r>
          </w:p>
        </w:tc>
        <w:tc>
          <w:tcPr>
            <w:tcW w:w="785" w:type="dxa"/>
            <w:noWrap/>
            <w:vAlign w:val="bottom"/>
          </w:tcPr>
          <w:p w14:paraId="7D9142E0" w14:textId="77777777" w:rsidR="007C5FE8" w:rsidRPr="0092685D" w:rsidRDefault="007C5FE8" w:rsidP="001737A0">
            <w:pPr>
              <w:spacing w:line="240" w:lineRule="auto"/>
              <w:jc w:val="center"/>
              <w:rPr>
                <w:sz w:val="14"/>
                <w:szCs w:val="14"/>
              </w:rPr>
            </w:pPr>
            <w:r w:rsidRPr="0092685D">
              <w:rPr>
                <w:sz w:val="14"/>
                <w:szCs w:val="14"/>
              </w:rPr>
              <w:t>1,0</w:t>
            </w:r>
          </w:p>
        </w:tc>
        <w:tc>
          <w:tcPr>
            <w:tcW w:w="785" w:type="dxa"/>
            <w:vAlign w:val="bottom"/>
          </w:tcPr>
          <w:p w14:paraId="48BF96E4" w14:textId="77777777" w:rsidR="007C5FE8" w:rsidRPr="0092685D" w:rsidRDefault="007C5FE8" w:rsidP="001737A0">
            <w:pPr>
              <w:spacing w:line="240" w:lineRule="auto"/>
              <w:jc w:val="center"/>
              <w:rPr>
                <w:sz w:val="14"/>
                <w:szCs w:val="14"/>
              </w:rPr>
            </w:pPr>
            <w:r w:rsidRPr="0092685D">
              <w:rPr>
                <w:sz w:val="14"/>
                <w:szCs w:val="14"/>
              </w:rPr>
              <w:t>-1,8</w:t>
            </w:r>
          </w:p>
        </w:tc>
        <w:tc>
          <w:tcPr>
            <w:tcW w:w="731" w:type="dxa"/>
            <w:noWrap/>
            <w:vAlign w:val="bottom"/>
          </w:tcPr>
          <w:p w14:paraId="790C8B0E" w14:textId="77777777" w:rsidR="007C5FE8" w:rsidRPr="0092685D" w:rsidRDefault="007C5FE8" w:rsidP="001737A0">
            <w:pPr>
              <w:spacing w:line="240" w:lineRule="auto"/>
              <w:jc w:val="center"/>
              <w:rPr>
                <w:sz w:val="14"/>
                <w:szCs w:val="14"/>
              </w:rPr>
            </w:pPr>
            <w:r w:rsidRPr="0092685D">
              <w:rPr>
                <w:sz w:val="14"/>
                <w:szCs w:val="14"/>
              </w:rPr>
              <w:t>-0,8</w:t>
            </w:r>
          </w:p>
        </w:tc>
        <w:tc>
          <w:tcPr>
            <w:tcW w:w="709" w:type="dxa"/>
            <w:noWrap/>
            <w:vAlign w:val="bottom"/>
          </w:tcPr>
          <w:p w14:paraId="713F9D4E" w14:textId="77777777" w:rsidR="007C5FE8" w:rsidRPr="0092685D" w:rsidRDefault="007C5FE8" w:rsidP="001737A0">
            <w:pPr>
              <w:spacing w:line="240" w:lineRule="auto"/>
              <w:jc w:val="center"/>
              <w:rPr>
                <w:sz w:val="14"/>
                <w:szCs w:val="14"/>
              </w:rPr>
            </w:pPr>
            <w:r w:rsidRPr="0092685D">
              <w:rPr>
                <w:sz w:val="14"/>
                <w:szCs w:val="14"/>
              </w:rPr>
              <w:t>0,6</w:t>
            </w:r>
          </w:p>
        </w:tc>
        <w:tc>
          <w:tcPr>
            <w:tcW w:w="740" w:type="dxa"/>
            <w:noWrap/>
            <w:vAlign w:val="bottom"/>
          </w:tcPr>
          <w:p w14:paraId="3082B80A" w14:textId="77777777" w:rsidR="007C5FE8" w:rsidRPr="0092685D" w:rsidRDefault="007C5FE8" w:rsidP="001737A0">
            <w:pPr>
              <w:spacing w:line="240" w:lineRule="auto"/>
              <w:jc w:val="center"/>
              <w:rPr>
                <w:sz w:val="14"/>
                <w:szCs w:val="14"/>
              </w:rPr>
            </w:pPr>
            <w:r w:rsidRPr="0092685D">
              <w:rPr>
                <w:sz w:val="14"/>
                <w:szCs w:val="14"/>
              </w:rPr>
              <w:t>1,0</w:t>
            </w:r>
          </w:p>
        </w:tc>
        <w:tc>
          <w:tcPr>
            <w:tcW w:w="742" w:type="dxa"/>
            <w:tcBorders>
              <w:right w:val="single" w:sz="4" w:space="0" w:color="auto"/>
            </w:tcBorders>
            <w:noWrap/>
            <w:vAlign w:val="bottom"/>
          </w:tcPr>
          <w:p w14:paraId="21DB3778" w14:textId="77777777" w:rsidR="007C5FE8" w:rsidRPr="0092685D" w:rsidRDefault="007C5FE8" w:rsidP="001737A0">
            <w:pPr>
              <w:spacing w:line="240" w:lineRule="auto"/>
              <w:jc w:val="center"/>
              <w:rPr>
                <w:sz w:val="14"/>
                <w:szCs w:val="14"/>
              </w:rPr>
            </w:pPr>
            <w:r w:rsidRPr="0092685D">
              <w:rPr>
                <w:sz w:val="14"/>
                <w:szCs w:val="14"/>
              </w:rPr>
              <w:t>0,4</w:t>
            </w:r>
          </w:p>
        </w:tc>
      </w:tr>
      <w:tr w:rsidR="007C5FE8" w:rsidRPr="0092685D" w14:paraId="7FA33DD9" w14:textId="77777777" w:rsidTr="000C3C49">
        <w:trPr>
          <w:trHeight w:val="227"/>
        </w:trPr>
        <w:tc>
          <w:tcPr>
            <w:tcW w:w="4578" w:type="dxa"/>
            <w:tcBorders>
              <w:left w:val="single" w:sz="4" w:space="0" w:color="auto"/>
            </w:tcBorders>
            <w:noWrap/>
            <w:vAlign w:val="center"/>
            <w:hideMark/>
          </w:tcPr>
          <w:p w14:paraId="7ABCD121" w14:textId="77777777" w:rsidR="007C5FE8" w:rsidRPr="0092685D" w:rsidRDefault="007C5FE8" w:rsidP="001737A0">
            <w:pPr>
              <w:spacing w:line="240" w:lineRule="auto"/>
              <w:rPr>
                <w:sz w:val="14"/>
                <w:szCs w:val="14"/>
              </w:rPr>
            </w:pPr>
            <w:r w:rsidRPr="0092685D">
              <w:rPr>
                <w:sz w:val="14"/>
                <w:szCs w:val="14"/>
              </w:rPr>
              <w:t>Mzdy, nominálne</w:t>
            </w:r>
          </w:p>
        </w:tc>
        <w:tc>
          <w:tcPr>
            <w:tcW w:w="785" w:type="dxa"/>
            <w:noWrap/>
            <w:vAlign w:val="bottom"/>
          </w:tcPr>
          <w:p w14:paraId="38AFCB43" w14:textId="77777777" w:rsidR="007C5FE8" w:rsidRPr="0092685D" w:rsidRDefault="007C5FE8" w:rsidP="001737A0">
            <w:pPr>
              <w:spacing w:line="240" w:lineRule="auto"/>
              <w:jc w:val="center"/>
              <w:rPr>
                <w:sz w:val="14"/>
                <w:szCs w:val="14"/>
              </w:rPr>
            </w:pPr>
            <w:r w:rsidRPr="0092685D">
              <w:rPr>
                <w:sz w:val="14"/>
                <w:szCs w:val="14"/>
              </w:rPr>
              <w:t>7,8</w:t>
            </w:r>
          </w:p>
        </w:tc>
        <w:tc>
          <w:tcPr>
            <w:tcW w:w="785" w:type="dxa"/>
            <w:vAlign w:val="bottom"/>
          </w:tcPr>
          <w:p w14:paraId="4B158EF3" w14:textId="77777777" w:rsidR="007C5FE8" w:rsidRPr="0092685D" w:rsidRDefault="007C5FE8" w:rsidP="001737A0">
            <w:pPr>
              <w:spacing w:line="240" w:lineRule="auto"/>
              <w:jc w:val="center"/>
              <w:rPr>
                <w:sz w:val="14"/>
                <w:szCs w:val="14"/>
              </w:rPr>
            </w:pPr>
            <w:r w:rsidRPr="0092685D">
              <w:rPr>
                <w:sz w:val="14"/>
                <w:szCs w:val="14"/>
              </w:rPr>
              <w:t>3,8</w:t>
            </w:r>
          </w:p>
        </w:tc>
        <w:tc>
          <w:tcPr>
            <w:tcW w:w="731" w:type="dxa"/>
            <w:noWrap/>
            <w:vAlign w:val="bottom"/>
          </w:tcPr>
          <w:p w14:paraId="1519D04E" w14:textId="77777777" w:rsidR="007C5FE8" w:rsidRPr="0092685D" w:rsidRDefault="007C5FE8" w:rsidP="001737A0">
            <w:pPr>
              <w:spacing w:line="240" w:lineRule="auto"/>
              <w:jc w:val="center"/>
              <w:rPr>
                <w:sz w:val="14"/>
                <w:szCs w:val="14"/>
              </w:rPr>
            </w:pPr>
            <w:r w:rsidRPr="0092685D">
              <w:rPr>
                <w:sz w:val="14"/>
                <w:szCs w:val="14"/>
              </w:rPr>
              <w:t>5,4</w:t>
            </w:r>
          </w:p>
        </w:tc>
        <w:tc>
          <w:tcPr>
            <w:tcW w:w="709" w:type="dxa"/>
            <w:noWrap/>
            <w:vAlign w:val="bottom"/>
          </w:tcPr>
          <w:p w14:paraId="1A58F384" w14:textId="77777777" w:rsidR="007C5FE8" w:rsidRPr="0092685D" w:rsidRDefault="007C5FE8" w:rsidP="001737A0">
            <w:pPr>
              <w:spacing w:line="240" w:lineRule="auto"/>
              <w:jc w:val="center"/>
              <w:rPr>
                <w:sz w:val="14"/>
                <w:szCs w:val="14"/>
              </w:rPr>
            </w:pPr>
            <w:r w:rsidRPr="0092685D">
              <w:rPr>
                <w:sz w:val="14"/>
                <w:szCs w:val="14"/>
              </w:rPr>
              <w:t>5,5</w:t>
            </w:r>
          </w:p>
        </w:tc>
        <w:tc>
          <w:tcPr>
            <w:tcW w:w="740" w:type="dxa"/>
            <w:noWrap/>
            <w:vAlign w:val="bottom"/>
          </w:tcPr>
          <w:p w14:paraId="6182C4C0" w14:textId="77777777" w:rsidR="007C5FE8" w:rsidRPr="0092685D" w:rsidRDefault="007C5FE8" w:rsidP="001737A0">
            <w:pPr>
              <w:spacing w:line="240" w:lineRule="auto"/>
              <w:jc w:val="center"/>
              <w:rPr>
                <w:sz w:val="14"/>
                <w:szCs w:val="14"/>
              </w:rPr>
            </w:pPr>
            <w:r w:rsidRPr="0092685D">
              <w:rPr>
                <w:sz w:val="14"/>
                <w:szCs w:val="14"/>
              </w:rPr>
              <w:t>5,1</w:t>
            </w:r>
          </w:p>
        </w:tc>
        <w:tc>
          <w:tcPr>
            <w:tcW w:w="742" w:type="dxa"/>
            <w:tcBorders>
              <w:right w:val="single" w:sz="4" w:space="0" w:color="auto"/>
            </w:tcBorders>
            <w:noWrap/>
            <w:vAlign w:val="bottom"/>
          </w:tcPr>
          <w:p w14:paraId="70C2E39F" w14:textId="77777777" w:rsidR="007C5FE8" w:rsidRPr="0092685D" w:rsidRDefault="007C5FE8" w:rsidP="001737A0">
            <w:pPr>
              <w:spacing w:line="240" w:lineRule="auto"/>
              <w:jc w:val="center"/>
              <w:rPr>
                <w:sz w:val="14"/>
                <w:szCs w:val="14"/>
              </w:rPr>
            </w:pPr>
            <w:r w:rsidRPr="0092685D">
              <w:rPr>
                <w:sz w:val="14"/>
                <w:szCs w:val="14"/>
              </w:rPr>
              <w:t>4,8</w:t>
            </w:r>
          </w:p>
        </w:tc>
      </w:tr>
      <w:tr w:rsidR="007C5FE8" w:rsidRPr="0092685D" w14:paraId="313E7DD2" w14:textId="77777777" w:rsidTr="000C3C49">
        <w:trPr>
          <w:trHeight w:val="227"/>
        </w:trPr>
        <w:tc>
          <w:tcPr>
            <w:tcW w:w="4578" w:type="dxa"/>
            <w:tcBorders>
              <w:left w:val="single" w:sz="4" w:space="0" w:color="auto"/>
            </w:tcBorders>
            <w:noWrap/>
            <w:vAlign w:val="center"/>
            <w:hideMark/>
          </w:tcPr>
          <w:p w14:paraId="3488AE09" w14:textId="77777777" w:rsidR="007C5FE8" w:rsidRPr="0092685D" w:rsidRDefault="007C5FE8" w:rsidP="001737A0">
            <w:pPr>
              <w:spacing w:line="240" w:lineRule="auto"/>
              <w:rPr>
                <w:sz w:val="14"/>
                <w:szCs w:val="14"/>
              </w:rPr>
            </w:pPr>
            <w:r w:rsidRPr="0092685D">
              <w:rPr>
                <w:sz w:val="14"/>
                <w:szCs w:val="14"/>
              </w:rPr>
              <w:t>Mzdy, reálne</w:t>
            </w:r>
          </w:p>
        </w:tc>
        <w:tc>
          <w:tcPr>
            <w:tcW w:w="785" w:type="dxa"/>
            <w:noWrap/>
            <w:vAlign w:val="bottom"/>
          </w:tcPr>
          <w:p w14:paraId="7A896103" w14:textId="77777777" w:rsidR="007C5FE8" w:rsidRPr="0092685D" w:rsidRDefault="007C5FE8" w:rsidP="001737A0">
            <w:pPr>
              <w:spacing w:line="240" w:lineRule="auto"/>
              <w:jc w:val="center"/>
              <w:rPr>
                <w:sz w:val="14"/>
                <w:szCs w:val="14"/>
              </w:rPr>
            </w:pPr>
            <w:r w:rsidRPr="0092685D">
              <w:rPr>
                <w:sz w:val="14"/>
                <w:szCs w:val="14"/>
              </w:rPr>
              <w:t>5,0</w:t>
            </w:r>
          </w:p>
        </w:tc>
        <w:tc>
          <w:tcPr>
            <w:tcW w:w="785" w:type="dxa"/>
            <w:vAlign w:val="bottom"/>
          </w:tcPr>
          <w:p w14:paraId="035BB6D1" w14:textId="77777777" w:rsidR="007C5FE8" w:rsidRPr="0092685D" w:rsidRDefault="007C5FE8" w:rsidP="001737A0">
            <w:pPr>
              <w:spacing w:line="240" w:lineRule="auto"/>
              <w:jc w:val="center"/>
              <w:rPr>
                <w:sz w:val="14"/>
                <w:szCs w:val="14"/>
              </w:rPr>
            </w:pPr>
            <w:r w:rsidRPr="0092685D">
              <w:rPr>
                <w:sz w:val="14"/>
                <w:szCs w:val="14"/>
              </w:rPr>
              <w:t>1,8</w:t>
            </w:r>
          </w:p>
        </w:tc>
        <w:tc>
          <w:tcPr>
            <w:tcW w:w="731" w:type="dxa"/>
            <w:noWrap/>
            <w:vAlign w:val="bottom"/>
          </w:tcPr>
          <w:p w14:paraId="708113D0" w14:textId="77777777" w:rsidR="007C5FE8" w:rsidRPr="0092685D" w:rsidRDefault="007C5FE8" w:rsidP="001737A0">
            <w:pPr>
              <w:spacing w:line="240" w:lineRule="auto"/>
              <w:jc w:val="center"/>
              <w:rPr>
                <w:sz w:val="14"/>
                <w:szCs w:val="14"/>
              </w:rPr>
            </w:pPr>
            <w:r w:rsidRPr="0092685D">
              <w:rPr>
                <w:sz w:val="14"/>
                <w:szCs w:val="14"/>
              </w:rPr>
              <w:t>2,8</w:t>
            </w:r>
          </w:p>
        </w:tc>
        <w:tc>
          <w:tcPr>
            <w:tcW w:w="709" w:type="dxa"/>
            <w:noWrap/>
            <w:vAlign w:val="bottom"/>
          </w:tcPr>
          <w:p w14:paraId="22E212FE" w14:textId="77777777" w:rsidR="007C5FE8" w:rsidRPr="0092685D" w:rsidRDefault="007C5FE8" w:rsidP="001737A0">
            <w:pPr>
              <w:spacing w:line="240" w:lineRule="auto"/>
              <w:jc w:val="center"/>
              <w:rPr>
                <w:sz w:val="14"/>
                <w:szCs w:val="14"/>
              </w:rPr>
            </w:pPr>
            <w:r w:rsidRPr="0092685D">
              <w:rPr>
                <w:sz w:val="14"/>
                <w:szCs w:val="14"/>
              </w:rPr>
              <w:t>1,3</w:t>
            </w:r>
          </w:p>
        </w:tc>
        <w:tc>
          <w:tcPr>
            <w:tcW w:w="740" w:type="dxa"/>
            <w:noWrap/>
            <w:vAlign w:val="bottom"/>
          </w:tcPr>
          <w:p w14:paraId="55FF5AA3" w14:textId="77777777" w:rsidR="007C5FE8" w:rsidRPr="0092685D" w:rsidRDefault="007C5FE8" w:rsidP="001737A0">
            <w:pPr>
              <w:spacing w:line="240" w:lineRule="auto"/>
              <w:jc w:val="center"/>
              <w:rPr>
                <w:sz w:val="14"/>
                <w:szCs w:val="14"/>
              </w:rPr>
            </w:pPr>
            <w:r w:rsidRPr="0092685D">
              <w:rPr>
                <w:sz w:val="14"/>
                <w:szCs w:val="14"/>
              </w:rPr>
              <w:t>1,9</w:t>
            </w:r>
          </w:p>
        </w:tc>
        <w:tc>
          <w:tcPr>
            <w:tcW w:w="742" w:type="dxa"/>
            <w:tcBorders>
              <w:right w:val="single" w:sz="4" w:space="0" w:color="auto"/>
            </w:tcBorders>
            <w:noWrap/>
            <w:vAlign w:val="bottom"/>
          </w:tcPr>
          <w:p w14:paraId="4044FA2E" w14:textId="77777777" w:rsidR="007C5FE8" w:rsidRPr="0092685D" w:rsidRDefault="007C5FE8" w:rsidP="001737A0">
            <w:pPr>
              <w:spacing w:line="240" w:lineRule="auto"/>
              <w:jc w:val="center"/>
              <w:rPr>
                <w:sz w:val="14"/>
                <w:szCs w:val="14"/>
              </w:rPr>
            </w:pPr>
            <w:r w:rsidRPr="0092685D">
              <w:rPr>
                <w:sz w:val="14"/>
                <w:szCs w:val="14"/>
              </w:rPr>
              <w:t>3,2</w:t>
            </w:r>
          </w:p>
        </w:tc>
      </w:tr>
      <w:tr w:rsidR="007C5FE8" w:rsidRPr="0092685D" w14:paraId="39A73BA5" w14:textId="77777777" w:rsidTr="000C3C49">
        <w:trPr>
          <w:trHeight w:val="227"/>
        </w:trPr>
        <w:tc>
          <w:tcPr>
            <w:tcW w:w="4578" w:type="dxa"/>
            <w:tcBorders>
              <w:left w:val="single" w:sz="4" w:space="0" w:color="auto"/>
            </w:tcBorders>
            <w:noWrap/>
            <w:vAlign w:val="center"/>
            <w:hideMark/>
          </w:tcPr>
          <w:p w14:paraId="456DA33A" w14:textId="77777777" w:rsidR="007C5FE8" w:rsidRPr="0092685D" w:rsidRDefault="007C5FE8" w:rsidP="001737A0">
            <w:pPr>
              <w:spacing w:line="240" w:lineRule="auto"/>
              <w:rPr>
                <w:sz w:val="14"/>
                <w:szCs w:val="14"/>
              </w:rPr>
            </w:pPr>
            <w:r w:rsidRPr="0092685D">
              <w:rPr>
                <w:sz w:val="14"/>
                <w:szCs w:val="14"/>
              </w:rPr>
              <w:t>Miera nezamestnanosti</w:t>
            </w:r>
          </w:p>
        </w:tc>
        <w:tc>
          <w:tcPr>
            <w:tcW w:w="785" w:type="dxa"/>
            <w:noWrap/>
            <w:vAlign w:val="bottom"/>
          </w:tcPr>
          <w:p w14:paraId="1A1BBBEB" w14:textId="77777777" w:rsidR="007C5FE8" w:rsidRPr="0092685D" w:rsidRDefault="007C5FE8" w:rsidP="001737A0">
            <w:pPr>
              <w:spacing w:line="240" w:lineRule="auto"/>
              <w:jc w:val="center"/>
              <w:rPr>
                <w:sz w:val="14"/>
                <w:szCs w:val="14"/>
              </w:rPr>
            </w:pPr>
            <w:r w:rsidRPr="0092685D">
              <w:rPr>
                <w:sz w:val="14"/>
                <w:szCs w:val="14"/>
              </w:rPr>
              <w:t>5,8</w:t>
            </w:r>
          </w:p>
        </w:tc>
        <w:tc>
          <w:tcPr>
            <w:tcW w:w="785" w:type="dxa"/>
            <w:vAlign w:val="bottom"/>
          </w:tcPr>
          <w:p w14:paraId="3504E3AA" w14:textId="77777777" w:rsidR="007C5FE8" w:rsidRPr="0092685D" w:rsidRDefault="007C5FE8" w:rsidP="001737A0">
            <w:pPr>
              <w:spacing w:line="240" w:lineRule="auto"/>
              <w:jc w:val="center"/>
              <w:rPr>
                <w:sz w:val="14"/>
                <w:szCs w:val="14"/>
              </w:rPr>
            </w:pPr>
            <w:r w:rsidRPr="0092685D">
              <w:rPr>
                <w:sz w:val="14"/>
                <w:szCs w:val="14"/>
              </w:rPr>
              <w:t>6,7</w:t>
            </w:r>
          </w:p>
        </w:tc>
        <w:tc>
          <w:tcPr>
            <w:tcW w:w="731" w:type="dxa"/>
            <w:noWrap/>
            <w:vAlign w:val="bottom"/>
          </w:tcPr>
          <w:p w14:paraId="179EBA91" w14:textId="77777777" w:rsidR="007C5FE8" w:rsidRPr="0092685D" w:rsidRDefault="007C5FE8" w:rsidP="001737A0">
            <w:pPr>
              <w:spacing w:line="240" w:lineRule="auto"/>
              <w:jc w:val="center"/>
              <w:rPr>
                <w:sz w:val="14"/>
                <w:szCs w:val="14"/>
              </w:rPr>
            </w:pPr>
            <w:r w:rsidRPr="0092685D">
              <w:rPr>
                <w:sz w:val="14"/>
                <w:szCs w:val="14"/>
              </w:rPr>
              <w:t>7,0</w:t>
            </w:r>
          </w:p>
        </w:tc>
        <w:tc>
          <w:tcPr>
            <w:tcW w:w="709" w:type="dxa"/>
            <w:noWrap/>
            <w:vAlign w:val="bottom"/>
          </w:tcPr>
          <w:p w14:paraId="3F67FCEE" w14:textId="77777777" w:rsidR="007C5FE8" w:rsidRPr="0092685D" w:rsidRDefault="007C5FE8" w:rsidP="001737A0">
            <w:pPr>
              <w:spacing w:line="240" w:lineRule="auto"/>
              <w:jc w:val="center"/>
              <w:rPr>
                <w:sz w:val="14"/>
                <w:szCs w:val="14"/>
              </w:rPr>
            </w:pPr>
            <w:r w:rsidRPr="0092685D">
              <w:rPr>
                <w:sz w:val="14"/>
                <w:szCs w:val="14"/>
              </w:rPr>
              <w:t>6,7</w:t>
            </w:r>
          </w:p>
        </w:tc>
        <w:tc>
          <w:tcPr>
            <w:tcW w:w="740" w:type="dxa"/>
            <w:noWrap/>
            <w:vAlign w:val="bottom"/>
          </w:tcPr>
          <w:p w14:paraId="135F0F67" w14:textId="77777777" w:rsidR="007C5FE8" w:rsidRPr="0092685D" w:rsidRDefault="007C5FE8" w:rsidP="001737A0">
            <w:pPr>
              <w:spacing w:line="240" w:lineRule="auto"/>
              <w:jc w:val="center"/>
              <w:rPr>
                <w:sz w:val="14"/>
                <w:szCs w:val="14"/>
              </w:rPr>
            </w:pPr>
            <w:r w:rsidRPr="0092685D">
              <w:rPr>
                <w:sz w:val="14"/>
                <w:szCs w:val="14"/>
              </w:rPr>
              <w:t>5,7</w:t>
            </w:r>
          </w:p>
        </w:tc>
        <w:tc>
          <w:tcPr>
            <w:tcW w:w="742" w:type="dxa"/>
            <w:tcBorders>
              <w:right w:val="single" w:sz="4" w:space="0" w:color="auto"/>
            </w:tcBorders>
            <w:noWrap/>
            <w:vAlign w:val="bottom"/>
          </w:tcPr>
          <w:p w14:paraId="40DEAD32" w14:textId="77777777" w:rsidR="007C5FE8" w:rsidRPr="0092685D" w:rsidRDefault="007C5FE8" w:rsidP="001737A0">
            <w:pPr>
              <w:spacing w:line="240" w:lineRule="auto"/>
              <w:jc w:val="center"/>
              <w:rPr>
                <w:sz w:val="14"/>
                <w:szCs w:val="14"/>
              </w:rPr>
            </w:pPr>
            <w:r w:rsidRPr="0092685D">
              <w:rPr>
                <w:sz w:val="14"/>
                <w:szCs w:val="14"/>
              </w:rPr>
              <w:t>5,2</w:t>
            </w:r>
          </w:p>
        </w:tc>
      </w:tr>
      <w:tr w:rsidR="007C5FE8" w:rsidRPr="0092685D" w14:paraId="49158022" w14:textId="77777777" w:rsidTr="000C3C49">
        <w:trPr>
          <w:trHeight w:val="227"/>
        </w:trPr>
        <w:tc>
          <w:tcPr>
            <w:tcW w:w="9070" w:type="dxa"/>
            <w:gridSpan w:val="7"/>
            <w:tcBorders>
              <w:left w:val="single" w:sz="4" w:space="0" w:color="auto"/>
              <w:right w:val="single" w:sz="4" w:space="0" w:color="auto"/>
            </w:tcBorders>
            <w:noWrap/>
            <w:vAlign w:val="center"/>
            <w:hideMark/>
          </w:tcPr>
          <w:p w14:paraId="5FA7F2AB" w14:textId="77777777" w:rsidR="007C5FE8" w:rsidRPr="0092685D" w:rsidRDefault="007C5FE8" w:rsidP="001737A0">
            <w:pPr>
              <w:spacing w:line="240" w:lineRule="auto"/>
              <w:rPr>
                <w:b/>
                <w:bCs/>
                <w:sz w:val="14"/>
                <w:szCs w:val="14"/>
              </w:rPr>
            </w:pPr>
            <w:r w:rsidRPr="0092685D">
              <w:rPr>
                <w:b/>
                <w:bCs/>
                <w:sz w:val="14"/>
                <w:szCs w:val="14"/>
              </w:rPr>
              <w:t>Inflácia</w:t>
            </w:r>
            <w:r w:rsidRPr="0092685D">
              <w:rPr>
                <w:sz w:val="14"/>
                <w:szCs w:val="14"/>
              </w:rPr>
              <w:t> </w:t>
            </w:r>
          </w:p>
        </w:tc>
      </w:tr>
      <w:tr w:rsidR="007C5FE8" w:rsidRPr="00E710AD" w14:paraId="43D09611" w14:textId="77777777" w:rsidTr="000C3C49">
        <w:trPr>
          <w:trHeight w:val="227"/>
        </w:trPr>
        <w:tc>
          <w:tcPr>
            <w:tcW w:w="4578" w:type="dxa"/>
            <w:tcBorders>
              <w:left w:val="single" w:sz="4" w:space="0" w:color="auto"/>
            </w:tcBorders>
            <w:noWrap/>
            <w:vAlign w:val="center"/>
            <w:hideMark/>
          </w:tcPr>
          <w:p w14:paraId="58E17569" w14:textId="77777777" w:rsidR="007C5FE8" w:rsidRPr="0092685D" w:rsidRDefault="007C5FE8" w:rsidP="001737A0">
            <w:pPr>
              <w:spacing w:line="240" w:lineRule="auto"/>
              <w:rPr>
                <w:sz w:val="14"/>
                <w:szCs w:val="14"/>
              </w:rPr>
            </w:pPr>
            <w:r w:rsidRPr="0092685D">
              <w:rPr>
                <w:sz w:val="14"/>
                <w:szCs w:val="14"/>
              </w:rPr>
              <w:t>Index spotrebiteľských cien</w:t>
            </w:r>
          </w:p>
        </w:tc>
        <w:tc>
          <w:tcPr>
            <w:tcW w:w="785" w:type="dxa"/>
            <w:noWrap/>
            <w:vAlign w:val="bottom"/>
          </w:tcPr>
          <w:p w14:paraId="5C622DE9" w14:textId="77777777" w:rsidR="007C5FE8" w:rsidRPr="0092685D" w:rsidRDefault="007C5FE8" w:rsidP="001737A0">
            <w:pPr>
              <w:spacing w:line="240" w:lineRule="auto"/>
              <w:jc w:val="center"/>
              <w:rPr>
                <w:sz w:val="14"/>
                <w:szCs w:val="14"/>
              </w:rPr>
            </w:pPr>
            <w:r w:rsidRPr="0092685D">
              <w:rPr>
                <w:sz w:val="14"/>
                <w:szCs w:val="14"/>
              </w:rPr>
              <w:t>2,7</w:t>
            </w:r>
          </w:p>
        </w:tc>
        <w:tc>
          <w:tcPr>
            <w:tcW w:w="785" w:type="dxa"/>
            <w:vAlign w:val="bottom"/>
          </w:tcPr>
          <w:p w14:paraId="3D882BA5" w14:textId="77777777" w:rsidR="007C5FE8" w:rsidRPr="0092685D" w:rsidRDefault="007C5FE8" w:rsidP="001737A0">
            <w:pPr>
              <w:spacing w:line="240" w:lineRule="auto"/>
              <w:jc w:val="center"/>
              <w:rPr>
                <w:sz w:val="14"/>
                <w:szCs w:val="14"/>
              </w:rPr>
            </w:pPr>
            <w:r w:rsidRPr="0092685D">
              <w:rPr>
                <w:sz w:val="14"/>
                <w:szCs w:val="14"/>
              </w:rPr>
              <w:t>1,9</w:t>
            </w:r>
          </w:p>
        </w:tc>
        <w:tc>
          <w:tcPr>
            <w:tcW w:w="731" w:type="dxa"/>
            <w:noWrap/>
            <w:vAlign w:val="bottom"/>
          </w:tcPr>
          <w:p w14:paraId="2BFF3747" w14:textId="77777777" w:rsidR="007C5FE8" w:rsidRPr="0092685D" w:rsidRDefault="007C5FE8" w:rsidP="001737A0">
            <w:pPr>
              <w:spacing w:line="240" w:lineRule="auto"/>
              <w:jc w:val="center"/>
              <w:rPr>
                <w:sz w:val="14"/>
                <w:szCs w:val="14"/>
              </w:rPr>
            </w:pPr>
            <w:r w:rsidRPr="0092685D">
              <w:rPr>
                <w:sz w:val="14"/>
                <w:szCs w:val="14"/>
              </w:rPr>
              <w:t>2,5</w:t>
            </w:r>
          </w:p>
        </w:tc>
        <w:tc>
          <w:tcPr>
            <w:tcW w:w="709" w:type="dxa"/>
            <w:noWrap/>
            <w:vAlign w:val="bottom"/>
          </w:tcPr>
          <w:p w14:paraId="78F86C91" w14:textId="77777777" w:rsidR="007C5FE8" w:rsidRPr="0092685D" w:rsidRDefault="007C5FE8" w:rsidP="001737A0">
            <w:pPr>
              <w:spacing w:line="240" w:lineRule="auto"/>
              <w:jc w:val="center"/>
              <w:rPr>
                <w:sz w:val="14"/>
                <w:szCs w:val="14"/>
              </w:rPr>
            </w:pPr>
            <w:r w:rsidRPr="0092685D">
              <w:rPr>
                <w:sz w:val="14"/>
                <w:szCs w:val="14"/>
              </w:rPr>
              <w:t>4,2</w:t>
            </w:r>
          </w:p>
        </w:tc>
        <w:tc>
          <w:tcPr>
            <w:tcW w:w="740" w:type="dxa"/>
            <w:noWrap/>
            <w:vAlign w:val="bottom"/>
          </w:tcPr>
          <w:p w14:paraId="6D69E558" w14:textId="77777777" w:rsidR="007C5FE8" w:rsidRPr="0092685D" w:rsidRDefault="007C5FE8" w:rsidP="001737A0">
            <w:pPr>
              <w:spacing w:line="240" w:lineRule="auto"/>
              <w:jc w:val="center"/>
              <w:rPr>
                <w:sz w:val="14"/>
                <w:szCs w:val="14"/>
              </w:rPr>
            </w:pPr>
            <w:r w:rsidRPr="0092685D">
              <w:rPr>
                <w:sz w:val="14"/>
                <w:szCs w:val="14"/>
              </w:rPr>
              <w:t>3,1</w:t>
            </w:r>
          </w:p>
        </w:tc>
        <w:tc>
          <w:tcPr>
            <w:tcW w:w="742" w:type="dxa"/>
            <w:tcBorders>
              <w:right w:val="single" w:sz="4" w:space="0" w:color="auto"/>
            </w:tcBorders>
            <w:noWrap/>
            <w:vAlign w:val="bottom"/>
          </w:tcPr>
          <w:p w14:paraId="129045C0" w14:textId="77777777" w:rsidR="007C5FE8" w:rsidRPr="0092685D" w:rsidRDefault="007C5FE8" w:rsidP="001737A0">
            <w:pPr>
              <w:spacing w:line="240" w:lineRule="auto"/>
              <w:jc w:val="center"/>
              <w:rPr>
                <w:sz w:val="14"/>
                <w:szCs w:val="14"/>
              </w:rPr>
            </w:pPr>
            <w:r w:rsidRPr="0092685D">
              <w:rPr>
                <w:sz w:val="14"/>
                <w:szCs w:val="14"/>
              </w:rPr>
              <w:t>1,5</w:t>
            </w:r>
          </w:p>
        </w:tc>
      </w:tr>
    </w:tbl>
    <w:p w14:paraId="621EF3D7" w14:textId="77777777" w:rsidR="007C5FE8" w:rsidRDefault="007C5FE8"/>
    <w:tbl>
      <w:tblPr>
        <w:tblW w:w="5000" w:type="pct"/>
        <w:tblCellMar>
          <w:left w:w="70" w:type="dxa"/>
          <w:right w:w="70" w:type="dxa"/>
        </w:tblCellMar>
        <w:tblLook w:val="04A0" w:firstRow="1" w:lastRow="0" w:firstColumn="1" w:lastColumn="0" w:noHBand="0" w:noVBand="1"/>
      </w:tblPr>
      <w:tblGrid>
        <w:gridCol w:w="4105"/>
        <w:gridCol w:w="2381"/>
        <w:gridCol w:w="715"/>
        <w:gridCol w:w="715"/>
        <w:gridCol w:w="647"/>
        <w:gridCol w:w="651"/>
      </w:tblGrid>
      <w:tr w:rsidR="007C5FE8" w:rsidRPr="001737A0" w14:paraId="65098E95" w14:textId="77777777" w:rsidTr="000C3C49">
        <w:trPr>
          <w:trHeight w:val="227"/>
        </w:trPr>
        <w:tc>
          <w:tcPr>
            <w:tcW w:w="5000" w:type="pct"/>
            <w:gridSpan w:val="6"/>
            <w:tcBorders>
              <w:bottom w:val="single" w:sz="4" w:space="0" w:color="auto"/>
            </w:tcBorders>
            <w:shd w:val="clear" w:color="auto" w:fill="auto"/>
            <w:noWrap/>
            <w:vAlign w:val="center"/>
            <w:hideMark/>
          </w:tcPr>
          <w:p w14:paraId="6445CE55" w14:textId="6B2B3A58" w:rsidR="007C5FE8" w:rsidRPr="001737A0" w:rsidRDefault="001737A0" w:rsidP="001737A0">
            <w:pPr>
              <w:spacing w:after="0" w:line="240" w:lineRule="auto"/>
              <w:jc w:val="left"/>
              <w:rPr>
                <w:rFonts w:cs="Times New Roman"/>
                <w:b/>
                <w:bCs/>
                <w:color w:val="5B9BD5" w:themeColor="accent1"/>
                <w:sz w:val="20"/>
                <w:szCs w:val="20"/>
              </w:rPr>
            </w:pPr>
            <w:r>
              <w:rPr>
                <w:rFonts w:cs="Times New Roman"/>
                <w:b/>
                <w:bCs/>
                <w:color w:val="5B9BD5" w:themeColor="accent1"/>
                <w:sz w:val="20"/>
                <w:szCs w:val="20"/>
              </w:rPr>
              <w:t xml:space="preserve">Tabuľka 5 - </w:t>
            </w:r>
            <w:r w:rsidR="007C5FE8" w:rsidRPr="001737A0">
              <w:rPr>
                <w:rFonts w:cs="Times New Roman"/>
                <w:b/>
                <w:bCs/>
                <w:color w:val="5B9BD5" w:themeColor="accent1"/>
                <w:sz w:val="20"/>
                <w:szCs w:val="20"/>
              </w:rPr>
              <w:t>Porovnanie prognóz Európskej komisie (EK) a MF SR</w:t>
            </w:r>
          </w:p>
        </w:tc>
      </w:tr>
      <w:tr w:rsidR="007C5FE8" w:rsidRPr="004768B6" w14:paraId="67F031BD" w14:textId="77777777" w:rsidTr="000C3C49">
        <w:trPr>
          <w:trHeight w:val="227"/>
        </w:trPr>
        <w:tc>
          <w:tcPr>
            <w:tcW w:w="2228" w:type="pct"/>
            <w:tcBorders>
              <w:top w:val="single" w:sz="4" w:space="0" w:color="auto"/>
              <w:left w:val="single" w:sz="4" w:space="0" w:color="auto"/>
              <w:bottom w:val="single" w:sz="4" w:space="0" w:color="auto"/>
              <w:right w:val="nil"/>
            </w:tcBorders>
            <w:shd w:val="clear" w:color="auto" w:fill="auto"/>
            <w:noWrap/>
            <w:vAlign w:val="center"/>
            <w:hideMark/>
          </w:tcPr>
          <w:p w14:paraId="3AAFE610" w14:textId="77777777" w:rsidR="007C5FE8" w:rsidRPr="004768B6" w:rsidRDefault="007C5FE8" w:rsidP="005371DF">
            <w:pPr>
              <w:rPr>
                <w:color w:val="000000"/>
                <w:sz w:val="14"/>
                <w:szCs w:val="14"/>
              </w:rPr>
            </w:pPr>
            <w:r w:rsidRPr="004768B6">
              <w:rPr>
                <w:color w:val="000000"/>
                <w:sz w:val="14"/>
                <w:szCs w:val="14"/>
              </w:rPr>
              <w:t> </w:t>
            </w:r>
            <w:r w:rsidRPr="004768B6">
              <w:rPr>
                <w:b/>
                <w:bCs/>
                <w:sz w:val="14"/>
                <w:szCs w:val="14"/>
              </w:rPr>
              <w:t xml:space="preserve">Ukazovateľ </w:t>
            </w:r>
            <w:r w:rsidRPr="004768B6">
              <w:rPr>
                <w:b/>
                <w:sz w:val="14"/>
                <w:szCs w:val="14"/>
              </w:rPr>
              <w:t>(rast v %, ak nie je uvedené inak)</w:t>
            </w:r>
          </w:p>
        </w:tc>
        <w:tc>
          <w:tcPr>
            <w:tcW w:w="1292" w:type="pct"/>
            <w:tcBorders>
              <w:top w:val="single" w:sz="4" w:space="0" w:color="auto"/>
              <w:left w:val="nil"/>
              <w:bottom w:val="single" w:sz="4" w:space="0" w:color="auto"/>
              <w:right w:val="single" w:sz="4" w:space="0" w:color="auto"/>
            </w:tcBorders>
            <w:shd w:val="clear" w:color="auto" w:fill="auto"/>
            <w:noWrap/>
            <w:vAlign w:val="bottom"/>
            <w:hideMark/>
          </w:tcPr>
          <w:p w14:paraId="0919B7ED" w14:textId="77777777" w:rsidR="007C5FE8" w:rsidRPr="004768B6" w:rsidRDefault="007C5FE8" w:rsidP="005371DF">
            <w:pPr>
              <w:rPr>
                <w:color w:val="000000"/>
                <w:sz w:val="14"/>
                <w:szCs w:val="14"/>
              </w:rPr>
            </w:pPr>
            <w:r w:rsidRPr="004768B6">
              <w:rPr>
                <w:color w:val="000000"/>
                <w:sz w:val="14"/>
                <w:szCs w:val="14"/>
              </w:rPr>
              <w:t> </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1B6D8" w14:textId="77777777" w:rsidR="007C5FE8" w:rsidRPr="004768B6" w:rsidRDefault="007C5FE8" w:rsidP="005371DF">
            <w:pPr>
              <w:jc w:val="center"/>
              <w:rPr>
                <w:b/>
                <w:bCs/>
                <w:color w:val="000000"/>
                <w:sz w:val="14"/>
                <w:szCs w:val="14"/>
              </w:rPr>
            </w:pPr>
            <w:r w:rsidRPr="004768B6">
              <w:rPr>
                <w:b/>
                <w:bCs/>
                <w:color w:val="000000"/>
                <w:sz w:val="14"/>
                <w:szCs w:val="14"/>
              </w:rPr>
              <w:t>2019</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05BB4" w14:textId="77777777" w:rsidR="007C5FE8" w:rsidRPr="004768B6" w:rsidRDefault="007C5FE8" w:rsidP="005371DF">
            <w:pPr>
              <w:jc w:val="center"/>
              <w:rPr>
                <w:b/>
                <w:bCs/>
                <w:color w:val="000000"/>
                <w:sz w:val="14"/>
                <w:szCs w:val="14"/>
              </w:rPr>
            </w:pPr>
            <w:r w:rsidRPr="004768B6">
              <w:rPr>
                <w:b/>
                <w:bCs/>
                <w:color w:val="000000"/>
                <w:sz w:val="14"/>
                <w:szCs w:val="14"/>
              </w:rPr>
              <w:t>2020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ADD0F" w14:textId="77777777" w:rsidR="007C5FE8" w:rsidRPr="004768B6" w:rsidRDefault="007C5FE8" w:rsidP="005371DF">
            <w:pPr>
              <w:jc w:val="center"/>
              <w:rPr>
                <w:b/>
                <w:bCs/>
                <w:color w:val="000000"/>
                <w:sz w:val="14"/>
                <w:szCs w:val="14"/>
              </w:rPr>
            </w:pPr>
            <w:r w:rsidRPr="004768B6">
              <w:rPr>
                <w:b/>
                <w:bCs/>
                <w:color w:val="000000"/>
                <w:sz w:val="14"/>
                <w:szCs w:val="14"/>
              </w:rPr>
              <w:t>2021</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6C08" w14:textId="77777777" w:rsidR="007C5FE8" w:rsidRPr="004768B6" w:rsidRDefault="007C5FE8" w:rsidP="005371DF">
            <w:pPr>
              <w:jc w:val="center"/>
              <w:rPr>
                <w:b/>
                <w:bCs/>
                <w:color w:val="000000"/>
                <w:sz w:val="14"/>
                <w:szCs w:val="14"/>
              </w:rPr>
            </w:pPr>
            <w:r w:rsidRPr="004768B6">
              <w:rPr>
                <w:b/>
                <w:bCs/>
                <w:color w:val="000000"/>
                <w:sz w:val="14"/>
                <w:szCs w:val="14"/>
              </w:rPr>
              <w:t>2022</w:t>
            </w:r>
          </w:p>
        </w:tc>
      </w:tr>
      <w:tr w:rsidR="007C5FE8" w:rsidRPr="004768B6" w14:paraId="79CCB6AE" w14:textId="77777777" w:rsidTr="000C3C49">
        <w:trPr>
          <w:trHeight w:val="227"/>
        </w:trPr>
        <w:tc>
          <w:tcPr>
            <w:tcW w:w="22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4B120C4" w14:textId="77777777" w:rsidR="007C5FE8" w:rsidRPr="004768B6" w:rsidRDefault="007C5FE8" w:rsidP="001737A0">
            <w:pPr>
              <w:spacing w:line="240" w:lineRule="auto"/>
              <w:rPr>
                <w:color w:val="000000"/>
                <w:sz w:val="14"/>
                <w:szCs w:val="14"/>
              </w:rPr>
            </w:pPr>
            <w:r w:rsidRPr="004768B6">
              <w:rPr>
                <w:color w:val="000000"/>
                <w:sz w:val="14"/>
                <w:szCs w:val="14"/>
              </w:rPr>
              <w:t>Reálne HDP</w:t>
            </w:r>
          </w:p>
        </w:tc>
        <w:tc>
          <w:tcPr>
            <w:tcW w:w="1292" w:type="pct"/>
            <w:tcBorders>
              <w:top w:val="nil"/>
              <w:left w:val="nil"/>
              <w:bottom w:val="nil"/>
              <w:right w:val="single" w:sz="4" w:space="0" w:color="auto"/>
            </w:tcBorders>
            <w:shd w:val="clear" w:color="auto" w:fill="auto"/>
            <w:noWrap/>
            <w:vAlign w:val="bottom"/>
            <w:hideMark/>
          </w:tcPr>
          <w:p w14:paraId="1A42B168" w14:textId="77777777" w:rsidR="007C5FE8" w:rsidRPr="004768B6" w:rsidRDefault="007C5FE8" w:rsidP="001737A0">
            <w:pPr>
              <w:spacing w:line="240" w:lineRule="auto"/>
              <w:rPr>
                <w:color w:val="000000"/>
                <w:sz w:val="14"/>
                <w:szCs w:val="14"/>
              </w:rPr>
            </w:pPr>
            <w:r w:rsidRPr="004768B6">
              <w:rPr>
                <w:color w:val="000000"/>
                <w:sz w:val="14"/>
                <w:szCs w:val="14"/>
              </w:rPr>
              <w:t>Prognóza EK (jar</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0B9CB116" w14:textId="77777777" w:rsidR="007C5FE8" w:rsidRPr="004768B6" w:rsidRDefault="007C5FE8" w:rsidP="001737A0">
            <w:pPr>
              <w:spacing w:line="240" w:lineRule="auto"/>
              <w:jc w:val="right"/>
              <w:rPr>
                <w:color w:val="000000"/>
                <w:sz w:val="14"/>
                <w:szCs w:val="14"/>
              </w:rPr>
            </w:pPr>
            <w:r w:rsidRPr="004768B6">
              <w:rPr>
                <w:color w:val="000000"/>
                <w:sz w:val="14"/>
                <w:szCs w:val="14"/>
              </w:rPr>
              <w:t>2,5</w:t>
            </w:r>
          </w:p>
        </w:tc>
        <w:tc>
          <w:tcPr>
            <w:tcW w:w="388" w:type="pct"/>
            <w:tcBorders>
              <w:top w:val="single" w:sz="4" w:space="0" w:color="auto"/>
              <w:left w:val="single" w:sz="4" w:space="0" w:color="auto"/>
              <w:bottom w:val="nil"/>
              <w:right w:val="single" w:sz="4" w:space="0" w:color="auto"/>
            </w:tcBorders>
            <w:shd w:val="clear" w:color="auto" w:fill="auto"/>
            <w:noWrap/>
            <w:vAlign w:val="bottom"/>
          </w:tcPr>
          <w:p w14:paraId="1542455A" w14:textId="77777777" w:rsidR="007C5FE8" w:rsidRPr="004768B6" w:rsidRDefault="007C5FE8" w:rsidP="001737A0">
            <w:pPr>
              <w:spacing w:line="240" w:lineRule="auto"/>
              <w:jc w:val="right"/>
              <w:rPr>
                <w:color w:val="000000"/>
                <w:sz w:val="14"/>
                <w:szCs w:val="14"/>
              </w:rPr>
            </w:pPr>
            <w:r w:rsidRPr="004768B6">
              <w:rPr>
                <w:color w:val="000000"/>
                <w:sz w:val="14"/>
                <w:szCs w:val="14"/>
              </w:rPr>
              <w:t>-4,8</w:t>
            </w:r>
          </w:p>
        </w:tc>
        <w:tc>
          <w:tcPr>
            <w:tcW w:w="351" w:type="pct"/>
            <w:tcBorders>
              <w:top w:val="single" w:sz="4" w:space="0" w:color="auto"/>
              <w:left w:val="single" w:sz="4" w:space="0" w:color="auto"/>
              <w:bottom w:val="nil"/>
              <w:right w:val="single" w:sz="4" w:space="0" w:color="auto"/>
            </w:tcBorders>
            <w:shd w:val="clear" w:color="auto" w:fill="auto"/>
            <w:noWrap/>
            <w:vAlign w:val="bottom"/>
          </w:tcPr>
          <w:p w14:paraId="2A6B558E" w14:textId="77777777" w:rsidR="007C5FE8" w:rsidRPr="004768B6" w:rsidRDefault="007C5FE8" w:rsidP="001737A0">
            <w:pPr>
              <w:spacing w:line="240" w:lineRule="auto"/>
              <w:jc w:val="right"/>
              <w:rPr>
                <w:color w:val="000000"/>
                <w:sz w:val="14"/>
                <w:szCs w:val="14"/>
              </w:rPr>
            </w:pPr>
            <w:r w:rsidRPr="004768B6">
              <w:rPr>
                <w:color w:val="000000"/>
                <w:sz w:val="14"/>
                <w:szCs w:val="14"/>
              </w:rPr>
              <w:t>4,8</w:t>
            </w:r>
          </w:p>
        </w:tc>
        <w:tc>
          <w:tcPr>
            <w:tcW w:w="353" w:type="pct"/>
            <w:tcBorders>
              <w:top w:val="nil"/>
              <w:left w:val="single" w:sz="4" w:space="0" w:color="auto"/>
              <w:bottom w:val="nil"/>
              <w:right w:val="single" w:sz="4" w:space="0" w:color="auto"/>
            </w:tcBorders>
            <w:shd w:val="clear" w:color="auto" w:fill="auto"/>
            <w:noWrap/>
            <w:vAlign w:val="bottom"/>
          </w:tcPr>
          <w:p w14:paraId="72BDE37A" w14:textId="77777777" w:rsidR="007C5FE8" w:rsidRPr="004768B6" w:rsidRDefault="007C5FE8" w:rsidP="001737A0">
            <w:pPr>
              <w:spacing w:line="240" w:lineRule="auto"/>
              <w:jc w:val="right"/>
              <w:rPr>
                <w:color w:val="000000"/>
                <w:sz w:val="14"/>
                <w:szCs w:val="14"/>
              </w:rPr>
            </w:pPr>
            <w:r w:rsidRPr="004768B6">
              <w:rPr>
                <w:color w:val="000000"/>
                <w:sz w:val="14"/>
                <w:szCs w:val="14"/>
              </w:rPr>
              <w:t>5,2</w:t>
            </w:r>
          </w:p>
        </w:tc>
      </w:tr>
      <w:tr w:rsidR="007C5FE8" w:rsidRPr="004768B6" w14:paraId="6A178B88"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3D8918B0" w14:textId="77777777" w:rsidR="007C5FE8" w:rsidRPr="004768B6" w:rsidRDefault="007C5FE8" w:rsidP="001737A0">
            <w:pPr>
              <w:spacing w:line="240" w:lineRule="auto"/>
              <w:rPr>
                <w:color w:val="000000"/>
                <w:sz w:val="14"/>
                <w:szCs w:val="14"/>
              </w:rPr>
            </w:pPr>
          </w:p>
        </w:tc>
        <w:tc>
          <w:tcPr>
            <w:tcW w:w="1292" w:type="pct"/>
            <w:tcBorders>
              <w:top w:val="nil"/>
              <w:left w:val="nil"/>
              <w:bottom w:val="nil"/>
              <w:right w:val="single" w:sz="4" w:space="0" w:color="auto"/>
            </w:tcBorders>
            <w:shd w:val="clear" w:color="auto" w:fill="auto"/>
            <w:noWrap/>
            <w:vAlign w:val="bottom"/>
            <w:hideMark/>
          </w:tcPr>
          <w:p w14:paraId="4F84EBEE" w14:textId="77777777" w:rsidR="007C5FE8" w:rsidRPr="004768B6" w:rsidRDefault="007C5FE8" w:rsidP="001737A0">
            <w:pPr>
              <w:spacing w:line="240" w:lineRule="auto"/>
              <w:rPr>
                <w:color w:val="000000"/>
                <w:sz w:val="14"/>
                <w:szCs w:val="14"/>
              </w:rPr>
            </w:pPr>
            <w:r w:rsidRPr="004768B6">
              <w:rPr>
                <w:color w:val="000000"/>
                <w:sz w:val="14"/>
                <w:szCs w:val="14"/>
              </w:rPr>
              <w:t>Prognóza EK (leto</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395BFB0E" w14:textId="77777777" w:rsidR="007C5FE8" w:rsidRPr="004768B6" w:rsidRDefault="007C5FE8" w:rsidP="001737A0">
            <w:pPr>
              <w:spacing w:line="240" w:lineRule="auto"/>
              <w:jc w:val="right"/>
              <w:rPr>
                <w:color w:val="000000"/>
                <w:sz w:val="14"/>
                <w:szCs w:val="14"/>
              </w:rPr>
            </w:pPr>
            <w:r w:rsidRPr="004768B6">
              <w:rPr>
                <w:color w:val="000000"/>
                <w:sz w:val="14"/>
                <w:szCs w:val="14"/>
              </w:rPr>
              <w:t>2,5</w:t>
            </w:r>
          </w:p>
        </w:tc>
        <w:tc>
          <w:tcPr>
            <w:tcW w:w="388" w:type="pct"/>
            <w:tcBorders>
              <w:top w:val="nil"/>
              <w:left w:val="single" w:sz="4" w:space="0" w:color="auto"/>
              <w:bottom w:val="nil"/>
              <w:right w:val="single" w:sz="4" w:space="0" w:color="auto"/>
            </w:tcBorders>
            <w:shd w:val="clear" w:color="auto" w:fill="auto"/>
            <w:noWrap/>
            <w:vAlign w:val="bottom"/>
          </w:tcPr>
          <w:p w14:paraId="18BB09A7" w14:textId="77777777" w:rsidR="007C5FE8" w:rsidRPr="004768B6" w:rsidRDefault="007C5FE8" w:rsidP="001737A0">
            <w:pPr>
              <w:spacing w:line="240" w:lineRule="auto"/>
              <w:jc w:val="right"/>
              <w:rPr>
                <w:color w:val="000000"/>
                <w:sz w:val="14"/>
                <w:szCs w:val="14"/>
              </w:rPr>
            </w:pPr>
            <w:r w:rsidRPr="004768B6">
              <w:rPr>
                <w:color w:val="000000"/>
                <w:sz w:val="14"/>
                <w:szCs w:val="14"/>
              </w:rPr>
              <w:t>-4,8</w:t>
            </w:r>
          </w:p>
        </w:tc>
        <w:tc>
          <w:tcPr>
            <w:tcW w:w="351" w:type="pct"/>
            <w:tcBorders>
              <w:top w:val="nil"/>
              <w:left w:val="single" w:sz="4" w:space="0" w:color="auto"/>
              <w:bottom w:val="nil"/>
              <w:right w:val="single" w:sz="4" w:space="0" w:color="auto"/>
            </w:tcBorders>
            <w:shd w:val="clear" w:color="auto" w:fill="auto"/>
            <w:noWrap/>
            <w:vAlign w:val="bottom"/>
          </w:tcPr>
          <w:p w14:paraId="5A6DFCAB" w14:textId="77777777" w:rsidR="007C5FE8" w:rsidRPr="004768B6" w:rsidRDefault="007C5FE8" w:rsidP="001737A0">
            <w:pPr>
              <w:spacing w:line="240" w:lineRule="auto"/>
              <w:jc w:val="right"/>
              <w:rPr>
                <w:color w:val="000000"/>
                <w:sz w:val="14"/>
                <w:szCs w:val="14"/>
              </w:rPr>
            </w:pPr>
            <w:r w:rsidRPr="004768B6">
              <w:rPr>
                <w:color w:val="000000"/>
                <w:sz w:val="14"/>
                <w:szCs w:val="14"/>
              </w:rPr>
              <w:t>4,9</w:t>
            </w:r>
          </w:p>
        </w:tc>
        <w:tc>
          <w:tcPr>
            <w:tcW w:w="353" w:type="pct"/>
            <w:tcBorders>
              <w:top w:val="nil"/>
              <w:left w:val="single" w:sz="4" w:space="0" w:color="auto"/>
              <w:bottom w:val="nil"/>
              <w:right w:val="single" w:sz="4" w:space="0" w:color="auto"/>
            </w:tcBorders>
            <w:shd w:val="clear" w:color="auto" w:fill="auto"/>
            <w:noWrap/>
            <w:vAlign w:val="bottom"/>
          </w:tcPr>
          <w:p w14:paraId="48832461" w14:textId="77777777" w:rsidR="007C5FE8" w:rsidRPr="004768B6" w:rsidRDefault="007C5FE8" w:rsidP="001737A0">
            <w:pPr>
              <w:spacing w:line="240" w:lineRule="auto"/>
              <w:jc w:val="right"/>
              <w:rPr>
                <w:color w:val="000000"/>
                <w:sz w:val="14"/>
                <w:szCs w:val="14"/>
              </w:rPr>
            </w:pPr>
            <w:r w:rsidRPr="004768B6">
              <w:rPr>
                <w:color w:val="000000"/>
                <w:sz w:val="14"/>
                <w:szCs w:val="14"/>
              </w:rPr>
              <w:t>5,3</w:t>
            </w:r>
          </w:p>
        </w:tc>
      </w:tr>
      <w:tr w:rsidR="007C5FE8" w:rsidRPr="004768B6" w14:paraId="1553860E"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2450C8A2" w14:textId="77777777" w:rsidR="007C5FE8" w:rsidRPr="004768B6" w:rsidRDefault="007C5FE8" w:rsidP="001737A0">
            <w:pPr>
              <w:spacing w:line="240" w:lineRule="auto"/>
              <w:rPr>
                <w:color w:val="000000"/>
                <w:sz w:val="14"/>
                <w:szCs w:val="14"/>
              </w:rPr>
            </w:pPr>
          </w:p>
        </w:tc>
        <w:tc>
          <w:tcPr>
            <w:tcW w:w="1292" w:type="pct"/>
            <w:tcBorders>
              <w:top w:val="nil"/>
              <w:left w:val="nil"/>
              <w:bottom w:val="single" w:sz="4" w:space="0" w:color="auto"/>
              <w:right w:val="single" w:sz="4" w:space="0" w:color="auto"/>
            </w:tcBorders>
            <w:shd w:val="clear" w:color="auto" w:fill="auto"/>
            <w:noWrap/>
            <w:vAlign w:val="bottom"/>
            <w:hideMark/>
          </w:tcPr>
          <w:p w14:paraId="4A2DBBBA" w14:textId="77777777" w:rsidR="007C5FE8" w:rsidRPr="004768B6" w:rsidRDefault="007C5FE8" w:rsidP="001737A0">
            <w:pPr>
              <w:spacing w:line="240" w:lineRule="auto"/>
              <w:rPr>
                <w:color w:val="000000"/>
                <w:sz w:val="14"/>
                <w:szCs w:val="14"/>
              </w:rPr>
            </w:pPr>
            <w:r w:rsidRPr="004768B6">
              <w:rPr>
                <w:color w:val="000000"/>
                <w:sz w:val="14"/>
                <w:szCs w:val="14"/>
              </w:rPr>
              <w:t>Prognóza MF SR (</w:t>
            </w:r>
            <w:proofErr w:type="spellStart"/>
            <w:r w:rsidRPr="004768B6">
              <w:rPr>
                <w:color w:val="000000"/>
                <w:sz w:val="14"/>
                <w:szCs w:val="14"/>
              </w:rPr>
              <w:t>sep</w:t>
            </w:r>
            <w:proofErr w:type="spellEnd"/>
            <w:r>
              <w:rPr>
                <w:color w:val="000000"/>
                <w:sz w:val="14"/>
                <w:szCs w:val="14"/>
              </w:rPr>
              <w:t xml:space="preserve"> 2021</w:t>
            </w:r>
            <w:r w:rsidRPr="004768B6">
              <w:rPr>
                <w:color w:val="000000"/>
                <w:sz w:val="14"/>
                <w:szCs w:val="14"/>
              </w:rPr>
              <w:t>)</w:t>
            </w:r>
          </w:p>
        </w:tc>
        <w:tc>
          <w:tcPr>
            <w:tcW w:w="388" w:type="pct"/>
            <w:tcBorders>
              <w:top w:val="nil"/>
              <w:left w:val="nil"/>
              <w:bottom w:val="single" w:sz="4" w:space="0" w:color="auto"/>
              <w:right w:val="single" w:sz="4" w:space="0" w:color="auto"/>
            </w:tcBorders>
            <w:shd w:val="clear" w:color="auto" w:fill="auto"/>
            <w:noWrap/>
            <w:vAlign w:val="bottom"/>
          </w:tcPr>
          <w:p w14:paraId="5787B658" w14:textId="77777777" w:rsidR="007C5FE8" w:rsidRPr="004768B6" w:rsidRDefault="007C5FE8" w:rsidP="001737A0">
            <w:pPr>
              <w:spacing w:line="240" w:lineRule="auto"/>
              <w:jc w:val="right"/>
              <w:rPr>
                <w:color w:val="000000"/>
                <w:sz w:val="14"/>
                <w:szCs w:val="14"/>
              </w:rPr>
            </w:pPr>
            <w:r w:rsidRPr="004768B6">
              <w:rPr>
                <w:color w:val="000000"/>
                <w:sz w:val="14"/>
                <w:szCs w:val="14"/>
              </w:rPr>
              <w:t>2,5</w:t>
            </w:r>
          </w:p>
        </w:tc>
        <w:tc>
          <w:tcPr>
            <w:tcW w:w="388" w:type="pct"/>
            <w:tcBorders>
              <w:top w:val="nil"/>
              <w:left w:val="single" w:sz="4" w:space="0" w:color="auto"/>
              <w:bottom w:val="single" w:sz="4" w:space="0" w:color="auto"/>
              <w:right w:val="single" w:sz="4" w:space="0" w:color="auto"/>
            </w:tcBorders>
            <w:shd w:val="clear" w:color="auto" w:fill="auto"/>
            <w:noWrap/>
            <w:vAlign w:val="bottom"/>
          </w:tcPr>
          <w:p w14:paraId="0C6B3DC4" w14:textId="77777777" w:rsidR="007C5FE8" w:rsidRPr="004768B6" w:rsidRDefault="007C5FE8" w:rsidP="001737A0">
            <w:pPr>
              <w:spacing w:line="240" w:lineRule="auto"/>
              <w:jc w:val="right"/>
              <w:rPr>
                <w:color w:val="000000"/>
                <w:sz w:val="14"/>
                <w:szCs w:val="14"/>
              </w:rPr>
            </w:pPr>
            <w:r w:rsidRPr="004768B6">
              <w:rPr>
                <w:color w:val="000000"/>
                <w:sz w:val="14"/>
                <w:szCs w:val="14"/>
              </w:rPr>
              <w:t>-4,8</w:t>
            </w:r>
          </w:p>
        </w:tc>
        <w:tc>
          <w:tcPr>
            <w:tcW w:w="351" w:type="pct"/>
            <w:tcBorders>
              <w:top w:val="nil"/>
              <w:left w:val="single" w:sz="4" w:space="0" w:color="auto"/>
              <w:bottom w:val="single" w:sz="4" w:space="0" w:color="auto"/>
              <w:right w:val="single" w:sz="4" w:space="0" w:color="auto"/>
            </w:tcBorders>
            <w:shd w:val="clear" w:color="auto" w:fill="auto"/>
            <w:noWrap/>
            <w:vAlign w:val="bottom"/>
          </w:tcPr>
          <w:p w14:paraId="092D3BFB" w14:textId="77777777" w:rsidR="007C5FE8" w:rsidRPr="004768B6" w:rsidRDefault="007C5FE8" w:rsidP="001737A0">
            <w:pPr>
              <w:spacing w:line="240" w:lineRule="auto"/>
              <w:jc w:val="right"/>
              <w:rPr>
                <w:color w:val="000000"/>
                <w:sz w:val="14"/>
                <w:szCs w:val="14"/>
              </w:rPr>
            </w:pPr>
            <w:r w:rsidRPr="004768B6">
              <w:rPr>
                <w:color w:val="000000"/>
                <w:sz w:val="14"/>
                <w:szCs w:val="14"/>
              </w:rPr>
              <w:t>3,7</w:t>
            </w:r>
          </w:p>
        </w:tc>
        <w:tc>
          <w:tcPr>
            <w:tcW w:w="353" w:type="pct"/>
            <w:tcBorders>
              <w:top w:val="nil"/>
              <w:left w:val="single" w:sz="4" w:space="0" w:color="auto"/>
              <w:bottom w:val="single" w:sz="4" w:space="0" w:color="auto"/>
              <w:right w:val="single" w:sz="4" w:space="0" w:color="auto"/>
            </w:tcBorders>
            <w:shd w:val="clear" w:color="auto" w:fill="auto"/>
            <w:noWrap/>
            <w:vAlign w:val="bottom"/>
          </w:tcPr>
          <w:p w14:paraId="2762D35E" w14:textId="77777777" w:rsidR="007C5FE8" w:rsidRPr="004768B6" w:rsidRDefault="007C5FE8" w:rsidP="001737A0">
            <w:pPr>
              <w:spacing w:line="240" w:lineRule="auto"/>
              <w:jc w:val="right"/>
              <w:rPr>
                <w:color w:val="000000"/>
                <w:sz w:val="14"/>
                <w:szCs w:val="14"/>
              </w:rPr>
            </w:pPr>
            <w:r w:rsidRPr="004768B6">
              <w:rPr>
                <w:color w:val="000000"/>
                <w:sz w:val="14"/>
                <w:szCs w:val="14"/>
              </w:rPr>
              <w:t>4,2</w:t>
            </w:r>
          </w:p>
        </w:tc>
      </w:tr>
      <w:tr w:rsidR="007C5FE8" w:rsidRPr="004768B6" w14:paraId="1353646F" w14:textId="77777777" w:rsidTr="000C3C49">
        <w:trPr>
          <w:trHeight w:val="227"/>
        </w:trPr>
        <w:tc>
          <w:tcPr>
            <w:tcW w:w="22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4A96CF" w14:textId="77777777" w:rsidR="007C5FE8" w:rsidRPr="004768B6" w:rsidRDefault="007C5FE8" w:rsidP="001737A0">
            <w:pPr>
              <w:spacing w:line="240" w:lineRule="auto"/>
              <w:ind w:firstLineChars="300" w:firstLine="420"/>
              <w:rPr>
                <w:color w:val="000000"/>
                <w:sz w:val="14"/>
                <w:szCs w:val="14"/>
              </w:rPr>
            </w:pPr>
            <w:r w:rsidRPr="004768B6">
              <w:rPr>
                <w:color w:val="000000"/>
                <w:sz w:val="14"/>
                <w:szCs w:val="14"/>
              </w:rPr>
              <w:t>Súkromná spotreba</w:t>
            </w:r>
          </w:p>
        </w:tc>
        <w:tc>
          <w:tcPr>
            <w:tcW w:w="1292" w:type="pct"/>
            <w:tcBorders>
              <w:top w:val="nil"/>
              <w:left w:val="nil"/>
              <w:bottom w:val="nil"/>
              <w:right w:val="single" w:sz="4" w:space="0" w:color="auto"/>
            </w:tcBorders>
            <w:shd w:val="clear" w:color="auto" w:fill="auto"/>
            <w:noWrap/>
            <w:vAlign w:val="bottom"/>
            <w:hideMark/>
          </w:tcPr>
          <w:p w14:paraId="0888673B" w14:textId="77777777" w:rsidR="007C5FE8" w:rsidRPr="004768B6" w:rsidRDefault="007C5FE8" w:rsidP="001737A0">
            <w:pPr>
              <w:spacing w:line="240" w:lineRule="auto"/>
              <w:rPr>
                <w:color w:val="000000"/>
                <w:sz w:val="14"/>
                <w:szCs w:val="14"/>
              </w:rPr>
            </w:pPr>
            <w:r w:rsidRPr="004768B6">
              <w:rPr>
                <w:color w:val="000000"/>
                <w:sz w:val="14"/>
                <w:szCs w:val="14"/>
              </w:rPr>
              <w:t>Prognóza EK (jar</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73ED08B7" w14:textId="77777777" w:rsidR="007C5FE8" w:rsidRPr="004768B6" w:rsidRDefault="007C5FE8" w:rsidP="001737A0">
            <w:pPr>
              <w:spacing w:line="240" w:lineRule="auto"/>
              <w:jc w:val="right"/>
              <w:rPr>
                <w:color w:val="000000"/>
                <w:sz w:val="14"/>
                <w:szCs w:val="14"/>
              </w:rPr>
            </w:pPr>
            <w:r w:rsidRPr="004768B6">
              <w:rPr>
                <w:color w:val="000000"/>
                <w:sz w:val="14"/>
                <w:szCs w:val="14"/>
              </w:rPr>
              <w:t>2,7</w:t>
            </w:r>
          </w:p>
        </w:tc>
        <w:tc>
          <w:tcPr>
            <w:tcW w:w="388" w:type="pct"/>
            <w:tcBorders>
              <w:top w:val="nil"/>
              <w:left w:val="single" w:sz="4" w:space="0" w:color="auto"/>
              <w:bottom w:val="nil"/>
              <w:right w:val="single" w:sz="4" w:space="0" w:color="auto"/>
            </w:tcBorders>
            <w:shd w:val="clear" w:color="auto" w:fill="auto"/>
            <w:noWrap/>
            <w:vAlign w:val="bottom"/>
          </w:tcPr>
          <w:p w14:paraId="67743CDA" w14:textId="77777777" w:rsidR="007C5FE8" w:rsidRPr="004768B6" w:rsidRDefault="007C5FE8" w:rsidP="001737A0">
            <w:pPr>
              <w:spacing w:line="240" w:lineRule="auto"/>
              <w:jc w:val="right"/>
              <w:rPr>
                <w:color w:val="000000"/>
                <w:sz w:val="14"/>
                <w:szCs w:val="14"/>
              </w:rPr>
            </w:pPr>
            <w:r w:rsidRPr="004768B6">
              <w:rPr>
                <w:color w:val="000000"/>
                <w:sz w:val="14"/>
                <w:szCs w:val="14"/>
              </w:rPr>
              <w:t>-1,0</w:t>
            </w:r>
          </w:p>
        </w:tc>
        <w:tc>
          <w:tcPr>
            <w:tcW w:w="351" w:type="pct"/>
            <w:tcBorders>
              <w:top w:val="nil"/>
              <w:left w:val="single" w:sz="4" w:space="0" w:color="auto"/>
              <w:bottom w:val="nil"/>
              <w:right w:val="single" w:sz="4" w:space="0" w:color="auto"/>
            </w:tcBorders>
            <w:shd w:val="clear" w:color="auto" w:fill="auto"/>
            <w:noWrap/>
            <w:vAlign w:val="bottom"/>
          </w:tcPr>
          <w:p w14:paraId="714F7872" w14:textId="77777777" w:rsidR="007C5FE8" w:rsidRPr="004768B6" w:rsidRDefault="007C5FE8" w:rsidP="001737A0">
            <w:pPr>
              <w:spacing w:line="240" w:lineRule="auto"/>
              <w:jc w:val="right"/>
              <w:rPr>
                <w:color w:val="000000"/>
                <w:sz w:val="14"/>
                <w:szCs w:val="14"/>
              </w:rPr>
            </w:pPr>
            <w:r w:rsidRPr="004768B6">
              <w:rPr>
                <w:color w:val="000000"/>
                <w:sz w:val="14"/>
                <w:szCs w:val="14"/>
              </w:rPr>
              <w:t>0,8</w:t>
            </w:r>
          </w:p>
        </w:tc>
        <w:tc>
          <w:tcPr>
            <w:tcW w:w="353" w:type="pct"/>
            <w:tcBorders>
              <w:top w:val="nil"/>
              <w:left w:val="single" w:sz="4" w:space="0" w:color="auto"/>
              <w:bottom w:val="nil"/>
              <w:right w:val="single" w:sz="4" w:space="0" w:color="auto"/>
            </w:tcBorders>
            <w:shd w:val="clear" w:color="auto" w:fill="auto"/>
            <w:noWrap/>
            <w:vAlign w:val="bottom"/>
          </w:tcPr>
          <w:p w14:paraId="10CC93EB" w14:textId="77777777" w:rsidR="007C5FE8" w:rsidRPr="004768B6" w:rsidRDefault="007C5FE8" w:rsidP="001737A0">
            <w:pPr>
              <w:spacing w:line="240" w:lineRule="auto"/>
              <w:jc w:val="right"/>
              <w:rPr>
                <w:color w:val="000000"/>
                <w:sz w:val="14"/>
                <w:szCs w:val="14"/>
              </w:rPr>
            </w:pPr>
            <w:r w:rsidRPr="004768B6">
              <w:rPr>
                <w:color w:val="000000"/>
                <w:sz w:val="14"/>
                <w:szCs w:val="14"/>
              </w:rPr>
              <w:t>5,2</w:t>
            </w:r>
          </w:p>
        </w:tc>
      </w:tr>
      <w:tr w:rsidR="007C5FE8" w:rsidRPr="004768B6" w14:paraId="44F80753"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0140A36F" w14:textId="77777777" w:rsidR="007C5FE8" w:rsidRPr="004768B6" w:rsidRDefault="007C5FE8" w:rsidP="001737A0">
            <w:pPr>
              <w:spacing w:line="240" w:lineRule="auto"/>
              <w:rPr>
                <w:color w:val="000000"/>
                <w:sz w:val="14"/>
                <w:szCs w:val="14"/>
              </w:rPr>
            </w:pPr>
          </w:p>
        </w:tc>
        <w:tc>
          <w:tcPr>
            <w:tcW w:w="1292" w:type="pct"/>
            <w:tcBorders>
              <w:top w:val="nil"/>
              <w:left w:val="nil"/>
              <w:bottom w:val="single" w:sz="4" w:space="0" w:color="auto"/>
              <w:right w:val="single" w:sz="4" w:space="0" w:color="auto"/>
            </w:tcBorders>
            <w:shd w:val="clear" w:color="auto" w:fill="auto"/>
            <w:noWrap/>
            <w:vAlign w:val="bottom"/>
            <w:hideMark/>
          </w:tcPr>
          <w:p w14:paraId="27CA9A24" w14:textId="77777777" w:rsidR="007C5FE8" w:rsidRPr="004768B6" w:rsidRDefault="007C5FE8" w:rsidP="001737A0">
            <w:pPr>
              <w:spacing w:line="240" w:lineRule="auto"/>
              <w:rPr>
                <w:color w:val="000000"/>
                <w:sz w:val="14"/>
                <w:szCs w:val="14"/>
              </w:rPr>
            </w:pPr>
            <w:r w:rsidRPr="004768B6">
              <w:rPr>
                <w:color w:val="000000"/>
                <w:sz w:val="14"/>
                <w:szCs w:val="14"/>
              </w:rPr>
              <w:t>Prognóza MF SR (</w:t>
            </w:r>
            <w:proofErr w:type="spellStart"/>
            <w:r w:rsidRPr="004768B6">
              <w:rPr>
                <w:color w:val="000000"/>
                <w:sz w:val="14"/>
                <w:szCs w:val="14"/>
              </w:rPr>
              <w:t>sep</w:t>
            </w:r>
            <w:proofErr w:type="spellEnd"/>
            <w:r>
              <w:rPr>
                <w:color w:val="000000"/>
                <w:sz w:val="14"/>
                <w:szCs w:val="14"/>
              </w:rPr>
              <w:t xml:space="preserve"> 2021</w:t>
            </w:r>
            <w:r w:rsidRPr="004768B6">
              <w:rPr>
                <w:color w:val="000000"/>
                <w:sz w:val="14"/>
                <w:szCs w:val="14"/>
              </w:rPr>
              <w:t>)</w:t>
            </w:r>
          </w:p>
        </w:tc>
        <w:tc>
          <w:tcPr>
            <w:tcW w:w="388" w:type="pct"/>
            <w:tcBorders>
              <w:top w:val="nil"/>
              <w:left w:val="nil"/>
              <w:bottom w:val="single" w:sz="4" w:space="0" w:color="auto"/>
              <w:right w:val="single" w:sz="4" w:space="0" w:color="auto"/>
            </w:tcBorders>
            <w:shd w:val="clear" w:color="auto" w:fill="auto"/>
            <w:noWrap/>
            <w:vAlign w:val="bottom"/>
          </w:tcPr>
          <w:p w14:paraId="22880F21" w14:textId="77777777" w:rsidR="007C5FE8" w:rsidRPr="004768B6" w:rsidRDefault="007C5FE8" w:rsidP="001737A0">
            <w:pPr>
              <w:spacing w:line="240" w:lineRule="auto"/>
              <w:jc w:val="right"/>
              <w:rPr>
                <w:color w:val="000000"/>
                <w:sz w:val="14"/>
                <w:szCs w:val="14"/>
              </w:rPr>
            </w:pPr>
            <w:r w:rsidRPr="004768B6">
              <w:rPr>
                <w:color w:val="000000"/>
                <w:sz w:val="14"/>
                <w:szCs w:val="14"/>
              </w:rPr>
              <w:t>2,7</w:t>
            </w:r>
          </w:p>
        </w:tc>
        <w:tc>
          <w:tcPr>
            <w:tcW w:w="388" w:type="pct"/>
            <w:tcBorders>
              <w:top w:val="nil"/>
              <w:left w:val="single" w:sz="4" w:space="0" w:color="auto"/>
              <w:bottom w:val="single" w:sz="4" w:space="0" w:color="auto"/>
              <w:right w:val="single" w:sz="4" w:space="0" w:color="auto"/>
            </w:tcBorders>
            <w:shd w:val="clear" w:color="auto" w:fill="auto"/>
            <w:noWrap/>
            <w:vAlign w:val="bottom"/>
          </w:tcPr>
          <w:p w14:paraId="58B91EDF" w14:textId="77777777" w:rsidR="007C5FE8" w:rsidRPr="004768B6" w:rsidRDefault="007C5FE8" w:rsidP="001737A0">
            <w:pPr>
              <w:spacing w:line="240" w:lineRule="auto"/>
              <w:jc w:val="right"/>
              <w:rPr>
                <w:color w:val="000000"/>
                <w:sz w:val="14"/>
                <w:szCs w:val="14"/>
              </w:rPr>
            </w:pPr>
            <w:r w:rsidRPr="004768B6">
              <w:rPr>
                <w:color w:val="000000"/>
                <w:sz w:val="14"/>
                <w:szCs w:val="14"/>
              </w:rPr>
              <w:t>-1,0</w:t>
            </w:r>
          </w:p>
        </w:tc>
        <w:tc>
          <w:tcPr>
            <w:tcW w:w="351" w:type="pct"/>
            <w:tcBorders>
              <w:top w:val="nil"/>
              <w:left w:val="single" w:sz="4" w:space="0" w:color="auto"/>
              <w:bottom w:val="single" w:sz="4" w:space="0" w:color="auto"/>
              <w:right w:val="single" w:sz="4" w:space="0" w:color="auto"/>
            </w:tcBorders>
            <w:shd w:val="clear" w:color="auto" w:fill="auto"/>
            <w:noWrap/>
            <w:vAlign w:val="bottom"/>
          </w:tcPr>
          <w:p w14:paraId="50E223D8" w14:textId="77777777" w:rsidR="007C5FE8" w:rsidRPr="004768B6" w:rsidRDefault="007C5FE8" w:rsidP="001737A0">
            <w:pPr>
              <w:spacing w:line="240" w:lineRule="auto"/>
              <w:jc w:val="right"/>
              <w:rPr>
                <w:color w:val="000000"/>
                <w:sz w:val="14"/>
                <w:szCs w:val="14"/>
              </w:rPr>
            </w:pPr>
            <w:r w:rsidRPr="004768B6">
              <w:rPr>
                <w:color w:val="000000"/>
                <w:sz w:val="14"/>
                <w:szCs w:val="14"/>
              </w:rPr>
              <w:t>0,2</w:t>
            </w:r>
          </w:p>
        </w:tc>
        <w:tc>
          <w:tcPr>
            <w:tcW w:w="353" w:type="pct"/>
            <w:tcBorders>
              <w:top w:val="nil"/>
              <w:left w:val="single" w:sz="4" w:space="0" w:color="auto"/>
              <w:bottom w:val="single" w:sz="4" w:space="0" w:color="auto"/>
              <w:right w:val="single" w:sz="4" w:space="0" w:color="auto"/>
            </w:tcBorders>
            <w:shd w:val="clear" w:color="auto" w:fill="auto"/>
            <w:noWrap/>
            <w:vAlign w:val="bottom"/>
          </w:tcPr>
          <w:p w14:paraId="0E85FAED" w14:textId="77777777" w:rsidR="007C5FE8" w:rsidRPr="004768B6" w:rsidRDefault="007C5FE8" w:rsidP="001737A0">
            <w:pPr>
              <w:spacing w:line="240" w:lineRule="auto"/>
              <w:jc w:val="right"/>
              <w:rPr>
                <w:color w:val="000000"/>
                <w:sz w:val="14"/>
                <w:szCs w:val="14"/>
              </w:rPr>
            </w:pPr>
            <w:r w:rsidRPr="004768B6">
              <w:rPr>
                <w:color w:val="000000"/>
                <w:sz w:val="14"/>
                <w:szCs w:val="14"/>
              </w:rPr>
              <w:t>2,4</w:t>
            </w:r>
          </w:p>
        </w:tc>
      </w:tr>
      <w:tr w:rsidR="007C5FE8" w:rsidRPr="004768B6" w14:paraId="1C87E725" w14:textId="77777777" w:rsidTr="000C3C49">
        <w:trPr>
          <w:trHeight w:val="227"/>
        </w:trPr>
        <w:tc>
          <w:tcPr>
            <w:tcW w:w="22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3DE1F3" w14:textId="77777777" w:rsidR="007C5FE8" w:rsidRPr="004768B6" w:rsidRDefault="007C5FE8" w:rsidP="001737A0">
            <w:pPr>
              <w:spacing w:line="240" w:lineRule="auto"/>
              <w:ind w:firstLineChars="300" w:firstLine="420"/>
              <w:rPr>
                <w:color w:val="000000"/>
                <w:sz w:val="14"/>
                <w:szCs w:val="14"/>
              </w:rPr>
            </w:pPr>
            <w:r w:rsidRPr="004768B6">
              <w:rPr>
                <w:color w:val="000000"/>
                <w:sz w:val="14"/>
                <w:szCs w:val="14"/>
              </w:rPr>
              <w:t>Verejná spotreba</w:t>
            </w:r>
          </w:p>
        </w:tc>
        <w:tc>
          <w:tcPr>
            <w:tcW w:w="1292" w:type="pct"/>
            <w:tcBorders>
              <w:top w:val="nil"/>
              <w:left w:val="nil"/>
              <w:bottom w:val="nil"/>
              <w:right w:val="single" w:sz="4" w:space="0" w:color="auto"/>
            </w:tcBorders>
            <w:shd w:val="clear" w:color="auto" w:fill="auto"/>
            <w:noWrap/>
            <w:vAlign w:val="bottom"/>
            <w:hideMark/>
          </w:tcPr>
          <w:p w14:paraId="33122F93" w14:textId="77777777" w:rsidR="007C5FE8" w:rsidRPr="004768B6" w:rsidRDefault="007C5FE8" w:rsidP="001737A0">
            <w:pPr>
              <w:spacing w:line="240" w:lineRule="auto"/>
              <w:rPr>
                <w:color w:val="000000"/>
                <w:sz w:val="14"/>
                <w:szCs w:val="14"/>
              </w:rPr>
            </w:pPr>
            <w:r w:rsidRPr="004768B6">
              <w:rPr>
                <w:color w:val="000000"/>
                <w:sz w:val="14"/>
                <w:szCs w:val="14"/>
              </w:rPr>
              <w:t>Prognóza EK (jar</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5BB7DD76" w14:textId="77777777" w:rsidR="007C5FE8" w:rsidRPr="004768B6" w:rsidRDefault="007C5FE8" w:rsidP="001737A0">
            <w:pPr>
              <w:spacing w:line="240" w:lineRule="auto"/>
              <w:jc w:val="right"/>
              <w:rPr>
                <w:color w:val="000000"/>
                <w:sz w:val="14"/>
                <w:szCs w:val="14"/>
              </w:rPr>
            </w:pPr>
            <w:r w:rsidRPr="004768B6">
              <w:rPr>
                <w:color w:val="000000"/>
                <w:sz w:val="14"/>
                <w:szCs w:val="14"/>
              </w:rPr>
              <w:t>4,6</w:t>
            </w:r>
          </w:p>
        </w:tc>
        <w:tc>
          <w:tcPr>
            <w:tcW w:w="388" w:type="pct"/>
            <w:tcBorders>
              <w:top w:val="nil"/>
              <w:left w:val="single" w:sz="4" w:space="0" w:color="auto"/>
              <w:bottom w:val="nil"/>
              <w:right w:val="single" w:sz="4" w:space="0" w:color="auto"/>
            </w:tcBorders>
            <w:shd w:val="clear" w:color="auto" w:fill="auto"/>
            <w:noWrap/>
            <w:vAlign w:val="bottom"/>
          </w:tcPr>
          <w:p w14:paraId="37B7E783" w14:textId="77777777" w:rsidR="007C5FE8" w:rsidRPr="004768B6" w:rsidRDefault="007C5FE8" w:rsidP="001737A0">
            <w:pPr>
              <w:spacing w:line="240" w:lineRule="auto"/>
              <w:jc w:val="right"/>
              <w:rPr>
                <w:color w:val="000000"/>
                <w:sz w:val="14"/>
                <w:szCs w:val="14"/>
              </w:rPr>
            </w:pPr>
            <w:r w:rsidRPr="004768B6">
              <w:rPr>
                <w:color w:val="000000"/>
                <w:sz w:val="14"/>
                <w:szCs w:val="14"/>
              </w:rPr>
              <w:t>0,3</w:t>
            </w:r>
          </w:p>
        </w:tc>
        <w:tc>
          <w:tcPr>
            <w:tcW w:w="351" w:type="pct"/>
            <w:tcBorders>
              <w:top w:val="nil"/>
              <w:left w:val="single" w:sz="4" w:space="0" w:color="auto"/>
              <w:bottom w:val="nil"/>
              <w:right w:val="single" w:sz="4" w:space="0" w:color="auto"/>
            </w:tcBorders>
            <w:shd w:val="clear" w:color="auto" w:fill="auto"/>
            <w:noWrap/>
            <w:vAlign w:val="bottom"/>
          </w:tcPr>
          <w:p w14:paraId="253958CB" w14:textId="77777777" w:rsidR="007C5FE8" w:rsidRPr="004768B6" w:rsidRDefault="007C5FE8" w:rsidP="001737A0">
            <w:pPr>
              <w:spacing w:line="240" w:lineRule="auto"/>
              <w:jc w:val="right"/>
              <w:rPr>
                <w:color w:val="000000"/>
                <w:sz w:val="14"/>
                <w:szCs w:val="14"/>
              </w:rPr>
            </w:pPr>
            <w:r w:rsidRPr="004768B6">
              <w:rPr>
                <w:color w:val="000000"/>
                <w:sz w:val="14"/>
                <w:szCs w:val="14"/>
              </w:rPr>
              <w:t>2,5</w:t>
            </w:r>
          </w:p>
        </w:tc>
        <w:tc>
          <w:tcPr>
            <w:tcW w:w="353" w:type="pct"/>
            <w:tcBorders>
              <w:top w:val="nil"/>
              <w:left w:val="single" w:sz="4" w:space="0" w:color="auto"/>
              <w:bottom w:val="nil"/>
              <w:right w:val="single" w:sz="4" w:space="0" w:color="auto"/>
            </w:tcBorders>
            <w:shd w:val="clear" w:color="auto" w:fill="auto"/>
            <w:noWrap/>
            <w:vAlign w:val="bottom"/>
          </w:tcPr>
          <w:p w14:paraId="2410332C" w14:textId="77777777" w:rsidR="007C5FE8" w:rsidRPr="004768B6" w:rsidRDefault="007C5FE8" w:rsidP="001737A0">
            <w:pPr>
              <w:spacing w:line="240" w:lineRule="auto"/>
              <w:jc w:val="right"/>
              <w:rPr>
                <w:color w:val="000000"/>
                <w:sz w:val="14"/>
                <w:szCs w:val="14"/>
              </w:rPr>
            </w:pPr>
            <w:r w:rsidRPr="004768B6">
              <w:rPr>
                <w:color w:val="000000"/>
                <w:sz w:val="14"/>
                <w:szCs w:val="14"/>
              </w:rPr>
              <w:t>-0,2</w:t>
            </w:r>
          </w:p>
        </w:tc>
      </w:tr>
      <w:tr w:rsidR="007C5FE8" w:rsidRPr="004768B6" w14:paraId="28ED49DD"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24BB26D9" w14:textId="77777777" w:rsidR="007C5FE8" w:rsidRPr="004768B6" w:rsidRDefault="007C5FE8" w:rsidP="001737A0">
            <w:pPr>
              <w:spacing w:line="240" w:lineRule="auto"/>
              <w:rPr>
                <w:color w:val="000000"/>
                <w:sz w:val="14"/>
                <w:szCs w:val="14"/>
              </w:rPr>
            </w:pPr>
          </w:p>
        </w:tc>
        <w:tc>
          <w:tcPr>
            <w:tcW w:w="1292" w:type="pct"/>
            <w:tcBorders>
              <w:top w:val="nil"/>
              <w:left w:val="nil"/>
              <w:bottom w:val="single" w:sz="4" w:space="0" w:color="auto"/>
              <w:right w:val="single" w:sz="4" w:space="0" w:color="auto"/>
            </w:tcBorders>
            <w:shd w:val="clear" w:color="auto" w:fill="auto"/>
            <w:noWrap/>
            <w:vAlign w:val="bottom"/>
            <w:hideMark/>
          </w:tcPr>
          <w:p w14:paraId="3ACE1359" w14:textId="77777777" w:rsidR="007C5FE8" w:rsidRPr="004768B6" w:rsidRDefault="007C5FE8" w:rsidP="001737A0">
            <w:pPr>
              <w:spacing w:line="240" w:lineRule="auto"/>
              <w:rPr>
                <w:color w:val="000000"/>
                <w:sz w:val="14"/>
                <w:szCs w:val="14"/>
              </w:rPr>
            </w:pPr>
            <w:r w:rsidRPr="004768B6">
              <w:rPr>
                <w:color w:val="000000"/>
                <w:sz w:val="14"/>
                <w:szCs w:val="14"/>
              </w:rPr>
              <w:t>Prognóza MF SR (</w:t>
            </w:r>
            <w:proofErr w:type="spellStart"/>
            <w:r w:rsidRPr="004768B6">
              <w:rPr>
                <w:color w:val="000000"/>
                <w:sz w:val="14"/>
                <w:szCs w:val="14"/>
              </w:rPr>
              <w:t>sep</w:t>
            </w:r>
            <w:proofErr w:type="spellEnd"/>
            <w:r>
              <w:rPr>
                <w:color w:val="000000"/>
                <w:sz w:val="14"/>
                <w:szCs w:val="14"/>
              </w:rPr>
              <w:t xml:space="preserve"> 2021</w:t>
            </w:r>
            <w:r w:rsidRPr="004768B6">
              <w:rPr>
                <w:color w:val="000000"/>
                <w:sz w:val="14"/>
                <w:szCs w:val="14"/>
              </w:rPr>
              <w:t>)</w:t>
            </w:r>
          </w:p>
        </w:tc>
        <w:tc>
          <w:tcPr>
            <w:tcW w:w="388" w:type="pct"/>
            <w:tcBorders>
              <w:top w:val="nil"/>
              <w:left w:val="nil"/>
              <w:bottom w:val="single" w:sz="4" w:space="0" w:color="auto"/>
              <w:right w:val="single" w:sz="4" w:space="0" w:color="auto"/>
            </w:tcBorders>
            <w:shd w:val="clear" w:color="auto" w:fill="auto"/>
            <w:noWrap/>
            <w:vAlign w:val="bottom"/>
          </w:tcPr>
          <w:p w14:paraId="0EC8FFDF" w14:textId="77777777" w:rsidR="007C5FE8" w:rsidRPr="004768B6" w:rsidRDefault="007C5FE8" w:rsidP="001737A0">
            <w:pPr>
              <w:spacing w:line="240" w:lineRule="auto"/>
              <w:jc w:val="right"/>
              <w:rPr>
                <w:color w:val="000000"/>
                <w:sz w:val="14"/>
                <w:szCs w:val="14"/>
              </w:rPr>
            </w:pPr>
            <w:r w:rsidRPr="004768B6">
              <w:rPr>
                <w:color w:val="000000"/>
                <w:sz w:val="14"/>
                <w:szCs w:val="14"/>
              </w:rPr>
              <w:t>4,6</w:t>
            </w:r>
          </w:p>
        </w:tc>
        <w:tc>
          <w:tcPr>
            <w:tcW w:w="388" w:type="pct"/>
            <w:tcBorders>
              <w:top w:val="nil"/>
              <w:left w:val="single" w:sz="4" w:space="0" w:color="auto"/>
              <w:bottom w:val="single" w:sz="4" w:space="0" w:color="auto"/>
              <w:right w:val="single" w:sz="4" w:space="0" w:color="auto"/>
            </w:tcBorders>
            <w:shd w:val="clear" w:color="auto" w:fill="auto"/>
            <w:noWrap/>
            <w:vAlign w:val="bottom"/>
          </w:tcPr>
          <w:p w14:paraId="500CCCE0" w14:textId="77777777" w:rsidR="007C5FE8" w:rsidRPr="004768B6" w:rsidRDefault="007C5FE8" w:rsidP="001737A0">
            <w:pPr>
              <w:spacing w:line="240" w:lineRule="auto"/>
              <w:jc w:val="right"/>
              <w:rPr>
                <w:color w:val="000000"/>
                <w:sz w:val="14"/>
                <w:szCs w:val="14"/>
              </w:rPr>
            </w:pPr>
            <w:r w:rsidRPr="004768B6">
              <w:rPr>
                <w:color w:val="000000"/>
                <w:sz w:val="14"/>
                <w:szCs w:val="14"/>
              </w:rPr>
              <w:t>0,3</w:t>
            </w:r>
          </w:p>
        </w:tc>
        <w:tc>
          <w:tcPr>
            <w:tcW w:w="351" w:type="pct"/>
            <w:tcBorders>
              <w:top w:val="nil"/>
              <w:left w:val="single" w:sz="4" w:space="0" w:color="auto"/>
              <w:bottom w:val="single" w:sz="4" w:space="0" w:color="auto"/>
              <w:right w:val="single" w:sz="4" w:space="0" w:color="auto"/>
            </w:tcBorders>
            <w:shd w:val="clear" w:color="auto" w:fill="auto"/>
            <w:noWrap/>
            <w:vAlign w:val="bottom"/>
          </w:tcPr>
          <w:p w14:paraId="161C966D" w14:textId="77777777" w:rsidR="007C5FE8" w:rsidRPr="004768B6" w:rsidRDefault="007C5FE8" w:rsidP="001737A0">
            <w:pPr>
              <w:spacing w:line="240" w:lineRule="auto"/>
              <w:jc w:val="right"/>
              <w:rPr>
                <w:color w:val="000000"/>
                <w:sz w:val="14"/>
                <w:szCs w:val="14"/>
              </w:rPr>
            </w:pPr>
            <w:r w:rsidRPr="004768B6">
              <w:rPr>
                <w:color w:val="000000"/>
                <w:sz w:val="14"/>
                <w:szCs w:val="14"/>
              </w:rPr>
              <w:t>4,9</w:t>
            </w:r>
          </w:p>
        </w:tc>
        <w:tc>
          <w:tcPr>
            <w:tcW w:w="353" w:type="pct"/>
            <w:tcBorders>
              <w:top w:val="nil"/>
              <w:left w:val="single" w:sz="4" w:space="0" w:color="auto"/>
              <w:bottom w:val="single" w:sz="4" w:space="0" w:color="auto"/>
              <w:right w:val="single" w:sz="4" w:space="0" w:color="auto"/>
            </w:tcBorders>
            <w:shd w:val="clear" w:color="auto" w:fill="auto"/>
            <w:noWrap/>
            <w:vAlign w:val="bottom"/>
          </w:tcPr>
          <w:p w14:paraId="61C3A066" w14:textId="77777777" w:rsidR="007C5FE8" w:rsidRPr="004768B6" w:rsidRDefault="007C5FE8" w:rsidP="001737A0">
            <w:pPr>
              <w:spacing w:line="240" w:lineRule="auto"/>
              <w:jc w:val="right"/>
              <w:rPr>
                <w:color w:val="000000"/>
                <w:sz w:val="14"/>
                <w:szCs w:val="14"/>
              </w:rPr>
            </w:pPr>
            <w:r w:rsidRPr="004768B6">
              <w:rPr>
                <w:color w:val="000000"/>
                <w:sz w:val="14"/>
                <w:szCs w:val="14"/>
              </w:rPr>
              <w:t>4,1</w:t>
            </w:r>
          </w:p>
        </w:tc>
      </w:tr>
      <w:tr w:rsidR="007C5FE8" w:rsidRPr="004768B6" w14:paraId="513D270A" w14:textId="77777777" w:rsidTr="000C3C49">
        <w:trPr>
          <w:trHeight w:val="227"/>
        </w:trPr>
        <w:tc>
          <w:tcPr>
            <w:tcW w:w="22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3770D6" w14:textId="77777777" w:rsidR="007C5FE8" w:rsidRPr="004768B6" w:rsidRDefault="007C5FE8" w:rsidP="001737A0">
            <w:pPr>
              <w:spacing w:line="240" w:lineRule="auto"/>
              <w:ind w:firstLineChars="300" w:firstLine="420"/>
              <w:rPr>
                <w:color w:val="000000"/>
                <w:sz w:val="14"/>
                <w:szCs w:val="14"/>
              </w:rPr>
            </w:pPr>
            <w:r w:rsidRPr="004768B6">
              <w:rPr>
                <w:color w:val="000000"/>
                <w:sz w:val="14"/>
                <w:szCs w:val="14"/>
              </w:rPr>
              <w:t>Investície</w:t>
            </w:r>
          </w:p>
        </w:tc>
        <w:tc>
          <w:tcPr>
            <w:tcW w:w="1292" w:type="pct"/>
            <w:tcBorders>
              <w:top w:val="nil"/>
              <w:left w:val="nil"/>
              <w:bottom w:val="nil"/>
              <w:right w:val="single" w:sz="4" w:space="0" w:color="auto"/>
            </w:tcBorders>
            <w:shd w:val="clear" w:color="auto" w:fill="auto"/>
            <w:noWrap/>
            <w:vAlign w:val="bottom"/>
            <w:hideMark/>
          </w:tcPr>
          <w:p w14:paraId="13F09B82" w14:textId="77777777" w:rsidR="007C5FE8" w:rsidRPr="004768B6" w:rsidRDefault="007C5FE8" w:rsidP="001737A0">
            <w:pPr>
              <w:spacing w:line="240" w:lineRule="auto"/>
              <w:rPr>
                <w:color w:val="000000"/>
                <w:sz w:val="14"/>
                <w:szCs w:val="14"/>
              </w:rPr>
            </w:pPr>
            <w:r w:rsidRPr="004768B6">
              <w:rPr>
                <w:color w:val="000000"/>
                <w:sz w:val="14"/>
                <w:szCs w:val="14"/>
              </w:rPr>
              <w:t>Prognóza EK (jar</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108A94EF" w14:textId="77777777" w:rsidR="007C5FE8" w:rsidRPr="004768B6" w:rsidRDefault="007C5FE8" w:rsidP="001737A0">
            <w:pPr>
              <w:spacing w:line="240" w:lineRule="auto"/>
              <w:jc w:val="right"/>
              <w:rPr>
                <w:color w:val="000000"/>
                <w:sz w:val="14"/>
                <w:szCs w:val="14"/>
              </w:rPr>
            </w:pPr>
            <w:r w:rsidRPr="004768B6">
              <w:rPr>
                <w:color w:val="000000"/>
                <w:sz w:val="14"/>
                <w:szCs w:val="14"/>
              </w:rPr>
              <w:t>6,6</w:t>
            </w:r>
          </w:p>
        </w:tc>
        <w:tc>
          <w:tcPr>
            <w:tcW w:w="388" w:type="pct"/>
            <w:tcBorders>
              <w:top w:val="nil"/>
              <w:left w:val="single" w:sz="4" w:space="0" w:color="auto"/>
              <w:bottom w:val="nil"/>
              <w:right w:val="single" w:sz="4" w:space="0" w:color="auto"/>
            </w:tcBorders>
            <w:shd w:val="clear" w:color="auto" w:fill="auto"/>
            <w:noWrap/>
            <w:vAlign w:val="bottom"/>
          </w:tcPr>
          <w:p w14:paraId="2F804BF9" w14:textId="77777777" w:rsidR="007C5FE8" w:rsidRPr="004768B6" w:rsidRDefault="007C5FE8" w:rsidP="001737A0">
            <w:pPr>
              <w:spacing w:line="240" w:lineRule="auto"/>
              <w:jc w:val="right"/>
              <w:rPr>
                <w:color w:val="000000"/>
                <w:sz w:val="14"/>
                <w:szCs w:val="14"/>
              </w:rPr>
            </w:pPr>
            <w:r w:rsidRPr="004768B6">
              <w:rPr>
                <w:color w:val="000000"/>
                <w:sz w:val="14"/>
                <w:szCs w:val="14"/>
              </w:rPr>
              <w:t>-12,0</w:t>
            </w:r>
          </w:p>
        </w:tc>
        <w:tc>
          <w:tcPr>
            <w:tcW w:w="351" w:type="pct"/>
            <w:tcBorders>
              <w:top w:val="nil"/>
              <w:left w:val="single" w:sz="4" w:space="0" w:color="auto"/>
              <w:bottom w:val="nil"/>
              <w:right w:val="single" w:sz="4" w:space="0" w:color="auto"/>
            </w:tcBorders>
            <w:shd w:val="clear" w:color="auto" w:fill="auto"/>
            <w:noWrap/>
            <w:vAlign w:val="bottom"/>
          </w:tcPr>
          <w:p w14:paraId="67EF5D4E" w14:textId="77777777" w:rsidR="007C5FE8" w:rsidRPr="004768B6" w:rsidRDefault="007C5FE8" w:rsidP="001737A0">
            <w:pPr>
              <w:spacing w:line="240" w:lineRule="auto"/>
              <w:jc w:val="right"/>
              <w:rPr>
                <w:color w:val="000000"/>
                <w:sz w:val="14"/>
                <w:szCs w:val="14"/>
              </w:rPr>
            </w:pPr>
            <w:r w:rsidRPr="004768B6">
              <w:rPr>
                <w:color w:val="000000"/>
                <w:sz w:val="14"/>
                <w:szCs w:val="14"/>
              </w:rPr>
              <w:t>8,6</w:t>
            </w:r>
          </w:p>
        </w:tc>
        <w:tc>
          <w:tcPr>
            <w:tcW w:w="353" w:type="pct"/>
            <w:tcBorders>
              <w:top w:val="nil"/>
              <w:left w:val="single" w:sz="4" w:space="0" w:color="auto"/>
              <w:bottom w:val="nil"/>
              <w:right w:val="single" w:sz="4" w:space="0" w:color="auto"/>
            </w:tcBorders>
            <w:shd w:val="clear" w:color="auto" w:fill="auto"/>
            <w:noWrap/>
            <w:vAlign w:val="bottom"/>
          </w:tcPr>
          <w:p w14:paraId="64DB6EF9" w14:textId="77777777" w:rsidR="007C5FE8" w:rsidRPr="004768B6" w:rsidRDefault="007C5FE8" w:rsidP="001737A0">
            <w:pPr>
              <w:spacing w:line="240" w:lineRule="auto"/>
              <w:jc w:val="right"/>
              <w:rPr>
                <w:color w:val="000000"/>
                <w:sz w:val="14"/>
                <w:szCs w:val="14"/>
              </w:rPr>
            </w:pPr>
            <w:r w:rsidRPr="004768B6">
              <w:rPr>
                <w:color w:val="000000"/>
                <w:sz w:val="14"/>
                <w:szCs w:val="14"/>
              </w:rPr>
              <w:t>12,5</w:t>
            </w:r>
          </w:p>
        </w:tc>
      </w:tr>
      <w:tr w:rsidR="007C5FE8" w:rsidRPr="004768B6" w14:paraId="166E12B9"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320F89A5" w14:textId="77777777" w:rsidR="007C5FE8" w:rsidRPr="004768B6" w:rsidRDefault="007C5FE8" w:rsidP="001737A0">
            <w:pPr>
              <w:spacing w:line="240" w:lineRule="auto"/>
              <w:rPr>
                <w:color w:val="000000"/>
                <w:sz w:val="14"/>
                <w:szCs w:val="14"/>
              </w:rPr>
            </w:pPr>
          </w:p>
        </w:tc>
        <w:tc>
          <w:tcPr>
            <w:tcW w:w="1292" w:type="pct"/>
            <w:tcBorders>
              <w:top w:val="nil"/>
              <w:left w:val="nil"/>
              <w:bottom w:val="single" w:sz="4" w:space="0" w:color="auto"/>
              <w:right w:val="single" w:sz="4" w:space="0" w:color="auto"/>
            </w:tcBorders>
            <w:shd w:val="clear" w:color="auto" w:fill="auto"/>
            <w:noWrap/>
            <w:vAlign w:val="bottom"/>
            <w:hideMark/>
          </w:tcPr>
          <w:p w14:paraId="19203EB5" w14:textId="77777777" w:rsidR="007C5FE8" w:rsidRPr="004768B6" w:rsidRDefault="007C5FE8" w:rsidP="001737A0">
            <w:pPr>
              <w:spacing w:line="240" w:lineRule="auto"/>
              <w:rPr>
                <w:color w:val="000000"/>
                <w:sz w:val="14"/>
                <w:szCs w:val="14"/>
              </w:rPr>
            </w:pPr>
            <w:r w:rsidRPr="004768B6">
              <w:rPr>
                <w:color w:val="000000"/>
                <w:sz w:val="14"/>
                <w:szCs w:val="14"/>
              </w:rPr>
              <w:t>Prognóza MF SR (</w:t>
            </w:r>
            <w:proofErr w:type="spellStart"/>
            <w:r w:rsidRPr="004768B6">
              <w:rPr>
                <w:color w:val="000000"/>
                <w:sz w:val="14"/>
                <w:szCs w:val="14"/>
              </w:rPr>
              <w:t>sep</w:t>
            </w:r>
            <w:proofErr w:type="spellEnd"/>
            <w:r>
              <w:rPr>
                <w:color w:val="000000"/>
                <w:sz w:val="14"/>
                <w:szCs w:val="14"/>
              </w:rPr>
              <w:t xml:space="preserve"> 2021</w:t>
            </w:r>
            <w:r w:rsidRPr="004768B6">
              <w:rPr>
                <w:color w:val="000000"/>
                <w:sz w:val="14"/>
                <w:szCs w:val="14"/>
              </w:rPr>
              <w:t>)</w:t>
            </w:r>
          </w:p>
        </w:tc>
        <w:tc>
          <w:tcPr>
            <w:tcW w:w="388" w:type="pct"/>
            <w:tcBorders>
              <w:top w:val="nil"/>
              <w:left w:val="nil"/>
              <w:bottom w:val="single" w:sz="4" w:space="0" w:color="auto"/>
              <w:right w:val="single" w:sz="4" w:space="0" w:color="auto"/>
            </w:tcBorders>
            <w:shd w:val="clear" w:color="auto" w:fill="auto"/>
            <w:noWrap/>
            <w:vAlign w:val="bottom"/>
          </w:tcPr>
          <w:p w14:paraId="05126F56" w14:textId="77777777" w:rsidR="007C5FE8" w:rsidRPr="004768B6" w:rsidRDefault="007C5FE8" w:rsidP="001737A0">
            <w:pPr>
              <w:spacing w:line="240" w:lineRule="auto"/>
              <w:jc w:val="right"/>
              <w:rPr>
                <w:color w:val="000000"/>
                <w:sz w:val="14"/>
                <w:szCs w:val="14"/>
              </w:rPr>
            </w:pPr>
            <w:r w:rsidRPr="004768B6">
              <w:rPr>
                <w:color w:val="000000"/>
                <w:sz w:val="14"/>
                <w:szCs w:val="14"/>
              </w:rPr>
              <w:t>6,6</w:t>
            </w:r>
          </w:p>
        </w:tc>
        <w:tc>
          <w:tcPr>
            <w:tcW w:w="388" w:type="pct"/>
            <w:tcBorders>
              <w:top w:val="nil"/>
              <w:left w:val="single" w:sz="4" w:space="0" w:color="auto"/>
              <w:bottom w:val="single" w:sz="4" w:space="0" w:color="auto"/>
              <w:right w:val="single" w:sz="4" w:space="0" w:color="auto"/>
            </w:tcBorders>
            <w:shd w:val="clear" w:color="auto" w:fill="auto"/>
            <w:noWrap/>
            <w:vAlign w:val="bottom"/>
          </w:tcPr>
          <w:p w14:paraId="2F45F7F5" w14:textId="77777777" w:rsidR="007C5FE8" w:rsidRPr="004768B6" w:rsidRDefault="007C5FE8" w:rsidP="001737A0">
            <w:pPr>
              <w:spacing w:line="240" w:lineRule="auto"/>
              <w:jc w:val="right"/>
              <w:rPr>
                <w:color w:val="000000"/>
                <w:sz w:val="14"/>
                <w:szCs w:val="14"/>
              </w:rPr>
            </w:pPr>
            <w:r w:rsidRPr="004768B6">
              <w:rPr>
                <w:color w:val="000000"/>
                <w:sz w:val="14"/>
                <w:szCs w:val="14"/>
              </w:rPr>
              <w:t>-12,0</w:t>
            </w:r>
          </w:p>
        </w:tc>
        <w:tc>
          <w:tcPr>
            <w:tcW w:w="351" w:type="pct"/>
            <w:tcBorders>
              <w:top w:val="nil"/>
              <w:left w:val="single" w:sz="4" w:space="0" w:color="auto"/>
              <w:bottom w:val="single" w:sz="4" w:space="0" w:color="auto"/>
              <w:right w:val="single" w:sz="4" w:space="0" w:color="auto"/>
            </w:tcBorders>
            <w:shd w:val="clear" w:color="auto" w:fill="auto"/>
            <w:noWrap/>
            <w:vAlign w:val="bottom"/>
          </w:tcPr>
          <w:p w14:paraId="2A4630F2" w14:textId="77777777" w:rsidR="007C5FE8" w:rsidRPr="004768B6" w:rsidRDefault="007C5FE8" w:rsidP="001737A0">
            <w:pPr>
              <w:spacing w:line="240" w:lineRule="auto"/>
              <w:jc w:val="right"/>
              <w:rPr>
                <w:color w:val="000000"/>
                <w:sz w:val="14"/>
                <w:szCs w:val="14"/>
              </w:rPr>
            </w:pPr>
            <w:r w:rsidRPr="004768B6">
              <w:rPr>
                <w:color w:val="000000"/>
                <w:sz w:val="14"/>
                <w:szCs w:val="14"/>
              </w:rPr>
              <w:t>-0,3</w:t>
            </w:r>
          </w:p>
        </w:tc>
        <w:tc>
          <w:tcPr>
            <w:tcW w:w="353" w:type="pct"/>
            <w:tcBorders>
              <w:top w:val="nil"/>
              <w:left w:val="single" w:sz="4" w:space="0" w:color="auto"/>
              <w:bottom w:val="single" w:sz="4" w:space="0" w:color="auto"/>
              <w:right w:val="single" w:sz="4" w:space="0" w:color="auto"/>
            </w:tcBorders>
            <w:shd w:val="clear" w:color="auto" w:fill="auto"/>
            <w:noWrap/>
            <w:vAlign w:val="bottom"/>
          </w:tcPr>
          <w:p w14:paraId="61D07D91" w14:textId="77777777" w:rsidR="007C5FE8" w:rsidRPr="004768B6" w:rsidRDefault="007C5FE8" w:rsidP="001737A0">
            <w:pPr>
              <w:spacing w:line="240" w:lineRule="auto"/>
              <w:jc w:val="right"/>
              <w:rPr>
                <w:color w:val="000000"/>
                <w:sz w:val="14"/>
                <w:szCs w:val="14"/>
              </w:rPr>
            </w:pPr>
            <w:r w:rsidRPr="004768B6">
              <w:rPr>
                <w:color w:val="000000"/>
                <w:sz w:val="14"/>
                <w:szCs w:val="14"/>
              </w:rPr>
              <w:t>16,7</w:t>
            </w:r>
          </w:p>
        </w:tc>
      </w:tr>
      <w:tr w:rsidR="007C5FE8" w:rsidRPr="004768B6" w14:paraId="5F12B241" w14:textId="77777777" w:rsidTr="000C3C49">
        <w:trPr>
          <w:trHeight w:val="227"/>
        </w:trPr>
        <w:tc>
          <w:tcPr>
            <w:tcW w:w="22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D0FE07" w14:textId="77777777" w:rsidR="007C5FE8" w:rsidRPr="004768B6" w:rsidRDefault="007C5FE8" w:rsidP="001737A0">
            <w:pPr>
              <w:spacing w:line="240" w:lineRule="auto"/>
              <w:ind w:firstLineChars="300" w:firstLine="420"/>
              <w:rPr>
                <w:color w:val="000000"/>
                <w:sz w:val="14"/>
                <w:szCs w:val="14"/>
              </w:rPr>
            </w:pPr>
            <w:r w:rsidRPr="004768B6">
              <w:rPr>
                <w:color w:val="000000"/>
                <w:sz w:val="14"/>
                <w:szCs w:val="14"/>
              </w:rPr>
              <w:t>Export</w:t>
            </w:r>
          </w:p>
        </w:tc>
        <w:tc>
          <w:tcPr>
            <w:tcW w:w="1292" w:type="pct"/>
            <w:tcBorders>
              <w:top w:val="nil"/>
              <w:left w:val="nil"/>
              <w:bottom w:val="nil"/>
              <w:right w:val="single" w:sz="4" w:space="0" w:color="auto"/>
            </w:tcBorders>
            <w:shd w:val="clear" w:color="auto" w:fill="auto"/>
            <w:noWrap/>
            <w:vAlign w:val="bottom"/>
            <w:hideMark/>
          </w:tcPr>
          <w:p w14:paraId="47AE1C92" w14:textId="77777777" w:rsidR="007C5FE8" w:rsidRPr="004768B6" w:rsidRDefault="007C5FE8" w:rsidP="001737A0">
            <w:pPr>
              <w:spacing w:line="240" w:lineRule="auto"/>
              <w:rPr>
                <w:color w:val="000000"/>
                <w:sz w:val="14"/>
                <w:szCs w:val="14"/>
              </w:rPr>
            </w:pPr>
            <w:r w:rsidRPr="004768B6">
              <w:rPr>
                <w:color w:val="000000"/>
                <w:sz w:val="14"/>
                <w:szCs w:val="14"/>
              </w:rPr>
              <w:t>Prognóza EK (jar</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7D8AF88F" w14:textId="77777777" w:rsidR="007C5FE8" w:rsidRPr="004768B6" w:rsidRDefault="007C5FE8" w:rsidP="001737A0">
            <w:pPr>
              <w:spacing w:line="240" w:lineRule="auto"/>
              <w:jc w:val="right"/>
              <w:rPr>
                <w:color w:val="000000"/>
                <w:sz w:val="14"/>
                <w:szCs w:val="14"/>
              </w:rPr>
            </w:pPr>
            <w:r w:rsidRPr="004768B6">
              <w:rPr>
                <w:color w:val="000000"/>
                <w:sz w:val="14"/>
                <w:szCs w:val="14"/>
              </w:rPr>
              <w:t>0,8</w:t>
            </w:r>
          </w:p>
        </w:tc>
        <w:tc>
          <w:tcPr>
            <w:tcW w:w="388" w:type="pct"/>
            <w:tcBorders>
              <w:top w:val="nil"/>
              <w:left w:val="single" w:sz="4" w:space="0" w:color="auto"/>
              <w:bottom w:val="nil"/>
              <w:right w:val="single" w:sz="4" w:space="0" w:color="auto"/>
            </w:tcBorders>
            <w:shd w:val="clear" w:color="auto" w:fill="auto"/>
            <w:noWrap/>
            <w:vAlign w:val="bottom"/>
          </w:tcPr>
          <w:p w14:paraId="576E78E3" w14:textId="77777777" w:rsidR="007C5FE8" w:rsidRPr="004768B6" w:rsidRDefault="007C5FE8" w:rsidP="001737A0">
            <w:pPr>
              <w:spacing w:line="240" w:lineRule="auto"/>
              <w:jc w:val="right"/>
              <w:rPr>
                <w:color w:val="000000"/>
                <w:sz w:val="14"/>
                <w:szCs w:val="14"/>
              </w:rPr>
            </w:pPr>
            <w:r w:rsidRPr="004768B6">
              <w:rPr>
                <w:color w:val="000000"/>
                <w:sz w:val="14"/>
                <w:szCs w:val="14"/>
              </w:rPr>
              <w:t>-7,5</w:t>
            </w:r>
          </w:p>
        </w:tc>
        <w:tc>
          <w:tcPr>
            <w:tcW w:w="351" w:type="pct"/>
            <w:tcBorders>
              <w:top w:val="nil"/>
              <w:left w:val="single" w:sz="4" w:space="0" w:color="auto"/>
              <w:bottom w:val="nil"/>
              <w:right w:val="single" w:sz="4" w:space="0" w:color="auto"/>
            </w:tcBorders>
            <w:shd w:val="clear" w:color="auto" w:fill="auto"/>
            <w:noWrap/>
            <w:vAlign w:val="bottom"/>
          </w:tcPr>
          <w:p w14:paraId="44208EE1" w14:textId="77777777" w:rsidR="007C5FE8" w:rsidRPr="004768B6" w:rsidRDefault="007C5FE8" w:rsidP="001737A0">
            <w:pPr>
              <w:spacing w:line="240" w:lineRule="auto"/>
              <w:jc w:val="right"/>
              <w:rPr>
                <w:color w:val="000000"/>
                <w:sz w:val="14"/>
                <w:szCs w:val="14"/>
              </w:rPr>
            </w:pPr>
            <w:r w:rsidRPr="004768B6">
              <w:rPr>
                <w:color w:val="000000"/>
                <w:sz w:val="14"/>
                <w:szCs w:val="14"/>
              </w:rPr>
              <w:t>12,2</w:t>
            </w:r>
          </w:p>
        </w:tc>
        <w:tc>
          <w:tcPr>
            <w:tcW w:w="353" w:type="pct"/>
            <w:tcBorders>
              <w:top w:val="nil"/>
              <w:left w:val="single" w:sz="4" w:space="0" w:color="auto"/>
              <w:bottom w:val="nil"/>
              <w:right w:val="single" w:sz="4" w:space="0" w:color="auto"/>
            </w:tcBorders>
            <w:shd w:val="clear" w:color="auto" w:fill="auto"/>
            <w:noWrap/>
            <w:vAlign w:val="bottom"/>
          </w:tcPr>
          <w:p w14:paraId="30163597" w14:textId="77777777" w:rsidR="007C5FE8" w:rsidRPr="004768B6" w:rsidRDefault="007C5FE8" w:rsidP="001737A0">
            <w:pPr>
              <w:spacing w:line="240" w:lineRule="auto"/>
              <w:jc w:val="right"/>
              <w:rPr>
                <w:color w:val="000000"/>
                <w:sz w:val="14"/>
                <w:szCs w:val="14"/>
              </w:rPr>
            </w:pPr>
            <w:r w:rsidRPr="004768B6">
              <w:rPr>
                <w:color w:val="000000"/>
                <w:sz w:val="14"/>
                <w:szCs w:val="14"/>
              </w:rPr>
              <w:t>5,3</w:t>
            </w:r>
          </w:p>
        </w:tc>
      </w:tr>
      <w:tr w:rsidR="007C5FE8" w:rsidRPr="004768B6" w14:paraId="5E4F3C10"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6B4D3DA1" w14:textId="77777777" w:rsidR="007C5FE8" w:rsidRPr="004768B6" w:rsidRDefault="007C5FE8" w:rsidP="001737A0">
            <w:pPr>
              <w:spacing w:line="240" w:lineRule="auto"/>
              <w:rPr>
                <w:color w:val="000000"/>
                <w:sz w:val="14"/>
                <w:szCs w:val="14"/>
              </w:rPr>
            </w:pPr>
          </w:p>
        </w:tc>
        <w:tc>
          <w:tcPr>
            <w:tcW w:w="1292" w:type="pct"/>
            <w:tcBorders>
              <w:top w:val="nil"/>
              <w:left w:val="nil"/>
              <w:bottom w:val="single" w:sz="4" w:space="0" w:color="auto"/>
              <w:right w:val="single" w:sz="4" w:space="0" w:color="auto"/>
            </w:tcBorders>
            <w:shd w:val="clear" w:color="auto" w:fill="auto"/>
            <w:noWrap/>
            <w:vAlign w:val="bottom"/>
            <w:hideMark/>
          </w:tcPr>
          <w:p w14:paraId="0D423769" w14:textId="77777777" w:rsidR="007C5FE8" w:rsidRPr="004768B6" w:rsidRDefault="007C5FE8" w:rsidP="001737A0">
            <w:pPr>
              <w:spacing w:line="240" w:lineRule="auto"/>
              <w:rPr>
                <w:color w:val="000000"/>
                <w:sz w:val="14"/>
                <w:szCs w:val="14"/>
              </w:rPr>
            </w:pPr>
            <w:r w:rsidRPr="004768B6">
              <w:rPr>
                <w:color w:val="000000"/>
                <w:sz w:val="14"/>
                <w:szCs w:val="14"/>
              </w:rPr>
              <w:t>Prognóza MF SR (</w:t>
            </w:r>
            <w:proofErr w:type="spellStart"/>
            <w:r w:rsidRPr="004768B6">
              <w:rPr>
                <w:color w:val="000000"/>
                <w:sz w:val="14"/>
                <w:szCs w:val="14"/>
              </w:rPr>
              <w:t>sep</w:t>
            </w:r>
            <w:proofErr w:type="spellEnd"/>
            <w:r>
              <w:rPr>
                <w:color w:val="000000"/>
                <w:sz w:val="14"/>
                <w:szCs w:val="14"/>
              </w:rPr>
              <w:t xml:space="preserve"> 2021</w:t>
            </w:r>
            <w:r w:rsidRPr="004768B6">
              <w:rPr>
                <w:color w:val="000000"/>
                <w:sz w:val="14"/>
                <w:szCs w:val="14"/>
              </w:rPr>
              <w:t>)</w:t>
            </w:r>
          </w:p>
        </w:tc>
        <w:tc>
          <w:tcPr>
            <w:tcW w:w="388" w:type="pct"/>
            <w:tcBorders>
              <w:top w:val="nil"/>
              <w:left w:val="nil"/>
              <w:bottom w:val="single" w:sz="4" w:space="0" w:color="auto"/>
              <w:right w:val="single" w:sz="4" w:space="0" w:color="auto"/>
            </w:tcBorders>
            <w:shd w:val="clear" w:color="auto" w:fill="auto"/>
            <w:noWrap/>
            <w:vAlign w:val="bottom"/>
          </w:tcPr>
          <w:p w14:paraId="40547C9A" w14:textId="77777777" w:rsidR="007C5FE8" w:rsidRPr="004768B6" w:rsidRDefault="007C5FE8" w:rsidP="001737A0">
            <w:pPr>
              <w:spacing w:line="240" w:lineRule="auto"/>
              <w:jc w:val="right"/>
              <w:rPr>
                <w:color w:val="000000"/>
                <w:sz w:val="14"/>
                <w:szCs w:val="14"/>
              </w:rPr>
            </w:pPr>
            <w:r w:rsidRPr="004768B6">
              <w:rPr>
                <w:color w:val="000000"/>
                <w:sz w:val="14"/>
                <w:szCs w:val="14"/>
              </w:rPr>
              <w:t>0,8</w:t>
            </w:r>
          </w:p>
        </w:tc>
        <w:tc>
          <w:tcPr>
            <w:tcW w:w="388" w:type="pct"/>
            <w:tcBorders>
              <w:top w:val="nil"/>
              <w:left w:val="single" w:sz="4" w:space="0" w:color="auto"/>
              <w:bottom w:val="single" w:sz="4" w:space="0" w:color="auto"/>
              <w:right w:val="single" w:sz="4" w:space="0" w:color="auto"/>
            </w:tcBorders>
            <w:shd w:val="clear" w:color="auto" w:fill="auto"/>
            <w:noWrap/>
            <w:vAlign w:val="bottom"/>
          </w:tcPr>
          <w:p w14:paraId="043D0866" w14:textId="77777777" w:rsidR="007C5FE8" w:rsidRPr="004768B6" w:rsidRDefault="007C5FE8" w:rsidP="001737A0">
            <w:pPr>
              <w:spacing w:line="240" w:lineRule="auto"/>
              <w:jc w:val="right"/>
              <w:rPr>
                <w:color w:val="000000"/>
                <w:sz w:val="14"/>
                <w:szCs w:val="14"/>
              </w:rPr>
            </w:pPr>
            <w:r w:rsidRPr="004768B6">
              <w:rPr>
                <w:color w:val="000000"/>
                <w:sz w:val="14"/>
                <w:szCs w:val="14"/>
              </w:rPr>
              <w:t>-7,5</w:t>
            </w:r>
          </w:p>
        </w:tc>
        <w:tc>
          <w:tcPr>
            <w:tcW w:w="351" w:type="pct"/>
            <w:tcBorders>
              <w:top w:val="nil"/>
              <w:left w:val="single" w:sz="4" w:space="0" w:color="auto"/>
              <w:bottom w:val="single" w:sz="4" w:space="0" w:color="auto"/>
              <w:right w:val="single" w:sz="4" w:space="0" w:color="auto"/>
            </w:tcBorders>
            <w:shd w:val="clear" w:color="auto" w:fill="auto"/>
            <w:noWrap/>
            <w:vAlign w:val="bottom"/>
          </w:tcPr>
          <w:p w14:paraId="3477EC79" w14:textId="77777777" w:rsidR="007C5FE8" w:rsidRPr="004768B6" w:rsidRDefault="007C5FE8" w:rsidP="001737A0">
            <w:pPr>
              <w:spacing w:line="240" w:lineRule="auto"/>
              <w:jc w:val="right"/>
              <w:rPr>
                <w:color w:val="000000"/>
                <w:sz w:val="14"/>
                <w:szCs w:val="14"/>
              </w:rPr>
            </w:pPr>
            <w:r w:rsidRPr="004768B6">
              <w:rPr>
                <w:color w:val="000000"/>
                <w:sz w:val="14"/>
                <w:szCs w:val="14"/>
              </w:rPr>
              <w:t>10,5</w:t>
            </w:r>
          </w:p>
        </w:tc>
        <w:tc>
          <w:tcPr>
            <w:tcW w:w="353" w:type="pct"/>
            <w:tcBorders>
              <w:top w:val="nil"/>
              <w:left w:val="single" w:sz="4" w:space="0" w:color="auto"/>
              <w:bottom w:val="single" w:sz="4" w:space="0" w:color="auto"/>
              <w:right w:val="single" w:sz="4" w:space="0" w:color="auto"/>
            </w:tcBorders>
            <w:shd w:val="clear" w:color="auto" w:fill="auto"/>
            <w:noWrap/>
            <w:vAlign w:val="bottom"/>
          </w:tcPr>
          <w:p w14:paraId="77B7B95E" w14:textId="77777777" w:rsidR="007C5FE8" w:rsidRPr="004768B6" w:rsidRDefault="007C5FE8" w:rsidP="001737A0">
            <w:pPr>
              <w:spacing w:line="240" w:lineRule="auto"/>
              <w:jc w:val="right"/>
              <w:rPr>
                <w:color w:val="000000"/>
                <w:sz w:val="14"/>
                <w:szCs w:val="14"/>
              </w:rPr>
            </w:pPr>
            <w:r w:rsidRPr="004768B6">
              <w:rPr>
                <w:color w:val="000000"/>
                <w:sz w:val="14"/>
                <w:szCs w:val="14"/>
              </w:rPr>
              <w:t>3,1</w:t>
            </w:r>
          </w:p>
        </w:tc>
      </w:tr>
      <w:tr w:rsidR="007C5FE8" w:rsidRPr="004768B6" w14:paraId="504915A1" w14:textId="77777777" w:rsidTr="000C3C49">
        <w:trPr>
          <w:trHeight w:val="227"/>
        </w:trPr>
        <w:tc>
          <w:tcPr>
            <w:tcW w:w="22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C027D4" w14:textId="77777777" w:rsidR="007C5FE8" w:rsidRPr="004768B6" w:rsidRDefault="007C5FE8" w:rsidP="001737A0">
            <w:pPr>
              <w:spacing w:line="240" w:lineRule="auto"/>
              <w:ind w:firstLineChars="300" w:firstLine="420"/>
              <w:rPr>
                <w:color w:val="000000"/>
                <w:sz w:val="14"/>
                <w:szCs w:val="14"/>
              </w:rPr>
            </w:pPr>
            <w:r w:rsidRPr="004768B6">
              <w:rPr>
                <w:color w:val="000000"/>
                <w:sz w:val="14"/>
                <w:szCs w:val="14"/>
              </w:rPr>
              <w:t>Import</w:t>
            </w:r>
          </w:p>
        </w:tc>
        <w:tc>
          <w:tcPr>
            <w:tcW w:w="1292" w:type="pct"/>
            <w:tcBorders>
              <w:top w:val="nil"/>
              <w:left w:val="nil"/>
              <w:bottom w:val="nil"/>
              <w:right w:val="single" w:sz="4" w:space="0" w:color="auto"/>
            </w:tcBorders>
            <w:shd w:val="clear" w:color="auto" w:fill="auto"/>
            <w:noWrap/>
            <w:vAlign w:val="bottom"/>
            <w:hideMark/>
          </w:tcPr>
          <w:p w14:paraId="06C4A6B8" w14:textId="77777777" w:rsidR="007C5FE8" w:rsidRPr="004768B6" w:rsidRDefault="007C5FE8" w:rsidP="001737A0">
            <w:pPr>
              <w:spacing w:line="240" w:lineRule="auto"/>
              <w:rPr>
                <w:color w:val="000000"/>
                <w:sz w:val="14"/>
                <w:szCs w:val="14"/>
              </w:rPr>
            </w:pPr>
            <w:r w:rsidRPr="004768B6">
              <w:rPr>
                <w:color w:val="000000"/>
                <w:sz w:val="14"/>
                <w:szCs w:val="14"/>
              </w:rPr>
              <w:t>Prognóza EK (jar</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413C84E2" w14:textId="77777777" w:rsidR="007C5FE8" w:rsidRPr="004768B6" w:rsidRDefault="007C5FE8" w:rsidP="001737A0">
            <w:pPr>
              <w:spacing w:line="240" w:lineRule="auto"/>
              <w:jc w:val="right"/>
              <w:rPr>
                <w:color w:val="000000"/>
                <w:sz w:val="14"/>
                <w:szCs w:val="14"/>
              </w:rPr>
            </w:pPr>
            <w:r w:rsidRPr="004768B6">
              <w:rPr>
                <w:color w:val="000000"/>
                <w:sz w:val="14"/>
                <w:szCs w:val="14"/>
              </w:rPr>
              <w:t>2,1</w:t>
            </w:r>
          </w:p>
        </w:tc>
        <w:tc>
          <w:tcPr>
            <w:tcW w:w="388" w:type="pct"/>
            <w:tcBorders>
              <w:top w:val="nil"/>
              <w:left w:val="single" w:sz="4" w:space="0" w:color="auto"/>
              <w:bottom w:val="nil"/>
              <w:right w:val="single" w:sz="4" w:space="0" w:color="auto"/>
            </w:tcBorders>
            <w:shd w:val="clear" w:color="auto" w:fill="auto"/>
            <w:noWrap/>
            <w:vAlign w:val="bottom"/>
          </w:tcPr>
          <w:p w14:paraId="49C2BA1A" w14:textId="77777777" w:rsidR="007C5FE8" w:rsidRPr="004768B6" w:rsidRDefault="007C5FE8" w:rsidP="001737A0">
            <w:pPr>
              <w:spacing w:line="240" w:lineRule="auto"/>
              <w:jc w:val="right"/>
              <w:rPr>
                <w:color w:val="000000"/>
                <w:sz w:val="14"/>
                <w:szCs w:val="14"/>
              </w:rPr>
            </w:pPr>
            <w:r w:rsidRPr="004768B6">
              <w:rPr>
                <w:color w:val="000000"/>
                <w:sz w:val="14"/>
                <w:szCs w:val="14"/>
              </w:rPr>
              <w:t>-8,3</w:t>
            </w:r>
          </w:p>
        </w:tc>
        <w:tc>
          <w:tcPr>
            <w:tcW w:w="351" w:type="pct"/>
            <w:tcBorders>
              <w:top w:val="nil"/>
              <w:left w:val="single" w:sz="4" w:space="0" w:color="auto"/>
              <w:bottom w:val="nil"/>
              <w:right w:val="single" w:sz="4" w:space="0" w:color="auto"/>
            </w:tcBorders>
            <w:shd w:val="clear" w:color="auto" w:fill="auto"/>
            <w:noWrap/>
            <w:vAlign w:val="bottom"/>
          </w:tcPr>
          <w:p w14:paraId="4E6A55C8" w14:textId="77777777" w:rsidR="007C5FE8" w:rsidRPr="004768B6" w:rsidRDefault="007C5FE8" w:rsidP="001737A0">
            <w:pPr>
              <w:spacing w:line="240" w:lineRule="auto"/>
              <w:jc w:val="right"/>
              <w:rPr>
                <w:color w:val="000000"/>
                <w:sz w:val="14"/>
                <w:szCs w:val="14"/>
              </w:rPr>
            </w:pPr>
            <w:r w:rsidRPr="004768B6">
              <w:rPr>
                <w:color w:val="000000"/>
                <w:sz w:val="14"/>
                <w:szCs w:val="14"/>
              </w:rPr>
              <w:t>10,9</w:t>
            </w:r>
          </w:p>
        </w:tc>
        <w:tc>
          <w:tcPr>
            <w:tcW w:w="353" w:type="pct"/>
            <w:tcBorders>
              <w:top w:val="nil"/>
              <w:left w:val="single" w:sz="4" w:space="0" w:color="auto"/>
              <w:bottom w:val="nil"/>
              <w:right w:val="single" w:sz="4" w:space="0" w:color="auto"/>
            </w:tcBorders>
            <w:shd w:val="clear" w:color="auto" w:fill="auto"/>
            <w:noWrap/>
            <w:vAlign w:val="bottom"/>
          </w:tcPr>
          <w:p w14:paraId="6069A76E" w14:textId="77777777" w:rsidR="007C5FE8" w:rsidRPr="004768B6" w:rsidRDefault="007C5FE8" w:rsidP="001737A0">
            <w:pPr>
              <w:spacing w:line="240" w:lineRule="auto"/>
              <w:jc w:val="right"/>
              <w:rPr>
                <w:color w:val="000000"/>
                <w:sz w:val="14"/>
                <w:szCs w:val="14"/>
              </w:rPr>
            </w:pPr>
            <w:r w:rsidRPr="004768B6">
              <w:rPr>
                <w:color w:val="000000"/>
                <w:sz w:val="14"/>
                <w:szCs w:val="14"/>
              </w:rPr>
              <w:t>5,6</w:t>
            </w:r>
          </w:p>
        </w:tc>
      </w:tr>
      <w:tr w:rsidR="007C5FE8" w:rsidRPr="004768B6" w14:paraId="35B249D9"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1ECFA632" w14:textId="77777777" w:rsidR="007C5FE8" w:rsidRPr="004768B6" w:rsidRDefault="007C5FE8" w:rsidP="001737A0">
            <w:pPr>
              <w:spacing w:line="240" w:lineRule="auto"/>
              <w:rPr>
                <w:color w:val="000000"/>
                <w:sz w:val="14"/>
                <w:szCs w:val="14"/>
              </w:rPr>
            </w:pPr>
          </w:p>
        </w:tc>
        <w:tc>
          <w:tcPr>
            <w:tcW w:w="1292" w:type="pct"/>
            <w:tcBorders>
              <w:top w:val="nil"/>
              <w:left w:val="nil"/>
              <w:bottom w:val="single" w:sz="4" w:space="0" w:color="auto"/>
              <w:right w:val="single" w:sz="4" w:space="0" w:color="auto"/>
            </w:tcBorders>
            <w:shd w:val="clear" w:color="auto" w:fill="auto"/>
            <w:noWrap/>
            <w:vAlign w:val="bottom"/>
            <w:hideMark/>
          </w:tcPr>
          <w:p w14:paraId="1F278470" w14:textId="77777777" w:rsidR="007C5FE8" w:rsidRPr="004768B6" w:rsidRDefault="007C5FE8" w:rsidP="001737A0">
            <w:pPr>
              <w:spacing w:line="240" w:lineRule="auto"/>
              <w:rPr>
                <w:color w:val="000000"/>
                <w:sz w:val="14"/>
                <w:szCs w:val="14"/>
              </w:rPr>
            </w:pPr>
            <w:r w:rsidRPr="004768B6">
              <w:rPr>
                <w:color w:val="000000"/>
                <w:sz w:val="14"/>
                <w:szCs w:val="14"/>
              </w:rPr>
              <w:t>Prognóza MF SR (</w:t>
            </w:r>
            <w:proofErr w:type="spellStart"/>
            <w:r w:rsidRPr="004768B6">
              <w:rPr>
                <w:color w:val="000000"/>
                <w:sz w:val="14"/>
                <w:szCs w:val="14"/>
              </w:rPr>
              <w:t>sep</w:t>
            </w:r>
            <w:proofErr w:type="spellEnd"/>
            <w:r>
              <w:rPr>
                <w:color w:val="000000"/>
                <w:sz w:val="14"/>
                <w:szCs w:val="14"/>
              </w:rPr>
              <w:t xml:space="preserve"> 2021</w:t>
            </w:r>
            <w:r w:rsidRPr="004768B6">
              <w:rPr>
                <w:color w:val="000000"/>
                <w:sz w:val="14"/>
                <w:szCs w:val="14"/>
              </w:rPr>
              <w:t>)</w:t>
            </w:r>
          </w:p>
        </w:tc>
        <w:tc>
          <w:tcPr>
            <w:tcW w:w="388" w:type="pct"/>
            <w:tcBorders>
              <w:top w:val="nil"/>
              <w:left w:val="nil"/>
              <w:bottom w:val="single" w:sz="4" w:space="0" w:color="auto"/>
              <w:right w:val="single" w:sz="4" w:space="0" w:color="auto"/>
            </w:tcBorders>
            <w:shd w:val="clear" w:color="auto" w:fill="auto"/>
            <w:noWrap/>
            <w:vAlign w:val="bottom"/>
          </w:tcPr>
          <w:p w14:paraId="4A107FF9" w14:textId="77777777" w:rsidR="007C5FE8" w:rsidRPr="004768B6" w:rsidRDefault="007C5FE8" w:rsidP="001737A0">
            <w:pPr>
              <w:spacing w:line="240" w:lineRule="auto"/>
              <w:jc w:val="right"/>
              <w:rPr>
                <w:color w:val="000000"/>
                <w:sz w:val="14"/>
                <w:szCs w:val="14"/>
              </w:rPr>
            </w:pPr>
            <w:r w:rsidRPr="004768B6">
              <w:rPr>
                <w:color w:val="000000"/>
                <w:sz w:val="14"/>
                <w:szCs w:val="14"/>
              </w:rPr>
              <w:t>2,1</w:t>
            </w:r>
          </w:p>
        </w:tc>
        <w:tc>
          <w:tcPr>
            <w:tcW w:w="388" w:type="pct"/>
            <w:tcBorders>
              <w:top w:val="nil"/>
              <w:left w:val="single" w:sz="4" w:space="0" w:color="auto"/>
              <w:bottom w:val="single" w:sz="4" w:space="0" w:color="auto"/>
              <w:right w:val="single" w:sz="4" w:space="0" w:color="auto"/>
            </w:tcBorders>
            <w:shd w:val="clear" w:color="auto" w:fill="auto"/>
            <w:noWrap/>
            <w:vAlign w:val="bottom"/>
          </w:tcPr>
          <w:p w14:paraId="760A51A4" w14:textId="77777777" w:rsidR="007C5FE8" w:rsidRPr="004768B6" w:rsidRDefault="007C5FE8" w:rsidP="001737A0">
            <w:pPr>
              <w:spacing w:line="240" w:lineRule="auto"/>
              <w:jc w:val="right"/>
              <w:rPr>
                <w:color w:val="000000"/>
                <w:sz w:val="14"/>
                <w:szCs w:val="14"/>
              </w:rPr>
            </w:pPr>
            <w:r w:rsidRPr="004768B6">
              <w:rPr>
                <w:color w:val="000000"/>
                <w:sz w:val="14"/>
                <w:szCs w:val="14"/>
              </w:rPr>
              <w:t>-8,3</w:t>
            </w:r>
          </w:p>
        </w:tc>
        <w:tc>
          <w:tcPr>
            <w:tcW w:w="351" w:type="pct"/>
            <w:tcBorders>
              <w:top w:val="nil"/>
              <w:left w:val="single" w:sz="4" w:space="0" w:color="auto"/>
              <w:bottom w:val="single" w:sz="4" w:space="0" w:color="auto"/>
              <w:right w:val="single" w:sz="4" w:space="0" w:color="auto"/>
            </w:tcBorders>
            <w:shd w:val="clear" w:color="auto" w:fill="auto"/>
            <w:noWrap/>
            <w:vAlign w:val="bottom"/>
          </w:tcPr>
          <w:p w14:paraId="04EAE6C9" w14:textId="77777777" w:rsidR="007C5FE8" w:rsidRPr="004768B6" w:rsidRDefault="007C5FE8" w:rsidP="001737A0">
            <w:pPr>
              <w:spacing w:line="240" w:lineRule="auto"/>
              <w:jc w:val="right"/>
              <w:rPr>
                <w:color w:val="000000"/>
                <w:sz w:val="14"/>
                <w:szCs w:val="14"/>
              </w:rPr>
            </w:pPr>
            <w:r w:rsidRPr="004768B6">
              <w:rPr>
                <w:color w:val="000000"/>
                <w:sz w:val="14"/>
                <w:szCs w:val="14"/>
              </w:rPr>
              <w:t>10,9</w:t>
            </w:r>
          </w:p>
        </w:tc>
        <w:tc>
          <w:tcPr>
            <w:tcW w:w="353" w:type="pct"/>
            <w:tcBorders>
              <w:top w:val="nil"/>
              <w:left w:val="single" w:sz="4" w:space="0" w:color="auto"/>
              <w:bottom w:val="single" w:sz="4" w:space="0" w:color="auto"/>
              <w:right w:val="single" w:sz="4" w:space="0" w:color="auto"/>
            </w:tcBorders>
            <w:shd w:val="clear" w:color="auto" w:fill="auto"/>
            <w:noWrap/>
            <w:vAlign w:val="bottom"/>
          </w:tcPr>
          <w:p w14:paraId="42A45734" w14:textId="77777777" w:rsidR="007C5FE8" w:rsidRPr="004768B6" w:rsidRDefault="007C5FE8" w:rsidP="001737A0">
            <w:pPr>
              <w:spacing w:line="240" w:lineRule="auto"/>
              <w:jc w:val="right"/>
              <w:rPr>
                <w:color w:val="000000"/>
                <w:sz w:val="14"/>
                <w:szCs w:val="14"/>
              </w:rPr>
            </w:pPr>
            <w:r w:rsidRPr="004768B6">
              <w:rPr>
                <w:color w:val="000000"/>
                <w:sz w:val="14"/>
                <w:szCs w:val="14"/>
              </w:rPr>
              <w:t>3,9</w:t>
            </w:r>
          </w:p>
        </w:tc>
      </w:tr>
      <w:tr w:rsidR="007C5FE8" w:rsidRPr="004768B6" w14:paraId="2C4A9DA5" w14:textId="77777777" w:rsidTr="000C3C49">
        <w:trPr>
          <w:trHeight w:val="227"/>
        </w:trPr>
        <w:tc>
          <w:tcPr>
            <w:tcW w:w="22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C7C926" w14:textId="77777777" w:rsidR="007C5FE8" w:rsidRPr="004768B6" w:rsidRDefault="007C5FE8" w:rsidP="001737A0">
            <w:pPr>
              <w:spacing w:line="240" w:lineRule="auto"/>
              <w:rPr>
                <w:color w:val="000000"/>
                <w:sz w:val="14"/>
                <w:szCs w:val="14"/>
              </w:rPr>
            </w:pPr>
            <w:r w:rsidRPr="004768B6">
              <w:rPr>
                <w:color w:val="000000"/>
                <w:sz w:val="14"/>
                <w:szCs w:val="14"/>
              </w:rPr>
              <w:t>Inflácia (HICP)</w:t>
            </w:r>
          </w:p>
        </w:tc>
        <w:tc>
          <w:tcPr>
            <w:tcW w:w="1292" w:type="pct"/>
            <w:tcBorders>
              <w:top w:val="nil"/>
              <w:left w:val="nil"/>
              <w:bottom w:val="nil"/>
              <w:right w:val="single" w:sz="4" w:space="0" w:color="auto"/>
            </w:tcBorders>
            <w:shd w:val="clear" w:color="auto" w:fill="auto"/>
            <w:noWrap/>
            <w:vAlign w:val="bottom"/>
            <w:hideMark/>
          </w:tcPr>
          <w:p w14:paraId="727C7CEF" w14:textId="77777777" w:rsidR="007C5FE8" w:rsidRPr="004768B6" w:rsidRDefault="007C5FE8" w:rsidP="001737A0">
            <w:pPr>
              <w:spacing w:line="240" w:lineRule="auto"/>
              <w:rPr>
                <w:color w:val="000000"/>
                <w:sz w:val="14"/>
                <w:szCs w:val="14"/>
              </w:rPr>
            </w:pPr>
            <w:r w:rsidRPr="004768B6">
              <w:rPr>
                <w:color w:val="000000"/>
                <w:sz w:val="14"/>
                <w:szCs w:val="14"/>
              </w:rPr>
              <w:t>Prognóza EK (jar</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2CD1DDA1" w14:textId="77777777" w:rsidR="007C5FE8" w:rsidRPr="004768B6" w:rsidRDefault="007C5FE8" w:rsidP="001737A0">
            <w:pPr>
              <w:spacing w:line="240" w:lineRule="auto"/>
              <w:jc w:val="right"/>
              <w:rPr>
                <w:color w:val="000000"/>
                <w:sz w:val="14"/>
                <w:szCs w:val="14"/>
              </w:rPr>
            </w:pPr>
            <w:r w:rsidRPr="004768B6">
              <w:rPr>
                <w:color w:val="000000"/>
                <w:sz w:val="14"/>
                <w:szCs w:val="14"/>
              </w:rPr>
              <w:t>2,8</w:t>
            </w:r>
          </w:p>
        </w:tc>
        <w:tc>
          <w:tcPr>
            <w:tcW w:w="388" w:type="pct"/>
            <w:tcBorders>
              <w:top w:val="nil"/>
              <w:left w:val="single" w:sz="4" w:space="0" w:color="auto"/>
              <w:bottom w:val="nil"/>
              <w:right w:val="single" w:sz="4" w:space="0" w:color="auto"/>
            </w:tcBorders>
            <w:shd w:val="clear" w:color="auto" w:fill="auto"/>
            <w:noWrap/>
            <w:vAlign w:val="bottom"/>
          </w:tcPr>
          <w:p w14:paraId="0A302642" w14:textId="77777777" w:rsidR="007C5FE8" w:rsidRPr="004768B6" w:rsidRDefault="007C5FE8" w:rsidP="001737A0">
            <w:pPr>
              <w:spacing w:line="240" w:lineRule="auto"/>
              <w:jc w:val="right"/>
              <w:rPr>
                <w:color w:val="000000"/>
                <w:sz w:val="14"/>
                <w:szCs w:val="14"/>
              </w:rPr>
            </w:pPr>
            <w:r w:rsidRPr="004768B6">
              <w:rPr>
                <w:color w:val="000000"/>
                <w:sz w:val="14"/>
                <w:szCs w:val="14"/>
              </w:rPr>
              <w:t>2,0</w:t>
            </w:r>
          </w:p>
        </w:tc>
        <w:tc>
          <w:tcPr>
            <w:tcW w:w="351" w:type="pct"/>
            <w:tcBorders>
              <w:top w:val="nil"/>
              <w:left w:val="single" w:sz="4" w:space="0" w:color="auto"/>
              <w:bottom w:val="nil"/>
              <w:right w:val="single" w:sz="4" w:space="0" w:color="auto"/>
            </w:tcBorders>
            <w:shd w:val="clear" w:color="auto" w:fill="auto"/>
            <w:noWrap/>
            <w:vAlign w:val="bottom"/>
          </w:tcPr>
          <w:p w14:paraId="7438715D" w14:textId="77777777" w:rsidR="007C5FE8" w:rsidRPr="004768B6" w:rsidRDefault="007C5FE8" w:rsidP="001737A0">
            <w:pPr>
              <w:spacing w:line="240" w:lineRule="auto"/>
              <w:jc w:val="right"/>
              <w:rPr>
                <w:color w:val="000000"/>
                <w:sz w:val="14"/>
                <w:szCs w:val="14"/>
              </w:rPr>
            </w:pPr>
            <w:r w:rsidRPr="004768B6">
              <w:rPr>
                <w:color w:val="000000"/>
                <w:sz w:val="14"/>
                <w:szCs w:val="14"/>
              </w:rPr>
              <w:t>1,5</w:t>
            </w:r>
          </w:p>
        </w:tc>
        <w:tc>
          <w:tcPr>
            <w:tcW w:w="353" w:type="pct"/>
            <w:tcBorders>
              <w:top w:val="nil"/>
              <w:left w:val="single" w:sz="4" w:space="0" w:color="auto"/>
              <w:bottom w:val="nil"/>
              <w:right w:val="single" w:sz="4" w:space="0" w:color="auto"/>
            </w:tcBorders>
            <w:shd w:val="clear" w:color="auto" w:fill="auto"/>
            <w:noWrap/>
            <w:vAlign w:val="bottom"/>
          </w:tcPr>
          <w:p w14:paraId="3461F040" w14:textId="77777777" w:rsidR="007C5FE8" w:rsidRPr="004768B6" w:rsidRDefault="007C5FE8" w:rsidP="001737A0">
            <w:pPr>
              <w:spacing w:line="240" w:lineRule="auto"/>
              <w:jc w:val="right"/>
              <w:rPr>
                <w:color w:val="000000"/>
                <w:sz w:val="14"/>
                <w:szCs w:val="14"/>
              </w:rPr>
            </w:pPr>
            <w:r w:rsidRPr="004768B6">
              <w:rPr>
                <w:color w:val="000000"/>
                <w:sz w:val="14"/>
                <w:szCs w:val="14"/>
              </w:rPr>
              <w:t>1,9</w:t>
            </w:r>
          </w:p>
        </w:tc>
      </w:tr>
      <w:tr w:rsidR="007C5FE8" w:rsidRPr="004768B6" w14:paraId="41746AE8"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458E86FA" w14:textId="77777777" w:rsidR="007C5FE8" w:rsidRPr="004768B6" w:rsidRDefault="007C5FE8" w:rsidP="001737A0">
            <w:pPr>
              <w:spacing w:line="240" w:lineRule="auto"/>
              <w:rPr>
                <w:color w:val="000000"/>
                <w:sz w:val="14"/>
                <w:szCs w:val="14"/>
              </w:rPr>
            </w:pPr>
          </w:p>
        </w:tc>
        <w:tc>
          <w:tcPr>
            <w:tcW w:w="1292" w:type="pct"/>
            <w:tcBorders>
              <w:top w:val="nil"/>
              <w:left w:val="nil"/>
              <w:bottom w:val="nil"/>
              <w:right w:val="single" w:sz="4" w:space="0" w:color="auto"/>
            </w:tcBorders>
            <w:shd w:val="clear" w:color="auto" w:fill="auto"/>
            <w:noWrap/>
            <w:vAlign w:val="bottom"/>
            <w:hideMark/>
          </w:tcPr>
          <w:p w14:paraId="07DCFBF7" w14:textId="77777777" w:rsidR="007C5FE8" w:rsidRPr="004768B6" w:rsidRDefault="007C5FE8" w:rsidP="001737A0">
            <w:pPr>
              <w:spacing w:line="240" w:lineRule="auto"/>
              <w:rPr>
                <w:color w:val="000000"/>
                <w:sz w:val="14"/>
                <w:szCs w:val="14"/>
              </w:rPr>
            </w:pPr>
            <w:r w:rsidRPr="004768B6">
              <w:rPr>
                <w:color w:val="000000"/>
                <w:sz w:val="14"/>
                <w:szCs w:val="14"/>
              </w:rPr>
              <w:t>Prognóza EK (leto</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43BAEFB9" w14:textId="77777777" w:rsidR="007C5FE8" w:rsidRPr="004768B6" w:rsidRDefault="007C5FE8" w:rsidP="001737A0">
            <w:pPr>
              <w:spacing w:line="240" w:lineRule="auto"/>
              <w:jc w:val="right"/>
              <w:rPr>
                <w:color w:val="000000"/>
                <w:sz w:val="14"/>
                <w:szCs w:val="14"/>
              </w:rPr>
            </w:pPr>
            <w:r w:rsidRPr="004768B6">
              <w:rPr>
                <w:color w:val="000000"/>
                <w:sz w:val="14"/>
                <w:szCs w:val="14"/>
              </w:rPr>
              <w:t>2,8</w:t>
            </w:r>
          </w:p>
        </w:tc>
        <w:tc>
          <w:tcPr>
            <w:tcW w:w="388" w:type="pct"/>
            <w:tcBorders>
              <w:top w:val="nil"/>
              <w:left w:val="single" w:sz="4" w:space="0" w:color="auto"/>
              <w:bottom w:val="nil"/>
              <w:right w:val="single" w:sz="4" w:space="0" w:color="auto"/>
            </w:tcBorders>
            <w:shd w:val="clear" w:color="auto" w:fill="auto"/>
            <w:noWrap/>
            <w:vAlign w:val="bottom"/>
          </w:tcPr>
          <w:p w14:paraId="758B6080" w14:textId="77777777" w:rsidR="007C5FE8" w:rsidRPr="004768B6" w:rsidRDefault="007C5FE8" w:rsidP="001737A0">
            <w:pPr>
              <w:spacing w:line="240" w:lineRule="auto"/>
              <w:jc w:val="right"/>
              <w:rPr>
                <w:color w:val="000000"/>
                <w:sz w:val="14"/>
                <w:szCs w:val="14"/>
              </w:rPr>
            </w:pPr>
            <w:r w:rsidRPr="004768B6">
              <w:rPr>
                <w:color w:val="000000"/>
                <w:sz w:val="14"/>
                <w:szCs w:val="14"/>
              </w:rPr>
              <w:t>2,0</w:t>
            </w:r>
          </w:p>
        </w:tc>
        <w:tc>
          <w:tcPr>
            <w:tcW w:w="351" w:type="pct"/>
            <w:tcBorders>
              <w:top w:val="nil"/>
              <w:left w:val="single" w:sz="4" w:space="0" w:color="auto"/>
              <w:bottom w:val="nil"/>
              <w:right w:val="single" w:sz="4" w:space="0" w:color="auto"/>
            </w:tcBorders>
            <w:shd w:val="clear" w:color="auto" w:fill="auto"/>
            <w:noWrap/>
            <w:vAlign w:val="bottom"/>
          </w:tcPr>
          <w:p w14:paraId="7F01F599" w14:textId="77777777" w:rsidR="007C5FE8" w:rsidRPr="004768B6" w:rsidRDefault="007C5FE8" w:rsidP="001737A0">
            <w:pPr>
              <w:spacing w:line="240" w:lineRule="auto"/>
              <w:jc w:val="right"/>
              <w:rPr>
                <w:color w:val="000000"/>
                <w:sz w:val="14"/>
                <w:szCs w:val="14"/>
              </w:rPr>
            </w:pPr>
            <w:r w:rsidRPr="004768B6">
              <w:rPr>
                <w:color w:val="000000"/>
                <w:sz w:val="14"/>
                <w:szCs w:val="14"/>
              </w:rPr>
              <w:t>2,1</w:t>
            </w:r>
          </w:p>
        </w:tc>
        <w:tc>
          <w:tcPr>
            <w:tcW w:w="353" w:type="pct"/>
            <w:tcBorders>
              <w:top w:val="nil"/>
              <w:left w:val="single" w:sz="4" w:space="0" w:color="auto"/>
              <w:bottom w:val="nil"/>
              <w:right w:val="single" w:sz="4" w:space="0" w:color="auto"/>
            </w:tcBorders>
            <w:shd w:val="clear" w:color="auto" w:fill="auto"/>
            <w:noWrap/>
            <w:vAlign w:val="bottom"/>
          </w:tcPr>
          <w:p w14:paraId="0937EC64" w14:textId="77777777" w:rsidR="007C5FE8" w:rsidRPr="004768B6" w:rsidRDefault="007C5FE8" w:rsidP="001737A0">
            <w:pPr>
              <w:spacing w:line="240" w:lineRule="auto"/>
              <w:jc w:val="right"/>
              <w:rPr>
                <w:color w:val="000000"/>
                <w:sz w:val="14"/>
                <w:szCs w:val="14"/>
              </w:rPr>
            </w:pPr>
            <w:r w:rsidRPr="004768B6">
              <w:rPr>
                <w:color w:val="000000"/>
                <w:sz w:val="14"/>
                <w:szCs w:val="14"/>
              </w:rPr>
              <w:t>2,2</w:t>
            </w:r>
          </w:p>
        </w:tc>
      </w:tr>
      <w:tr w:rsidR="007C5FE8" w:rsidRPr="004768B6" w14:paraId="744BE61D"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2A361110" w14:textId="77777777" w:rsidR="007C5FE8" w:rsidRPr="004768B6" w:rsidRDefault="007C5FE8" w:rsidP="001737A0">
            <w:pPr>
              <w:spacing w:line="240" w:lineRule="auto"/>
              <w:rPr>
                <w:color w:val="000000"/>
                <w:sz w:val="14"/>
                <w:szCs w:val="14"/>
              </w:rPr>
            </w:pPr>
          </w:p>
        </w:tc>
        <w:tc>
          <w:tcPr>
            <w:tcW w:w="1292" w:type="pct"/>
            <w:tcBorders>
              <w:top w:val="nil"/>
              <w:left w:val="nil"/>
              <w:bottom w:val="single" w:sz="4" w:space="0" w:color="auto"/>
              <w:right w:val="single" w:sz="4" w:space="0" w:color="auto"/>
            </w:tcBorders>
            <w:shd w:val="clear" w:color="auto" w:fill="auto"/>
            <w:noWrap/>
            <w:vAlign w:val="bottom"/>
            <w:hideMark/>
          </w:tcPr>
          <w:p w14:paraId="773950ED" w14:textId="77777777" w:rsidR="007C5FE8" w:rsidRPr="004768B6" w:rsidRDefault="007C5FE8" w:rsidP="001737A0">
            <w:pPr>
              <w:spacing w:line="240" w:lineRule="auto"/>
              <w:rPr>
                <w:color w:val="000000"/>
                <w:sz w:val="14"/>
                <w:szCs w:val="14"/>
              </w:rPr>
            </w:pPr>
            <w:r w:rsidRPr="004768B6">
              <w:rPr>
                <w:color w:val="000000"/>
                <w:sz w:val="14"/>
                <w:szCs w:val="14"/>
              </w:rPr>
              <w:t>Prognóza MF SR (</w:t>
            </w:r>
            <w:proofErr w:type="spellStart"/>
            <w:r w:rsidRPr="004768B6">
              <w:rPr>
                <w:color w:val="000000"/>
                <w:sz w:val="14"/>
                <w:szCs w:val="14"/>
              </w:rPr>
              <w:t>sep</w:t>
            </w:r>
            <w:proofErr w:type="spellEnd"/>
            <w:r>
              <w:rPr>
                <w:color w:val="000000"/>
                <w:sz w:val="14"/>
                <w:szCs w:val="14"/>
              </w:rPr>
              <w:t xml:space="preserve"> 2021</w:t>
            </w:r>
            <w:r w:rsidRPr="004768B6">
              <w:rPr>
                <w:color w:val="000000"/>
                <w:sz w:val="14"/>
                <w:szCs w:val="14"/>
              </w:rPr>
              <w:t>)</w:t>
            </w:r>
          </w:p>
        </w:tc>
        <w:tc>
          <w:tcPr>
            <w:tcW w:w="388" w:type="pct"/>
            <w:tcBorders>
              <w:top w:val="nil"/>
              <w:left w:val="nil"/>
              <w:bottom w:val="single" w:sz="4" w:space="0" w:color="auto"/>
              <w:right w:val="single" w:sz="4" w:space="0" w:color="auto"/>
            </w:tcBorders>
            <w:shd w:val="clear" w:color="auto" w:fill="auto"/>
            <w:noWrap/>
            <w:vAlign w:val="bottom"/>
          </w:tcPr>
          <w:p w14:paraId="6CE28430" w14:textId="77777777" w:rsidR="007C5FE8" w:rsidRPr="004768B6" w:rsidRDefault="007C5FE8" w:rsidP="001737A0">
            <w:pPr>
              <w:spacing w:line="240" w:lineRule="auto"/>
              <w:jc w:val="right"/>
              <w:rPr>
                <w:color w:val="000000"/>
                <w:sz w:val="14"/>
                <w:szCs w:val="14"/>
              </w:rPr>
            </w:pPr>
            <w:r w:rsidRPr="004768B6">
              <w:rPr>
                <w:color w:val="000000"/>
                <w:sz w:val="14"/>
                <w:szCs w:val="14"/>
              </w:rPr>
              <w:t>2,8</w:t>
            </w:r>
          </w:p>
        </w:tc>
        <w:tc>
          <w:tcPr>
            <w:tcW w:w="388" w:type="pct"/>
            <w:tcBorders>
              <w:top w:val="nil"/>
              <w:left w:val="single" w:sz="4" w:space="0" w:color="auto"/>
              <w:bottom w:val="single" w:sz="4" w:space="0" w:color="auto"/>
              <w:right w:val="single" w:sz="4" w:space="0" w:color="auto"/>
            </w:tcBorders>
            <w:shd w:val="clear" w:color="auto" w:fill="auto"/>
            <w:noWrap/>
            <w:vAlign w:val="bottom"/>
          </w:tcPr>
          <w:p w14:paraId="48F61B73" w14:textId="77777777" w:rsidR="007C5FE8" w:rsidRPr="004768B6" w:rsidRDefault="007C5FE8" w:rsidP="001737A0">
            <w:pPr>
              <w:spacing w:line="240" w:lineRule="auto"/>
              <w:jc w:val="right"/>
              <w:rPr>
                <w:color w:val="000000"/>
                <w:sz w:val="14"/>
                <w:szCs w:val="14"/>
              </w:rPr>
            </w:pPr>
            <w:r w:rsidRPr="004768B6">
              <w:rPr>
                <w:color w:val="000000"/>
                <w:sz w:val="14"/>
                <w:szCs w:val="14"/>
              </w:rPr>
              <w:t>2,0</w:t>
            </w:r>
          </w:p>
        </w:tc>
        <w:tc>
          <w:tcPr>
            <w:tcW w:w="351" w:type="pct"/>
            <w:tcBorders>
              <w:top w:val="nil"/>
              <w:left w:val="single" w:sz="4" w:space="0" w:color="auto"/>
              <w:bottom w:val="single" w:sz="4" w:space="0" w:color="auto"/>
              <w:right w:val="single" w:sz="4" w:space="0" w:color="auto"/>
            </w:tcBorders>
            <w:shd w:val="clear" w:color="auto" w:fill="auto"/>
            <w:noWrap/>
            <w:vAlign w:val="bottom"/>
          </w:tcPr>
          <w:p w14:paraId="2487E7EA" w14:textId="77777777" w:rsidR="007C5FE8" w:rsidRPr="004768B6" w:rsidRDefault="007C5FE8" w:rsidP="001737A0">
            <w:pPr>
              <w:spacing w:line="240" w:lineRule="auto"/>
              <w:jc w:val="right"/>
              <w:rPr>
                <w:color w:val="000000"/>
                <w:sz w:val="14"/>
                <w:szCs w:val="14"/>
              </w:rPr>
            </w:pPr>
            <w:r w:rsidRPr="004768B6">
              <w:rPr>
                <w:color w:val="000000"/>
                <w:sz w:val="14"/>
                <w:szCs w:val="14"/>
              </w:rPr>
              <w:t>2,3</w:t>
            </w:r>
          </w:p>
        </w:tc>
        <w:tc>
          <w:tcPr>
            <w:tcW w:w="353" w:type="pct"/>
            <w:tcBorders>
              <w:top w:val="nil"/>
              <w:left w:val="single" w:sz="4" w:space="0" w:color="auto"/>
              <w:bottom w:val="single" w:sz="4" w:space="0" w:color="auto"/>
              <w:right w:val="single" w:sz="4" w:space="0" w:color="auto"/>
            </w:tcBorders>
            <w:shd w:val="clear" w:color="auto" w:fill="auto"/>
            <w:noWrap/>
            <w:vAlign w:val="bottom"/>
          </w:tcPr>
          <w:p w14:paraId="0CD8CD62" w14:textId="77777777" w:rsidR="007C5FE8" w:rsidRPr="004768B6" w:rsidRDefault="007C5FE8" w:rsidP="001737A0">
            <w:pPr>
              <w:spacing w:line="240" w:lineRule="auto"/>
              <w:jc w:val="right"/>
              <w:rPr>
                <w:color w:val="000000"/>
                <w:sz w:val="14"/>
                <w:szCs w:val="14"/>
              </w:rPr>
            </w:pPr>
            <w:r w:rsidRPr="004768B6">
              <w:rPr>
                <w:color w:val="000000"/>
                <w:sz w:val="14"/>
                <w:szCs w:val="14"/>
              </w:rPr>
              <w:t>4,0</w:t>
            </w:r>
          </w:p>
        </w:tc>
      </w:tr>
      <w:tr w:rsidR="007C5FE8" w:rsidRPr="004768B6" w14:paraId="4A29D4E9" w14:textId="77777777" w:rsidTr="000C3C49">
        <w:trPr>
          <w:trHeight w:val="227"/>
        </w:trPr>
        <w:tc>
          <w:tcPr>
            <w:tcW w:w="22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C7EB9C" w14:textId="77777777" w:rsidR="007C5FE8" w:rsidRPr="004768B6" w:rsidRDefault="007C5FE8" w:rsidP="001737A0">
            <w:pPr>
              <w:spacing w:line="240" w:lineRule="auto"/>
              <w:rPr>
                <w:color w:val="000000"/>
                <w:sz w:val="14"/>
                <w:szCs w:val="14"/>
              </w:rPr>
            </w:pPr>
            <w:r w:rsidRPr="004768B6">
              <w:rPr>
                <w:color w:val="000000"/>
                <w:sz w:val="14"/>
                <w:szCs w:val="14"/>
              </w:rPr>
              <w:t>Zamestnanosť (ESA)</w:t>
            </w:r>
          </w:p>
        </w:tc>
        <w:tc>
          <w:tcPr>
            <w:tcW w:w="1292" w:type="pct"/>
            <w:tcBorders>
              <w:top w:val="nil"/>
              <w:left w:val="nil"/>
              <w:bottom w:val="nil"/>
              <w:right w:val="single" w:sz="4" w:space="0" w:color="auto"/>
            </w:tcBorders>
            <w:shd w:val="clear" w:color="auto" w:fill="auto"/>
            <w:noWrap/>
            <w:vAlign w:val="bottom"/>
            <w:hideMark/>
          </w:tcPr>
          <w:p w14:paraId="76A689EC" w14:textId="77777777" w:rsidR="007C5FE8" w:rsidRPr="004768B6" w:rsidRDefault="007C5FE8" w:rsidP="001737A0">
            <w:pPr>
              <w:spacing w:line="240" w:lineRule="auto"/>
              <w:rPr>
                <w:color w:val="000000"/>
                <w:sz w:val="14"/>
                <w:szCs w:val="14"/>
              </w:rPr>
            </w:pPr>
            <w:r w:rsidRPr="004768B6">
              <w:rPr>
                <w:color w:val="000000"/>
                <w:sz w:val="14"/>
                <w:szCs w:val="14"/>
              </w:rPr>
              <w:t>Prognóza EK (jar</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6E062329" w14:textId="77777777" w:rsidR="007C5FE8" w:rsidRPr="004768B6" w:rsidRDefault="007C5FE8" w:rsidP="001737A0">
            <w:pPr>
              <w:spacing w:line="240" w:lineRule="auto"/>
              <w:jc w:val="right"/>
              <w:rPr>
                <w:color w:val="000000"/>
                <w:sz w:val="14"/>
                <w:szCs w:val="14"/>
              </w:rPr>
            </w:pPr>
            <w:r w:rsidRPr="004768B6">
              <w:rPr>
                <w:color w:val="000000"/>
                <w:sz w:val="14"/>
                <w:szCs w:val="14"/>
              </w:rPr>
              <w:t>1,0</w:t>
            </w:r>
          </w:p>
        </w:tc>
        <w:tc>
          <w:tcPr>
            <w:tcW w:w="388" w:type="pct"/>
            <w:tcBorders>
              <w:top w:val="nil"/>
              <w:left w:val="single" w:sz="4" w:space="0" w:color="auto"/>
              <w:bottom w:val="nil"/>
              <w:right w:val="single" w:sz="4" w:space="0" w:color="auto"/>
            </w:tcBorders>
            <w:shd w:val="clear" w:color="auto" w:fill="auto"/>
            <w:noWrap/>
            <w:vAlign w:val="bottom"/>
          </w:tcPr>
          <w:p w14:paraId="7C7FC29E" w14:textId="77777777" w:rsidR="007C5FE8" w:rsidRPr="004768B6" w:rsidRDefault="007C5FE8" w:rsidP="001737A0">
            <w:pPr>
              <w:spacing w:line="240" w:lineRule="auto"/>
              <w:jc w:val="right"/>
              <w:rPr>
                <w:color w:val="000000"/>
                <w:sz w:val="14"/>
                <w:szCs w:val="14"/>
              </w:rPr>
            </w:pPr>
            <w:r w:rsidRPr="004768B6">
              <w:rPr>
                <w:color w:val="000000"/>
                <w:sz w:val="14"/>
                <w:szCs w:val="14"/>
              </w:rPr>
              <w:t>-1,9</w:t>
            </w:r>
          </w:p>
        </w:tc>
        <w:tc>
          <w:tcPr>
            <w:tcW w:w="351" w:type="pct"/>
            <w:tcBorders>
              <w:top w:val="nil"/>
              <w:left w:val="single" w:sz="4" w:space="0" w:color="auto"/>
              <w:bottom w:val="nil"/>
              <w:right w:val="single" w:sz="4" w:space="0" w:color="auto"/>
            </w:tcBorders>
            <w:shd w:val="clear" w:color="auto" w:fill="auto"/>
            <w:noWrap/>
            <w:vAlign w:val="bottom"/>
          </w:tcPr>
          <w:p w14:paraId="4C5A28CD" w14:textId="77777777" w:rsidR="007C5FE8" w:rsidRPr="004768B6" w:rsidRDefault="007C5FE8" w:rsidP="001737A0">
            <w:pPr>
              <w:spacing w:line="240" w:lineRule="auto"/>
              <w:jc w:val="right"/>
              <w:rPr>
                <w:color w:val="000000"/>
                <w:sz w:val="14"/>
                <w:szCs w:val="14"/>
              </w:rPr>
            </w:pPr>
            <w:r w:rsidRPr="004768B6">
              <w:rPr>
                <w:color w:val="000000"/>
                <w:sz w:val="14"/>
                <w:szCs w:val="14"/>
              </w:rPr>
              <w:t>-0,6</w:t>
            </w:r>
          </w:p>
        </w:tc>
        <w:tc>
          <w:tcPr>
            <w:tcW w:w="353" w:type="pct"/>
            <w:tcBorders>
              <w:top w:val="nil"/>
              <w:left w:val="single" w:sz="4" w:space="0" w:color="auto"/>
              <w:bottom w:val="nil"/>
              <w:right w:val="single" w:sz="4" w:space="0" w:color="auto"/>
            </w:tcBorders>
            <w:shd w:val="clear" w:color="auto" w:fill="auto"/>
            <w:noWrap/>
            <w:vAlign w:val="bottom"/>
          </w:tcPr>
          <w:p w14:paraId="39DC0EA0" w14:textId="77777777" w:rsidR="007C5FE8" w:rsidRPr="004768B6" w:rsidRDefault="007C5FE8" w:rsidP="001737A0">
            <w:pPr>
              <w:spacing w:line="240" w:lineRule="auto"/>
              <w:jc w:val="right"/>
              <w:rPr>
                <w:color w:val="000000"/>
                <w:sz w:val="14"/>
                <w:szCs w:val="14"/>
              </w:rPr>
            </w:pPr>
            <w:r w:rsidRPr="004768B6">
              <w:rPr>
                <w:color w:val="000000"/>
                <w:sz w:val="14"/>
                <w:szCs w:val="14"/>
              </w:rPr>
              <w:t>0,8</w:t>
            </w:r>
          </w:p>
        </w:tc>
      </w:tr>
      <w:tr w:rsidR="007C5FE8" w:rsidRPr="004768B6" w14:paraId="04DEC848" w14:textId="77777777" w:rsidTr="000C3C49">
        <w:trPr>
          <w:trHeight w:val="227"/>
        </w:trPr>
        <w:tc>
          <w:tcPr>
            <w:tcW w:w="2228" w:type="pct"/>
            <w:vMerge/>
            <w:tcBorders>
              <w:top w:val="nil"/>
              <w:left w:val="single" w:sz="4" w:space="0" w:color="auto"/>
              <w:bottom w:val="single" w:sz="4" w:space="0" w:color="000000"/>
              <w:right w:val="single" w:sz="4" w:space="0" w:color="auto"/>
            </w:tcBorders>
            <w:vAlign w:val="center"/>
            <w:hideMark/>
          </w:tcPr>
          <w:p w14:paraId="41D9BEBE" w14:textId="77777777" w:rsidR="007C5FE8" w:rsidRPr="004768B6" w:rsidRDefault="007C5FE8" w:rsidP="001737A0">
            <w:pPr>
              <w:spacing w:line="240" w:lineRule="auto"/>
              <w:rPr>
                <w:color w:val="000000"/>
                <w:sz w:val="14"/>
                <w:szCs w:val="14"/>
              </w:rPr>
            </w:pPr>
          </w:p>
        </w:tc>
        <w:tc>
          <w:tcPr>
            <w:tcW w:w="1292" w:type="pct"/>
            <w:tcBorders>
              <w:top w:val="nil"/>
              <w:left w:val="nil"/>
              <w:bottom w:val="single" w:sz="4" w:space="0" w:color="auto"/>
              <w:right w:val="single" w:sz="4" w:space="0" w:color="auto"/>
            </w:tcBorders>
            <w:shd w:val="clear" w:color="auto" w:fill="auto"/>
            <w:noWrap/>
            <w:vAlign w:val="bottom"/>
            <w:hideMark/>
          </w:tcPr>
          <w:p w14:paraId="59775F88" w14:textId="77777777" w:rsidR="007C5FE8" w:rsidRPr="004768B6" w:rsidRDefault="007C5FE8" w:rsidP="001737A0">
            <w:pPr>
              <w:spacing w:line="240" w:lineRule="auto"/>
              <w:rPr>
                <w:color w:val="000000"/>
                <w:sz w:val="14"/>
                <w:szCs w:val="14"/>
              </w:rPr>
            </w:pPr>
            <w:r w:rsidRPr="004768B6">
              <w:rPr>
                <w:color w:val="000000"/>
                <w:sz w:val="14"/>
                <w:szCs w:val="14"/>
              </w:rPr>
              <w:t>Prognóza MF SR (</w:t>
            </w:r>
            <w:proofErr w:type="spellStart"/>
            <w:r w:rsidRPr="004768B6">
              <w:rPr>
                <w:color w:val="000000"/>
                <w:sz w:val="14"/>
                <w:szCs w:val="14"/>
              </w:rPr>
              <w:t>sep</w:t>
            </w:r>
            <w:proofErr w:type="spellEnd"/>
            <w:r>
              <w:rPr>
                <w:color w:val="000000"/>
                <w:sz w:val="14"/>
                <w:szCs w:val="14"/>
              </w:rPr>
              <w:t xml:space="preserve"> 2021</w:t>
            </w:r>
            <w:r w:rsidRPr="004768B6">
              <w:rPr>
                <w:color w:val="000000"/>
                <w:sz w:val="14"/>
                <w:szCs w:val="14"/>
              </w:rPr>
              <w:t>)</w:t>
            </w:r>
          </w:p>
        </w:tc>
        <w:tc>
          <w:tcPr>
            <w:tcW w:w="388" w:type="pct"/>
            <w:tcBorders>
              <w:top w:val="nil"/>
              <w:left w:val="nil"/>
              <w:bottom w:val="single" w:sz="4" w:space="0" w:color="auto"/>
              <w:right w:val="single" w:sz="4" w:space="0" w:color="auto"/>
            </w:tcBorders>
            <w:shd w:val="clear" w:color="auto" w:fill="auto"/>
            <w:noWrap/>
            <w:vAlign w:val="bottom"/>
          </w:tcPr>
          <w:p w14:paraId="5398BC72" w14:textId="77777777" w:rsidR="007C5FE8" w:rsidRPr="004768B6" w:rsidRDefault="007C5FE8" w:rsidP="001737A0">
            <w:pPr>
              <w:spacing w:line="240" w:lineRule="auto"/>
              <w:jc w:val="right"/>
              <w:rPr>
                <w:color w:val="000000"/>
                <w:sz w:val="14"/>
                <w:szCs w:val="14"/>
              </w:rPr>
            </w:pPr>
            <w:r w:rsidRPr="004768B6">
              <w:rPr>
                <w:color w:val="000000"/>
                <w:sz w:val="14"/>
                <w:szCs w:val="14"/>
              </w:rPr>
              <w:t>1,0</w:t>
            </w:r>
          </w:p>
        </w:tc>
        <w:tc>
          <w:tcPr>
            <w:tcW w:w="388" w:type="pct"/>
            <w:tcBorders>
              <w:top w:val="nil"/>
              <w:left w:val="single" w:sz="4" w:space="0" w:color="auto"/>
              <w:bottom w:val="single" w:sz="4" w:space="0" w:color="auto"/>
              <w:right w:val="single" w:sz="4" w:space="0" w:color="auto"/>
            </w:tcBorders>
            <w:shd w:val="clear" w:color="auto" w:fill="auto"/>
            <w:noWrap/>
            <w:vAlign w:val="bottom"/>
          </w:tcPr>
          <w:p w14:paraId="25824BAA" w14:textId="77777777" w:rsidR="007C5FE8" w:rsidRPr="004768B6" w:rsidRDefault="007C5FE8" w:rsidP="001737A0">
            <w:pPr>
              <w:spacing w:line="240" w:lineRule="auto"/>
              <w:jc w:val="right"/>
              <w:rPr>
                <w:color w:val="000000"/>
                <w:sz w:val="14"/>
                <w:szCs w:val="14"/>
              </w:rPr>
            </w:pPr>
            <w:r w:rsidRPr="004768B6">
              <w:rPr>
                <w:color w:val="000000"/>
                <w:sz w:val="14"/>
                <w:szCs w:val="14"/>
              </w:rPr>
              <w:t>-1,9</w:t>
            </w:r>
          </w:p>
        </w:tc>
        <w:tc>
          <w:tcPr>
            <w:tcW w:w="351" w:type="pct"/>
            <w:tcBorders>
              <w:top w:val="nil"/>
              <w:left w:val="single" w:sz="4" w:space="0" w:color="auto"/>
              <w:bottom w:val="single" w:sz="4" w:space="0" w:color="auto"/>
              <w:right w:val="single" w:sz="4" w:space="0" w:color="auto"/>
            </w:tcBorders>
            <w:shd w:val="clear" w:color="auto" w:fill="auto"/>
            <w:noWrap/>
            <w:vAlign w:val="bottom"/>
          </w:tcPr>
          <w:p w14:paraId="129D81F7" w14:textId="77777777" w:rsidR="007C5FE8" w:rsidRPr="004768B6" w:rsidRDefault="007C5FE8" w:rsidP="001737A0">
            <w:pPr>
              <w:spacing w:line="240" w:lineRule="auto"/>
              <w:jc w:val="right"/>
              <w:rPr>
                <w:color w:val="000000"/>
                <w:sz w:val="14"/>
                <w:szCs w:val="14"/>
              </w:rPr>
            </w:pPr>
            <w:r w:rsidRPr="004768B6">
              <w:rPr>
                <w:color w:val="000000"/>
                <w:sz w:val="14"/>
                <w:szCs w:val="14"/>
              </w:rPr>
              <w:t>-0,8</w:t>
            </w:r>
          </w:p>
        </w:tc>
        <w:tc>
          <w:tcPr>
            <w:tcW w:w="353" w:type="pct"/>
            <w:tcBorders>
              <w:top w:val="nil"/>
              <w:left w:val="single" w:sz="4" w:space="0" w:color="auto"/>
              <w:bottom w:val="single" w:sz="4" w:space="0" w:color="auto"/>
              <w:right w:val="single" w:sz="4" w:space="0" w:color="auto"/>
            </w:tcBorders>
            <w:shd w:val="clear" w:color="auto" w:fill="auto"/>
            <w:noWrap/>
            <w:vAlign w:val="bottom"/>
          </w:tcPr>
          <w:p w14:paraId="3F8FA5F7" w14:textId="77777777" w:rsidR="007C5FE8" w:rsidRPr="004768B6" w:rsidRDefault="007C5FE8" w:rsidP="001737A0">
            <w:pPr>
              <w:spacing w:line="240" w:lineRule="auto"/>
              <w:jc w:val="right"/>
              <w:rPr>
                <w:color w:val="000000"/>
                <w:sz w:val="14"/>
                <w:szCs w:val="14"/>
              </w:rPr>
            </w:pPr>
            <w:r w:rsidRPr="004768B6">
              <w:rPr>
                <w:color w:val="000000"/>
                <w:sz w:val="14"/>
                <w:szCs w:val="14"/>
              </w:rPr>
              <w:t>0,8</w:t>
            </w:r>
          </w:p>
        </w:tc>
      </w:tr>
      <w:tr w:rsidR="007C5FE8" w:rsidRPr="004768B6" w14:paraId="15BE976B" w14:textId="77777777" w:rsidTr="000C3C49">
        <w:trPr>
          <w:trHeight w:val="227"/>
        </w:trPr>
        <w:tc>
          <w:tcPr>
            <w:tcW w:w="2228" w:type="pct"/>
            <w:vMerge w:val="restart"/>
            <w:tcBorders>
              <w:top w:val="nil"/>
              <w:left w:val="single" w:sz="4" w:space="0" w:color="auto"/>
              <w:bottom w:val="single" w:sz="4" w:space="0" w:color="000000"/>
              <w:right w:val="single" w:sz="4" w:space="0" w:color="auto"/>
            </w:tcBorders>
            <w:shd w:val="clear" w:color="auto" w:fill="auto"/>
            <w:vAlign w:val="center"/>
            <w:hideMark/>
          </w:tcPr>
          <w:p w14:paraId="71B61392" w14:textId="77777777" w:rsidR="007C5FE8" w:rsidRPr="004768B6" w:rsidRDefault="007C5FE8" w:rsidP="000C3C49">
            <w:pPr>
              <w:spacing w:line="240" w:lineRule="auto"/>
              <w:jc w:val="left"/>
              <w:rPr>
                <w:color w:val="000000"/>
                <w:sz w:val="14"/>
                <w:szCs w:val="14"/>
              </w:rPr>
            </w:pPr>
            <w:r w:rsidRPr="004768B6">
              <w:rPr>
                <w:color w:val="000000"/>
                <w:sz w:val="14"/>
                <w:szCs w:val="14"/>
              </w:rPr>
              <w:t>Produkčná medzera</w:t>
            </w:r>
            <w:r w:rsidRPr="004768B6">
              <w:rPr>
                <w:color w:val="000000"/>
                <w:sz w:val="14"/>
                <w:szCs w:val="14"/>
              </w:rPr>
              <w:br/>
              <w:t>(% z pot. HDP)</w:t>
            </w:r>
          </w:p>
        </w:tc>
        <w:tc>
          <w:tcPr>
            <w:tcW w:w="1292" w:type="pct"/>
            <w:tcBorders>
              <w:top w:val="nil"/>
              <w:left w:val="nil"/>
              <w:bottom w:val="nil"/>
              <w:right w:val="single" w:sz="4" w:space="0" w:color="auto"/>
            </w:tcBorders>
            <w:shd w:val="clear" w:color="auto" w:fill="auto"/>
            <w:noWrap/>
            <w:vAlign w:val="bottom"/>
            <w:hideMark/>
          </w:tcPr>
          <w:p w14:paraId="7119C8B0" w14:textId="77777777" w:rsidR="007C5FE8" w:rsidRPr="004768B6" w:rsidRDefault="007C5FE8" w:rsidP="001737A0">
            <w:pPr>
              <w:spacing w:line="240" w:lineRule="auto"/>
              <w:rPr>
                <w:color w:val="000000"/>
                <w:sz w:val="14"/>
                <w:szCs w:val="14"/>
              </w:rPr>
            </w:pPr>
            <w:r w:rsidRPr="004768B6">
              <w:rPr>
                <w:color w:val="000000"/>
                <w:sz w:val="14"/>
                <w:szCs w:val="14"/>
              </w:rPr>
              <w:t>Prognóza EK (jar</w:t>
            </w:r>
            <w:r>
              <w:rPr>
                <w:color w:val="000000"/>
                <w:sz w:val="14"/>
                <w:szCs w:val="14"/>
              </w:rPr>
              <w:t xml:space="preserve"> 2021</w:t>
            </w:r>
            <w:r w:rsidRPr="004768B6">
              <w:rPr>
                <w:color w:val="000000"/>
                <w:sz w:val="14"/>
                <w:szCs w:val="14"/>
              </w:rPr>
              <w:t>)</w:t>
            </w:r>
          </w:p>
        </w:tc>
        <w:tc>
          <w:tcPr>
            <w:tcW w:w="388" w:type="pct"/>
            <w:tcBorders>
              <w:top w:val="nil"/>
              <w:left w:val="nil"/>
              <w:bottom w:val="nil"/>
              <w:right w:val="single" w:sz="4" w:space="0" w:color="auto"/>
            </w:tcBorders>
            <w:shd w:val="clear" w:color="auto" w:fill="auto"/>
            <w:noWrap/>
            <w:vAlign w:val="bottom"/>
          </w:tcPr>
          <w:p w14:paraId="05350380" w14:textId="77777777" w:rsidR="007C5FE8" w:rsidRPr="004768B6" w:rsidRDefault="007C5FE8" w:rsidP="001737A0">
            <w:pPr>
              <w:spacing w:line="240" w:lineRule="auto"/>
              <w:jc w:val="right"/>
              <w:rPr>
                <w:color w:val="000000"/>
                <w:sz w:val="14"/>
                <w:szCs w:val="14"/>
              </w:rPr>
            </w:pPr>
            <w:r w:rsidRPr="004768B6">
              <w:rPr>
                <w:color w:val="000000"/>
                <w:sz w:val="14"/>
                <w:szCs w:val="14"/>
              </w:rPr>
              <w:t>2,4</w:t>
            </w:r>
          </w:p>
        </w:tc>
        <w:tc>
          <w:tcPr>
            <w:tcW w:w="388" w:type="pct"/>
            <w:tcBorders>
              <w:top w:val="nil"/>
              <w:left w:val="single" w:sz="4" w:space="0" w:color="auto"/>
              <w:bottom w:val="nil"/>
              <w:right w:val="single" w:sz="4" w:space="0" w:color="auto"/>
            </w:tcBorders>
            <w:shd w:val="clear" w:color="auto" w:fill="auto"/>
            <w:noWrap/>
            <w:vAlign w:val="bottom"/>
          </w:tcPr>
          <w:p w14:paraId="5DD3E6D7" w14:textId="77777777" w:rsidR="007C5FE8" w:rsidRPr="004768B6" w:rsidRDefault="007C5FE8" w:rsidP="001737A0">
            <w:pPr>
              <w:spacing w:line="240" w:lineRule="auto"/>
              <w:jc w:val="right"/>
              <w:rPr>
                <w:color w:val="000000"/>
                <w:sz w:val="14"/>
                <w:szCs w:val="14"/>
              </w:rPr>
            </w:pPr>
            <w:r w:rsidRPr="004768B6">
              <w:rPr>
                <w:color w:val="000000"/>
                <w:sz w:val="14"/>
                <w:szCs w:val="14"/>
              </w:rPr>
              <w:t>-3,9</w:t>
            </w:r>
          </w:p>
        </w:tc>
        <w:tc>
          <w:tcPr>
            <w:tcW w:w="351" w:type="pct"/>
            <w:tcBorders>
              <w:top w:val="nil"/>
              <w:left w:val="single" w:sz="4" w:space="0" w:color="auto"/>
              <w:bottom w:val="nil"/>
              <w:right w:val="single" w:sz="4" w:space="0" w:color="auto"/>
            </w:tcBorders>
            <w:shd w:val="clear" w:color="auto" w:fill="auto"/>
            <w:noWrap/>
            <w:vAlign w:val="bottom"/>
          </w:tcPr>
          <w:p w14:paraId="254BBFCA" w14:textId="77777777" w:rsidR="007C5FE8" w:rsidRPr="004768B6" w:rsidRDefault="007C5FE8" w:rsidP="001737A0">
            <w:pPr>
              <w:spacing w:line="240" w:lineRule="auto"/>
              <w:jc w:val="right"/>
              <w:rPr>
                <w:color w:val="000000"/>
                <w:sz w:val="14"/>
                <w:szCs w:val="14"/>
              </w:rPr>
            </w:pPr>
            <w:r w:rsidRPr="004768B6">
              <w:rPr>
                <w:color w:val="000000"/>
                <w:sz w:val="14"/>
                <w:szCs w:val="14"/>
              </w:rPr>
              <w:t>-1,4</w:t>
            </w:r>
          </w:p>
        </w:tc>
        <w:tc>
          <w:tcPr>
            <w:tcW w:w="353" w:type="pct"/>
            <w:tcBorders>
              <w:top w:val="nil"/>
              <w:left w:val="single" w:sz="4" w:space="0" w:color="auto"/>
              <w:bottom w:val="nil"/>
              <w:right w:val="single" w:sz="4" w:space="0" w:color="auto"/>
            </w:tcBorders>
            <w:shd w:val="clear" w:color="auto" w:fill="auto"/>
            <w:noWrap/>
            <w:vAlign w:val="bottom"/>
          </w:tcPr>
          <w:p w14:paraId="6609819F" w14:textId="77777777" w:rsidR="007C5FE8" w:rsidRPr="004768B6" w:rsidRDefault="007C5FE8" w:rsidP="001737A0">
            <w:pPr>
              <w:spacing w:line="240" w:lineRule="auto"/>
              <w:jc w:val="right"/>
              <w:rPr>
                <w:color w:val="000000"/>
                <w:sz w:val="14"/>
                <w:szCs w:val="14"/>
              </w:rPr>
            </w:pPr>
            <w:r w:rsidRPr="004768B6">
              <w:rPr>
                <w:color w:val="000000"/>
                <w:sz w:val="14"/>
                <w:szCs w:val="14"/>
              </w:rPr>
              <w:t>0,8</w:t>
            </w:r>
          </w:p>
        </w:tc>
      </w:tr>
      <w:tr w:rsidR="007C5FE8" w:rsidRPr="004768B6" w14:paraId="09CF93E5" w14:textId="77777777" w:rsidTr="000C3C49">
        <w:trPr>
          <w:trHeight w:val="227"/>
        </w:trPr>
        <w:tc>
          <w:tcPr>
            <w:tcW w:w="2228" w:type="pct"/>
            <w:vMerge/>
            <w:tcBorders>
              <w:top w:val="nil"/>
              <w:left w:val="single" w:sz="4" w:space="0" w:color="auto"/>
              <w:bottom w:val="single" w:sz="4" w:space="0" w:color="auto"/>
              <w:right w:val="single" w:sz="4" w:space="0" w:color="auto"/>
            </w:tcBorders>
            <w:vAlign w:val="center"/>
            <w:hideMark/>
          </w:tcPr>
          <w:p w14:paraId="4BC39181" w14:textId="77777777" w:rsidR="007C5FE8" w:rsidRPr="004768B6" w:rsidRDefault="007C5FE8" w:rsidP="001737A0">
            <w:pPr>
              <w:spacing w:line="240" w:lineRule="auto"/>
              <w:rPr>
                <w:color w:val="000000"/>
                <w:sz w:val="14"/>
                <w:szCs w:val="14"/>
              </w:rPr>
            </w:pPr>
          </w:p>
        </w:tc>
        <w:tc>
          <w:tcPr>
            <w:tcW w:w="1292" w:type="pct"/>
            <w:tcBorders>
              <w:top w:val="nil"/>
              <w:left w:val="nil"/>
              <w:bottom w:val="single" w:sz="4" w:space="0" w:color="auto"/>
              <w:right w:val="single" w:sz="4" w:space="0" w:color="auto"/>
            </w:tcBorders>
            <w:shd w:val="clear" w:color="auto" w:fill="auto"/>
            <w:noWrap/>
            <w:vAlign w:val="bottom"/>
            <w:hideMark/>
          </w:tcPr>
          <w:p w14:paraId="28B1CD18" w14:textId="77777777" w:rsidR="007C5FE8" w:rsidRPr="004768B6" w:rsidRDefault="007C5FE8" w:rsidP="001737A0">
            <w:pPr>
              <w:spacing w:line="240" w:lineRule="auto"/>
              <w:rPr>
                <w:color w:val="000000"/>
                <w:sz w:val="14"/>
                <w:szCs w:val="14"/>
              </w:rPr>
            </w:pPr>
            <w:r w:rsidRPr="004768B6">
              <w:rPr>
                <w:color w:val="000000"/>
                <w:sz w:val="14"/>
                <w:szCs w:val="14"/>
              </w:rPr>
              <w:t>Prognóza MF SR (</w:t>
            </w:r>
            <w:proofErr w:type="spellStart"/>
            <w:r w:rsidRPr="004768B6">
              <w:rPr>
                <w:color w:val="000000"/>
                <w:sz w:val="14"/>
                <w:szCs w:val="14"/>
              </w:rPr>
              <w:t>sep</w:t>
            </w:r>
            <w:proofErr w:type="spellEnd"/>
            <w:r>
              <w:rPr>
                <w:color w:val="000000"/>
                <w:sz w:val="14"/>
                <w:szCs w:val="14"/>
              </w:rPr>
              <w:t xml:space="preserve"> 2021</w:t>
            </w:r>
            <w:r w:rsidRPr="004768B6">
              <w:rPr>
                <w:color w:val="000000"/>
                <w:sz w:val="14"/>
                <w:szCs w:val="14"/>
              </w:rPr>
              <w:t>)</w:t>
            </w:r>
          </w:p>
        </w:tc>
        <w:tc>
          <w:tcPr>
            <w:tcW w:w="388" w:type="pct"/>
            <w:tcBorders>
              <w:top w:val="nil"/>
              <w:left w:val="nil"/>
              <w:bottom w:val="single" w:sz="4" w:space="0" w:color="auto"/>
              <w:right w:val="single" w:sz="4" w:space="0" w:color="auto"/>
            </w:tcBorders>
            <w:shd w:val="clear" w:color="auto" w:fill="auto"/>
            <w:noWrap/>
            <w:vAlign w:val="bottom"/>
          </w:tcPr>
          <w:p w14:paraId="4815D348" w14:textId="77777777" w:rsidR="007C5FE8" w:rsidRPr="004768B6" w:rsidRDefault="007C5FE8" w:rsidP="001737A0">
            <w:pPr>
              <w:spacing w:line="240" w:lineRule="auto"/>
              <w:jc w:val="right"/>
              <w:rPr>
                <w:color w:val="000000"/>
                <w:sz w:val="14"/>
                <w:szCs w:val="14"/>
              </w:rPr>
            </w:pPr>
            <w:r w:rsidRPr="004768B6">
              <w:rPr>
                <w:color w:val="000000"/>
                <w:sz w:val="14"/>
                <w:szCs w:val="14"/>
              </w:rPr>
              <w:t>1,8</w:t>
            </w:r>
          </w:p>
        </w:tc>
        <w:tc>
          <w:tcPr>
            <w:tcW w:w="388" w:type="pct"/>
            <w:tcBorders>
              <w:top w:val="nil"/>
              <w:left w:val="single" w:sz="4" w:space="0" w:color="auto"/>
              <w:bottom w:val="single" w:sz="4" w:space="0" w:color="auto"/>
              <w:right w:val="single" w:sz="4" w:space="0" w:color="auto"/>
            </w:tcBorders>
            <w:shd w:val="clear" w:color="auto" w:fill="auto"/>
            <w:noWrap/>
            <w:vAlign w:val="bottom"/>
          </w:tcPr>
          <w:p w14:paraId="08574887" w14:textId="77777777" w:rsidR="007C5FE8" w:rsidRPr="004768B6" w:rsidRDefault="007C5FE8" w:rsidP="001737A0">
            <w:pPr>
              <w:spacing w:line="240" w:lineRule="auto"/>
              <w:jc w:val="right"/>
              <w:rPr>
                <w:color w:val="000000"/>
                <w:sz w:val="14"/>
                <w:szCs w:val="14"/>
              </w:rPr>
            </w:pPr>
            <w:r w:rsidRPr="004768B6">
              <w:rPr>
                <w:color w:val="000000"/>
                <w:sz w:val="14"/>
                <w:szCs w:val="14"/>
              </w:rPr>
              <w:t>-3,6</w:t>
            </w:r>
          </w:p>
        </w:tc>
        <w:tc>
          <w:tcPr>
            <w:tcW w:w="351" w:type="pct"/>
            <w:tcBorders>
              <w:top w:val="nil"/>
              <w:left w:val="single" w:sz="4" w:space="0" w:color="auto"/>
              <w:bottom w:val="single" w:sz="4" w:space="0" w:color="auto"/>
              <w:right w:val="single" w:sz="4" w:space="0" w:color="auto"/>
            </w:tcBorders>
            <w:shd w:val="clear" w:color="auto" w:fill="auto"/>
            <w:noWrap/>
            <w:vAlign w:val="bottom"/>
          </w:tcPr>
          <w:p w14:paraId="17860E94" w14:textId="77777777" w:rsidR="007C5FE8" w:rsidRPr="004768B6" w:rsidRDefault="007C5FE8" w:rsidP="001737A0">
            <w:pPr>
              <w:spacing w:line="240" w:lineRule="auto"/>
              <w:jc w:val="right"/>
              <w:rPr>
                <w:color w:val="000000"/>
                <w:sz w:val="14"/>
                <w:szCs w:val="14"/>
              </w:rPr>
            </w:pPr>
            <w:r w:rsidRPr="004768B6">
              <w:rPr>
                <w:color w:val="000000"/>
                <w:sz w:val="14"/>
                <w:szCs w:val="14"/>
              </w:rPr>
              <w:t>-1,7</w:t>
            </w:r>
          </w:p>
        </w:tc>
        <w:tc>
          <w:tcPr>
            <w:tcW w:w="353" w:type="pct"/>
            <w:tcBorders>
              <w:top w:val="nil"/>
              <w:left w:val="single" w:sz="4" w:space="0" w:color="auto"/>
              <w:bottom w:val="single" w:sz="4" w:space="0" w:color="auto"/>
              <w:right w:val="single" w:sz="4" w:space="0" w:color="auto"/>
            </w:tcBorders>
            <w:shd w:val="clear" w:color="auto" w:fill="auto"/>
            <w:noWrap/>
            <w:vAlign w:val="bottom"/>
          </w:tcPr>
          <w:p w14:paraId="0CEA0BB3" w14:textId="77777777" w:rsidR="007C5FE8" w:rsidRPr="004768B6" w:rsidRDefault="007C5FE8" w:rsidP="001737A0">
            <w:pPr>
              <w:spacing w:line="240" w:lineRule="auto"/>
              <w:jc w:val="right"/>
              <w:rPr>
                <w:color w:val="000000"/>
                <w:sz w:val="14"/>
                <w:szCs w:val="14"/>
              </w:rPr>
            </w:pPr>
            <w:r w:rsidRPr="004768B6">
              <w:rPr>
                <w:color w:val="000000"/>
                <w:sz w:val="14"/>
                <w:szCs w:val="14"/>
              </w:rPr>
              <w:t>-0,4</w:t>
            </w:r>
          </w:p>
        </w:tc>
      </w:tr>
      <w:tr w:rsidR="007C5FE8" w:rsidRPr="00717D0B" w14:paraId="1463072B" w14:textId="77777777" w:rsidTr="001737A0">
        <w:trPr>
          <w:trHeight w:val="227"/>
        </w:trPr>
        <w:tc>
          <w:tcPr>
            <w:tcW w:w="5000" w:type="pct"/>
            <w:gridSpan w:val="6"/>
            <w:tcBorders>
              <w:top w:val="single" w:sz="4" w:space="0" w:color="auto"/>
              <w:left w:val="nil"/>
              <w:bottom w:val="nil"/>
              <w:right w:val="nil"/>
            </w:tcBorders>
            <w:shd w:val="clear" w:color="auto" w:fill="auto"/>
            <w:noWrap/>
            <w:vAlign w:val="bottom"/>
            <w:hideMark/>
          </w:tcPr>
          <w:p w14:paraId="7B695EB4" w14:textId="77777777" w:rsidR="007C5FE8" w:rsidRPr="00717D0B" w:rsidRDefault="007C5FE8" w:rsidP="005371DF">
            <w:pPr>
              <w:jc w:val="right"/>
              <w:rPr>
                <w:i/>
                <w:iCs/>
                <w:color w:val="000000"/>
                <w:sz w:val="14"/>
                <w:szCs w:val="14"/>
              </w:rPr>
            </w:pPr>
            <w:r w:rsidRPr="004768B6">
              <w:rPr>
                <w:iCs/>
                <w:color w:val="000000"/>
                <w:sz w:val="14"/>
                <w:szCs w:val="14"/>
              </w:rPr>
              <w:t>Zdroj: MF SR, EK</w:t>
            </w:r>
          </w:p>
        </w:tc>
      </w:tr>
    </w:tbl>
    <w:p w14:paraId="1C9FB002" w14:textId="15FABFC0" w:rsidR="005F5B88" w:rsidRDefault="005F5B88" w:rsidP="00387B36">
      <w:pPr>
        <w:pStyle w:val="Nadpis1"/>
        <w:ind w:left="426"/>
      </w:pPr>
      <w:bookmarkStart w:id="17" w:name="_Toc6415634"/>
      <w:bookmarkStart w:id="18" w:name="_Toc132929076"/>
      <w:r w:rsidRPr="00344297">
        <w:lastRenderedPageBreak/>
        <w:t>Hospodárenie verejnej správy v metodike ESA 2010</w:t>
      </w:r>
      <w:bookmarkEnd w:id="17"/>
      <w:bookmarkEnd w:id="18"/>
    </w:p>
    <w:p w14:paraId="33C02B3C" w14:textId="5AD6BF09" w:rsidR="00CB3C45" w:rsidRDefault="00CB3C45" w:rsidP="00005A9B">
      <w:pPr>
        <w:pStyle w:val="Nadpis2"/>
      </w:pPr>
      <w:bookmarkStart w:id="19" w:name="_Toc132929077"/>
      <w:r w:rsidRPr="009669CD">
        <w:t xml:space="preserve">Zámery, ciele a opatrenia rozpočtovej politiky v </w:t>
      </w:r>
      <w:r w:rsidRPr="00005A9B">
        <w:t>roku</w:t>
      </w:r>
      <w:r w:rsidRPr="009669CD">
        <w:t xml:space="preserve"> </w:t>
      </w:r>
      <w:r>
        <w:t>202</w:t>
      </w:r>
      <w:r w:rsidR="001E076F">
        <w:t>2</w:t>
      </w:r>
      <w:bookmarkEnd w:id="19"/>
    </w:p>
    <w:p w14:paraId="697108B6" w14:textId="77777777" w:rsidR="003A0696" w:rsidRPr="004F497F" w:rsidRDefault="003A0696" w:rsidP="003A0696">
      <w:pPr>
        <w:spacing w:line="240" w:lineRule="auto"/>
        <w:rPr>
          <w:sz w:val="24"/>
          <w:szCs w:val="24"/>
          <w:highlight w:val="yellow"/>
        </w:rPr>
      </w:pPr>
      <w:bookmarkStart w:id="20" w:name="_Toc6415640"/>
      <w:r w:rsidRPr="004F497F">
        <w:rPr>
          <w:sz w:val="24"/>
          <w:szCs w:val="24"/>
        </w:rPr>
        <w:t xml:space="preserve">Rozpočet verejnej správy na roky 2022 až 2024 bol pripravovaný v podmienkach pokračujúcej pandémie ochorenia COVID-19 a pokračujúcej neistoty ohľadom jej budúceho vývoja. Rozpočet bol zostavený so zreteľom na prihlásenie sa Slovenska ku klubu 8 krajín EÚ, ktoré presadzovali, aby členské štáty v prvom rade mysleli na zdravie svojich verejných financií a znižovali verejný dlh, ktorý vznikol počas </w:t>
      </w:r>
      <w:proofErr w:type="spellStart"/>
      <w:r w:rsidRPr="004F497F">
        <w:rPr>
          <w:sz w:val="24"/>
          <w:szCs w:val="24"/>
        </w:rPr>
        <w:t>koronakrízy</w:t>
      </w:r>
      <w:proofErr w:type="spellEnd"/>
      <w:r w:rsidRPr="004F497F">
        <w:rPr>
          <w:sz w:val="24"/>
          <w:szCs w:val="24"/>
        </w:rPr>
        <w:t>. Na druhej strane s ohľadom na pokračujúcu pandémiu rozpočet počítal s financovaním dopadov v tom čase prebiehajúcej 3. vlny pandémie, ktoré sa presunuli aj do prvých mesiacov roka 2022. Napriek týmto ťažkým podmienkam a mnohým neistotám vo vývoji situácie rozpočet verejnej správy na roky 2022 až 2024 vytváral priestor na štrukturálne opatrenia a plnenie cieľov, ku ktorým sa vláda SR zaviazala vo svojom programovom vyhlásení, v ktorom medzi hlavné priority vlády SR patril návrat ku zdravým verejným financiám pri rešpektovaní európskych aj národných rozpočtových pravidiel, s cieľom stabilizácie verejného dlhu v pomere k HDP a zlepšením ukazovateľa dlhodobej udržateľnosti verejných financií. Rozpočet verejnej správy na roky 2022 až 2024 tak predstavoval starostlivo vyváženú kombináciu principiálnej rozpočtovej zodpovednosti, dostatočnej zdrojovej bázy na možné presahy pandémie a zároveň zahŕňal zdroje pre rozvoj ekonomiky formou investícií.</w:t>
      </w:r>
    </w:p>
    <w:p w14:paraId="306828A0" w14:textId="77777777" w:rsidR="003A0696" w:rsidRPr="004F497F" w:rsidRDefault="003A0696" w:rsidP="003A0696">
      <w:pPr>
        <w:spacing w:line="240" w:lineRule="auto"/>
        <w:rPr>
          <w:sz w:val="24"/>
          <w:szCs w:val="24"/>
        </w:rPr>
      </w:pPr>
      <w:r w:rsidRPr="004F497F">
        <w:rPr>
          <w:sz w:val="24"/>
          <w:szCs w:val="24"/>
        </w:rPr>
        <w:t xml:space="preserve">Rozpočet verejnej správy na roky 2022 až 2024 vychádzal z aktuálnej prognózy makroekonomického vývoja a prognózy daňových a odvodových príjmov do roku 2024. Zároveň zohľadňoval aj aktuálny predpoklad vývoja rozpočtu verejnej správy v priebehu roku 2021.  </w:t>
      </w:r>
    </w:p>
    <w:p w14:paraId="26EB5B4B" w14:textId="77777777" w:rsidR="003A0696" w:rsidRPr="004F497F" w:rsidRDefault="003A0696" w:rsidP="003A0696">
      <w:pPr>
        <w:spacing w:line="240" w:lineRule="auto"/>
        <w:rPr>
          <w:sz w:val="24"/>
          <w:szCs w:val="24"/>
        </w:rPr>
      </w:pPr>
      <w:r w:rsidRPr="00154D08">
        <w:rPr>
          <w:b/>
          <w:sz w:val="24"/>
          <w:szCs w:val="24"/>
        </w:rPr>
        <w:t>Rozpočet verejnej správy na roky 2022 až 2024 predpokladal deficitné hospodárenie na celom trojročnom horizonte. Hlavný rozpočtový</w:t>
      </w:r>
      <w:r w:rsidRPr="00154D08">
        <w:rPr>
          <w:b/>
          <w:bCs/>
          <w:sz w:val="24"/>
          <w:szCs w:val="24"/>
        </w:rPr>
        <w:t xml:space="preserve"> cieľ vlády SR v rámci rozpočtu verejnej správy na roky 2022 až 2024 bol schválený v podobe deficitu verejných financií v roku 2022 vo výške 4,9 % HDP. </w:t>
      </w:r>
      <w:r w:rsidRPr="004F497F">
        <w:rPr>
          <w:bCs/>
          <w:sz w:val="24"/>
          <w:szCs w:val="24"/>
        </w:rPr>
        <w:t>Splnenie cieľov pre ďalšie roky si vyžadovalo prijatie konsolidačných opatrení, pričom v roku 2023 sa slovenské verejné financie mali na základe stanoveného cieľa deficitu vo výške 2,68</w:t>
      </w:r>
      <w:r>
        <w:rPr>
          <w:bCs/>
          <w:sz w:val="24"/>
          <w:szCs w:val="24"/>
        </w:rPr>
        <w:t> % </w:t>
      </w:r>
      <w:r w:rsidRPr="004F497F">
        <w:rPr>
          <w:bCs/>
          <w:sz w:val="24"/>
          <w:szCs w:val="24"/>
        </w:rPr>
        <w:t xml:space="preserve">HDP dostať už mimo </w:t>
      </w:r>
      <w:proofErr w:type="spellStart"/>
      <w:r w:rsidRPr="004F497F">
        <w:rPr>
          <w:bCs/>
          <w:sz w:val="24"/>
          <w:szCs w:val="24"/>
        </w:rPr>
        <w:t>korektívnej</w:t>
      </w:r>
      <w:proofErr w:type="spellEnd"/>
      <w:r w:rsidRPr="004F497F">
        <w:rPr>
          <w:bCs/>
          <w:sz w:val="24"/>
          <w:szCs w:val="24"/>
        </w:rPr>
        <w:t xml:space="preserve"> časti Paktu stability a rastu a v roku 2024 bolo podľa platnej legislatívy vyžadované dosiahnutie nominálne vyrovnaného rozpočtu, a to vzhľadom na prognózovanú úroveň dlhu nad všetkými pásmami ústavného zákona o rozpočtovej zodpovednosti.</w:t>
      </w:r>
    </w:p>
    <w:p w14:paraId="2E1A0591" w14:textId="77777777" w:rsidR="003A0696" w:rsidRPr="004F497F" w:rsidRDefault="003A0696" w:rsidP="003A0696">
      <w:pPr>
        <w:spacing w:line="240" w:lineRule="auto"/>
        <w:rPr>
          <w:sz w:val="24"/>
          <w:szCs w:val="24"/>
          <w:highlight w:val="yellow"/>
        </w:rPr>
      </w:pPr>
      <w:r w:rsidRPr="004F497F">
        <w:rPr>
          <w:sz w:val="24"/>
          <w:szCs w:val="24"/>
        </w:rPr>
        <w:t>Rozpočet verejnej správy na roky 2022 až 2024 bol vypracovaný v metodike ESA 2010 a vo viacerých aspektoch bol zostavený s ohľadom na programové vyhlásenie, ktorým sa vláda SR okrem iného zaviazala k zníženiu podielu časti príjmov a výdavkov, ktoré neboli v minulých rokoch zahrnuté v rozpočte. V rámci rozpočtu verejnej správy na roky 2022 až 2024 sa uvažovalo s hodnotami na úrovni jarnej notifikácie skutočnosti za rok 2020</w:t>
      </w:r>
      <w:r>
        <w:rPr>
          <w:sz w:val="24"/>
          <w:szCs w:val="24"/>
        </w:rPr>
        <w:t xml:space="preserve"> (realizovanej v marci 2021)</w:t>
      </w:r>
      <w:r w:rsidRPr="004F497F">
        <w:rPr>
          <w:sz w:val="24"/>
          <w:szCs w:val="24"/>
        </w:rPr>
        <w:t xml:space="preserve">. Rozpočet tiež počítal so zaradením systému podpory obnoviteľných zdrojov energie a vysoko účinnej kombinovanej výroby energie, tzv. zelenej energie, ktorý je v zmysle metodiky ESA 2010 presmerovaný cez sektor verejnej správy. Uvedená úprava vyplývala z poslednej </w:t>
      </w:r>
      <w:proofErr w:type="spellStart"/>
      <w:r w:rsidRPr="004F497F">
        <w:rPr>
          <w:sz w:val="24"/>
          <w:szCs w:val="24"/>
        </w:rPr>
        <w:t>benchmarkovej</w:t>
      </w:r>
      <w:proofErr w:type="spellEnd"/>
      <w:r w:rsidRPr="004F497F">
        <w:rPr>
          <w:sz w:val="24"/>
          <w:szCs w:val="24"/>
        </w:rPr>
        <w:t xml:space="preserve"> revízie výkazníctva zo strany </w:t>
      </w:r>
      <w:proofErr w:type="spellStart"/>
      <w:r w:rsidRPr="004F497F">
        <w:rPr>
          <w:sz w:val="24"/>
          <w:szCs w:val="24"/>
        </w:rPr>
        <w:t>Eurostatu</w:t>
      </w:r>
      <w:proofErr w:type="spellEnd"/>
      <w:r w:rsidRPr="004F497F">
        <w:rPr>
          <w:sz w:val="24"/>
          <w:szCs w:val="24"/>
        </w:rPr>
        <w:t xml:space="preserve">, v zmysle usmernení Štatistického úradu SR. Rozpočet verejnej správy na roky 2022 až 2024 obsahoval aj príjmy a výdavky spoločnosti Slovak </w:t>
      </w:r>
      <w:proofErr w:type="spellStart"/>
      <w:r w:rsidRPr="004F497F">
        <w:rPr>
          <w:sz w:val="24"/>
          <w:szCs w:val="24"/>
        </w:rPr>
        <w:t>Investment</w:t>
      </w:r>
      <w:proofErr w:type="spellEnd"/>
      <w:r w:rsidRPr="004F497F">
        <w:rPr>
          <w:sz w:val="24"/>
          <w:szCs w:val="24"/>
        </w:rPr>
        <w:t xml:space="preserve"> Holding, a. s., a to na úrovni jarnej notifikácie skutočnosti za rok 2020. Z dôvodu zvýšenia transparentnosti verejných financií sa prvýkrát zaviedlo aj rozpočtovanie </w:t>
      </w:r>
      <w:proofErr w:type="spellStart"/>
      <w:r w:rsidRPr="004F497F">
        <w:rPr>
          <w:sz w:val="24"/>
          <w:szCs w:val="24"/>
        </w:rPr>
        <w:t>superdividend</w:t>
      </w:r>
      <w:proofErr w:type="spellEnd"/>
      <w:r w:rsidRPr="004F497F">
        <w:rPr>
          <w:sz w:val="24"/>
          <w:szCs w:val="24"/>
        </w:rPr>
        <w:t>.</w:t>
      </w:r>
    </w:p>
    <w:p w14:paraId="375463CB" w14:textId="77777777" w:rsidR="003A0696" w:rsidRPr="004F497F" w:rsidRDefault="003A0696" w:rsidP="003A0696">
      <w:pPr>
        <w:spacing w:line="240" w:lineRule="auto"/>
        <w:rPr>
          <w:sz w:val="24"/>
          <w:szCs w:val="24"/>
          <w:highlight w:val="yellow"/>
        </w:rPr>
      </w:pPr>
      <w:r w:rsidRPr="004F497F">
        <w:rPr>
          <w:sz w:val="24"/>
          <w:szCs w:val="24"/>
        </w:rPr>
        <w:t xml:space="preserve">Súčasťou rozpočtu verejnej správy na roky 2022 až 2024 boli, na strane príjmov ako aj na strane výdavkov, viaceré tituly vyplývajúce jednak z legislatívnych zmien a na druhej strane z prijatých opatrení a zámerov vlády SR. </w:t>
      </w:r>
      <w:r w:rsidRPr="007859D3">
        <w:rPr>
          <w:b/>
          <w:sz w:val="24"/>
          <w:szCs w:val="24"/>
        </w:rPr>
        <w:t>Vplyv novej legislatívy na príjmovú stranu rozpočtu bol v rámci prognózy daňových a odvodových príjmov minimálny</w:t>
      </w:r>
      <w:r w:rsidRPr="004F497F">
        <w:rPr>
          <w:sz w:val="24"/>
          <w:szCs w:val="24"/>
        </w:rPr>
        <w:t xml:space="preserve">. Nepatrný vplyv na rozpočet </w:t>
      </w:r>
      <w:r w:rsidRPr="004F497F">
        <w:rPr>
          <w:sz w:val="24"/>
          <w:szCs w:val="24"/>
        </w:rPr>
        <w:lastRenderedPageBreak/>
        <w:t xml:space="preserve">mali presun termínu splateniu sociálnych odvodov za rok 2020, odklad sociálnych odvodov v roku 2021 a zmena sadzieb daní z nehnuteľností podľa </w:t>
      </w:r>
      <w:r>
        <w:rPr>
          <w:sz w:val="24"/>
          <w:szCs w:val="24"/>
        </w:rPr>
        <w:t xml:space="preserve">metodiky </w:t>
      </w:r>
      <w:r w:rsidRPr="004F497F">
        <w:rPr>
          <w:sz w:val="24"/>
          <w:szCs w:val="24"/>
        </w:rPr>
        <w:t>VZN od roku 2021.</w:t>
      </w:r>
    </w:p>
    <w:p w14:paraId="3B852D9A" w14:textId="77777777" w:rsidR="003A0696" w:rsidRDefault="003A0696" w:rsidP="003A0696">
      <w:pPr>
        <w:spacing w:line="240" w:lineRule="auto"/>
        <w:rPr>
          <w:sz w:val="24"/>
          <w:szCs w:val="24"/>
        </w:rPr>
      </w:pPr>
      <w:r w:rsidRPr="004F497F">
        <w:rPr>
          <w:sz w:val="24"/>
          <w:szCs w:val="24"/>
        </w:rPr>
        <w:t>Legislatívne zmeny a priority prijaté vládou SR sa odzrkadlili aj na strane výdavkov rozpočtu verejnej správy. V súvislosti s nástupom 3. vlny pandémie a jej pretrvávajúcim nepriaznivým vplyvom bola do rozpočtu verejnej správy zapracovaná rezerva na negatívne vplyvy pandémie COVID-19 vo výške 717</w:t>
      </w:r>
      <w:r>
        <w:rPr>
          <w:sz w:val="24"/>
          <w:szCs w:val="24"/>
        </w:rPr>
        <w:t> </w:t>
      </w:r>
      <w:r w:rsidRPr="004F497F">
        <w:rPr>
          <w:sz w:val="24"/>
          <w:szCs w:val="24"/>
        </w:rPr>
        <w:t>441</w:t>
      </w:r>
      <w:r>
        <w:rPr>
          <w:sz w:val="24"/>
          <w:szCs w:val="24"/>
        </w:rPr>
        <w:t> </w:t>
      </w:r>
      <w:r w:rsidRPr="004F497F">
        <w:rPr>
          <w:sz w:val="24"/>
          <w:szCs w:val="24"/>
        </w:rPr>
        <w:t>tis.</w:t>
      </w:r>
      <w:r>
        <w:rPr>
          <w:sz w:val="24"/>
          <w:szCs w:val="24"/>
        </w:rPr>
        <w:t> </w:t>
      </w:r>
      <w:r w:rsidRPr="004F497F">
        <w:rPr>
          <w:sz w:val="24"/>
          <w:szCs w:val="24"/>
        </w:rPr>
        <w:t xml:space="preserve">eur za účelom financovania opatrení v oblasti prvej pomoci, humanitárnej pomoci, SOS dotácií a iných </w:t>
      </w:r>
      <w:proofErr w:type="spellStart"/>
      <w:r w:rsidRPr="004F497F">
        <w:rPr>
          <w:sz w:val="24"/>
          <w:szCs w:val="24"/>
        </w:rPr>
        <w:t>pandemických</w:t>
      </w:r>
      <w:proofErr w:type="spellEnd"/>
      <w:r>
        <w:rPr>
          <w:sz w:val="24"/>
          <w:szCs w:val="24"/>
        </w:rPr>
        <w:t xml:space="preserve"> príspevkov.</w:t>
      </w:r>
    </w:p>
    <w:p w14:paraId="7F333207" w14:textId="77777777" w:rsidR="003A0696" w:rsidRDefault="003A0696" w:rsidP="003A0696">
      <w:pPr>
        <w:spacing w:line="240" w:lineRule="auto"/>
        <w:rPr>
          <w:sz w:val="24"/>
          <w:szCs w:val="24"/>
        </w:rPr>
      </w:pPr>
      <w:r w:rsidRPr="004F497F">
        <w:rPr>
          <w:sz w:val="24"/>
          <w:szCs w:val="24"/>
        </w:rPr>
        <w:t xml:space="preserve">Rozpočet verejnej správy na roky 2022 až 2024 obsahoval už aj </w:t>
      </w:r>
      <w:r w:rsidRPr="00B53338">
        <w:rPr>
          <w:b/>
          <w:sz w:val="24"/>
          <w:szCs w:val="24"/>
        </w:rPr>
        <w:t>prostriedky Plánu obnovy a odolnosti</w:t>
      </w:r>
      <w:r w:rsidRPr="004F497F">
        <w:rPr>
          <w:sz w:val="24"/>
          <w:szCs w:val="24"/>
        </w:rPr>
        <w:t xml:space="preserve">, ktorý je komplexnou odpoveďou na dôsledky krízy spojenej s pandémiou, ako aj reakciou na identifikované hlavné výzvy a systémové nedostatky slovenskej ekonomiky. Financie z Plánu obnovy a odolnosti sa prejavia najmä v oblasti zelenej ekonomiky, vzdelávania, zdravotníctva, vedy, výskumu a inovácií a vo zvyšovaní kvality verejných inštitúcií. Pokračovalo sa v reforme riadenia investícií s cieľom zvýšenia spoločenskej návratnosti projektov a zároveň zrýchlenia a sprehľadnenia investičného procesu. </w:t>
      </w:r>
      <w:r w:rsidRPr="00B53338">
        <w:rPr>
          <w:b/>
          <w:sz w:val="24"/>
          <w:szCs w:val="24"/>
        </w:rPr>
        <w:t>Pri kapitálových výdavkoch sa uplatnil princíp tzv. „nulového štartovacieho rozpočtu“</w:t>
      </w:r>
      <w:r w:rsidRPr="004F497F">
        <w:rPr>
          <w:sz w:val="24"/>
          <w:szCs w:val="24"/>
        </w:rPr>
        <w:t>, pri ktorom investície a projekty investičného charakteru nad 1</w:t>
      </w:r>
      <w:r>
        <w:rPr>
          <w:sz w:val="24"/>
          <w:szCs w:val="24"/>
        </w:rPr>
        <w:t> </w:t>
      </w:r>
      <w:r w:rsidRPr="004F497F">
        <w:rPr>
          <w:sz w:val="24"/>
          <w:szCs w:val="24"/>
        </w:rPr>
        <w:t>mil.</w:t>
      </w:r>
      <w:r>
        <w:rPr>
          <w:sz w:val="24"/>
          <w:szCs w:val="24"/>
        </w:rPr>
        <w:t> </w:t>
      </w:r>
      <w:r w:rsidRPr="004F497F">
        <w:rPr>
          <w:sz w:val="24"/>
          <w:szCs w:val="24"/>
        </w:rPr>
        <w:t>eur prechádzajú ekonomickým hodnotením MF SR a do rozpočtu sú zaradené po zohľadnení rozpočtových možností a po preukázaní pripraven</w:t>
      </w:r>
      <w:r>
        <w:rPr>
          <w:sz w:val="24"/>
          <w:szCs w:val="24"/>
        </w:rPr>
        <w:t>osti a ekonomickej návratnosti.</w:t>
      </w:r>
    </w:p>
    <w:p w14:paraId="6A132283" w14:textId="77777777" w:rsidR="003A0696" w:rsidRPr="004F497F" w:rsidRDefault="003A0696" w:rsidP="003A0696">
      <w:pPr>
        <w:spacing w:line="240" w:lineRule="auto"/>
        <w:rPr>
          <w:sz w:val="24"/>
          <w:szCs w:val="24"/>
        </w:rPr>
      </w:pPr>
      <w:r w:rsidRPr="004F497F">
        <w:rPr>
          <w:sz w:val="24"/>
          <w:szCs w:val="24"/>
        </w:rPr>
        <w:t xml:space="preserve">Výdavky na zamestnanosť boli naďalej ovplyvnené realizáciou niektorých opatrení vyplývajúcich z Revízie výdavkov zamestnanosti a odmeňovania vo verejnej správe implementovaných už do rozpočtu na roky 2021 až 2023. Rozpočet na rok 2022 neuvažoval s valorizáciou platov zamestnancov financovaných zo štátneho rozpočtu. Rozpočet významne podporoval financovanie sociálnej oblasti, v rámci ktorej sa zvýšili výdavky na kompenzáciu sociálnych dôsledkov ŤZP, či na podporu rodiny v súvislosti s valorizáciou rodičovského príspevku a prídavku na dieťa. V oblasti vzdelávania sa rozpočet zameral na podporu </w:t>
      </w:r>
      <w:proofErr w:type="spellStart"/>
      <w:r w:rsidRPr="004F497F">
        <w:rPr>
          <w:sz w:val="24"/>
          <w:szCs w:val="24"/>
        </w:rPr>
        <w:t>predprimárneho</w:t>
      </w:r>
      <w:proofErr w:type="spellEnd"/>
      <w:r w:rsidRPr="004F497F">
        <w:rPr>
          <w:sz w:val="24"/>
          <w:szCs w:val="24"/>
        </w:rPr>
        <w:t xml:space="preserve"> vzdelávania či asistentov učiteľa v regionálnom školstve. V oblasti zdravotníctva výdavky podporovali dobeh zdravotnej starostlivosti odloženej kvôli pandémii, zrušenie doplatkov za lieky pre vybrané skupiny obyvateľstva či dofinancovanie zdravotníckych zariadení. V oblasti dopravy rozpočet počítal s pokračovaním investičných projektov, údržbou a veľkoplošnou opravou ciest I. triedy. V oblasti životného prostredia prostriedky smerovali na dekarbonizáciu priemyslu, obnovu budov, ochranu prírody a krajiny, či </w:t>
      </w:r>
      <w:proofErr w:type="spellStart"/>
      <w:r w:rsidRPr="004F497F">
        <w:rPr>
          <w:sz w:val="24"/>
          <w:szCs w:val="24"/>
        </w:rPr>
        <w:t>renaturáciu</w:t>
      </w:r>
      <w:proofErr w:type="spellEnd"/>
      <w:r w:rsidRPr="004F497F">
        <w:rPr>
          <w:sz w:val="24"/>
          <w:szCs w:val="24"/>
        </w:rPr>
        <w:t xml:space="preserve"> vodných tokov a mokradí.</w:t>
      </w:r>
    </w:p>
    <w:p w14:paraId="7B1FF20C" w14:textId="77777777" w:rsidR="003A0696" w:rsidRPr="004F497F" w:rsidRDefault="003A0696" w:rsidP="003A0696">
      <w:pPr>
        <w:spacing w:line="240" w:lineRule="auto"/>
        <w:rPr>
          <w:sz w:val="24"/>
          <w:szCs w:val="24"/>
        </w:rPr>
      </w:pPr>
      <w:r w:rsidRPr="004F497F">
        <w:rPr>
          <w:sz w:val="24"/>
          <w:szCs w:val="24"/>
        </w:rPr>
        <w:t>V reakcii na prudký nárast cien energií, výrazný nárast inflácie, vojenský konflikt na Ukrajine, ako aj na zabezpečenie zdrojového krytia zvýšených finančných nákladov súvisiacich s</w:t>
      </w:r>
      <w:r>
        <w:rPr>
          <w:sz w:val="24"/>
          <w:szCs w:val="24"/>
        </w:rPr>
        <w:t> </w:t>
      </w:r>
      <w:r w:rsidRPr="004F497F">
        <w:rPr>
          <w:sz w:val="24"/>
          <w:szCs w:val="24"/>
        </w:rPr>
        <w:t>výrazným nárastom cien tovarov a služieb pre poberateľov dôchodkových dávok pristúpila vláda SR v priebehu roku 2022 k schváleniu novely zákona o štátnom rozpočte na rok 2022 a jej predloženiu do Národnej rady Slovenskej republiky. Národná rada Slovenskej republiky schválila novelu zákona o štátnom rozpočte na rok 2022</w:t>
      </w:r>
      <w:r w:rsidRPr="004F497F">
        <w:rPr>
          <w:rStyle w:val="Odkaznapoznmkupodiarou"/>
          <w:sz w:val="24"/>
          <w:szCs w:val="24"/>
        </w:rPr>
        <w:footnoteReference w:id="4"/>
      </w:r>
      <w:r w:rsidRPr="004F497F">
        <w:rPr>
          <w:sz w:val="24"/>
          <w:szCs w:val="24"/>
        </w:rPr>
        <w:t xml:space="preserve"> s účinnosťou od 4. novembra 2022. </w:t>
      </w:r>
    </w:p>
    <w:p w14:paraId="1395BD3C" w14:textId="77777777" w:rsidR="003A0696" w:rsidRPr="004F497F" w:rsidRDefault="003A0696" w:rsidP="003A0696">
      <w:pPr>
        <w:spacing w:line="240" w:lineRule="auto"/>
        <w:rPr>
          <w:sz w:val="24"/>
          <w:szCs w:val="24"/>
        </w:rPr>
      </w:pPr>
      <w:r w:rsidRPr="004F497F">
        <w:rPr>
          <w:sz w:val="24"/>
          <w:szCs w:val="24"/>
        </w:rPr>
        <w:t>Novelou zákona sa zvýšili celkové príjmy štátneho rozpočtu o 1 497</w:t>
      </w:r>
      <w:r>
        <w:rPr>
          <w:sz w:val="24"/>
          <w:szCs w:val="24"/>
        </w:rPr>
        <w:t> </w:t>
      </w:r>
      <w:r w:rsidRPr="004F497F">
        <w:rPr>
          <w:sz w:val="24"/>
          <w:szCs w:val="24"/>
        </w:rPr>
        <w:t>657</w:t>
      </w:r>
      <w:r>
        <w:rPr>
          <w:sz w:val="24"/>
          <w:szCs w:val="24"/>
        </w:rPr>
        <w:t> </w:t>
      </w:r>
      <w:r w:rsidRPr="004F497F">
        <w:rPr>
          <w:sz w:val="24"/>
          <w:szCs w:val="24"/>
        </w:rPr>
        <w:t>tis.</w:t>
      </w:r>
      <w:r>
        <w:rPr>
          <w:sz w:val="24"/>
          <w:szCs w:val="24"/>
        </w:rPr>
        <w:t> </w:t>
      </w:r>
      <w:r w:rsidRPr="004F497F">
        <w:rPr>
          <w:sz w:val="24"/>
          <w:szCs w:val="24"/>
        </w:rPr>
        <w:t>eur. V nadväznosti na vyššie prognózované príjmy sa tak vytvoril priestor na krytie opatrení na zmiernenie vplyvov uvedených v predchádzajúcom odseku, pričom celkové výdavky štátneho rozpočtu sa zvýšili tiež o 1</w:t>
      </w:r>
      <w:r>
        <w:rPr>
          <w:sz w:val="24"/>
          <w:szCs w:val="24"/>
        </w:rPr>
        <w:t> </w:t>
      </w:r>
      <w:r w:rsidRPr="004F497F">
        <w:rPr>
          <w:sz w:val="24"/>
          <w:szCs w:val="24"/>
        </w:rPr>
        <w:t>497</w:t>
      </w:r>
      <w:r>
        <w:rPr>
          <w:sz w:val="24"/>
          <w:szCs w:val="24"/>
        </w:rPr>
        <w:t> </w:t>
      </w:r>
      <w:r w:rsidRPr="004F497F">
        <w:rPr>
          <w:sz w:val="24"/>
          <w:szCs w:val="24"/>
        </w:rPr>
        <w:t xml:space="preserve"> 657</w:t>
      </w:r>
      <w:r>
        <w:rPr>
          <w:sz w:val="24"/>
          <w:szCs w:val="24"/>
        </w:rPr>
        <w:t> </w:t>
      </w:r>
      <w:r w:rsidRPr="004F497F">
        <w:rPr>
          <w:sz w:val="24"/>
          <w:szCs w:val="24"/>
        </w:rPr>
        <w:t>tis.</w:t>
      </w:r>
      <w:r>
        <w:rPr>
          <w:sz w:val="24"/>
          <w:szCs w:val="24"/>
        </w:rPr>
        <w:t> </w:t>
      </w:r>
      <w:r w:rsidRPr="004F497F">
        <w:rPr>
          <w:sz w:val="24"/>
          <w:szCs w:val="24"/>
        </w:rPr>
        <w:t>eur. Úpravami príjmov a výdavkov sa tak hotovostný schodok štátneho rozpočtu nezmenil.</w:t>
      </w:r>
    </w:p>
    <w:p w14:paraId="20FC841C" w14:textId="77777777" w:rsidR="000C3C49" w:rsidRDefault="000C3C49">
      <w:pPr>
        <w:spacing w:after="160" w:line="259" w:lineRule="auto"/>
        <w:jc w:val="left"/>
        <w:rPr>
          <w:sz w:val="24"/>
          <w:szCs w:val="24"/>
        </w:rPr>
      </w:pPr>
      <w:r>
        <w:rPr>
          <w:sz w:val="24"/>
          <w:szCs w:val="24"/>
        </w:rPr>
        <w:br w:type="page"/>
      </w:r>
    </w:p>
    <w:p w14:paraId="72895879" w14:textId="5AFFC384" w:rsidR="003A0696" w:rsidRPr="004F497F" w:rsidRDefault="003A0696" w:rsidP="003A0696">
      <w:pPr>
        <w:spacing w:line="240" w:lineRule="auto"/>
        <w:rPr>
          <w:sz w:val="24"/>
          <w:szCs w:val="24"/>
          <w:highlight w:val="yellow"/>
        </w:rPr>
      </w:pPr>
      <w:r w:rsidRPr="004F497F">
        <w:rPr>
          <w:sz w:val="24"/>
          <w:szCs w:val="24"/>
        </w:rPr>
        <w:lastRenderedPageBreak/>
        <w:t>Rast celkových príjmov štátneho rozpočtu o 1 497</w:t>
      </w:r>
      <w:r>
        <w:rPr>
          <w:sz w:val="24"/>
          <w:szCs w:val="24"/>
        </w:rPr>
        <w:t> </w:t>
      </w:r>
      <w:r w:rsidRPr="004F497F">
        <w:rPr>
          <w:sz w:val="24"/>
          <w:szCs w:val="24"/>
        </w:rPr>
        <w:t>657</w:t>
      </w:r>
      <w:r>
        <w:rPr>
          <w:sz w:val="24"/>
          <w:szCs w:val="24"/>
        </w:rPr>
        <w:t> </w:t>
      </w:r>
      <w:r w:rsidRPr="004F497F">
        <w:rPr>
          <w:sz w:val="24"/>
          <w:szCs w:val="24"/>
        </w:rPr>
        <w:t>tis.</w:t>
      </w:r>
      <w:r>
        <w:rPr>
          <w:sz w:val="24"/>
          <w:szCs w:val="24"/>
        </w:rPr>
        <w:t> </w:t>
      </w:r>
      <w:r w:rsidRPr="004F497F">
        <w:rPr>
          <w:sz w:val="24"/>
          <w:szCs w:val="24"/>
        </w:rPr>
        <w:t>eur bol spôsobený nárastom daňových príjmov zaznamenaných v kapitole Všeobecná pokladničná správa, a to z</w:t>
      </w:r>
      <w:r w:rsidR="000C3C49">
        <w:rPr>
          <w:sz w:val="24"/>
          <w:szCs w:val="24"/>
        </w:rPr>
        <w:t> </w:t>
      </w:r>
      <w:r w:rsidRPr="004F497F">
        <w:rPr>
          <w:sz w:val="24"/>
          <w:szCs w:val="24"/>
        </w:rPr>
        <w:t>dôvodu</w:t>
      </w:r>
      <w:r w:rsidR="000C3C49">
        <w:rPr>
          <w:sz w:val="24"/>
          <w:szCs w:val="24"/>
        </w:rPr>
        <w:t xml:space="preserve"> </w:t>
      </w:r>
      <w:r w:rsidRPr="004F497F">
        <w:rPr>
          <w:sz w:val="24"/>
          <w:szCs w:val="24"/>
        </w:rPr>
        <w:t>predpokladaného lepšieho výberu daňových príjmov, ktorý bol zohľadnený v septembrovej prognóze Výboru pre daňové prognózy.</w:t>
      </w:r>
    </w:p>
    <w:p w14:paraId="1A140435" w14:textId="77777777" w:rsidR="003A0696" w:rsidRPr="004F497F" w:rsidRDefault="003A0696" w:rsidP="003A0696">
      <w:pPr>
        <w:spacing w:line="240" w:lineRule="auto"/>
        <w:rPr>
          <w:sz w:val="24"/>
          <w:szCs w:val="24"/>
        </w:rPr>
      </w:pPr>
      <w:r w:rsidRPr="004F497F">
        <w:rPr>
          <w:sz w:val="24"/>
          <w:szCs w:val="24"/>
        </w:rPr>
        <w:t>Zvýšenie celkových výdavkov štátneho rozpočtu o 1 497</w:t>
      </w:r>
      <w:r>
        <w:rPr>
          <w:sz w:val="24"/>
          <w:szCs w:val="24"/>
        </w:rPr>
        <w:t> </w:t>
      </w:r>
      <w:r w:rsidRPr="004F497F">
        <w:rPr>
          <w:sz w:val="24"/>
          <w:szCs w:val="24"/>
        </w:rPr>
        <w:t>657</w:t>
      </w:r>
      <w:r>
        <w:rPr>
          <w:sz w:val="24"/>
          <w:szCs w:val="24"/>
        </w:rPr>
        <w:t> </w:t>
      </w:r>
      <w:r w:rsidRPr="004F497F">
        <w:rPr>
          <w:sz w:val="24"/>
          <w:szCs w:val="24"/>
        </w:rPr>
        <w:t>tis.</w:t>
      </w:r>
      <w:r>
        <w:rPr>
          <w:sz w:val="24"/>
          <w:szCs w:val="24"/>
        </w:rPr>
        <w:t> </w:t>
      </w:r>
      <w:r w:rsidRPr="004F497F">
        <w:rPr>
          <w:sz w:val="24"/>
          <w:szCs w:val="24"/>
        </w:rPr>
        <w:t>eur sa alokovalo v kapitolách Ministerstvo práce, sociálnych vecí a rodiny SR, Ministerstvo hospodárstva SR a Všeobecná pokladničná správa. V kapitole Ministerstva práce, sociálnych vecí a rodiny SR sa záväzný ukazovateľ výdavkov zvýšil o sumu 207</w:t>
      </w:r>
      <w:r>
        <w:rPr>
          <w:sz w:val="24"/>
          <w:szCs w:val="24"/>
        </w:rPr>
        <w:t> </w:t>
      </w:r>
      <w:r w:rsidRPr="004F497F">
        <w:rPr>
          <w:sz w:val="24"/>
          <w:szCs w:val="24"/>
        </w:rPr>
        <w:t>619</w:t>
      </w:r>
      <w:r>
        <w:rPr>
          <w:sz w:val="24"/>
          <w:szCs w:val="24"/>
        </w:rPr>
        <w:t> </w:t>
      </w:r>
      <w:r w:rsidRPr="004F497F">
        <w:rPr>
          <w:sz w:val="24"/>
          <w:szCs w:val="24"/>
        </w:rPr>
        <w:t>tis.</w:t>
      </w:r>
      <w:r>
        <w:rPr>
          <w:sz w:val="24"/>
          <w:szCs w:val="24"/>
        </w:rPr>
        <w:t> </w:t>
      </w:r>
      <w:r w:rsidRPr="004F497F">
        <w:rPr>
          <w:sz w:val="24"/>
          <w:szCs w:val="24"/>
        </w:rPr>
        <w:t>eur určenú na výplatu 13. dôchodku v</w:t>
      </w:r>
      <w:r>
        <w:rPr>
          <w:sz w:val="24"/>
          <w:szCs w:val="24"/>
        </w:rPr>
        <w:t> </w:t>
      </w:r>
      <w:r w:rsidRPr="004F497F">
        <w:rPr>
          <w:sz w:val="24"/>
          <w:szCs w:val="24"/>
        </w:rPr>
        <w:t>mesiaci november 2022 v nadväznosti na vládny návrh zákona, ktorým sa dopĺňal zákon č.</w:t>
      </w:r>
      <w:r>
        <w:rPr>
          <w:sz w:val="24"/>
          <w:szCs w:val="24"/>
        </w:rPr>
        <w:t> </w:t>
      </w:r>
      <w:r w:rsidRPr="004F497F">
        <w:rPr>
          <w:sz w:val="24"/>
          <w:szCs w:val="24"/>
        </w:rPr>
        <w:t>296/2020</w:t>
      </w:r>
      <w:r>
        <w:rPr>
          <w:sz w:val="24"/>
          <w:szCs w:val="24"/>
        </w:rPr>
        <w:t> </w:t>
      </w:r>
      <w:r w:rsidRPr="004F497F">
        <w:rPr>
          <w:sz w:val="24"/>
          <w:szCs w:val="24"/>
        </w:rPr>
        <w:t>Z.</w:t>
      </w:r>
      <w:r>
        <w:rPr>
          <w:sz w:val="24"/>
          <w:szCs w:val="24"/>
        </w:rPr>
        <w:t> </w:t>
      </w:r>
      <w:r w:rsidRPr="004F497F">
        <w:rPr>
          <w:sz w:val="24"/>
          <w:szCs w:val="24"/>
        </w:rPr>
        <w:t>z. o</w:t>
      </w:r>
      <w:r>
        <w:rPr>
          <w:sz w:val="24"/>
          <w:szCs w:val="24"/>
        </w:rPr>
        <w:t> </w:t>
      </w:r>
      <w:r w:rsidRPr="004F497F">
        <w:rPr>
          <w:sz w:val="24"/>
          <w:szCs w:val="24"/>
        </w:rPr>
        <w:t>13. dôchodku a o zmene a doplnení niektorých zákonov v znení zákona č.</w:t>
      </w:r>
      <w:r>
        <w:rPr>
          <w:sz w:val="24"/>
          <w:szCs w:val="24"/>
        </w:rPr>
        <w:t> </w:t>
      </w:r>
      <w:r w:rsidRPr="004F497F">
        <w:rPr>
          <w:sz w:val="24"/>
          <w:szCs w:val="24"/>
        </w:rPr>
        <w:t>171/2022</w:t>
      </w:r>
      <w:r>
        <w:rPr>
          <w:sz w:val="24"/>
          <w:szCs w:val="24"/>
        </w:rPr>
        <w:t> </w:t>
      </w:r>
      <w:r w:rsidRPr="004F497F">
        <w:rPr>
          <w:sz w:val="24"/>
          <w:szCs w:val="24"/>
        </w:rPr>
        <w:t>Z.</w:t>
      </w:r>
      <w:r>
        <w:rPr>
          <w:sz w:val="24"/>
          <w:szCs w:val="24"/>
        </w:rPr>
        <w:t> </w:t>
      </w:r>
      <w:r w:rsidRPr="004F497F">
        <w:rPr>
          <w:sz w:val="24"/>
          <w:szCs w:val="24"/>
        </w:rPr>
        <w:t>z. a o sumu 190</w:t>
      </w:r>
      <w:r>
        <w:rPr>
          <w:sz w:val="24"/>
          <w:szCs w:val="24"/>
        </w:rPr>
        <w:t> </w:t>
      </w:r>
      <w:r w:rsidRPr="004F497F">
        <w:rPr>
          <w:sz w:val="24"/>
          <w:szCs w:val="24"/>
        </w:rPr>
        <w:t>038</w:t>
      </w:r>
      <w:r>
        <w:rPr>
          <w:sz w:val="24"/>
          <w:szCs w:val="24"/>
        </w:rPr>
        <w:t> </w:t>
      </w:r>
      <w:r w:rsidRPr="004F497F">
        <w:rPr>
          <w:sz w:val="24"/>
          <w:szCs w:val="24"/>
        </w:rPr>
        <w:t>tis.</w:t>
      </w:r>
      <w:r>
        <w:rPr>
          <w:sz w:val="24"/>
          <w:szCs w:val="24"/>
        </w:rPr>
        <w:t> </w:t>
      </w:r>
      <w:r w:rsidRPr="004F497F">
        <w:rPr>
          <w:sz w:val="24"/>
          <w:szCs w:val="24"/>
        </w:rPr>
        <w:t>eur určenú na kompenzácie pre ohrozené skupiny. V</w:t>
      </w:r>
      <w:r>
        <w:rPr>
          <w:sz w:val="24"/>
          <w:szCs w:val="24"/>
        </w:rPr>
        <w:t> </w:t>
      </w:r>
      <w:r w:rsidRPr="004F497F">
        <w:rPr>
          <w:sz w:val="24"/>
          <w:szCs w:val="24"/>
        </w:rPr>
        <w:t>kapitole Ministerstva hospodárstva SR sa záväzný ukazovateľ</w:t>
      </w:r>
      <w:r>
        <w:rPr>
          <w:sz w:val="24"/>
          <w:szCs w:val="24"/>
        </w:rPr>
        <w:t xml:space="preserve"> výdavkov zvýšil o sumu 900 000 </w:t>
      </w:r>
      <w:r w:rsidRPr="004F497F">
        <w:rPr>
          <w:sz w:val="24"/>
          <w:szCs w:val="24"/>
        </w:rPr>
        <w:t>tis.</w:t>
      </w:r>
      <w:r>
        <w:rPr>
          <w:sz w:val="24"/>
          <w:szCs w:val="24"/>
        </w:rPr>
        <w:t> </w:t>
      </w:r>
      <w:r w:rsidRPr="004F497F">
        <w:rPr>
          <w:sz w:val="24"/>
          <w:szCs w:val="24"/>
        </w:rPr>
        <w:t>eur určenú na pomoc firmám na základe schémy štátnej pomoci s cenovým stropom, nad rámec ktorého mali byť firmy kompenzované. V kapitole Všeobecná pokladničná správa sa záväzný ukazovateľ výdavkov zvýšil o sumu 200</w:t>
      </w:r>
      <w:r>
        <w:rPr>
          <w:sz w:val="24"/>
          <w:szCs w:val="24"/>
        </w:rPr>
        <w:t> </w:t>
      </w:r>
      <w:r w:rsidRPr="004F497F">
        <w:rPr>
          <w:sz w:val="24"/>
          <w:szCs w:val="24"/>
        </w:rPr>
        <w:t>000</w:t>
      </w:r>
      <w:r>
        <w:rPr>
          <w:sz w:val="24"/>
          <w:szCs w:val="24"/>
        </w:rPr>
        <w:t> </w:t>
      </w:r>
      <w:r w:rsidRPr="004F497F">
        <w:rPr>
          <w:sz w:val="24"/>
          <w:szCs w:val="24"/>
        </w:rPr>
        <w:t>tis.</w:t>
      </w:r>
      <w:r>
        <w:rPr>
          <w:sz w:val="24"/>
          <w:szCs w:val="24"/>
        </w:rPr>
        <w:t> </w:t>
      </w:r>
      <w:r w:rsidRPr="004F497F">
        <w:rPr>
          <w:sz w:val="24"/>
          <w:szCs w:val="24"/>
        </w:rPr>
        <w:t>eur určenú na kompenzácie pre verejnú správu.</w:t>
      </w:r>
    </w:p>
    <w:p w14:paraId="0CF22E9D" w14:textId="77777777" w:rsidR="003A0696" w:rsidRPr="00C30641" w:rsidRDefault="003A0696" w:rsidP="003A0696">
      <w:pPr>
        <w:spacing w:line="240" w:lineRule="auto"/>
        <w:rPr>
          <w:b/>
          <w:sz w:val="24"/>
          <w:szCs w:val="24"/>
        </w:rPr>
      </w:pPr>
      <w:r w:rsidRPr="00C30641">
        <w:rPr>
          <w:b/>
          <w:sz w:val="24"/>
          <w:szCs w:val="24"/>
        </w:rPr>
        <w:t xml:space="preserve">V nadväznosti na prijatie novely zákona o štátnom rozpočte na rok 2022 a aktualizovanú prognózu HDP sa schodok rozpočtu verejnej správy v roku 2022 v metodike ESA 2010 zmenil zo 4,9 % na 5,2 % HDP. </w:t>
      </w:r>
    </w:p>
    <w:p w14:paraId="41F2E9D8" w14:textId="77777777" w:rsidR="003A0696" w:rsidRPr="004F497F" w:rsidRDefault="003A0696" w:rsidP="003A0696">
      <w:pPr>
        <w:autoSpaceDE w:val="0"/>
        <w:autoSpaceDN w:val="0"/>
        <w:spacing w:line="240" w:lineRule="auto"/>
        <w:rPr>
          <w:sz w:val="24"/>
          <w:szCs w:val="24"/>
          <w:highlight w:val="yellow"/>
        </w:rPr>
      </w:pPr>
      <w:r w:rsidRPr="004F497F">
        <w:rPr>
          <w:sz w:val="24"/>
          <w:szCs w:val="24"/>
        </w:rPr>
        <w:t xml:space="preserve">V priebehu roku 2022 prebiehal pravidelný monitoring vývoja plnenia schváleného rozpočtu verejnej správy na mesačnej báze. Ministerstvo financií SR sledovalo vývoj v širšom rámci celých verejných financií formou pravidelnej analýzy očakávaných predpokladov hospodárenia kapitol štátneho rozpočtu a ostatných subjektov verejnej správy na hotovostnej báze a v metodike ESA 2010. Na základe aktuálne dostupných údajov o dosiahnutej skutočnosti a predpokladanom vývoji príjmov a výdavkov rozpočtu verejnej správy ku koncu rozpočtového roka sa kvantifikovali očakávané zmeny a riziká v hospodárení jednotlivých subjektov rozpočtu verejnej správy oproti schválenému rozpočtu na rok 2022. </w:t>
      </w:r>
    </w:p>
    <w:p w14:paraId="1F01CEC6" w14:textId="77777777" w:rsidR="003A0696" w:rsidRPr="004F497F" w:rsidRDefault="003A0696" w:rsidP="003A0696">
      <w:pPr>
        <w:autoSpaceDE w:val="0"/>
        <w:autoSpaceDN w:val="0"/>
        <w:spacing w:line="240" w:lineRule="auto"/>
        <w:rPr>
          <w:sz w:val="24"/>
          <w:szCs w:val="24"/>
        </w:rPr>
      </w:pPr>
      <w:r w:rsidRPr="004F497F">
        <w:rPr>
          <w:sz w:val="24"/>
          <w:szCs w:val="24"/>
        </w:rPr>
        <w:t>Mesačné predpoklady vývoja verejných financií vychádzali z najnovších analýz a prognóz makroekonomického vývoja, prognóz daňových a odvodových príjmov a prognóz vybraných nedaňových príjmov, ako aj z podkladov o očakávanom plnení príjmov a čerpaní výdavkov za prostriedky EÚ a prostriedky na spolufinancovanie zo štátneho rozpočtu a z podkladov o očakávanom plnení príjmov a čerpaní výdavkov za prostriedky Plánu obnovy a odolnosti.</w:t>
      </w:r>
    </w:p>
    <w:p w14:paraId="23664A76" w14:textId="77777777" w:rsidR="003A0696" w:rsidRPr="004F497F" w:rsidRDefault="003A0696" w:rsidP="003A0696">
      <w:pPr>
        <w:autoSpaceDE w:val="0"/>
        <w:autoSpaceDN w:val="0"/>
        <w:spacing w:line="240" w:lineRule="auto"/>
        <w:rPr>
          <w:sz w:val="24"/>
          <w:szCs w:val="24"/>
        </w:rPr>
      </w:pPr>
      <w:r w:rsidRPr="004F497F">
        <w:rPr>
          <w:sz w:val="24"/>
          <w:szCs w:val="24"/>
        </w:rPr>
        <w:t>V nadväznosti na § 30 ods. 3 zákona č. 523/2004 Z. z. o rozpočtových pravidlách verejnej správy a o zmene a doplnení niektorých zákonov</w:t>
      </w:r>
      <w:r>
        <w:rPr>
          <w:sz w:val="24"/>
          <w:szCs w:val="24"/>
        </w:rPr>
        <w:t xml:space="preserve"> </w:t>
      </w:r>
      <w:r w:rsidRPr="009B0B02">
        <w:rPr>
          <w:sz w:val="24"/>
          <w:szCs w:val="24"/>
        </w:rPr>
        <w:t>v znení neskorších predpisov</w:t>
      </w:r>
      <w:r>
        <w:rPr>
          <w:sz w:val="24"/>
          <w:szCs w:val="24"/>
        </w:rPr>
        <w:t xml:space="preserve"> (ďalej len ,,zákon o rozpočtových pravidlách“)</w:t>
      </w:r>
      <w:r w:rsidRPr="004F497F">
        <w:rPr>
          <w:sz w:val="24"/>
          <w:szCs w:val="24"/>
        </w:rPr>
        <w:t>, na základe ktorého Ministerstvo financií SR zverejňuje očakávanú skutočnosť bežného rozpočtového roka v porovnaní so schváleným rozpočtom verejnej správy na bežný rozpočtový rok spôsobom podľa osobitného predpisu najneskôr do 15. augusta bežného roka na základe údajov k 30. júnu bežného roka dostupných v</w:t>
      </w:r>
      <w:r>
        <w:rPr>
          <w:sz w:val="24"/>
          <w:szCs w:val="24"/>
        </w:rPr>
        <w:t> </w:t>
      </w:r>
      <w:r w:rsidRPr="004F497F">
        <w:rPr>
          <w:sz w:val="24"/>
          <w:szCs w:val="24"/>
        </w:rPr>
        <w:t>čase jej spracovania, Ministerstvo financií SR zverejnilo na svojej stránke Správu o očakávanej skutočnosti za rok 2022 v porovnaní so schváleným rozpočtom verejnej správy na rok 2022, v rámci ktorej očakávalo deficit hospodárenia verejnej správy vo výške 4,9</w:t>
      </w:r>
      <w:r>
        <w:rPr>
          <w:sz w:val="24"/>
          <w:szCs w:val="24"/>
        </w:rPr>
        <w:t> </w:t>
      </w:r>
      <w:r w:rsidRPr="004F497F">
        <w:rPr>
          <w:sz w:val="24"/>
          <w:szCs w:val="24"/>
        </w:rPr>
        <w:t>%</w:t>
      </w:r>
      <w:r>
        <w:rPr>
          <w:sz w:val="24"/>
          <w:szCs w:val="24"/>
        </w:rPr>
        <w:t> </w:t>
      </w:r>
      <w:r w:rsidRPr="004F497F">
        <w:rPr>
          <w:sz w:val="24"/>
          <w:szCs w:val="24"/>
        </w:rPr>
        <w:t xml:space="preserve">HDP. </w:t>
      </w:r>
    </w:p>
    <w:p w14:paraId="2643641D" w14:textId="77777777" w:rsidR="003A0696" w:rsidRPr="004F497F" w:rsidRDefault="003A0696" w:rsidP="003A0696">
      <w:pPr>
        <w:autoSpaceDE w:val="0"/>
        <w:autoSpaceDN w:val="0"/>
        <w:spacing w:line="240" w:lineRule="auto"/>
        <w:rPr>
          <w:sz w:val="24"/>
          <w:szCs w:val="24"/>
        </w:rPr>
      </w:pPr>
      <w:r w:rsidRPr="004F497F">
        <w:rPr>
          <w:sz w:val="24"/>
          <w:szCs w:val="24"/>
        </w:rPr>
        <w:t xml:space="preserve">Súčasťou rozpočtu verejnej správy na roky 2023 až 2025, ktorý Ministerstvo financií SR predložilo na rokovanie vlády SR a rokovanie NR SR, bola aj analýza aktuálneho vývoja verejných financií v roku 2022 spracovaná na základe v tom čase dostupných podkladov. Analýza vychádzajúca z predpokladu dosiahnutia schodku rozpočtu verejnej správy vo výške </w:t>
      </w:r>
      <w:r>
        <w:rPr>
          <w:sz w:val="24"/>
          <w:szCs w:val="24"/>
        </w:rPr>
        <w:t>5,0 </w:t>
      </w:r>
      <w:r w:rsidRPr="004F497F">
        <w:rPr>
          <w:sz w:val="24"/>
          <w:szCs w:val="24"/>
        </w:rPr>
        <w:t>%</w:t>
      </w:r>
      <w:r>
        <w:rPr>
          <w:sz w:val="24"/>
          <w:szCs w:val="24"/>
        </w:rPr>
        <w:t> </w:t>
      </w:r>
      <w:r w:rsidRPr="004F497F">
        <w:rPr>
          <w:sz w:val="24"/>
          <w:szCs w:val="24"/>
        </w:rPr>
        <w:t>HDP definovala najvýznamnejšie vplyvy na saldo rozpočtu verejnej správy v porovnaní so schváleným rozpočtovým cieľom na rok 2022.</w:t>
      </w:r>
    </w:p>
    <w:p w14:paraId="02647ECF" w14:textId="77777777" w:rsidR="003A0696" w:rsidRPr="004F497F" w:rsidRDefault="003A0696" w:rsidP="003A0696">
      <w:pPr>
        <w:spacing w:line="240" w:lineRule="auto"/>
        <w:rPr>
          <w:sz w:val="24"/>
          <w:szCs w:val="24"/>
        </w:rPr>
      </w:pPr>
      <w:r w:rsidRPr="004F497F">
        <w:rPr>
          <w:sz w:val="24"/>
          <w:szCs w:val="24"/>
        </w:rPr>
        <w:lastRenderedPageBreak/>
        <w:t>Výsledky hospodárenia verejnej správy sa predkladajú Európskemu štatistického úradu (</w:t>
      </w:r>
      <w:proofErr w:type="spellStart"/>
      <w:r w:rsidRPr="004F497F">
        <w:rPr>
          <w:sz w:val="24"/>
          <w:szCs w:val="24"/>
        </w:rPr>
        <w:t>Eurostatu</w:t>
      </w:r>
      <w:proofErr w:type="spellEnd"/>
      <w:r w:rsidRPr="004F497F">
        <w:rPr>
          <w:sz w:val="24"/>
          <w:szCs w:val="24"/>
        </w:rPr>
        <w:t>) dvakrát ročne na základe nariadenia</w:t>
      </w:r>
      <w:r w:rsidRPr="004F497F">
        <w:rPr>
          <w:rStyle w:val="Odkaznapoznmkupodiarou"/>
          <w:sz w:val="24"/>
          <w:szCs w:val="24"/>
        </w:rPr>
        <w:footnoteReference w:id="5"/>
      </w:r>
      <w:r w:rsidRPr="004F497F">
        <w:rPr>
          <w:sz w:val="24"/>
          <w:szCs w:val="24"/>
        </w:rPr>
        <w:t xml:space="preserve"> o nadmernom schodku, prvýkrát do 1. apríla bežného roka a druhýkrát do 1. októbra bežného roka. Do 1. apríla bežného roka sa predkladá odhad schodku za predchádzajúci rozpočtový rok a do 1. októbra bežného roka sa predkladá aktualizovaný schodok za predchádzajúci rozpočtový rok. </w:t>
      </w:r>
      <w:r w:rsidRPr="004F497F">
        <w:rPr>
          <w:b/>
          <w:sz w:val="24"/>
          <w:szCs w:val="24"/>
        </w:rPr>
        <w:t>V zmysle uvedeného pravidla je potrebné údaje v kapitole 2 chápať ako predbežné, ktoré môžu byť v období do 1. októbra tohto roka revidované.</w:t>
      </w:r>
    </w:p>
    <w:p w14:paraId="64618F9B" w14:textId="77777777" w:rsidR="003A0696" w:rsidRDefault="003A0696" w:rsidP="003A0696">
      <w:pPr>
        <w:spacing w:line="240" w:lineRule="auto"/>
      </w:pPr>
      <w:r w:rsidRPr="004F497F">
        <w:rPr>
          <w:sz w:val="24"/>
          <w:szCs w:val="24"/>
        </w:rPr>
        <w:t>Základnou databázou o hospodárení verejnej správy sú údaje z finančných výkazov jednotlivých subjektov verejnej správy za rok 2022, avšak nie všetky boli verifikované schvaľovacím procesom. Definitívne údaje o hospodárení verejnej správy za rok 2022 budú prezentované po skončení schvaľovacieho procesu, na základe vykonaných auditov účtovných výkazov a po získaní definitívnych údajov pre časové rozlíšenie daní a poistného z Finančnej správy SR, Sociálnej poisťovne a zdravotných poisťovní.</w:t>
      </w:r>
    </w:p>
    <w:p w14:paraId="0DCF274C" w14:textId="77777777" w:rsidR="003A0696" w:rsidRDefault="003A0696" w:rsidP="003A0696">
      <w:pPr>
        <w:pStyle w:val="Nadpis2"/>
        <w:spacing w:before="240"/>
      </w:pPr>
      <w:bookmarkStart w:id="21" w:name="_Toc6415635"/>
      <w:bookmarkStart w:id="22" w:name="_Toc132929078"/>
      <w:r>
        <w:t>Saldo verejnej správy</w:t>
      </w:r>
      <w:bookmarkEnd w:id="21"/>
      <w:bookmarkEnd w:id="22"/>
    </w:p>
    <w:p w14:paraId="5F234DFF" w14:textId="77777777" w:rsidR="003A0696" w:rsidRPr="00125FE0" w:rsidRDefault="003A0696" w:rsidP="003A0696">
      <w:pPr>
        <w:spacing w:after="0" w:line="240" w:lineRule="auto"/>
        <w:rPr>
          <w:sz w:val="24"/>
          <w:szCs w:val="24"/>
        </w:rPr>
      </w:pPr>
      <w:r w:rsidRPr="00354C2E">
        <w:rPr>
          <w:sz w:val="24"/>
          <w:szCs w:val="24"/>
        </w:rPr>
        <w:t>Rozpočet verejnej správy na rok 2022, ktorý bol schválený vládou SR</w:t>
      </w:r>
      <w:r w:rsidRPr="005667E8">
        <w:rPr>
          <w:rStyle w:val="Odkaznapoznmkupodiarou"/>
          <w:sz w:val="24"/>
          <w:szCs w:val="24"/>
        </w:rPr>
        <w:footnoteReference w:id="6"/>
      </w:r>
      <w:r w:rsidRPr="005667E8">
        <w:rPr>
          <w:sz w:val="24"/>
          <w:szCs w:val="24"/>
        </w:rPr>
        <w:t xml:space="preserve"> a vzatý na vedomie v</w:t>
      </w:r>
      <w:r>
        <w:rPr>
          <w:sz w:val="24"/>
          <w:szCs w:val="24"/>
        </w:rPr>
        <w:t> </w:t>
      </w:r>
      <w:r w:rsidRPr="005667E8">
        <w:rPr>
          <w:sz w:val="24"/>
          <w:szCs w:val="24"/>
        </w:rPr>
        <w:t>N</w:t>
      </w:r>
      <w:r>
        <w:rPr>
          <w:sz w:val="24"/>
          <w:szCs w:val="24"/>
        </w:rPr>
        <w:t>árodnej rade</w:t>
      </w:r>
      <w:r w:rsidRPr="005667E8">
        <w:rPr>
          <w:sz w:val="24"/>
          <w:szCs w:val="24"/>
        </w:rPr>
        <w:t> SR</w:t>
      </w:r>
      <w:r w:rsidRPr="005667E8">
        <w:rPr>
          <w:rStyle w:val="Odkaznapoznmkupodiarou"/>
          <w:sz w:val="24"/>
          <w:szCs w:val="24"/>
        </w:rPr>
        <w:footnoteReference w:id="7"/>
      </w:r>
      <w:r w:rsidRPr="005667E8">
        <w:rPr>
          <w:sz w:val="24"/>
          <w:szCs w:val="24"/>
        </w:rPr>
        <w:t>, predpokladal hospodárenie verejnej správy so schodkom 5 213 452 tis. eur</w:t>
      </w:r>
      <w:r w:rsidRPr="00354C2E">
        <w:rPr>
          <w:sz w:val="24"/>
          <w:szCs w:val="24"/>
        </w:rPr>
        <w:t xml:space="preserve"> (4,9 % HDP</w:t>
      </w:r>
      <w:r w:rsidRPr="00354C2E">
        <w:rPr>
          <w:b/>
          <w:sz w:val="24"/>
          <w:szCs w:val="24"/>
        </w:rPr>
        <w:t xml:space="preserve">). </w:t>
      </w:r>
      <w:r w:rsidRPr="00125FE0">
        <w:rPr>
          <w:sz w:val="24"/>
          <w:szCs w:val="24"/>
        </w:rPr>
        <w:t>V závere roka 2022 schválila vláda novelu zákona o štátnom rozpočte na rok 2022</w:t>
      </w:r>
      <w:r>
        <w:rPr>
          <w:rStyle w:val="Odkaznapoznmkupodiarou"/>
          <w:sz w:val="24"/>
          <w:szCs w:val="24"/>
        </w:rPr>
        <w:footnoteReference w:id="8"/>
      </w:r>
      <w:r>
        <w:rPr>
          <w:sz w:val="24"/>
          <w:szCs w:val="24"/>
        </w:rPr>
        <w:t xml:space="preserve"> (ďalej len novelizovaný rozpočet)</w:t>
      </w:r>
      <w:r w:rsidRPr="00125FE0">
        <w:rPr>
          <w:sz w:val="24"/>
          <w:szCs w:val="24"/>
        </w:rPr>
        <w:t>, ktorou sa upravili príjmy a výdavky štátneho rozpočtu. Vplyv úpravy štátneho rozpočtu na hospodárenie celej verejnej správy sa odhadoval vo zvýšení deficitu na 5 666 683 tis. eur (5,2 % HDP).</w:t>
      </w:r>
    </w:p>
    <w:p w14:paraId="68742319" w14:textId="77777777" w:rsidR="003A0696" w:rsidRDefault="003A0696" w:rsidP="003A0696">
      <w:pPr>
        <w:spacing w:line="240" w:lineRule="auto"/>
        <w:rPr>
          <w:sz w:val="24"/>
          <w:szCs w:val="24"/>
        </w:rPr>
      </w:pPr>
      <w:r w:rsidRPr="006E179B">
        <w:rPr>
          <w:b/>
          <w:sz w:val="24"/>
          <w:szCs w:val="24"/>
        </w:rPr>
        <w:t xml:space="preserve">Podľa prvého kola notifikácie výsledkov roku 2022, hospodárenie s verejnými financiami v metodike ESA 2010 dosiahlo schodok vo výške </w:t>
      </w:r>
      <w:r w:rsidRPr="006E179B">
        <w:rPr>
          <w:rFonts w:eastAsia="Times New Roman" w:cs="Times New Roman"/>
          <w:b/>
          <w:bCs/>
          <w:sz w:val="24"/>
          <w:szCs w:val="24"/>
          <w:lang w:eastAsia="sk-SK"/>
        </w:rPr>
        <w:t>2 233 781</w:t>
      </w:r>
      <w:r w:rsidRPr="006E179B">
        <w:rPr>
          <w:b/>
          <w:sz w:val="24"/>
          <w:szCs w:val="24"/>
        </w:rPr>
        <w:t> tis. eur (2,0 % HDP)</w:t>
      </w:r>
      <w:r w:rsidRPr="006E179B">
        <w:rPr>
          <w:sz w:val="24"/>
          <w:szCs w:val="24"/>
        </w:rPr>
        <w:t>.</w:t>
      </w:r>
    </w:p>
    <w:p w14:paraId="4A7372C3" w14:textId="77777777" w:rsidR="003A0696" w:rsidRPr="006E179B" w:rsidRDefault="003A0696" w:rsidP="003A0696">
      <w:pPr>
        <w:spacing w:line="240" w:lineRule="auto"/>
        <w:rPr>
          <w:b/>
          <w:sz w:val="24"/>
          <w:szCs w:val="24"/>
        </w:rPr>
      </w:pPr>
      <w:r w:rsidRPr="006E179B">
        <w:rPr>
          <w:sz w:val="24"/>
          <w:szCs w:val="24"/>
          <w:u w:val="single"/>
        </w:rPr>
        <w:t>Pre ďalšie porovnávanie rozpočtovaných hodnôt (vrátane ekonomického vývoja) voči skutočnosti sa ďalej v štátnom záverečnom účte používa novelizovaný rozpočet ŠR na rok 2022 a z neho vyplývajúci odhad deficitu verejnej správy. Pôvodne schválený rozpočet na rok 2022 sa uvádza v</w:t>
      </w:r>
      <w:r>
        <w:rPr>
          <w:sz w:val="24"/>
          <w:szCs w:val="24"/>
          <w:u w:val="single"/>
        </w:rPr>
        <w:t xml:space="preserve"> niektorých </w:t>
      </w:r>
      <w:r w:rsidRPr="006E179B">
        <w:rPr>
          <w:sz w:val="24"/>
          <w:szCs w:val="24"/>
          <w:u w:val="single"/>
        </w:rPr>
        <w:t>tabuľkách informatívne.</w:t>
      </w:r>
    </w:p>
    <w:p w14:paraId="4A068645" w14:textId="77777777" w:rsidR="003A0696" w:rsidRPr="006E179B" w:rsidRDefault="003A0696" w:rsidP="003A0696">
      <w:pPr>
        <w:spacing w:line="240" w:lineRule="auto"/>
        <w:rPr>
          <w:sz w:val="24"/>
          <w:szCs w:val="24"/>
        </w:rPr>
      </w:pPr>
      <w:r w:rsidRPr="006E179B">
        <w:rPr>
          <w:sz w:val="24"/>
          <w:szCs w:val="24"/>
        </w:rPr>
        <w:t>Oproti pôvodne schválenému rozpočtu verejnej správy v decembri 2021 došlo v roku 2022 k zlepšeniu hospodárenia verejnej správy o 2 979 671 tis. eur resp. o 2,9 % HDP.</w:t>
      </w:r>
    </w:p>
    <w:tbl>
      <w:tblPr>
        <w:tblW w:w="9196" w:type="dxa"/>
        <w:tblLayout w:type="fixed"/>
        <w:tblCellMar>
          <w:left w:w="70" w:type="dxa"/>
          <w:right w:w="70" w:type="dxa"/>
        </w:tblCellMar>
        <w:tblLook w:val="04A0" w:firstRow="1" w:lastRow="0" w:firstColumn="1" w:lastColumn="0" w:noHBand="0" w:noVBand="1"/>
      </w:tblPr>
      <w:tblGrid>
        <w:gridCol w:w="2186"/>
        <w:gridCol w:w="1169"/>
        <w:gridCol w:w="1169"/>
        <w:gridCol w:w="1168"/>
        <w:gridCol w:w="1168"/>
        <w:gridCol w:w="1168"/>
        <w:gridCol w:w="1168"/>
      </w:tblGrid>
      <w:tr w:rsidR="003A0696" w:rsidRPr="00D14ECD" w14:paraId="6B47B506" w14:textId="77777777" w:rsidTr="003A0696">
        <w:trPr>
          <w:trHeight w:val="270"/>
        </w:trPr>
        <w:tc>
          <w:tcPr>
            <w:tcW w:w="8028" w:type="dxa"/>
            <w:gridSpan w:val="6"/>
            <w:tcBorders>
              <w:top w:val="nil"/>
              <w:left w:val="nil"/>
              <w:bottom w:val="single" w:sz="4" w:space="0" w:color="auto"/>
              <w:right w:val="nil"/>
            </w:tcBorders>
            <w:shd w:val="clear" w:color="auto" w:fill="auto"/>
            <w:noWrap/>
            <w:vAlign w:val="center"/>
            <w:hideMark/>
          </w:tcPr>
          <w:p w14:paraId="7759E053" w14:textId="77777777" w:rsidR="003A0696" w:rsidRPr="00B81A8B" w:rsidRDefault="003A0696" w:rsidP="003A0696">
            <w:pPr>
              <w:spacing w:after="0" w:line="240" w:lineRule="auto"/>
              <w:jc w:val="left"/>
              <w:rPr>
                <w:rFonts w:eastAsia="Times New Roman" w:cs="Times New Roman"/>
                <w:b/>
                <w:bCs/>
                <w:color w:val="5B9BD5"/>
                <w:sz w:val="20"/>
                <w:szCs w:val="20"/>
                <w:lang w:eastAsia="sk-SK"/>
              </w:rPr>
            </w:pPr>
            <w:r w:rsidRPr="00B81A8B">
              <w:rPr>
                <w:rFonts w:eastAsia="Times New Roman" w:cs="Times New Roman"/>
                <w:b/>
                <w:bCs/>
                <w:color w:val="5B9BD5" w:themeColor="accent1"/>
                <w:sz w:val="20"/>
                <w:szCs w:val="20"/>
                <w:lang w:eastAsia="sk-SK"/>
              </w:rPr>
              <w:t xml:space="preserve">Tabuľka 6  - </w:t>
            </w:r>
            <w:r w:rsidRPr="00B81A8B">
              <w:rPr>
                <w:rFonts w:eastAsia="Times New Roman" w:cs="Times New Roman"/>
                <w:b/>
                <w:bCs/>
                <w:color w:val="5B9BD5"/>
                <w:sz w:val="20"/>
                <w:szCs w:val="20"/>
                <w:lang w:eastAsia="sk-SK"/>
              </w:rPr>
              <w:t>Konsolidované príjmy a výdavky verejnej správy (na akruálnej báze)</w:t>
            </w:r>
          </w:p>
        </w:tc>
        <w:tc>
          <w:tcPr>
            <w:tcW w:w="1168" w:type="dxa"/>
            <w:tcBorders>
              <w:top w:val="nil"/>
              <w:left w:val="nil"/>
              <w:bottom w:val="single" w:sz="4" w:space="0" w:color="auto"/>
              <w:right w:val="nil"/>
            </w:tcBorders>
            <w:shd w:val="clear" w:color="auto" w:fill="auto"/>
            <w:noWrap/>
            <w:vAlign w:val="center"/>
            <w:hideMark/>
          </w:tcPr>
          <w:p w14:paraId="4DFFD97F" w14:textId="77777777" w:rsidR="003A0696" w:rsidRPr="00D14ECD" w:rsidRDefault="003A0696" w:rsidP="003A0696">
            <w:pPr>
              <w:spacing w:after="0" w:line="240" w:lineRule="auto"/>
              <w:jc w:val="left"/>
              <w:rPr>
                <w:rFonts w:eastAsia="Times New Roman" w:cs="Times New Roman"/>
                <w:b/>
                <w:bCs/>
                <w:color w:val="00B0F0"/>
                <w:sz w:val="18"/>
                <w:szCs w:val="18"/>
                <w:lang w:eastAsia="sk-SK"/>
              </w:rPr>
            </w:pPr>
            <w:r w:rsidRPr="00D14ECD">
              <w:rPr>
                <w:rFonts w:eastAsia="Times New Roman" w:cs="Times New Roman"/>
                <w:b/>
                <w:bCs/>
                <w:color w:val="00B0F0"/>
                <w:sz w:val="18"/>
                <w:szCs w:val="18"/>
                <w:lang w:eastAsia="sk-SK"/>
              </w:rPr>
              <w:t> </w:t>
            </w:r>
          </w:p>
        </w:tc>
      </w:tr>
      <w:tr w:rsidR="003A0696" w:rsidRPr="00D14ECD" w14:paraId="520270E8" w14:textId="77777777" w:rsidTr="003A0696">
        <w:trPr>
          <w:trHeight w:val="330"/>
        </w:trPr>
        <w:tc>
          <w:tcPr>
            <w:tcW w:w="2186" w:type="dxa"/>
            <w:vMerge w:val="restart"/>
            <w:tcBorders>
              <w:top w:val="single" w:sz="4" w:space="0" w:color="auto"/>
              <w:left w:val="nil"/>
              <w:bottom w:val="single" w:sz="4" w:space="0" w:color="000000"/>
              <w:right w:val="nil"/>
            </w:tcBorders>
            <w:shd w:val="clear" w:color="auto" w:fill="auto"/>
            <w:noWrap/>
            <w:vAlign w:val="center"/>
            <w:hideMark/>
          </w:tcPr>
          <w:p w14:paraId="38F8A9DB" w14:textId="77777777" w:rsidR="003A0696" w:rsidRPr="00D14ECD" w:rsidRDefault="003A0696" w:rsidP="003A0696">
            <w:pPr>
              <w:spacing w:after="0" w:line="240" w:lineRule="auto"/>
              <w:jc w:val="left"/>
              <w:rPr>
                <w:rFonts w:eastAsia="Times New Roman" w:cs="Times New Roman"/>
                <w:b/>
                <w:bCs/>
                <w:sz w:val="18"/>
                <w:szCs w:val="18"/>
                <w:lang w:eastAsia="sk-SK"/>
              </w:rPr>
            </w:pPr>
            <w:r w:rsidRPr="00D14ECD">
              <w:rPr>
                <w:rFonts w:eastAsia="Times New Roman" w:cs="Times New Roman"/>
                <w:b/>
                <w:bCs/>
                <w:sz w:val="18"/>
                <w:szCs w:val="18"/>
                <w:lang w:eastAsia="sk-SK"/>
              </w:rPr>
              <w:t>v tis. eur</w:t>
            </w:r>
          </w:p>
        </w:tc>
        <w:tc>
          <w:tcPr>
            <w:tcW w:w="1169" w:type="dxa"/>
            <w:tcBorders>
              <w:top w:val="single" w:sz="4" w:space="0" w:color="auto"/>
              <w:left w:val="nil"/>
              <w:bottom w:val="nil"/>
              <w:right w:val="nil"/>
            </w:tcBorders>
            <w:shd w:val="clear" w:color="auto" w:fill="auto"/>
            <w:noWrap/>
            <w:vAlign w:val="center"/>
            <w:hideMark/>
          </w:tcPr>
          <w:p w14:paraId="36990802"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2020 S</w:t>
            </w:r>
          </w:p>
        </w:tc>
        <w:tc>
          <w:tcPr>
            <w:tcW w:w="1169" w:type="dxa"/>
            <w:tcBorders>
              <w:top w:val="single" w:sz="4" w:space="0" w:color="auto"/>
              <w:left w:val="nil"/>
              <w:bottom w:val="nil"/>
              <w:right w:val="nil"/>
            </w:tcBorders>
            <w:shd w:val="clear" w:color="auto" w:fill="auto"/>
            <w:noWrap/>
            <w:vAlign w:val="center"/>
            <w:hideMark/>
          </w:tcPr>
          <w:p w14:paraId="27D4F936"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2021 S</w:t>
            </w:r>
          </w:p>
        </w:tc>
        <w:tc>
          <w:tcPr>
            <w:tcW w:w="1168" w:type="dxa"/>
            <w:tcBorders>
              <w:top w:val="single" w:sz="4" w:space="0" w:color="auto"/>
              <w:left w:val="nil"/>
              <w:bottom w:val="nil"/>
              <w:right w:val="nil"/>
            </w:tcBorders>
            <w:shd w:val="clear" w:color="auto" w:fill="auto"/>
            <w:noWrap/>
            <w:vAlign w:val="center"/>
            <w:hideMark/>
          </w:tcPr>
          <w:p w14:paraId="30696735"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2022 R</w:t>
            </w:r>
          </w:p>
        </w:tc>
        <w:tc>
          <w:tcPr>
            <w:tcW w:w="1168" w:type="dxa"/>
            <w:tcBorders>
              <w:top w:val="nil"/>
              <w:left w:val="nil"/>
              <w:bottom w:val="nil"/>
              <w:right w:val="nil"/>
            </w:tcBorders>
            <w:shd w:val="clear" w:color="auto" w:fill="auto"/>
            <w:noWrap/>
            <w:vAlign w:val="center"/>
            <w:hideMark/>
          </w:tcPr>
          <w:p w14:paraId="56A926E2"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2022 NR</w:t>
            </w:r>
            <w:r w:rsidRPr="00D14ECD">
              <w:rPr>
                <w:rFonts w:eastAsia="Times New Roman" w:cs="Times New Roman"/>
                <w:b/>
                <w:bCs/>
                <w:sz w:val="18"/>
                <w:szCs w:val="18"/>
                <w:vertAlign w:val="superscript"/>
                <w:lang w:eastAsia="sk-SK"/>
              </w:rPr>
              <w:t>1)</w:t>
            </w:r>
          </w:p>
        </w:tc>
        <w:tc>
          <w:tcPr>
            <w:tcW w:w="1168" w:type="dxa"/>
            <w:tcBorders>
              <w:top w:val="single" w:sz="4" w:space="0" w:color="auto"/>
              <w:left w:val="nil"/>
              <w:bottom w:val="nil"/>
              <w:right w:val="nil"/>
            </w:tcBorders>
            <w:shd w:val="clear" w:color="auto" w:fill="auto"/>
            <w:noWrap/>
            <w:vAlign w:val="center"/>
            <w:hideMark/>
          </w:tcPr>
          <w:p w14:paraId="324582A5"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2022 S</w:t>
            </w:r>
          </w:p>
        </w:tc>
        <w:tc>
          <w:tcPr>
            <w:tcW w:w="1168" w:type="dxa"/>
            <w:tcBorders>
              <w:top w:val="single" w:sz="4" w:space="0" w:color="auto"/>
              <w:left w:val="nil"/>
              <w:bottom w:val="nil"/>
              <w:right w:val="nil"/>
            </w:tcBorders>
            <w:shd w:val="clear" w:color="auto" w:fill="auto"/>
            <w:noWrap/>
            <w:vAlign w:val="center"/>
            <w:hideMark/>
          </w:tcPr>
          <w:p w14:paraId="2FB1C5EA"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 xml:space="preserve"> Rozdiel </w:t>
            </w:r>
          </w:p>
        </w:tc>
      </w:tr>
      <w:tr w:rsidR="003A0696" w:rsidRPr="00D14ECD" w14:paraId="0A8FB16B" w14:textId="77777777" w:rsidTr="003A0696">
        <w:trPr>
          <w:trHeight w:val="47"/>
        </w:trPr>
        <w:tc>
          <w:tcPr>
            <w:tcW w:w="2186" w:type="dxa"/>
            <w:vMerge/>
            <w:tcBorders>
              <w:top w:val="single" w:sz="4" w:space="0" w:color="auto"/>
              <w:left w:val="nil"/>
              <w:bottom w:val="single" w:sz="4" w:space="0" w:color="000000"/>
              <w:right w:val="nil"/>
            </w:tcBorders>
            <w:vAlign w:val="center"/>
            <w:hideMark/>
          </w:tcPr>
          <w:p w14:paraId="42B25863" w14:textId="77777777" w:rsidR="003A0696" w:rsidRPr="00D14ECD" w:rsidRDefault="003A0696" w:rsidP="003A0696">
            <w:pPr>
              <w:spacing w:after="0" w:line="240" w:lineRule="auto"/>
              <w:jc w:val="left"/>
              <w:rPr>
                <w:rFonts w:eastAsia="Times New Roman" w:cs="Times New Roman"/>
                <w:b/>
                <w:bCs/>
                <w:sz w:val="18"/>
                <w:szCs w:val="18"/>
                <w:lang w:eastAsia="sk-SK"/>
              </w:rPr>
            </w:pPr>
          </w:p>
        </w:tc>
        <w:tc>
          <w:tcPr>
            <w:tcW w:w="1169" w:type="dxa"/>
            <w:tcBorders>
              <w:top w:val="nil"/>
              <w:left w:val="nil"/>
              <w:bottom w:val="single" w:sz="4" w:space="0" w:color="auto"/>
              <w:right w:val="nil"/>
            </w:tcBorders>
            <w:shd w:val="clear" w:color="auto" w:fill="auto"/>
            <w:noWrap/>
            <w:vAlign w:val="center"/>
            <w:hideMark/>
          </w:tcPr>
          <w:p w14:paraId="4EF59B37"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2</w:t>
            </w:r>
          </w:p>
        </w:tc>
        <w:tc>
          <w:tcPr>
            <w:tcW w:w="1169" w:type="dxa"/>
            <w:tcBorders>
              <w:top w:val="nil"/>
              <w:left w:val="nil"/>
              <w:bottom w:val="single" w:sz="4" w:space="0" w:color="auto"/>
              <w:right w:val="nil"/>
            </w:tcBorders>
            <w:shd w:val="clear" w:color="auto" w:fill="auto"/>
            <w:noWrap/>
            <w:vAlign w:val="center"/>
            <w:hideMark/>
          </w:tcPr>
          <w:p w14:paraId="3F50713C"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3</w:t>
            </w:r>
          </w:p>
        </w:tc>
        <w:tc>
          <w:tcPr>
            <w:tcW w:w="1168" w:type="dxa"/>
            <w:tcBorders>
              <w:top w:val="nil"/>
              <w:left w:val="nil"/>
              <w:bottom w:val="single" w:sz="4" w:space="0" w:color="auto"/>
              <w:right w:val="nil"/>
            </w:tcBorders>
            <w:shd w:val="clear" w:color="auto" w:fill="auto"/>
            <w:noWrap/>
            <w:vAlign w:val="center"/>
            <w:hideMark/>
          </w:tcPr>
          <w:p w14:paraId="0C14E5FD"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4</w:t>
            </w:r>
          </w:p>
        </w:tc>
        <w:tc>
          <w:tcPr>
            <w:tcW w:w="1168" w:type="dxa"/>
            <w:tcBorders>
              <w:top w:val="nil"/>
              <w:left w:val="nil"/>
              <w:bottom w:val="single" w:sz="4" w:space="0" w:color="auto"/>
              <w:right w:val="nil"/>
            </w:tcBorders>
            <w:shd w:val="clear" w:color="auto" w:fill="auto"/>
            <w:noWrap/>
            <w:vAlign w:val="center"/>
            <w:hideMark/>
          </w:tcPr>
          <w:p w14:paraId="18C7D090"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5</w:t>
            </w:r>
          </w:p>
        </w:tc>
        <w:tc>
          <w:tcPr>
            <w:tcW w:w="1168" w:type="dxa"/>
            <w:tcBorders>
              <w:top w:val="nil"/>
              <w:left w:val="nil"/>
              <w:bottom w:val="single" w:sz="4" w:space="0" w:color="auto"/>
              <w:right w:val="nil"/>
            </w:tcBorders>
            <w:shd w:val="clear" w:color="auto" w:fill="auto"/>
            <w:noWrap/>
            <w:vAlign w:val="center"/>
            <w:hideMark/>
          </w:tcPr>
          <w:p w14:paraId="4498D9E3"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6</w:t>
            </w:r>
          </w:p>
        </w:tc>
        <w:tc>
          <w:tcPr>
            <w:tcW w:w="1168" w:type="dxa"/>
            <w:tcBorders>
              <w:top w:val="nil"/>
              <w:left w:val="nil"/>
              <w:bottom w:val="single" w:sz="4" w:space="0" w:color="auto"/>
              <w:right w:val="nil"/>
            </w:tcBorders>
            <w:shd w:val="clear" w:color="auto" w:fill="auto"/>
            <w:noWrap/>
            <w:vAlign w:val="center"/>
            <w:hideMark/>
          </w:tcPr>
          <w:p w14:paraId="36EBAE6F" w14:textId="77777777" w:rsidR="003A0696" w:rsidRPr="00D14ECD" w:rsidRDefault="003A0696" w:rsidP="003A0696">
            <w:pPr>
              <w:spacing w:after="0" w:line="240" w:lineRule="auto"/>
              <w:jc w:val="center"/>
              <w:rPr>
                <w:rFonts w:eastAsia="Times New Roman" w:cs="Times New Roman"/>
                <w:b/>
                <w:bCs/>
                <w:sz w:val="18"/>
                <w:szCs w:val="18"/>
                <w:lang w:eastAsia="sk-SK"/>
              </w:rPr>
            </w:pPr>
            <w:r w:rsidRPr="00D14ECD">
              <w:rPr>
                <w:rFonts w:eastAsia="Times New Roman" w:cs="Times New Roman"/>
                <w:b/>
                <w:bCs/>
                <w:sz w:val="18"/>
                <w:szCs w:val="18"/>
                <w:lang w:eastAsia="sk-SK"/>
              </w:rPr>
              <w:t>7=6-5</w:t>
            </w:r>
          </w:p>
        </w:tc>
      </w:tr>
      <w:tr w:rsidR="003A0696" w:rsidRPr="00D14ECD" w14:paraId="67029710" w14:textId="77777777" w:rsidTr="003A0696">
        <w:trPr>
          <w:trHeight w:val="330"/>
        </w:trPr>
        <w:tc>
          <w:tcPr>
            <w:tcW w:w="2186" w:type="dxa"/>
            <w:tcBorders>
              <w:top w:val="nil"/>
              <w:left w:val="nil"/>
              <w:bottom w:val="nil"/>
              <w:right w:val="nil"/>
            </w:tcBorders>
            <w:shd w:val="clear" w:color="000000" w:fill="FFFFFF"/>
            <w:noWrap/>
            <w:vAlign w:val="center"/>
            <w:hideMark/>
          </w:tcPr>
          <w:p w14:paraId="45960839" w14:textId="77777777" w:rsidR="003A0696" w:rsidRPr="00D14ECD" w:rsidRDefault="003A0696" w:rsidP="003A0696">
            <w:pPr>
              <w:spacing w:after="0" w:line="240" w:lineRule="auto"/>
              <w:jc w:val="left"/>
              <w:rPr>
                <w:rFonts w:eastAsia="Times New Roman" w:cs="Times New Roman"/>
                <w:b/>
                <w:bCs/>
                <w:sz w:val="18"/>
                <w:szCs w:val="18"/>
                <w:lang w:eastAsia="sk-SK"/>
              </w:rPr>
            </w:pPr>
            <w:r w:rsidRPr="00D14ECD">
              <w:rPr>
                <w:rFonts w:eastAsia="Times New Roman" w:cs="Times New Roman"/>
                <w:b/>
                <w:bCs/>
                <w:sz w:val="18"/>
                <w:szCs w:val="18"/>
                <w:lang w:eastAsia="sk-SK"/>
              </w:rPr>
              <w:t>Príjmy spolu, v tom:</w:t>
            </w:r>
          </w:p>
        </w:tc>
        <w:tc>
          <w:tcPr>
            <w:tcW w:w="1169" w:type="dxa"/>
            <w:tcBorders>
              <w:top w:val="nil"/>
              <w:left w:val="nil"/>
              <w:bottom w:val="nil"/>
              <w:right w:val="nil"/>
            </w:tcBorders>
            <w:shd w:val="clear" w:color="auto" w:fill="auto"/>
            <w:noWrap/>
            <w:vAlign w:val="center"/>
            <w:hideMark/>
          </w:tcPr>
          <w:p w14:paraId="27C64EF2"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38 874 179</w:t>
            </w:r>
          </w:p>
        </w:tc>
        <w:tc>
          <w:tcPr>
            <w:tcW w:w="1169" w:type="dxa"/>
            <w:tcBorders>
              <w:top w:val="nil"/>
              <w:left w:val="nil"/>
              <w:bottom w:val="nil"/>
              <w:right w:val="nil"/>
            </w:tcBorders>
            <w:shd w:val="clear" w:color="auto" w:fill="auto"/>
            <w:noWrap/>
            <w:vAlign w:val="center"/>
            <w:hideMark/>
          </w:tcPr>
          <w:p w14:paraId="7DCF6464"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42 372 169</w:t>
            </w:r>
          </w:p>
        </w:tc>
        <w:tc>
          <w:tcPr>
            <w:tcW w:w="1168" w:type="dxa"/>
            <w:tcBorders>
              <w:top w:val="nil"/>
              <w:left w:val="nil"/>
              <w:bottom w:val="nil"/>
              <w:right w:val="nil"/>
            </w:tcBorders>
            <w:shd w:val="clear" w:color="auto" w:fill="auto"/>
            <w:noWrap/>
            <w:vAlign w:val="center"/>
            <w:hideMark/>
          </w:tcPr>
          <w:p w14:paraId="184B3F4D"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43 409 373</w:t>
            </w:r>
          </w:p>
        </w:tc>
        <w:tc>
          <w:tcPr>
            <w:tcW w:w="1168" w:type="dxa"/>
            <w:tcBorders>
              <w:top w:val="nil"/>
              <w:left w:val="nil"/>
              <w:bottom w:val="nil"/>
              <w:right w:val="nil"/>
            </w:tcBorders>
            <w:shd w:val="clear" w:color="auto" w:fill="auto"/>
            <w:noWrap/>
            <w:vAlign w:val="center"/>
            <w:hideMark/>
          </w:tcPr>
          <w:p w14:paraId="19C820E7"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44 611 266</w:t>
            </w:r>
          </w:p>
        </w:tc>
        <w:tc>
          <w:tcPr>
            <w:tcW w:w="1168" w:type="dxa"/>
            <w:tcBorders>
              <w:top w:val="nil"/>
              <w:left w:val="nil"/>
              <w:bottom w:val="nil"/>
              <w:right w:val="nil"/>
            </w:tcBorders>
            <w:shd w:val="clear" w:color="auto" w:fill="auto"/>
            <w:noWrap/>
            <w:vAlign w:val="center"/>
            <w:hideMark/>
          </w:tcPr>
          <w:p w14:paraId="2DA2ECAD"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47 182 360</w:t>
            </w:r>
          </w:p>
        </w:tc>
        <w:tc>
          <w:tcPr>
            <w:tcW w:w="1168" w:type="dxa"/>
            <w:tcBorders>
              <w:top w:val="nil"/>
              <w:left w:val="nil"/>
              <w:bottom w:val="nil"/>
              <w:right w:val="nil"/>
            </w:tcBorders>
            <w:shd w:val="clear" w:color="auto" w:fill="auto"/>
            <w:noWrap/>
            <w:vAlign w:val="center"/>
            <w:hideMark/>
          </w:tcPr>
          <w:p w14:paraId="5E5E6982"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2 571 094</w:t>
            </w:r>
          </w:p>
        </w:tc>
      </w:tr>
      <w:tr w:rsidR="003A0696" w:rsidRPr="00D14ECD" w14:paraId="20F044E1" w14:textId="77777777" w:rsidTr="003A0696">
        <w:trPr>
          <w:trHeight w:val="330"/>
        </w:trPr>
        <w:tc>
          <w:tcPr>
            <w:tcW w:w="2186" w:type="dxa"/>
            <w:tcBorders>
              <w:top w:val="nil"/>
              <w:left w:val="nil"/>
              <w:bottom w:val="nil"/>
              <w:right w:val="nil"/>
            </w:tcBorders>
            <w:shd w:val="clear" w:color="000000" w:fill="FFFFFF"/>
            <w:noWrap/>
            <w:vAlign w:val="center"/>
            <w:hideMark/>
          </w:tcPr>
          <w:p w14:paraId="696A1DCC" w14:textId="77777777" w:rsidR="003A0696" w:rsidRPr="00D14ECD" w:rsidRDefault="003A0696" w:rsidP="003A0696">
            <w:pPr>
              <w:spacing w:after="0" w:line="240" w:lineRule="auto"/>
              <w:jc w:val="left"/>
              <w:rPr>
                <w:rFonts w:eastAsia="Times New Roman" w:cs="Times New Roman"/>
                <w:color w:val="000000"/>
                <w:sz w:val="18"/>
                <w:szCs w:val="18"/>
                <w:lang w:eastAsia="sk-SK"/>
              </w:rPr>
            </w:pPr>
            <w:r w:rsidRPr="00D14ECD">
              <w:rPr>
                <w:rFonts w:eastAsia="Times New Roman" w:cs="Times New Roman"/>
                <w:color w:val="000000"/>
                <w:sz w:val="18"/>
                <w:szCs w:val="18"/>
                <w:lang w:eastAsia="sk-SK"/>
              </w:rPr>
              <w:t>Daňové a poistné príjmy</w:t>
            </w:r>
          </w:p>
        </w:tc>
        <w:tc>
          <w:tcPr>
            <w:tcW w:w="1169" w:type="dxa"/>
            <w:tcBorders>
              <w:top w:val="nil"/>
              <w:left w:val="nil"/>
              <w:bottom w:val="nil"/>
              <w:right w:val="nil"/>
            </w:tcBorders>
            <w:shd w:val="clear" w:color="auto" w:fill="auto"/>
            <w:noWrap/>
            <w:vAlign w:val="center"/>
            <w:hideMark/>
          </w:tcPr>
          <w:p w14:paraId="270604E9"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31 851 848</w:t>
            </w:r>
          </w:p>
        </w:tc>
        <w:tc>
          <w:tcPr>
            <w:tcW w:w="1169" w:type="dxa"/>
            <w:tcBorders>
              <w:top w:val="nil"/>
              <w:left w:val="nil"/>
              <w:bottom w:val="nil"/>
              <w:right w:val="nil"/>
            </w:tcBorders>
            <w:shd w:val="clear" w:color="auto" w:fill="auto"/>
            <w:noWrap/>
            <w:vAlign w:val="center"/>
            <w:hideMark/>
          </w:tcPr>
          <w:p w14:paraId="2CF72467"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34 920 830</w:t>
            </w:r>
          </w:p>
        </w:tc>
        <w:tc>
          <w:tcPr>
            <w:tcW w:w="1168" w:type="dxa"/>
            <w:tcBorders>
              <w:top w:val="nil"/>
              <w:left w:val="nil"/>
              <w:bottom w:val="nil"/>
              <w:right w:val="nil"/>
            </w:tcBorders>
            <w:shd w:val="clear" w:color="auto" w:fill="auto"/>
            <w:noWrap/>
            <w:vAlign w:val="center"/>
            <w:hideMark/>
          </w:tcPr>
          <w:p w14:paraId="203C6161"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35 519 805</w:t>
            </w:r>
          </w:p>
        </w:tc>
        <w:tc>
          <w:tcPr>
            <w:tcW w:w="1168" w:type="dxa"/>
            <w:tcBorders>
              <w:top w:val="nil"/>
              <w:left w:val="nil"/>
              <w:bottom w:val="nil"/>
              <w:right w:val="nil"/>
            </w:tcBorders>
            <w:shd w:val="clear" w:color="auto" w:fill="auto"/>
            <w:noWrap/>
            <w:vAlign w:val="center"/>
            <w:hideMark/>
          </w:tcPr>
          <w:p w14:paraId="47709789"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36 721 698</w:t>
            </w:r>
          </w:p>
        </w:tc>
        <w:tc>
          <w:tcPr>
            <w:tcW w:w="1168" w:type="dxa"/>
            <w:tcBorders>
              <w:top w:val="nil"/>
              <w:left w:val="nil"/>
              <w:bottom w:val="nil"/>
              <w:right w:val="nil"/>
            </w:tcBorders>
            <w:shd w:val="clear" w:color="auto" w:fill="auto"/>
            <w:noWrap/>
            <w:vAlign w:val="center"/>
            <w:hideMark/>
          </w:tcPr>
          <w:p w14:paraId="45723FAE"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37 801 057</w:t>
            </w:r>
          </w:p>
        </w:tc>
        <w:tc>
          <w:tcPr>
            <w:tcW w:w="1168" w:type="dxa"/>
            <w:tcBorders>
              <w:top w:val="nil"/>
              <w:left w:val="nil"/>
              <w:bottom w:val="nil"/>
              <w:right w:val="nil"/>
            </w:tcBorders>
            <w:shd w:val="clear" w:color="000000" w:fill="FFFFFF"/>
            <w:noWrap/>
            <w:vAlign w:val="center"/>
            <w:hideMark/>
          </w:tcPr>
          <w:p w14:paraId="4B01D90A"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1 079 359</w:t>
            </w:r>
          </w:p>
        </w:tc>
      </w:tr>
      <w:tr w:rsidR="003A0696" w:rsidRPr="00D14ECD" w14:paraId="16781C7B" w14:textId="77777777" w:rsidTr="003A0696">
        <w:trPr>
          <w:trHeight w:val="330"/>
        </w:trPr>
        <w:tc>
          <w:tcPr>
            <w:tcW w:w="2186" w:type="dxa"/>
            <w:tcBorders>
              <w:top w:val="nil"/>
              <w:left w:val="nil"/>
              <w:bottom w:val="nil"/>
              <w:right w:val="nil"/>
            </w:tcBorders>
            <w:shd w:val="clear" w:color="000000" w:fill="FFFFFF"/>
            <w:noWrap/>
            <w:vAlign w:val="center"/>
            <w:hideMark/>
          </w:tcPr>
          <w:p w14:paraId="3C8F22F6" w14:textId="77777777" w:rsidR="003A0696" w:rsidRPr="00D14ECD" w:rsidRDefault="003A0696" w:rsidP="003A0696">
            <w:pPr>
              <w:spacing w:after="0" w:line="240" w:lineRule="auto"/>
              <w:jc w:val="left"/>
              <w:rPr>
                <w:rFonts w:eastAsia="Times New Roman" w:cs="Times New Roman"/>
                <w:color w:val="000000"/>
                <w:sz w:val="18"/>
                <w:szCs w:val="18"/>
                <w:lang w:eastAsia="sk-SK"/>
              </w:rPr>
            </w:pPr>
            <w:r w:rsidRPr="00D14ECD">
              <w:rPr>
                <w:rFonts w:eastAsia="Times New Roman" w:cs="Times New Roman"/>
                <w:color w:val="000000"/>
                <w:sz w:val="18"/>
                <w:szCs w:val="18"/>
                <w:lang w:eastAsia="sk-SK"/>
              </w:rPr>
              <w:t>Nedaňové príjmy</w:t>
            </w:r>
          </w:p>
        </w:tc>
        <w:tc>
          <w:tcPr>
            <w:tcW w:w="1169" w:type="dxa"/>
            <w:tcBorders>
              <w:top w:val="nil"/>
              <w:left w:val="nil"/>
              <w:bottom w:val="nil"/>
              <w:right w:val="nil"/>
            </w:tcBorders>
            <w:shd w:val="clear" w:color="auto" w:fill="auto"/>
            <w:noWrap/>
            <w:vAlign w:val="center"/>
            <w:hideMark/>
          </w:tcPr>
          <w:p w14:paraId="5A3D0C2F"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5 442 983</w:t>
            </w:r>
          </w:p>
        </w:tc>
        <w:tc>
          <w:tcPr>
            <w:tcW w:w="1169" w:type="dxa"/>
            <w:tcBorders>
              <w:top w:val="nil"/>
              <w:left w:val="nil"/>
              <w:bottom w:val="nil"/>
              <w:right w:val="nil"/>
            </w:tcBorders>
            <w:shd w:val="clear" w:color="auto" w:fill="auto"/>
            <w:noWrap/>
            <w:vAlign w:val="center"/>
            <w:hideMark/>
          </w:tcPr>
          <w:p w14:paraId="73095896"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5 768 351</w:t>
            </w:r>
          </w:p>
        </w:tc>
        <w:tc>
          <w:tcPr>
            <w:tcW w:w="1168" w:type="dxa"/>
            <w:tcBorders>
              <w:top w:val="nil"/>
              <w:left w:val="nil"/>
              <w:bottom w:val="nil"/>
              <w:right w:val="nil"/>
            </w:tcBorders>
            <w:shd w:val="clear" w:color="auto" w:fill="auto"/>
            <w:noWrap/>
            <w:vAlign w:val="center"/>
            <w:hideMark/>
          </w:tcPr>
          <w:p w14:paraId="489879D0"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5 283 109</w:t>
            </w:r>
          </w:p>
        </w:tc>
        <w:tc>
          <w:tcPr>
            <w:tcW w:w="1168" w:type="dxa"/>
            <w:tcBorders>
              <w:top w:val="nil"/>
              <w:left w:val="nil"/>
              <w:bottom w:val="nil"/>
              <w:right w:val="nil"/>
            </w:tcBorders>
            <w:shd w:val="clear" w:color="auto" w:fill="auto"/>
            <w:noWrap/>
            <w:vAlign w:val="center"/>
            <w:hideMark/>
          </w:tcPr>
          <w:p w14:paraId="1C85FC34"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5 283 109</w:t>
            </w:r>
          </w:p>
        </w:tc>
        <w:tc>
          <w:tcPr>
            <w:tcW w:w="1168" w:type="dxa"/>
            <w:tcBorders>
              <w:top w:val="nil"/>
              <w:left w:val="nil"/>
              <w:bottom w:val="nil"/>
              <w:right w:val="nil"/>
            </w:tcBorders>
            <w:shd w:val="clear" w:color="auto" w:fill="auto"/>
            <w:noWrap/>
            <w:vAlign w:val="center"/>
            <w:hideMark/>
          </w:tcPr>
          <w:p w14:paraId="5B290FFC"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6 877 132</w:t>
            </w:r>
          </w:p>
        </w:tc>
        <w:tc>
          <w:tcPr>
            <w:tcW w:w="1168" w:type="dxa"/>
            <w:tcBorders>
              <w:top w:val="nil"/>
              <w:left w:val="nil"/>
              <w:bottom w:val="nil"/>
              <w:right w:val="nil"/>
            </w:tcBorders>
            <w:shd w:val="clear" w:color="000000" w:fill="FFFFFF"/>
            <w:noWrap/>
            <w:vAlign w:val="center"/>
            <w:hideMark/>
          </w:tcPr>
          <w:p w14:paraId="5157201F"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1 594 023</w:t>
            </w:r>
          </w:p>
        </w:tc>
      </w:tr>
      <w:tr w:rsidR="003A0696" w:rsidRPr="00D14ECD" w14:paraId="0B2AD8DB" w14:textId="77777777" w:rsidTr="003A0696">
        <w:trPr>
          <w:trHeight w:val="330"/>
        </w:trPr>
        <w:tc>
          <w:tcPr>
            <w:tcW w:w="2186" w:type="dxa"/>
            <w:tcBorders>
              <w:top w:val="nil"/>
              <w:left w:val="nil"/>
              <w:bottom w:val="nil"/>
              <w:right w:val="nil"/>
            </w:tcBorders>
            <w:shd w:val="clear" w:color="000000" w:fill="FFFFFF"/>
            <w:noWrap/>
            <w:vAlign w:val="center"/>
            <w:hideMark/>
          </w:tcPr>
          <w:p w14:paraId="18E95EA5" w14:textId="77777777" w:rsidR="003A0696" w:rsidRPr="00D14ECD" w:rsidRDefault="003A0696" w:rsidP="003A0696">
            <w:pPr>
              <w:spacing w:after="0" w:line="240" w:lineRule="auto"/>
              <w:jc w:val="left"/>
              <w:rPr>
                <w:rFonts w:eastAsia="Times New Roman" w:cs="Times New Roman"/>
                <w:color w:val="000000"/>
                <w:sz w:val="18"/>
                <w:szCs w:val="18"/>
                <w:lang w:eastAsia="sk-SK"/>
              </w:rPr>
            </w:pPr>
            <w:r w:rsidRPr="00D14ECD">
              <w:rPr>
                <w:rFonts w:eastAsia="Times New Roman" w:cs="Times New Roman"/>
                <w:color w:val="000000"/>
                <w:sz w:val="18"/>
                <w:szCs w:val="18"/>
                <w:lang w:eastAsia="sk-SK"/>
              </w:rPr>
              <w:t>Granty a transfery</w:t>
            </w:r>
          </w:p>
        </w:tc>
        <w:tc>
          <w:tcPr>
            <w:tcW w:w="1169" w:type="dxa"/>
            <w:tcBorders>
              <w:top w:val="nil"/>
              <w:left w:val="nil"/>
              <w:bottom w:val="nil"/>
              <w:right w:val="nil"/>
            </w:tcBorders>
            <w:shd w:val="clear" w:color="auto" w:fill="auto"/>
            <w:noWrap/>
            <w:vAlign w:val="center"/>
            <w:hideMark/>
          </w:tcPr>
          <w:p w14:paraId="4BE0B01D"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1 579 348</w:t>
            </w:r>
          </w:p>
        </w:tc>
        <w:tc>
          <w:tcPr>
            <w:tcW w:w="1169" w:type="dxa"/>
            <w:tcBorders>
              <w:top w:val="nil"/>
              <w:left w:val="nil"/>
              <w:bottom w:val="nil"/>
              <w:right w:val="nil"/>
            </w:tcBorders>
            <w:shd w:val="clear" w:color="auto" w:fill="auto"/>
            <w:noWrap/>
            <w:vAlign w:val="center"/>
            <w:hideMark/>
          </w:tcPr>
          <w:p w14:paraId="05D13004"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1 682 988</w:t>
            </w:r>
          </w:p>
        </w:tc>
        <w:tc>
          <w:tcPr>
            <w:tcW w:w="1168" w:type="dxa"/>
            <w:tcBorders>
              <w:top w:val="nil"/>
              <w:left w:val="nil"/>
              <w:bottom w:val="nil"/>
              <w:right w:val="nil"/>
            </w:tcBorders>
            <w:shd w:val="clear" w:color="auto" w:fill="auto"/>
            <w:noWrap/>
            <w:vAlign w:val="center"/>
            <w:hideMark/>
          </w:tcPr>
          <w:p w14:paraId="452BB702"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2 606 459</w:t>
            </w:r>
          </w:p>
        </w:tc>
        <w:tc>
          <w:tcPr>
            <w:tcW w:w="1168" w:type="dxa"/>
            <w:tcBorders>
              <w:top w:val="nil"/>
              <w:left w:val="nil"/>
              <w:bottom w:val="nil"/>
              <w:right w:val="nil"/>
            </w:tcBorders>
            <w:shd w:val="clear" w:color="auto" w:fill="auto"/>
            <w:noWrap/>
            <w:vAlign w:val="center"/>
            <w:hideMark/>
          </w:tcPr>
          <w:p w14:paraId="3918B25A"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2 606 459</w:t>
            </w:r>
          </w:p>
        </w:tc>
        <w:tc>
          <w:tcPr>
            <w:tcW w:w="1168" w:type="dxa"/>
            <w:tcBorders>
              <w:top w:val="nil"/>
              <w:left w:val="nil"/>
              <w:bottom w:val="nil"/>
              <w:right w:val="nil"/>
            </w:tcBorders>
            <w:shd w:val="clear" w:color="auto" w:fill="auto"/>
            <w:noWrap/>
            <w:vAlign w:val="center"/>
            <w:hideMark/>
          </w:tcPr>
          <w:p w14:paraId="037EEC62"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2 504 171</w:t>
            </w:r>
          </w:p>
        </w:tc>
        <w:tc>
          <w:tcPr>
            <w:tcW w:w="1168" w:type="dxa"/>
            <w:tcBorders>
              <w:top w:val="nil"/>
              <w:left w:val="nil"/>
              <w:bottom w:val="nil"/>
              <w:right w:val="nil"/>
            </w:tcBorders>
            <w:shd w:val="clear" w:color="000000" w:fill="FFFFFF"/>
            <w:noWrap/>
            <w:vAlign w:val="center"/>
            <w:hideMark/>
          </w:tcPr>
          <w:p w14:paraId="373F1C3B"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-102 288</w:t>
            </w:r>
          </w:p>
        </w:tc>
      </w:tr>
      <w:tr w:rsidR="003A0696" w:rsidRPr="00D14ECD" w14:paraId="68A00773" w14:textId="77777777" w:rsidTr="003A0696">
        <w:trPr>
          <w:trHeight w:val="330"/>
        </w:trPr>
        <w:tc>
          <w:tcPr>
            <w:tcW w:w="2186" w:type="dxa"/>
            <w:tcBorders>
              <w:top w:val="nil"/>
              <w:left w:val="nil"/>
              <w:bottom w:val="nil"/>
              <w:right w:val="nil"/>
            </w:tcBorders>
            <w:shd w:val="clear" w:color="000000" w:fill="FFFFFF"/>
            <w:noWrap/>
            <w:vAlign w:val="center"/>
            <w:hideMark/>
          </w:tcPr>
          <w:p w14:paraId="05CDFFBC" w14:textId="77777777" w:rsidR="003A0696" w:rsidRPr="00D14ECD" w:rsidRDefault="003A0696" w:rsidP="003A0696">
            <w:pPr>
              <w:spacing w:after="0" w:line="240" w:lineRule="auto"/>
              <w:jc w:val="left"/>
              <w:rPr>
                <w:rFonts w:eastAsia="Times New Roman" w:cs="Times New Roman"/>
                <w:b/>
                <w:bCs/>
                <w:sz w:val="18"/>
                <w:szCs w:val="18"/>
                <w:lang w:eastAsia="sk-SK"/>
              </w:rPr>
            </w:pPr>
            <w:r w:rsidRPr="00D14ECD">
              <w:rPr>
                <w:rFonts w:eastAsia="Times New Roman" w:cs="Times New Roman"/>
                <w:b/>
                <w:bCs/>
                <w:sz w:val="18"/>
                <w:szCs w:val="18"/>
                <w:lang w:eastAsia="sk-SK"/>
              </w:rPr>
              <w:t>Výdavky spolu, v tom:</w:t>
            </w:r>
          </w:p>
        </w:tc>
        <w:tc>
          <w:tcPr>
            <w:tcW w:w="1169" w:type="dxa"/>
            <w:tcBorders>
              <w:top w:val="nil"/>
              <w:left w:val="nil"/>
              <w:bottom w:val="nil"/>
              <w:right w:val="nil"/>
            </w:tcBorders>
            <w:shd w:val="clear" w:color="auto" w:fill="auto"/>
            <w:noWrap/>
            <w:vAlign w:val="center"/>
            <w:hideMark/>
          </w:tcPr>
          <w:p w14:paraId="4AD88F49"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43 873 611</w:t>
            </w:r>
          </w:p>
        </w:tc>
        <w:tc>
          <w:tcPr>
            <w:tcW w:w="1169" w:type="dxa"/>
            <w:tcBorders>
              <w:top w:val="nil"/>
              <w:left w:val="nil"/>
              <w:bottom w:val="nil"/>
              <w:right w:val="nil"/>
            </w:tcBorders>
            <w:shd w:val="clear" w:color="auto" w:fill="auto"/>
            <w:noWrap/>
            <w:vAlign w:val="center"/>
            <w:hideMark/>
          </w:tcPr>
          <w:p w14:paraId="70FDC200"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47 820 262</w:t>
            </w:r>
          </w:p>
        </w:tc>
        <w:tc>
          <w:tcPr>
            <w:tcW w:w="1168" w:type="dxa"/>
            <w:tcBorders>
              <w:top w:val="nil"/>
              <w:left w:val="nil"/>
              <w:bottom w:val="nil"/>
              <w:right w:val="nil"/>
            </w:tcBorders>
            <w:shd w:val="clear" w:color="auto" w:fill="auto"/>
            <w:noWrap/>
            <w:vAlign w:val="center"/>
            <w:hideMark/>
          </w:tcPr>
          <w:p w14:paraId="52087C13"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48 622 825</w:t>
            </w:r>
          </w:p>
        </w:tc>
        <w:tc>
          <w:tcPr>
            <w:tcW w:w="1168" w:type="dxa"/>
            <w:tcBorders>
              <w:top w:val="nil"/>
              <w:left w:val="nil"/>
              <w:bottom w:val="nil"/>
              <w:right w:val="nil"/>
            </w:tcBorders>
            <w:shd w:val="clear" w:color="auto" w:fill="auto"/>
            <w:noWrap/>
            <w:vAlign w:val="center"/>
            <w:hideMark/>
          </w:tcPr>
          <w:p w14:paraId="2A8CCB55"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50 277 949</w:t>
            </w:r>
          </w:p>
        </w:tc>
        <w:tc>
          <w:tcPr>
            <w:tcW w:w="1168" w:type="dxa"/>
            <w:tcBorders>
              <w:top w:val="nil"/>
              <w:left w:val="nil"/>
              <w:bottom w:val="nil"/>
              <w:right w:val="nil"/>
            </w:tcBorders>
            <w:shd w:val="clear" w:color="auto" w:fill="auto"/>
            <w:noWrap/>
            <w:vAlign w:val="center"/>
            <w:hideMark/>
          </w:tcPr>
          <w:p w14:paraId="76613AF7"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49 416 141</w:t>
            </w:r>
          </w:p>
        </w:tc>
        <w:tc>
          <w:tcPr>
            <w:tcW w:w="1168" w:type="dxa"/>
            <w:tcBorders>
              <w:top w:val="nil"/>
              <w:left w:val="nil"/>
              <w:bottom w:val="nil"/>
              <w:right w:val="nil"/>
            </w:tcBorders>
            <w:shd w:val="clear" w:color="auto" w:fill="auto"/>
            <w:noWrap/>
            <w:vAlign w:val="center"/>
            <w:hideMark/>
          </w:tcPr>
          <w:p w14:paraId="0B2013B0"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-861 808</w:t>
            </w:r>
          </w:p>
        </w:tc>
      </w:tr>
      <w:tr w:rsidR="003A0696" w:rsidRPr="00D14ECD" w14:paraId="3A7CE0ED" w14:textId="77777777" w:rsidTr="003A0696">
        <w:trPr>
          <w:trHeight w:val="330"/>
        </w:trPr>
        <w:tc>
          <w:tcPr>
            <w:tcW w:w="2186" w:type="dxa"/>
            <w:tcBorders>
              <w:top w:val="nil"/>
              <w:left w:val="nil"/>
              <w:bottom w:val="nil"/>
              <w:right w:val="nil"/>
            </w:tcBorders>
            <w:shd w:val="clear" w:color="000000" w:fill="FFFFFF"/>
            <w:noWrap/>
            <w:vAlign w:val="center"/>
            <w:hideMark/>
          </w:tcPr>
          <w:p w14:paraId="5E4AAFAD" w14:textId="77777777" w:rsidR="003A0696" w:rsidRPr="00D14ECD" w:rsidRDefault="003A0696" w:rsidP="003A0696">
            <w:pPr>
              <w:spacing w:after="0" w:line="240" w:lineRule="auto"/>
              <w:jc w:val="left"/>
              <w:rPr>
                <w:rFonts w:eastAsia="Times New Roman" w:cs="Times New Roman"/>
                <w:color w:val="000000"/>
                <w:sz w:val="18"/>
                <w:szCs w:val="18"/>
                <w:lang w:eastAsia="sk-SK"/>
              </w:rPr>
            </w:pPr>
            <w:r w:rsidRPr="00D14ECD">
              <w:rPr>
                <w:rFonts w:eastAsia="Times New Roman" w:cs="Times New Roman"/>
                <w:color w:val="000000"/>
                <w:sz w:val="18"/>
                <w:szCs w:val="18"/>
                <w:lang w:eastAsia="sk-SK"/>
              </w:rPr>
              <w:t>Bežné výdavky</w:t>
            </w:r>
          </w:p>
        </w:tc>
        <w:tc>
          <w:tcPr>
            <w:tcW w:w="1169" w:type="dxa"/>
            <w:tcBorders>
              <w:top w:val="nil"/>
              <w:left w:val="nil"/>
              <w:bottom w:val="nil"/>
              <w:right w:val="nil"/>
            </w:tcBorders>
            <w:shd w:val="clear" w:color="auto" w:fill="auto"/>
            <w:noWrap/>
            <w:vAlign w:val="center"/>
            <w:hideMark/>
          </w:tcPr>
          <w:p w14:paraId="72426513"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40 897 053</w:t>
            </w:r>
          </w:p>
        </w:tc>
        <w:tc>
          <w:tcPr>
            <w:tcW w:w="1169" w:type="dxa"/>
            <w:tcBorders>
              <w:top w:val="nil"/>
              <w:left w:val="nil"/>
              <w:bottom w:val="nil"/>
              <w:right w:val="nil"/>
            </w:tcBorders>
            <w:shd w:val="clear" w:color="auto" w:fill="auto"/>
            <w:noWrap/>
            <w:vAlign w:val="center"/>
            <w:hideMark/>
          </w:tcPr>
          <w:p w14:paraId="782C72F3"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44 893 561</w:t>
            </w:r>
          </w:p>
        </w:tc>
        <w:tc>
          <w:tcPr>
            <w:tcW w:w="1168" w:type="dxa"/>
            <w:tcBorders>
              <w:top w:val="nil"/>
              <w:left w:val="nil"/>
              <w:bottom w:val="nil"/>
              <w:right w:val="nil"/>
            </w:tcBorders>
            <w:shd w:val="clear" w:color="auto" w:fill="auto"/>
            <w:noWrap/>
            <w:vAlign w:val="center"/>
            <w:hideMark/>
          </w:tcPr>
          <w:p w14:paraId="5C42C797"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44 071 758</w:t>
            </w:r>
          </w:p>
        </w:tc>
        <w:tc>
          <w:tcPr>
            <w:tcW w:w="1168" w:type="dxa"/>
            <w:tcBorders>
              <w:top w:val="nil"/>
              <w:left w:val="nil"/>
              <w:bottom w:val="nil"/>
              <w:right w:val="nil"/>
            </w:tcBorders>
            <w:shd w:val="clear" w:color="auto" w:fill="auto"/>
            <w:noWrap/>
            <w:vAlign w:val="center"/>
            <w:hideMark/>
          </w:tcPr>
          <w:p w14:paraId="08EFDAAE"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45 727 892</w:t>
            </w:r>
          </w:p>
        </w:tc>
        <w:tc>
          <w:tcPr>
            <w:tcW w:w="1168" w:type="dxa"/>
            <w:tcBorders>
              <w:top w:val="nil"/>
              <w:left w:val="nil"/>
              <w:bottom w:val="nil"/>
              <w:right w:val="nil"/>
            </w:tcBorders>
            <w:shd w:val="clear" w:color="auto" w:fill="auto"/>
            <w:noWrap/>
            <w:vAlign w:val="center"/>
            <w:hideMark/>
          </w:tcPr>
          <w:p w14:paraId="74A4EB1F"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45 955 781</w:t>
            </w:r>
          </w:p>
        </w:tc>
        <w:tc>
          <w:tcPr>
            <w:tcW w:w="1168" w:type="dxa"/>
            <w:tcBorders>
              <w:top w:val="nil"/>
              <w:left w:val="nil"/>
              <w:bottom w:val="nil"/>
              <w:right w:val="nil"/>
            </w:tcBorders>
            <w:shd w:val="clear" w:color="000000" w:fill="FFFFFF"/>
            <w:noWrap/>
            <w:vAlign w:val="center"/>
            <w:hideMark/>
          </w:tcPr>
          <w:p w14:paraId="75DD0104"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227 889</w:t>
            </w:r>
          </w:p>
        </w:tc>
      </w:tr>
      <w:tr w:rsidR="003A0696" w:rsidRPr="00D14ECD" w14:paraId="7793A009" w14:textId="77777777" w:rsidTr="003A0696">
        <w:trPr>
          <w:trHeight w:val="279"/>
        </w:trPr>
        <w:tc>
          <w:tcPr>
            <w:tcW w:w="2186" w:type="dxa"/>
            <w:tcBorders>
              <w:top w:val="nil"/>
              <w:left w:val="nil"/>
              <w:bottom w:val="nil"/>
              <w:right w:val="nil"/>
            </w:tcBorders>
            <w:shd w:val="clear" w:color="000000" w:fill="FFFFFF"/>
            <w:noWrap/>
            <w:vAlign w:val="center"/>
            <w:hideMark/>
          </w:tcPr>
          <w:p w14:paraId="63CDC248" w14:textId="77777777" w:rsidR="003A0696" w:rsidRPr="00D14ECD" w:rsidRDefault="003A0696" w:rsidP="003A0696">
            <w:pPr>
              <w:spacing w:after="0" w:line="240" w:lineRule="auto"/>
              <w:jc w:val="left"/>
              <w:rPr>
                <w:rFonts w:eastAsia="Times New Roman" w:cs="Times New Roman"/>
                <w:color w:val="000000"/>
                <w:sz w:val="18"/>
                <w:szCs w:val="18"/>
                <w:lang w:eastAsia="sk-SK"/>
              </w:rPr>
            </w:pPr>
            <w:r w:rsidRPr="00D14ECD">
              <w:rPr>
                <w:rFonts w:eastAsia="Times New Roman" w:cs="Times New Roman"/>
                <w:color w:val="000000"/>
                <w:sz w:val="18"/>
                <w:szCs w:val="18"/>
                <w:lang w:eastAsia="sk-SK"/>
              </w:rPr>
              <w:t>Kapitálové výdavky</w:t>
            </w:r>
          </w:p>
        </w:tc>
        <w:tc>
          <w:tcPr>
            <w:tcW w:w="1169" w:type="dxa"/>
            <w:tcBorders>
              <w:top w:val="nil"/>
              <w:left w:val="nil"/>
              <w:bottom w:val="nil"/>
              <w:right w:val="nil"/>
            </w:tcBorders>
            <w:shd w:val="clear" w:color="auto" w:fill="auto"/>
            <w:noWrap/>
            <w:vAlign w:val="center"/>
            <w:hideMark/>
          </w:tcPr>
          <w:p w14:paraId="67A32A5B"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2 976 558</w:t>
            </w:r>
          </w:p>
        </w:tc>
        <w:tc>
          <w:tcPr>
            <w:tcW w:w="1169" w:type="dxa"/>
            <w:tcBorders>
              <w:top w:val="nil"/>
              <w:left w:val="nil"/>
              <w:bottom w:val="nil"/>
              <w:right w:val="nil"/>
            </w:tcBorders>
            <w:shd w:val="clear" w:color="auto" w:fill="auto"/>
            <w:noWrap/>
            <w:vAlign w:val="center"/>
            <w:hideMark/>
          </w:tcPr>
          <w:p w14:paraId="799CDBF7"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2 926 701</w:t>
            </w:r>
          </w:p>
        </w:tc>
        <w:tc>
          <w:tcPr>
            <w:tcW w:w="1168" w:type="dxa"/>
            <w:tcBorders>
              <w:top w:val="nil"/>
              <w:left w:val="nil"/>
              <w:bottom w:val="nil"/>
              <w:right w:val="nil"/>
            </w:tcBorders>
            <w:shd w:val="clear" w:color="auto" w:fill="auto"/>
            <w:noWrap/>
            <w:vAlign w:val="center"/>
            <w:hideMark/>
          </w:tcPr>
          <w:p w14:paraId="11AF9D0D"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4 551 067</w:t>
            </w:r>
          </w:p>
        </w:tc>
        <w:tc>
          <w:tcPr>
            <w:tcW w:w="1168" w:type="dxa"/>
            <w:tcBorders>
              <w:top w:val="nil"/>
              <w:left w:val="nil"/>
              <w:bottom w:val="nil"/>
              <w:right w:val="nil"/>
            </w:tcBorders>
            <w:shd w:val="clear" w:color="auto" w:fill="auto"/>
            <w:noWrap/>
            <w:vAlign w:val="center"/>
            <w:hideMark/>
          </w:tcPr>
          <w:p w14:paraId="1928BB31"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rFonts w:eastAsia="Times New Roman" w:cs="Times New Roman"/>
                <w:sz w:val="18"/>
                <w:szCs w:val="18"/>
                <w:lang w:eastAsia="sk-SK"/>
              </w:rPr>
              <w:t>4 550 057</w:t>
            </w:r>
          </w:p>
        </w:tc>
        <w:tc>
          <w:tcPr>
            <w:tcW w:w="1168" w:type="dxa"/>
            <w:tcBorders>
              <w:top w:val="nil"/>
              <w:left w:val="nil"/>
              <w:bottom w:val="nil"/>
              <w:right w:val="nil"/>
            </w:tcBorders>
            <w:shd w:val="clear" w:color="auto" w:fill="auto"/>
            <w:noWrap/>
            <w:vAlign w:val="center"/>
            <w:hideMark/>
          </w:tcPr>
          <w:p w14:paraId="4AA1F482"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3 460 360</w:t>
            </w:r>
          </w:p>
        </w:tc>
        <w:tc>
          <w:tcPr>
            <w:tcW w:w="1168" w:type="dxa"/>
            <w:tcBorders>
              <w:top w:val="nil"/>
              <w:left w:val="nil"/>
              <w:bottom w:val="nil"/>
              <w:right w:val="nil"/>
            </w:tcBorders>
            <w:shd w:val="clear" w:color="000000" w:fill="FFFFFF"/>
            <w:noWrap/>
            <w:vAlign w:val="center"/>
            <w:hideMark/>
          </w:tcPr>
          <w:p w14:paraId="422DF16C" w14:textId="77777777" w:rsidR="003A0696" w:rsidRPr="00D14ECD" w:rsidRDefault="003A0696" w:rsidP="003A0696">
            <w:pPr>
              <w:spacing w:after="0" w:line="240" w:lineRule="auto"/>
              <w:jc w:val="right"/>
              <w:rPr>
                <w:rFonts w:eastAsia="Times New Roman" w:cs="Times New Roman"/>
                <w:sz w:val="18"/>
                <w:szCs w:val="18"/>
                <w:lang w:eastAsia="sk-SK"/>
              </w:rPr>
            </w:pPr>
            <w:r w:rsidRPr="00D14ECD">
              <w:rPr>
                <w:sz w:val="18"/>
                <w:szCs w:val="18"/>
              </w:rPr>
              <w:t>-1 089 697</w:t>
            </w:r>
          </w:p>
        </w:tc>
      </w:tr>
      <w:tr w:rsidR="003A0696" w:rsidRPr="00D14ECD" w14:paraId="0DD5948D" w14:textId="77777777" w:rsidTr="003A0696">
        <w:trPr>
          <w:trHeight w:val="330"/>
        </w:trPr>
        <w:tc>
          <w:tcPr>
            <w:tcW w:w="2186" w:type="dxa"/>
            <w:tcBorders>
              <w:top w:val="nil"/>
              <w:left w:val="nil"/>
              <w:bottom w:val="nil"/>
              <w:right w:val="nil"/>
            </w:tcBorders>
            <w:shd w:val="clear" w:color="000000" w:fill="FFFFFF"/>
            <w:noWrap/>
            <w:vAlign w:val="center"/>
            <w:hideMark/>
          </w:tcPr>
          <w:p w14:paraId="756F775F" w14:textId="77777777" w:rsidR="003A0696" w:rsidRPr="00D14ECD" w:rsidRDefault="003A0696" w:rsidP="003A0696">
            <w:pPr>
              <w:spacing w:after="0" w:line="240" w:lineRule="auto"/>
              <w:jc w:val="left"/>
              <w:rPr>
                <w:rFonts w:eastAsia="Times New Roman" w:cs="Times New Roman"/>
                <w:b/>
                <w:bCs/>
                <w:sz w:val="18"/>
                <w:szCs w:val="18"/>
                <w:lang w:eastAsia="sk-SK"/>
              </w:rPr>
            </w:pPr>
            <w:r w:rsidRPr="00D14ECD">
              <w:rPr>
                <w:rFonts w:eastAsia="Times New Roman" w:cs="Times New Roman"/>
                <w:b/>
                <w:bCs/>
                <w:sz w:val="18"/>
                <w:szCs w:val="18"/>
                <w:lang w:eastAsia="sk-SK"/>
              </w:rPr>
              <w:t>Saldo podľa ESA2010</w:t>
            </w:r>
          </w:p>
        </w:tc>
        <w:tc>
          <w:tcPr>
            <w:tcW w:w="1169" w:type="dxa"/>
            <w:tcBorders>
              <w:top w:val="nil"/>
              <w:left w:val="nil"/>
              <w:bottom w:val="nil"/>
              <w:right w:val="nil"/>
            </w:tcBorders>
            <w:shd w:val="clear" w:color="000000" w:fill="FFFFFF"/>
            <w:noWrap/>
            <w:vAlign w:val="center"/>
            <w:hideMark/>
          </w:tcPr>
          <w:p w14:paraId="50436C53"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-4 999 432</w:t>
            </w:r>
          </w:p>
        </w:tc>
        <w:tc>
          <w:tcPr>
            <w:tcW w:w="1169" w:type="dxa"/>
            <w:tcBorders>
              <w:top w:val="nil"/>
              <w:left w:val="nil"/>
              <w:bottom w:val="nil"/>
              <w:right w:val="nil"/>
            </w:tcBorders>
            <w:shd w:val="clear" w:color="000000" w:fill="FFFFFF"/>
            <w:noWrap/>
            <w:vAlign w:val="center"/>
            <w:hideMark/>
          </w:tcPr>
          <w:p w14:paraId="459F8CE2"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-5 448 093</w:t>
            </w:r>
          </w:p>
        </w:tc>
        <w:tc>
          <w:tcPr>
            <w:tcW w:w="1168" w:type="dxa"/>
            <w:tcBorders>
              <w:top w:val="nil"/>
              <w:left w:val="nil"/>
              <w:bottom w:val="nil"/>
              <w:right w:val="nil"/>
            </w:tcBorders>
            <w:shd w:val="clear" w:color="000000" w:fill="FFFFFF"/>
            <w:noWrap/>
            <w:vAlign w:val="center"/>
            <w:hideMark/>
          </w:tcPr>
          <w:p w14:paraId="14ECA70D"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-5 213 452</w:t>
            </w:r>
          </w:p>
        </w:tc>
        <w:tc>
          <w:tcPr>
            <w:tcW w:w="1168" w:type="dxa"/>
            <w:tcBorders>
              <w:top w:val="nil"/>
              <w:left w:val="nil"/>
              <w:bottom w:val="nil"/>
              <w:right w:val="nil"/>
            </w:tcBorders>
            <w:shd w:val="clear" w:color="000000" w:fill="FFFFFF"/>
            <w:noWrap/>
            <w:vAlign w:val="center"/>
            <w:hideMark/>
          </w:tcPr>
          <w:p w14:paraId="55D1553E"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rFonts w:eastAsia="Times New Roman" w:cs="Times New Roman"/>
                <w:b/>
                <w:bCs/>
                <w:sz w:val="18"/>
                <w:szCs w:val="18"/>
                <w:lang w:eastAsia="sk-SK"/>
              </w:rPr>
              <w:t>-5 666 683</w:t>
            </w:r>
          </w:p>
        </w:tc>
        <w:tc>
          <w:tcPr>
            <w:tcW w:w="1168" w:type="dxa"/>
            <w:tcBorders>
              <w:top w:val="nil"/>
              <w:left w:val="nil"/>
              <w:bottom w:val="nil"/>
              <w:right w:val="nil"/>
            </w:tcBorders>
            <w:shd w:val="clear" w:color="auto" w:fill="auto"/>
            <w:noWrap/>
            <w:vAlign w:val="center"/>
            <w:hideMark/>
          </w:tcPr>
          <w:p w14:paraId="5AC01C37"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-2 233 781</w:t>
            </w:r>
          </w:p>
        </w:tc>
        <w:tc>
          <w:tcPr>
            <w:tcW w:w="1168" w:type="dxa"/>
            <w:tcBorders>
              <w:top w:val="nil"/>
              <w:left w:val="nil"/>
              <w:bottom w:val="nil"/>
              <w:right w:val="nil"/>
            </w:tcBorders>
            <w:shd w:val="clear" w:color="000000" w:fill="FFFFFF"/>
            <w:noWrap/>
            <w:vAlign w:val="center"/>
            <w:hideMark/>
          </w:tcPr>
          <w:p w14:paraId="17074B04"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3 432 902</w:t>
            </w:r>
          </w:p>
        </w:tc>
      </w:tr>
      <w:tr w:rsidR="003A0696" w:rsidRPr="00D14ECD" w14:paraId="3F82A739" w14:textId="77777777" w:rsidTr="003A0696">
        <w:trPr>
          <w:trHeight w:val="330"/>
        </w:trPr>
        <w:tc>
          <w:tcPr>
            <w:tcW w:w="2186" w:type="dxa"/>
            <w:tcBorders>
              <w:top w:val="nil"/>
              <w:left w:val="nil"/>
              <w:bottom w:val="single" w:sz="4" w:space="0" w:color="auto"/>
              <w:right w:val="nil"/>
            </w:tcBorders>
            <w:shd w:val="clear" w:color="000000" w:fill="FFFFFF"/>
            <w:noWrap/>
            <w:vAlign w:val="center"/>
            <w:hideMark/>
          </w:tcPr>
          <w:p w14:paraId="55B08C42" w14:textId="77777777" w:rsidR="003A0696" w:rsidRPr="00D14ECD" w:rsidRDefault="003A0696" w:rsidP="003A0696">
            <w:pPr>
              <w:spacing w:after="0" w:line="240" w:lineRule="auto"/>
              <w:jc w:val="left"/>
              <w:rPr>
                <w:rFonts w:eastAsia="Times New Roman" w:cs="Times New Roman"/>
                <w:b/>
                <w:bCs/>
                <w:sz w:val="18"/>
                <w:szCs w:val="18"/>
                <w:lang w:eastAsia="sk-SK"/>
              </w:rPr>
            </w:pPr>
            <w:r w:rsidRPr="00D14ECD">
              <w:rPr>
                <w:rFonts w:eastAsia="Times New Roman" w:cs="Times New Roman"/>
                <w:b/>
                <w:bCs/>
                <w:sz w:val="18"/>
                <w:szCs w:val="18"/>
                <w:lang w:eastAsia="sk-SK"/>
              </w:rPr>
              <w:t xml:space="preserve">           % z HDP</w:t>
            </w:r>
          </w:p>
        </w:tc>
        <w:tc>
          <w:tcPr>
            <w:tcW w:w="1169" w:type="dxa"/>
            <w:tcBorders>
              <w:top w:val="nil"/>
              <w:left w:val="nil"/>
              <w:bottom w:val="single" w:sz="4" w:space="0" w:color="auto"/>
              <w:right w:val="nil"/>
            </w:tcBorders>
            <w:shd w:val="clear" w:color="000000" w:fill="FFFFFF"/>
            <w:noWrap/>
            <w:vAlign w:val="center"/>
            <w:hideMark/>
          </w:tcPr>
          <w:p w14:paraId="7101B22A"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-5,4</w:t>
            </w:r>
          </w:p>
        </w:tc>
        <w:tc>
          <w:tcPr>
            <w:tcW w:w="1169" w:type="dxa"/>
            <w:tcBorders>
              <w:top w:val="nil"/>
              <w:left w:val="nil"/>
              <w:bottom w:val="single" w:sz="4" w:space="0" w:color="auto"/>
              <w:right w:val="nil"/>
            </w:tcBorders>
            <w:shd w:val="clear" w:color="000000" w:fill="FFFFFF"/>
            <w:noWrap/>
            <w:vAlign w:val="center"/>
            <w:hideMark/>
          </w:tcPr>
          <w:p w14:paraId="691CEE91"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-5,4</w:t>
            </w:r>
          </w:p>
        </w:tc>
        <w:tc>
          <w:tcPr>
            <w:tcW w:w="1168" w:type="dxa"/>
            <w:tcBorders>
              <w:top w:val="nil"/>
              <w:left w:val="nil"/>
              <w:bottom w:val="single" w:sz="4" w:space="0" w:color="auto"/>
              <w:right w:val="nil"/>
            </w:tcBorders>
            <w:shd w:val="clear" w:color="000000" w:fill="FFFFFF"/>
            <w:noWrap/>
            <w:vAlign w:val="center"/>
            <w:hideMark/>
          </w:tcPr>
          <w:p w14:paraId="15F90D84"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-4,9</w:t>
            </w:r>
          </w:p>
        </w:tc>
        <w:tc>
          <w:tcPr>
            <w:tcW w:w="1168" w:type="dxa"/>
            <w:tcBorders>
              <w:top w:val="nil"/>
              <w:left w:val="nil"/>
              <w:bottom w:val="single" w:sz="4" w:space="0" w:color="auto"/>
              <w:right w:val="nil"/>
            </w:tcBorders>
            <w:shd w:val="clear" w:color="000000" w:fill="FFFFFF"/>
            <w:noWrap/>
            <w:vAlign w:val="center"/>
            <w:hideMark/>
          </w:tcPr>
          <w:p w14:paraId="0E883675"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-5,2</w:t>
            </w:r>
          </w:p>
        </w:tc>
        <w:tc>
          <w:tcPr>
            <w:tcW w:w="1168" w:type="dxa"/>
            <w:tcBorders>
              <w:top w:val="nil"/>
              <w:left w:val="nil"/>
              <w:bottom w:val="single" w:sz="4" w:space="0" w:color="auto"/>
              <w:right w:val="nil"/>
            </w:tcBorders>
            <w:shd w:val="clear" w:color="auto" w:fill="auto"/>
            <w:noWrap/>
            <w:vAlign w:val="center"/>
            <w:hideMark/>
          </w:tcPr>
          <w:p w14:paraId="1A9DCE25"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-2,0</w:t>
            </w:r>
          </w:p>
        </w:tc>
        <w:tc>
          <w:tcPr>
            <w:tcW w:w="1168" w:type="dxa"/>
            <w:tcBorders>
              <w:top w:val="nil"/>
              <w:left w:val="nil"/>
              <w:bottom w:val="single" w:sz="4" w:space="0" w:color="auto"/>
              <w:right w:val="nil"/>
            </w:tcBorders>
            <w:shd w:val="clear" w:color="000000" w:fill="FFFFFF"/>
            <w:noWrap/>
            <w:vAlign w:val="center"/>
            <w:hideMark/>
          </w:tcPr>
          <w:p w14:paraId="32FA184A" w14:textId="77777777" w:rsidR="003A0696" w:rsidRPr="00D14ECD" w:rsidRDefault="003A0696" w:rsidP="003A0696">
            <w:pPr>
              <w:spacing w:after="0" w:line="240" w:lineRule="auto"/>
              <w:jc w:val="right"/>
              <w:rPr>
                <w:rFonts w:eastAsia="Times New Roman" w:cs="Times New Roman"/>
                <w:b/>
                <w:bCs/>
                <w:sz w:val="18"/>
                <w:szCs w:val="18"/>
                <w:lang w:eastAsia="sk-SK"/>
              </w:rPr>
            </w:pPr>
            <w:r w:rsidRPr="00D14ECD">
              <w:rPr>
                <w:b/>
                <w:bCs/>
                <w:sz w:val="18"/>
                <w:szCs w:val="18"/>
              </w:rPr>
              <w:t>3,2</w:t>
            </w:r>
          </w:p>
        </w:tc>
      </w:tr>
    </w:tbl>
    <w:p w14:paraId="12561578" w14:textId="77777777" w:rsidR="003A0696" w:rsidRDefault="003A0696" w:rsidP="003A0696">
      <w:pPr>
        <w:spacing w:after="0" w:line="240" w:lineRule="auto"/>
        <w:rPr>
          <w:sz w:val="16"/>
          <w:szCs w:val="16"/>
        </w:rPr>
      </w:pPr>
      <w:r w:rsidRPr="000377C8">
        <w:rPr>
          <w:sz w:val="16"/>
          <w:szCs w:val="16"/>
          <w:vertAlign w:val="superscript"/>
        </w:rPr>
        <w:t>1)</w:t>
      </w:r>
      <w:r w:rsidRPr="000377C8">
        <w:rPr>
          <w:sz w:val="16"/>
          <w:szCs w:val="16"/>
        </w:rPr>
        <w:t xml:space="preserve"> Rozpočet verejnej správy po novele štátneho rozpočtu na základe zákona č.</w:t>
      </w:r>
      <w:r>
        <w:rPr>
          <w:sz w:val="16"/>
          <w:szCs w:val="16"/>
        </w:rPr>
        <w:t> </w:t>
      </w:r>
      <w:r w:rsidRPr="000377C8">
        <w:rPr>
          <w:sz w:val="16"/>
          <w:szCs w:val="16"/>
        </w:rPr>
        <w:t xml:space="preserve">357/2022 Z. z., ktorým sa mení a </w:t>
      </w:r>
      <w:r>
        <w:rPr>
          <w:sz w:val="16"/>
          <w:szCs w:val="16"/>
        </w:rPr>
        <w:tab/>
      </w:r>
      <w:r>
        <w:rPr>
          <w:sz w:val="16"/>
          <w:szCs w:val="16"/>
        </w:rPr>
        <w:tab/>
        <w:t xml:space="preserve">  Zdroj: MF SR</w:t>
      </w:r>
    </w:p>
    <w:p w14:paraId="0B825551" w14:textId="77777777" w:rsidR="003A0696" w:rsidRDefault="003A0696" w:rsidP="003A0696">
      <w:pPr>
        <w:spacing w:after="0" w:line="240" w:lineRule="auto"/>
        <w:rPr>
          <w:sz w:val="16"/>
          <w:szCs w:val="16"/>
        </w:rPr>
      </w:pPr>
      <w:r w:rsidRPr="000377C8">
        <w:rPr>
          <w:sz w:val="16"/>
          <w:szCs w:val="16"/>
        </w:rPr>
        <w:t>dopĺňa zákon č. 354/2021 Z. z. o</w:t>
      </w:r>
      <w:r>
        <w:rPr>
          <w:sz w:val="16"/>
          <w:szCs w:val="16"/>
        </w:rPr>
        <w:t> </w:t>
      </w:r>
      <w:r w:rsidRPr="000377C8">
        <w:rPr>
          <w:sz w:val="16"/>
          <w:szCs w:val="16"/>
        </w:rPr>
        <w:t>štátnom rozpočte na rok 2022.</w:t>
      </w:r>
    </w:p>
    <w:p w14:paraId="220FCB29" w14:textId="77777777" w:rsidR="003A0696" w:rsidRPr="006E179B" w:rsidRDefault="003A0696" w:rsidP="003A0696">
      <w:pPr>
        <w:spacing w:line="240" w:lineRule="auto"/>
        <w:rPr>
          <w:sz w:val="24"/>
          <w:szCs w:val="24"/>
        </w:rPr>
      </w:pPr>
      <w:r w:rsidRPr="006E179B">
        <w:rPr>
          <w:b/>
          <w:sz w:val="24"/>
          <w:szCs w:val="24"/>
        </w:rPr>
        <w:lastRenderedPageBreak/>
        <w:t>Na úrovni celej verejnej správy bola oproti rozpočtu zaznamenaná pozitívna odchýlka v sume 3 432 902 tis. eur resp. 3,2 % HDP</w:t>
      </w:r>
      <w:r w:rsidRPr="006E179B">
        <w:rPr>
          <w:sz w:val="24"/>
          <w:szCs w:val="24"/>
        </w:rPr>
        <w:t xml:space="preserve"> najmä vplyvom nižšieho hotovostného schodku štátneho rozpočtu (opisovaný v 3. kapitole) a vyšších prebytkov niektorých ostatných zložiek verejnej správy (zdravotnícke zariadenia, Sociálna poisťovňa, ostatné ústredné podniky a Železnice </w:t>
      </w:r>
      <w:r>
        <w:rPr>
          <w:sz w:val="24"/>
          <w:szCs w:val="24"/>
        </w:rPr>
        <w:t>Slovenskej republiky). Negatívny vývoj zaznamenala najmä územná samospráva</w:t>
      </w:r>
      <w:r w:rsidRPr="006E179B">
        <w:rPr>
          <w:sz w:val="24"/>
          <w:szCs w:val="24"/>
        </w:rPr>
        <w:t>.</w:t>
      </w:r>
    </w:p>
    <w:p w14:paraId="52F1A95A" w14:textId="77777777" w:rsidR="003A0696" w:rsidRDefault="003A0696" w:rsidP="003A0696">
      <w:pPr>
        <w:spacing w:before="120" w:after="0" w:line="240" w:lineRule="auto"/>
        <w:rPr>
          <w:sz w:val="24"/>
          <w:szCs w:val="24"/>
        </w:rPr>
      </w:pPr>
      <w:r w:rsidRPr="00E040DC">
        <w:rPr>
          <w:sz w:val="24"/>
          <w:szCs w:val="24"/>
        </w:rPr>
        <w:t xml:space="preserve">Nezanedbateľným faktorom v porovnávaní očakávaného salda verejných financií a dosiahnutej skutočnosti mal ekonomický vývoj. Rast HDP bol v rámci pôvodne zostaveného rozpočtu predpokladaný na </w:t>
      </w:r>
      <w:r w:rsidRPr="00330ABD">
        <w:rPr>
          <w:sz w:val="24"/>
          <w:szCs w:val="24"/>
        </w:rPr>
        <w:t>úrovni 4,2 %, v priebehu roka 2022 sa očakával jeho prepad v dôsledku krízy na Ukrajine a energetickej krízy. V skutočnosti Štatistický úrad SR predbežne vyčíslil  medziročný rast HDP za rok 2022 na úrovni 1,7 %</w:t>
      </w:r>
      <w:r>
        <w:rPr>
          <w:sz w:val="24"/>
          <w:szCs w:val="24"/>
        </w:rPr>
        <w:t>.</w:t>
      </w:r>
      <w:r>
        <w:rPr>
          <w:rStyle w:val="Odkaznapoznmkupodiarou"/>
          <w:sz w:val="24"/>
          <w:szCs w:val="24"/>
        </w:rPr>
        <w:footnoteReference w:id="9"/>
      </w:r>
      <w:r w:rsidRPr="00330ABD">
        <w:rPr>
          <w:sz w:val="24"/>
          <w:szCs w:val="24"/>
        </w:rPr>
        <w:t xml:space="preserve"> </w:t>
      </w:r>
    </w:p>
    <w:p w14:paraId="1BFACA26" w14:textId="77777777" w:rsidR="003A0696" w:rsidRPr="006E179B" w:rsidRDefault="003A0696" w:rsidP="003A0696">
      <w:pPr>
        <w:spacing w:before="120" w:after="0" w:line="240" w:lineRule="auto"/>
        <w:rPr>
          <w:sz w:val="24"/>
          <w:szCs w:val="24"/>
        </w:rPr>
      </w:pPr>
      <w:r w:rsidRPr="00626021">
        <w:rPr>
          <w:sz w:val="24"/>
          <w:szCs w:val="24"/>
          <w:u w:val="single"/>
        </w:rPr>
        <w:t xml:space="preserve">Pre základný obraz o vývoji príjmov ako aj výdavkov sú opisované nedaňové príjmy, granty a transfery, bežné výdavky a kapitálové výdavky na konsolidovanej báze. Vyčíslenie </w:t>
      </w:r>
      <w:r w:rsidRPr="006E179B">
        <w:rPr>
          <w:sz w:val="24"/>
          <w:szCs w:val="24"/>
          <w:u w:val="single"/>
        </w:rPr>
        <w:t>konsolidácie vzájomných príjmov a výdavkov medzi subjektmi verejnej správy sa uvádza na úrovni celej verejnej správy, bez konsolidácie na konkrétne subjekty verejnej správy.</w:t>
      </w:r>
      <w:r w:rsidRPr="006E179B">
        <w:rPr>
          <w:rStyle w:val="Odkaznapoznmkupodiarou"/>
          <w:sz w:val="24"/>
          <w:szCs w:val="24"/>
        </w:rPr>
        <w:footnoteReference w:id="10"/>
      </w:r>
      <w:r w:rsidRPr="006E179B">
        <w:rPr>
          <w:sz w:val="24"/>
          <w:szCs w:val="24"/>
        </w:rPr>
        <w:t xml:space="preserve"> </w:t>
      </w:r>
    </w:p>
    <w:p w14:paraId="7F29CF38" w14:textId="77777777" w:rsidR="003A0696" w:rsidRDefault="003A0696" w:rsidP="003A0696">
      <w:pPr>
        <w:spacing w:before="120" w:line="240" w:lineRule="auto"/>
        <w:rPr>
          <w:sz w:val="24"/>
          <w:szCs w:val="24"/>
        </w:rPr>
      </w:pPr>
      <w:r w:rsidRPr="006E179B">
        <w:rPr>
          <w:b/>
          <w:sz w:val="24"/>
          <w:szCs w:val="24"/>
        </w:rPr>
        <w:t>Príjmy verejnej správy</w:t>
      </w:r>
      <w:r w:rsidRPr="006E179B">
        <w:rPr>
          <w:sz w:val="24"/>
          <w:szCs w:val="24"/>
        </w:rPr>
        <w:t xml:space="preserve"> boli oproti rozpočtu na rok 2022 úhrnom vyššie o 2 571 094 tis. eur, a to vplyvom nárastu daňových a poistných príjmov o 1 079 359 tis. eur a nárastu nedaňovýc</w:t>
      </w:r>
      <w:r>
        <w:rPr>
          <w:sz w:val="24"/>
          <w:szCs w:val="24"/>
        </w:rPr>
        <w:t>h príjmov o 1 594 023 tis. eur.</w:t>
      </w:r>
    </w:p>
    <w:p w14:paraId="01FF9920" w14:textId="77777777" w:rsidR="003A0696" w:rsidRPr="006E179B" w:rsidRDefault="003A0696" w:rsidP="003A0696">
      <w:pPr>
        <w:spacing w:before="120" w:line="240" w:lineRule="auto"/>
        <w:rPr>
          <w:sz w:val="24"/>
          <w:szCs w:val="24"/>
        </w:rPr>
      </w:pPr>
      <w:r w:rsidRPr="006E179B">
        <w:rPr>
          <w:b/>
          <w:sz w:val="24"/>
          <w:szCs w:val="24"/>
        </w:rPr>
        <w:t>Výdavky verejnej správy</w:t>
      </w:r>
      <w:r w:rsidRPr="006E179B">
        <w:rPr>
          <w:sz w:val="24"/>
          <w:szCs w:val="24"/>
        </w:rPr>
        <w:t xml:space="preserve"> boli nižšie o 861 808 tis. eur oproti rozpočtu, z toho bežné výdavky vzrástli o 227 889 tis. eur a kapitálové výdavky klesli o 1 089 697 tis. eur.</w:t>
      </w:r>
    </w:p>
    <w:p w14:paraId="45A204D1" w14:textId="77777777" w:rsidR="003A0696" w:rsidRPr="002C5294" w:rsidRDefault="003A0696" w:rsidP="003A0696">
      <w:pPr>
        <w:spacing w:line="240" w:lineRule="auto"/>
        <w:rPr>
          <w:sz w:val="24"/>
          <w:szCs w:val="24"/>
        </w:rPr>
      </w:pPr>
      <w:r w:rsidRPr="006E179B">
        <w:rPr>
          <w:b/>
          <w:color w:val="5B9BD5" w:themeColor="accent1"/>
          <w:sz w:val="24"/>
          <w:szCs w:val="24"/>
        </w:rPr>
        <w:t>Celkové daňové a odvodové príjmy verejnej správy</w:t>
      </w:r>
      <w:r w:rsidRPr="006E179B">
        <w:rPr>
          <w:color w:val="5B9BD5" w:themeColor="accent1"/>
          <w:sz w:val="24"/>
          <w:szCs w:val="24"/>
        </w:rPr>
        <w:t xml:space="preserve"> </w:t>
      </w:r>
      <w:r w:rsidRPr="006E179B">
        <w:rPr>
          <w:sz w:val="24"/>
          <w:szCs w:val="24"/>
        </w:rPr>
        <w:t>boli v hotovostn</w:t>
      </w:r>
      <w:r w:rsidRPr="00401C68">
        <w:rPr>
          <w:sz w:val="24"/>
          <w:szCs w:val="24"/>
        </w:rPr>
        <w:t>om vyjadrení oproti rozpočtu vyššie o 663 401 tis. eur, z toho daňové príjmy boli oproti rozpočtu nižšie o 163 645 tis. eur  a odvodové príjmy boli oproti rozpočtu vyššie o 827 046 tis. eur. (V rámci hotovostných odvodových príjmov sú zahrnuté aj odvodové príjmy súkromných poisťovní.) V akruálnom vyjadrení boli celkové daňové a odvodové príjmy oproti rozpočtu vyššie o 1 079 359 tis. eur, z toho daňové príjmy  boli vyššie o 370 098 tis. eur a odvodové príjmy boli vyššie o 709 261 tis. eur. Vplyv časového rozlíšenia daňových príjmov bol vyšší o 617 876 tis. eur oproti rozpočtu a vplyv časového rozlíšenia odvodových príjmov bol nižší o 20 468 tis. eur oproti rozpočtu.</w:t>
      </w:r>
    </w:p>
    <w:p w14:paraId="739F9580" w14:textId="1F2116FC" w:rsidR="003A0696" w:rsidRPr="002E22A1" w:rsidRDefault="003A0696" w:rsidP="003A0696">
      <w:pPr>
        <w:spacing w:line="240" w:lineRule="auto"/>
        <w:rPr>
          <w:sz w:val="24"/>
          <w:szCs w:val="24"/>
        </w:rPr>
      </w:pPr>
      <w:r w:rsidRPr="00C17265">
        <w:rPr>
          <w:sz w:val="24"/>
          <w:szCs w:val="24"/>
        </w:rPr>
        <w:t>Okrem časového rozlíšenia mali na rozdiel daňových príjmov oproti rozpočtu vplyv aj ostatné metodické úpravy ako príjmy dosahované z podpory obnoviteľných zdrojov energie a vysoko účinnej kombinovanej výroby energie (pokles príjmov z podpory tzv. ,,zelenej energie“ o 122 231 tis. eur</w:t>
      </w:r>
      <w:r w:rsidRPr="006A3750">
        <w:rPr>
          <w:sz w:val="24"/>
          <w:szCs w:val="24"/>
        </w:rPr>
        <w:t>), príjmy zo spotreby emisných kvót (nárast o 63 636 tis. eur) a príjmy z príspevkov prevádzkovateľov hazardných hier (nárast o 2 485 tis. eur</w:t>
      </w:r>
      <w:r w:rsidRPr="002E22A1">
        <w:rPr>
          <w:sz w:val="24"/>
          <w:szCs w:val="24"/>
        </w:rPr>
        <w:t>). Na rozdiel odvodových príjmov oproti rozpočtu pozitívne vplývalo imputovanie nových pohľadávok Sociálnej poisťovne na poistnom voči zdravotníckym zariadeniam (nárast o 104 266 tis. eur) a negatívne vplývalo imputovanie vplyvu oddlženia na poistnom za zdravotnícke zariadenia (pokles o 201</w:t>
      </w:r>
      <w:r>
        <w:rPr>
          <w:sz w:val="24"/>
          <w:szCs w:val="24"/>
        </w:rPr>
        <w:t> </w:t>
      </w:r>
      <w:r w:rsidRPr="002E22A1">
        <w:rPr>
          <w:sz w:val="24"/>
          <w:szCs w:val="24"/>
        </w:rPr>
        <w:t>583</w:t>
      </w:r>
      <w:r>
        <w:rPr>
          <w:sz w:val="24"/>
          <w:szCs w:val="24"/>
        </w:rPr>
        <w:t> tis. eur</w:t>
      </w:r>
      <w:r w:rsidR="008E5816">
        <w:rPr>
          <w:sz w:val="24"/>
          <w:szCs w:val="24"/>
        </w:rPr>
        <w:t>)</w:t>
      </w:r>
      <w:r w:rsidRPr="002E22A1">
        <w:rPr>
          <w:sz w:val="24"/>
          <w:szCs w:val="24"/>
        </w:rPr>
        <w:t>.</w:t>
      </w:r>
    </w:p>
    <w:p w14:paraId="4C373C98" w14:textId="77777777" w:rsidR="003A0696" w:rsidRDefault="003A0696" w:rsidP="003A0696">
      <w:pPr>
        <w:spacing w:line="240" w:lineRule="auto"/>
        <w:rPr>
          <w:sz w:val="24"/>
          <w:szCs w:val="24"/>
        </w:rPr>
      </w:pPr>
      <w:r w:rsidRPr="002044A0">
        <w:rPr>
          <w:b/>
          <w:sz w:val="24"/>
          <w:szCs w:val="24"/>
        </w:rPr>
        <w:t>Celkové daňové a odvodové príjmy (prognózované Výborom pre daňové prognózy</w:t>
      </w:r>
      <w:r w:rsidRPr="005B4368">
        <w:rPr>
          <w:sz w:val="24"/>
          <w:szCs w:val="24"/>
        </w:rPr>
        <w:t>) boli rozpočtované (pre novelu zákona o štátnom rozpočte na rok 2022) v objeme 34 999 751 tis. eur. Skutočné príjmy boli o 46 694 tis. eur vyššie a dosiahli výšku 35 046 445 tis. eur. Za nárastom je najmä zavedenie Solidárneho príspevku z činností v odvetviach ropy, zemného plynu, uhlia a rafinérií, ktorý by mal navýšiť akruálny príjem v roku 2022 o viac ako 500 000 tis. eur. Z prognózovaných daní bol najväč</w:t>
      </w:r>
      <w:r>
        <w:rPr>
          <w:sz w:val="24"/>
          <w:szCs w:val="24"/>
        </w:rPr>
        <w:t xml:space="preserve">ší nárast pri </w:t>
      </w:r>
      <w:proofErr w:type="spellStart"/>
      <w:r>
        <w:rPr>
          <w:sz w:val="24"/>
          <w:szCs w:val="24"/>
        </w:rPr>
        <w:t>korporátnej</w:t>
      </w:r>
      <w:proofErr w:type="spellEnd"/>
      <w:r>
        <w:rPr>
          <w:sz w:val="24"/>
          <w:szCs w:val="24"/>
        </w:rPr>
        <w:t xml:space="preserve"> dani.</w:t>
      </w:r>
    </w:p>
    <w:p w14:paraId="7E1C7F09" w14:textId="77777777" w:rsidR="003A0696" w:rsidRPr="005B4368" w:rsidRDefault="003A0696" w:rsidP="003A0696">
      <w:pPr>
        <w:spacing w:line="240" w:lineRule="auto"/>
        <w:rPr>
          <w:sz w:val="24"/>
          <w:szCs w:val="24"/>
        </w:rPr>
      </w:pPr>
      <w:r w:rsidRPr="005B4368">
        <w:rPr>
          <w:sz w:val="24"/>
          <w:szCs w:val="24"/>
        </w:rPr>
        <w:lastRenderedPageBreak/>
        <w:t>Naopak, DPH aj dane z práce nedosiahli prognózované výnosy a spôsobili výpadok viac ako 300 000 tis. eur oproti novelizovanému rozpočtu</w:t>
      </w:r>
      <w:r>
        <w:rPr>
          <w:sz w:val="24"/>
          <w:szCs w:val="24"/>
        </w:rPr>
        <w:t>.</w:t>
      </w:r>
    </w:p>
    <w:p w14:paraId="26428B16" w14:textId="77777777" w:rsidR="003A0696" w:rsidRDefault="003A0696" w:rsidP="003A0696">
      <w:pPr>
        <w:spacing w:line="240" w:lineRule="auto"/>
        <w:rPr>
          <w:b/>
          <w:sz w:val="24"/>
          <w:szCs w:val="24"/>
          <w:highlight w:val="yellow"/>
        </w:rPr>
      </w:pPr>
      <w:r w:rsidRPr="002E22A1">
        <w:rPr>
          <w:sz w:val="24"/>
          <w:szCs w:val="24"/>
        </w:rPr>
        <w:t>Vývoj v prípade daní a odvodov, ktoré boli rozpočtované resp. pri ktorých nedošlo k metodickým zmenám v ich zaznamenávaní, poskytuje nasledovná tabuľka (ide o rozhodujúce položky daní verejnej správy):</w:t>
      </w:r>
    </w:p>
    <w:tbl>
      <w:tblPr>
        <w:tblW w:w="9150" w:type="dxa"/>
        <w:tblCellMar>
          <w:left w:w="70" w:type="dxa"/>
          <w:right w:w="70" w:type="dxa"/>
        </w:tblCellMar>
        <w:tblLook w:val="04A0" w:firstRow="1" w:lastRow="0" w:firstColumn="1" w:lastColumn="0" w:noHBand="0" w:noVBand="1"/>
      </w:tblPr>
      <w:tblGrid>
        <w:gridCol w:w="4181"/>
        <w:gridCol w:w="1222"/>
        <w:gridCol w:w="1222"/>
        <w:gridCol w:w="1310"/>
        <w:gridCol w:w="1215"/>
      </w:tblGrid>
      <w:tr w:rsidR="003A0696" w:rsidRPr="000D4EA7" w14:paraId="30DD054D" w14:textId="77777777" w:rsidTr="003A0696">
        <w:trPr>
          <w:trHeight w:val="247"/>
          <w:tblHeader/>
        </w:trPr>
        <w:tc>
          <w:tcPr>
            <w:tcW w:w="9150" w:type="dxa"/>
            <w:gridSpan w:val="5"/>
            <w:tcBorders>
              <w:top w:val="nil"/>
              <w:left w:val="nil"/>
              <w:bottom w:val="single" w:sz="4" w:space="0" w:color="auto"/>
              <w:right w:val="nil"/>
            </w:tcBorders>
          </w:tcPr>
          <w:p w14:paraId="61DE868F" w14:textId="77777777" w:rsidR="003A0696" w:rsidRPr="000D4EA7" w:rsidRDefault="003A0696" w:rsidP="003A0696">
            <w:pPr>
              <w:spacing w:after="0" w:line="240" w:lineRule="auto"/>
              <w:jc w:val="left"/>
              <w:rPr>
                <w:rFonts w:eastAsia="Times New Roman" w:cs="Times New Roman"/>
                <w:b/>
                <w:bCs/>
                <w:color w:val="5B9BD5" w:themeColor="accent1"/>
                <w:sz w:val="20"/>
                <w:szCs w:val="20"/>
                <w:lang w:eastAsia="sk-SK"/>
              </w:rPr>
            </w:pPr>
            <w:r w:rsidRPr="000D4EA7">
              <w:rPr>
                <w:rFonts w:eastAsia="Times New Roman" w:cs="Times New Roman"/>
                <w:b/>
                <w:bCs/>
                <w:color w:val="5B9BD5" w:themeColor="accent1"/>
                <w:sz w:val="20"/>
                <w:szCs w:val="20"/>
                <w:lang w:eastAsia="sk-SK"/>
              </w:rPr>
              <w:t xml:space="preserve">Tabuľka </w:t>
            </w:r>
            <w:r>
              <w:rPr>
                <w:rFonts w:eastAsia="Times New Roman" w:cs="Times New Roman"/>
                <w:b/>
                <w:bCs/>
                <w:color w:val="5B9BD5" w:themeColor="accent1"/>
                <w:sz w:val="20"/>
                <w:szCs w:val="20"/>
                <w:lang w:eastAsia="sk-SK"/>
              </w:rPr>
              <w:t>7</w:t>
            </w:r>
            <w:r w:rsidRPr="000D4EA7">
              <w:rPr>
                <w:rFonts w:eastAsia="Times New Roman" w:cs="Times New Roman"/>
                <w:b/>
                <w:bCs/>
                <w:color w:val="5B9BD5" w:themeColor="accent1"/>
                <w:sz w:val="20"/>
                <w:szCs w:val="20"/>
                <w:lang w:eastAsia="sk-SK"/>
              </w:rPr>
              <w:t xml:space="preserve"> - Vybrané daňové a odvodové príjmy podľa ESA2010                                                                    </w:t>
            </w:r>
          </w:p>
        </w:tc>
      </w:tr>
      <w:tr w:rsidR="003A0696" w:rsidRPr="000D4EA7" w14:paraId="28D488F2" w14:textId="77777777" w:rsidTr="003A0696">
        <w:trPr>
          <w:trHeight w:val="231"/>
          <w:tblHeader/>
        </w:trPr>
        <w:tc>
          <w:tcPr>
            <w:tcW w:w="4181" w:type="dxa"/>
            <w:vMerge w:val="restart"/>
            <w:tcBorders>
              <w:top w:val="nil"/>
              <w:left w:val="nil"/>
              <w:bottom w:val="single" w:sz="4" w:space="0" w:color="000000"/>
              <w:right w:val="nil"/>
            </w:tcBorders>
            <w:shd w:val="clear" w:color="auto" w:fill="auto"/>
            <w:noWrap/>
            <w:vAlign w:val="center"/>
            <w:hideMark/>
          </w:tcPr>
          <w:p w14:paraId="2A211D49" w14:textId="77777777" w:rsidR="003A0696" w:rsidRPr="000D4EA7" w:rsidRDefault="003A0696" w:rsidP="003A0696">
            <w:pPr>
              <w:spacing w:after="0" w:line="240" w:lineRule="auto"/>
              <w:jc w:val="left"/>
              <w:rPr>
                <w:rFonts w:eastAsia="Times New Roman" w:cs="Times New Roman"/>
                <w:b/>
                <w:bCs/>
                <w:color w:val="000000"/>
                <w:sz w:val="20"/>
                <w:szCs w:val="20"/>
                <w:lang w:eastAsia="sk-SK"/>
              </w:rPr>
            </w:pPr>
            <w:r w:rsidRPr="000D4EA7">
              <w:rPr>
                <w:rFonts w:eastAsia="Times New Roman" w:cs="Times New Roman"/>
                <w:b/>
                <w:bCs/>
                <w:color w:val="000000"/>
                <w:sz w:val="20"/>
                <w:szCs w:val="20"/>
                <w:lang w:eastAsia="sk-SK"/>
              </w:rPr>
              <w:t xml:space="preserve">v tis. eur </w:t>
            </w:r>
          </w:p>
        </w:tc>
        <w:tc>
          <w:tcPr>
            <w:tcW w:w="1222" w:type="dxa"/>
            <w:tcBorders>
              <w:top w:val="nil"/>
              <w:left w:val="nil"/>
              <w:bottom w:val="nil"/>
              <w:right w:val="nil"/>
            </w:tcBorders>
          </w:tcPr>
          <w:p w14:paraId="536D49D8" w14:textId="77777777" w:rsidR="003A0696" w:rsidRPr="000D4EA7" w:rsidRDefault="003A0696" w:rsidP="003A0696">
            <w:pPr>
              <w:spacing w:after="0" w:line="240" w:lineRule="auto"/>
              <w:jc w:val="center"/>
              <w:rPr>
                <w:rFonts w:eastAsia="Times New Roman" w:cs="Times New Roman"/>
                <w:b/>
                <w:bCs/>
                <w:color w:val="000000"/>
                <w:sz w:val="20"/>
                <w:szCs w:val="20"/>
                <w:lang w:eastAsia="sk-SK"/>
              </w:rPr>
            </w:pPr>
            <w:r w:rsidRPr="000D4EA7">
              <w:rPr>
                <w:b/>
                <w:bCs/>
                <w:color w:val="000000"/>
                <w:sz w:val="20"/>
                <w:szCs w:val="20"/>
              </w:rPr>
              <w:t>2022 R</w:t>
            </w:r>
          </w:p>
        </w:tc>
        <w:tc>
          <w:tcPr>
            <w:tcW w:w="1222" w:type="dxa"/>
            <w:tcBorders>
              <w:top w:val="nil"/>
              <w:left w:val="nil"/>
              <w:bottom w:val="nil"/>
              <w:right w:val="nil"/>
            </w:tcBorders>
            <w:shd w:val="clear" w:color="auto" w:fill="auto"/>
            <w:noWrap/>
            <w:hideMark/>
          </w:tcPr>
          <w:p w14:paraId="22B6B285" w14:textId="77777777" w:rsidR="003A0696" w:rsidRPr="000D4EA7" w:rsidRDefault="003A0696" w:rsidP="003A0696">
            <w:pPr>
              <w:spacing w:after="0" w:line="240" w:lineRule="auto"/>
              <w:jc w:val="center"/>
              <w:rPr>
                <w:rFonts w:eastAsia="Times New Roman" w:cs="Times New Roman"/>
                <w:b/>
                <w:bCs/>
                <w:color w:val="000000"/>
                <w:sz w:val="20"/>
                <w:szCs w:val="20"/>
                <w:lang w:eastAsia="sk-SK"/>
              </w:rPr>
            </w:pPr>
            <w:r w:rsidRPr="000D4EA7">
              <w:rPr>
                <w:b/>
                <w:bCs/>
                <w:color w:val="000000"/>
                <w:sz w:val="20"/>
                <w:szCs w:val="20"/>
              </w:rPr>
              <w:t>2022 NR</w:t>
            </w:r>
          </w:p>
        </w:tc>
        <w:tc>
          <w:tcPr>
            <w:tcW w:w="1310" w:type="dxa"/>
            <w:tcBorders>
              <w:top w:val="nil"/>
              <w:left w:val="nil"/>
              <w:bottom w:val="nil"/>
              <w:right w:val="nil"/>
            </w:tcBorders>
            <w:shd w:val="clear" w:color="auto" w:fill="FFFFFF" w:themeFill="background1"/>
            <w:noWrap/>
            <w:hideMark/>
          </w:tcPr>
          <w:p w14:paraId="55EB63FE" w14:textId="77777777" w:rsidR="003A0696" w:rsidRPr="000D4EA7" w:rsidRDefault="003A0696" w:rsidP="003A0696">
            <w:pPr>
              <w:spacing w:after="0" w:line="240" w:lineRule="auto"/>
              <w:jc w:val="center"/>
              <w:rPr>
                <w:rFonts w:eastAsia="Times New Roman" w:cs="Times New Roman"/>
                <w:b/>
                <w:bCs/>
                <w:color w:val="000000"/>
                <w:sz w:val="20"/>
                <w:szCs w:val="20"/>
                <w:lang w:eastAsia="sk-SK"/>
              </w:rPr>
            </w:pPr>
            <w:r w:rsidRPr="000D4EA7">
              <w:rPr>
                <w:b/>
                <w:bCs/>
                <w:color w:val="000000"/>
                <w:sz w:val="20"/>
                <w:szCs w:val="20"/>
              </w:rPr>
              <w:t>2022 S</w:t>
            </w:r>
          </w:p>
        </w:tc>
        <w:tc>
          <w:tcPr>
            <w:tcW w:w="1215" w:type="dxa"/>
            <w:tcBorders>
              <w:top w:val="nil"/>
              <w:left w:val="nil"/>
              <w:bottom w:val="nil"/>
              <w:right w:val="nil"/>
            </w:tcBorders>
            <w:shd w:val="clear" w:color="auto" w:fill="auto"/>
            <w:noWrap/>
            <w:hideMark/>
          </w:tcPr>
          <w:p w14:paraId="4267F2A5" w14:textId="77777777" w:rsidR="003A0696" w:rsidRPr="000D4EA7" w:rsidRDefault="003A0696" w:rsidP="003A0696">
            <w:pPr>
              <w:spacing w:after="0" w:line="240" w:lineRule="auto"/>
              <w:jc w:val="center"/>
              <w:rPr>
                <w:rFonts w:eastAsia="Times New Roman" w:cs="Times New Roman"/>
                <w:b/>
                <w:bCs/>
                <w:color w:val="000000"/>
                <w:sz w:val="20"/>
                <w:szCs w:val="20"/>
                <w:lang w:eastAsia="sk-SK"/>
              </w:rPr>
            </w:pPr>
            <w:r w:rsidRPr="000D4EA7">
              <w:rPr>
                <w:b/>
                <w:bCs/>
                <w:color w:val="000000"/>
                <w:sz w:val="20"/>
                <w:szCs w:val="20"/>
              </w:rPr>
              <w:t>Rozdiel</w:t>
            </w:r>
          </w:p>
        </w:tc>
      </w:tr>
      <w:tr w:rsidR="003A0696" w:rsidRPr="000D4EA7" w14:paraId="315A4833" w14:textId="77777777" w:rsidTr="003A0696">
        <w:trPr>
          <w:trHeight w:val="231"/>
        </w:trPr>
        <w:tc>
          <w:tcPr>
            <w:tcW w:w="4181" w:type="dxa"/>
            <w:vMerge/>
            <w:tcBorders>
              <w:top w:val="nil"/>
              <w:left w:val="nil"/>
              <w:bottom w:val="single" w:sz="4" w:space="0" w:color="000000"/>
              <w:right w:val="nil"/>
            </w:tcBorders>
            <w:vAlign w:val="center"/>
            <w:hideMark/>
          </w:tcPr>
          <w:p w14:paraId="7C96800E" w14:textId="77777777" w:rsidR="003A0696" w:rsidRPr="000D4EA7" w:rsidRDefault="003A0696" w:rsidP="003A0696">
            <w:pPr>
              <w:spacing w:after="0" w:line="240" w:lineRule="auto"/>
              <w:jc w:val="left"/>
              <w:rPr>
                <w:rFonts w:eastAsia="Times New Roman" w:cs="Times New Roman"/>
                <w:b/>
                <w:bCs/>
                <w:color w:val="000000"/>
                <w:sz w:val="20"/>
                <w:szCs w:val="20"/>
                <w:lang w:eastAsia="sk-SK"/>
              </w:rPr>
            </w:pPr>
          </w:p>
        </w:tc>
        <w:tc>
          <w:tcPr>
            <w:tcW w:w="1222" w:type="dxa"/>
            <w:tcBorders>
              <w:top w:val="nil"/>
              <w:left w:val="nil"/>
              <w:bottom w:val="single" w:sz="4" w:space="0" w:color="auto"/>
              <w:right w:val="nil"/>
            </w:tcBorders>
            <w:vAlign w:val="bottom"/>
          </w:tcPr>
          <w:p w14:paraId="34BB989D" w14:textId="77777777" w:rsidR="003A0696" w:rsidRPr="000D4EA7" w:rsidRDefault="003A0696" w:rsidP="003A0696">
            <w:pPr>
              <w:spacing w:after="0" w:line="240" w:lineRule="auto"/>
              <w:jc w:val="center"/>
              <w:rPr>
                <w:rFonts w:eastAsia="Times New Roman" w:cs="Times New Roman"/>
                <w:b/>
                <w:bCs/>
                <w:color w:val="000000"/>
                <w:sz w:val="20"/>
                <w:szCs w:val="20"/>
                <w:lang w:eastAsia="sk-SK"/>
              </w:rPr>
            </w:pPr>
            <w:r w:rsidRPr="000D4EA7">
              <w:rPr>
                <w:b/>
                <w:bCs/>
                <w:color w:val="000000"/>
                <w:sz w:val="20"/>
                <w:szCs w:val="20"/>
              </w:rPr>
              <w:t>1</w:t>
            </w:r>
          </w:p>
        </w:tc>
        <w:tc>
          <w:tcPr>
            <w:tcW w:w="1222" w:type="dxa"/>
            <w:tcBorders>
              <w:top w:val="nil"/>
              <w:left w:val="nil"/>
              <w:bottom w:val="single" w:sz="4" w:space="0" w:color="auto"/>
              <w:right w:val="nil"/>
            </w:tcBorders>
            <w:shd w:val="clear" w:color="auto" w:fill="auto"/>
            <w:noWrap/>
            <w:vAlign w:val="bottom"/>
            <w:hideMark/>
          </w:tcPr>
          <w:p w14:paraId="1BDA9EDF" w14:textId="77777777" w:rsidR="003A0696" w:rsidRPr="000D4EA7" w:rsidRDefault="003A0696" w:rsidP="003A0696">
            <w:pPr>
              <w:spacing w:after="0" w:line="240" w:lineRule="auto"/>
              <w:jc w:val="center"/>
              <w:rPr>
                <w:rFonts w:eastAsia="Times New Roman" w:cs="Times New Roman"/>
                <w:b/>
                <w:bCs/>
                <w:color w:val="000000"/>
                <w:sz w:val="20"/>
                <w:szCs w:val="20"/>
                <w:lang w:eastAsia="sk-SK"/>
              </w:rPr>
            </w:pPr>
            <w:r w:rsidRPr="000D4EA7">
              <w:rPr>
                <w:b/>
                <w:bCs/>
                <w:color w:val="000000"/>
                <w:sz w:val="20"/>
                <w:szCs w:val="20"/>
              </w:rPr>
              <w:t>2</w:t>
            </w:r>
          </w:p>
        </w:tc>
        <w:tc>
          <w:tcPr>
            <w:tcW w:w="1310" w:type="dxa"/>
            <w:tcBorders>
              <w:top w:val="nil"/>
              <w:left w:val="nil"/>
              <w:bottom w:val="single" w:sz="4" w:space="0" w:color="auto"/>
              <w:right w:val="nil"/>
            </w:tcBorders>
            <w:shd w:val="clear" w:color="auto" w:fill="FFFFFF" w:themeFill="background1"/>
            <w:noWrap/>
            <w:vAlign w:val="bottom"/>
            <w:hideMark/>
          </w:tcPr>
          <w:p w14:paraId="2D0D90B4" w14:textId="77777777" w:rsidR="003A0696" w:rsidRPr="000D4EA7" w:rsidRDefault="003A0696" w:rsidP="003A0696">
            <w:pPr>
              <w:spacing w:after="0" w:line="240" w:lineRule="auto"/>
              <w:jc w:val="center"/>
              <w:rPr>
                <w:rFonts w:eastAsia="Times New Roman" w:cs="Times New Roman"/>
                <w:b/>
                <w:bCs/>
                <w:color w:val="000000"/>
                <w:sz w:val="20"/>
                <w:szCs w:val="20"/>
                <w:lang w:eastAsia="sk-SK"/>
              </w:rPr>
            </w:pPr>
            <w:r w:rsidRPr="000D4EA7">
              <w:rPr>
                <w:b/>
                <w:bCs/>
                <w:color w:val="000000"/>
                <w:sz w:val="20"/>
                <w:szCs w:val="20"/>
              </w:rPr>
              <w:t>3</w:t>
            </w:r>
          </w:p>
        </w:tc>
        <w:tc>
          <w:tcPr>
            <w:tcW w:w="1215" w:type="dxa"/>
            <w:tcBorders>
              <w:top w:val="nil"/>
              <w:left w:val="nil"/>
              <w:bottom w:val="single" w:sz="4" w:space="0" w:color="auto"/>
              <w:right w:val="nil"/>
            </w:tcBorders>
            <w:shd w:val="clear" w:color="auto" w:fill="auto"/>
            <w:noWrap/>
            <w:vAlign w:val="bottom"/>
            <w:hideMark/>
          </w:tcPr>
          <w:p w14:paraId="7C750C00" w14:textId="77777777" w:rsidR="003A0696" w:rsidRPr="000D4EA7" w:rsidRDefault="003A0696" w:rsidP="003A0696">
            <w:pPr>
              <w:spacing w:after="0" w:line="240" w:lineRule="auto"/>
              <w:jc w:val="center"/>
              <w:rPr>
                <w:rFonts w:eastAsia="Times New Roman" w:cs="Times New Roman"/>
                <w:b/>
                <w:bCs/>
                <w:color w:val="000000"/>
                <w:sz w:val="20"/>
                <w:szCs w:val="20"/>
                <w:lang w:eastAsia="sk-SK"/>
              </w:rPr>
            </w:pPr>
            <w:r w:rsidRPr="000D4EA7">
              <w:rPr>
                <w:b/>
                <w:bCs/>
                <w:color w:val="000000"/>
                <w:sz w:val="20"/>
                <w:szCs w:val="20"/>
              </w:rPr>
              <w:t>4=3-2</w:t>
            </w:r>
          </w:p>
        </w:tc>
      </w:tr>
      <w:tr w:rsidR="003A0696" w:rsidRPr="000D4EA7" w14:paraId="6788807D" w14:textId="77777777" w:rsidTr="003A0696">
        <w:trPr>
          <w:trHeight w:val="291"/>
        </w:trPr>
        <w:tc>
          <w:tcPr>
            <w:tcW w:w="4181" w:type="dxa"/>
            <w:tcBorders>
              <w:top w:val="nil"/>
              <w:left w:val="nil"/>
              <w:bottom w:val="nil"/>
              <w:right w:val="nil"/>
            </w:tcBorders>
            <w:shd w:val="clear" w:color="auto" w:fill="auto"/>
            <w:noWrap/>
            <w:vAlign w:val="center"/>
            <w:hideMark/>
          </w:tcPr>
          <w:p w14:paraId="6F908B17"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Daň z príjmov fyzických osôb</w:t>
            </w:r>
            <w:r w:rsidRPr="000D4EA7">
              <w:rPr>
                <w:rFonts w:eastAsia="Times New Roman" w:cs="Times New Roman"/>
                <w:color w:val="000000"/>
                <w:sz w:val="20"/>
                <w:szCs w:val="20"/>
                <w:vertAlign w:val="superscript"/>
                <w:lang w:eastAsia="sk-SK"/>
              </w:rPr>
              <w:t>1</w:t>
            </w:r>
          </w:p>
        </w:tc>
        <w:tc>
          <w:tcPr>
            <w:tcW w:w="1222" w:type="dxa"/>
            <w:tcBorders>
              <w:top w:val="nil"/>
              <w:left w:val="nil"/>
              <w:bottom w:val="nil"/>
              <w:right w:val="nil"/>
            </w:tcBorders>
            <w:vAlign w:val="center"/>
          </w:tcPr>
          <w:p w14:paraId="1734E4E6"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4 012 380</w:t>
            </w:r>
          </w:p>
        </w:tc>
        <w:tc>
          <w:tcPr>
            <w:tcW w:w="1222" w:type="dxa"/>
            <w:tcBorders>
              <w:top w:val="nil"/>
              <w:left w:val="nil"/>
              <w:bottom w:val="nil"/>
              <w:right w:val="nil"/>
            </w:tcBorders>
            <w:shd w:val="clear" w:color="auto" w:fill="auto"/>
            <w:noWrap/>
            <w:vAlign w:val="center"/>
            <w:hideMark/>
          </w:tcPr>
          <w:p w14:paraId="633E02A0"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4 302 794</w:t>
            </w:r>
          </w:p>
        </w:tc>
        <w:tc>
          <w:tcPr>
            <w:tcW w:w="1310" w:type="dxa"/>
            <w:tcBorders>
              <w:top w:val="nil"/>
              <w:left w:val="nil"/>
              <w:bottom w:val="nil"/>
              <w:right w:val="nil"/>
            </w:tcBorders>
            <w:shd w:val="clear" w:color="auto" w:fill="FFFFFF" w:themeFill="background1"/>
            <w:noWrap/>
            <w:vAlign w:val="center"/>
            <w:hideMark/>
          </w:tcPr>
          <w:p w14:paraId="5CF7A15E"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4 167 715</w:t>
            </w:r>
          </w:p>
        </w:tc>
        <w:tc>
          <w:tcPr>
            <w:tcW w:w="1215" w:type="dxa"/>
            <w:tcBorders>
              <w:top w:val="nil"/>
              <w:left w:val="nil"/>
              <w:bottom w:val="nil"/>
              <w:right w:val="nil"/>
            </w:tcBorders>
            <w:shd w:val="clear" w:color="auto" w:fill="auto"/>
            <w:noWrap/>
            <w:vAlign w:val="center"/>
            <w:hideMark/>
          </w:tcPr>
          <w:p w14:paraId="22F68CE9"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-135 079</w:t>
            </w:r>
          </w:p>
        </w:tc>
      </w:tr>
      <w:tr w:rsidR="003A0696" w:rsidRPr="000D4EA7" w14:paraId="35F792E2" w14:textId="77777777" w:rsidTr="003A0696">
        <w:trPr>
          <w:trHeight w:val="291"/>
        </w:trPr>
        <w:tc>
          <w:tcPr>
            <w:tcW w:w="4181" w:type="dxa"/>
            <w:tcBorders>
              <w:top w:val="nil"/>
              <w:left w:val="nil"/>
              <w:bottom w:val="nil"/>
              <w:right w:val="nil"/>
            </w:tcBorders>
            <w:shd w:val="clear" w:color="auto" w:fill="auto"/>
            <w:noWrap/>
            <w:vAlign w:val="center"/>
            <w:hideMark/>
          </w:tcPr>
          <w:p w14:paraId="7AB61DF0"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závislá činnosť</w:t>
            </w:r>
          </w:p>
        </w:tc>
        <w:tc>
          <w:tcPr>
            <w:tcW w:w="1222" w:type="dxa"/>
            <w:tcBorders>
              <w:top w:val="nil"/>
              <w:left w:val="nil"/>
              <w:bottom w:val="nil"/>
              <w:right w:val="nil"/>
            </w:tcBorders>
            <w:vAlign w:val="center"/>
          </w:tcPr>
          <w:p w14:paraId="37A77AEC"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3 906 859</w:t>
            </w:r>
          </w:p>
        </w:tc>
        <w:tc>
          <w:tcPr>
            <w:tcW w:w="1222" w:type="dxa"/>
            <w:tcBorders>
              <w:top w:val="nil"/>
              <w:left w:val="nil"/>
              <w:bottom w:val="nil"/>
              <w:right w:val="nil"/>
            </w:tcBorders>
            <w:shd w:val="clear" w:color="auto" w:fill="auto"/>
            <w:noWrap/>
            <w:vAlign w:val="center"/>
            <w:hideMark/>
          </w:tcPr>
          <w:p w14:paraId="2F237798"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4 161 782</w:t>
            </w:r>
          </w:p>
        </w:tc>
        <w:tc>
          <w:tcPr>
            <w:tcW w:w="1310" w:type="dxa"/>
            <w:tcBorders>
              <w:top w:val="nil"/>
              <w:left w:val="nil"/>
              <w:bottom w:val="nil"/>
              <w:right w:val="nil"/>
            </w:tcBorders>
            <w:shd w:val="clear" w:color="auto" w:fill="FFFFFF" w:themeFill="background1"/>
            <w:noWrap/>
            <w:vAlign w:val="center"/>
            <w:hideMark/>
          </w:tcPr>
          <w:p w14:paraId="7EAFBD1C"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4 020 123</w:t>
            </w:r>
          </w:p>
        </w:tc>
        <w:tc>
          <w:tcPr>
            <w:tcW w:w="1215" w:type="dxa"/>
            <w:tcBorders>
              <w:top w:val="nil"/>
              <w:left w:val="nil"/>
              <w:bottom w:val="nil"/>
              <w:right w:val="nil"/>
            </w:tcBorders>
            <w:shd w:val="clear" w:color="auto" w:fill="auto"/>
            <w:noWrap/>
            <w:vAlign w:val="center"/>
            <w:hideMark/>
          </w:tcPr>
          <w:p w14:paraId="36F6D289"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-141 659</w:t>
            </w:r>
          </w:p>
        </w:tc>
      </w:tr>
      <w:tr w:rsidR="003A0696" w:rsidRPr="000D4EA7" w14:paraId="6D50919A" w14:textId="77777777" w:rsidTr="003A0696">
        <w:trPr>
          <w:trHeight w:val="291"/>
        </w:trPr>
        <w:tc>
          <w:tcPr>
            <w:tcW w:w="4181" w:type="dxa"/>
            <w:tcBorders>
              <w:top w:val="nil"/>
              <w:left w:val="nil"/>
              <w:bottom w:val="nil"/>
              <w:right w:val="nil"/>
            </w:tcBorders>
            <w:shd w:val="clear" w:color="auto" w:fill="auto"/>
            <w:noWrap/>
            <w:vAlign w:val="center"/>
            <w:hideMark/>
          </w:tcPr>
          <w:p w14:paraId="75CABC05"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podnikanie</w:t>
            </w:r>
          </w:p>
        </w:tc>
        <w:tc>
          <w:tcPr>
            <w:tcW w:w="1222" w:type="dxa"/>
            <w:tcBorders>
              <w:top w:val="nil"/>
              <w:left w:val="nil"/>
              <w:bottom w:val="nil"/>
              <w:right w:val="nil"/>
            </w:tcBorders>
            <w:vAlign w:val="center"/>
          </w:tcPr>
          <w:p w14:paraId="7D9BF670"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105 521</w:t>
            </w:r>
          </w:p>
        </w:tc>
        <w:tc>
          <w:tcPr>
            <w:tcW w:w="1222" w:type="dxa"/>
            <w:tcBorders>
              <w:top w:val="nil"/>
              <w:left w:val="nil"/>
              <w:bottom w:val="nil"/>
              <w:right w:val="nil"/>
            </w:tcBorders>
            <w:shd w:val="clear" w:color="auto" w:fill="auto"/>
            <w:noWrap/>
            <w:vAlign w:val="center"/>
            <w:hideMark/>
          </w:tcPr>
          <w:p w14:paraId="634A12CF"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141 012</w:t>
            </w:r>
          </w:p>
        </w:tc>
        <w:tc>
          <w:tcPr>
            <w:tcW w:w="1310" w:type="dxa"/>
            <w:tcBorders>
              <w:top w:val="nil"/>
              <w:left w:val="nil"/>
              <w:bottom w:val="nil"/>
              <w:right w:val="nil"/>
            </w:tcBorders>
            <w:shd w:val="clear" w:color="auto" w:fill="FFFFFF" w:themeFill="background1"/>
            <w:noWrap/>
            <w:vAlign w:val="center"/>
            <w:hideMark/>
          </w:tcPr>
          <w:p w14:paraId="2BC06D3C"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147 592</w:t>
            </w:r>
          </w:p>
        </w:tc>
        <w:tc>
          <w:tcPr>
            <w:tcW w:w="1215" w:type="dxa"/>
            <w:tcBorders>
              <w:top w:val="nil"/>
              <w:left w:val="nil"/>
              <w:bottom w:val="nil"/>
              <w:right w:val="nil"/>
            </w:tcBorders>
            <w:shd w:val="clear" w:color="auto" w:fill="auto"/>
            <w:noWrap/>
            <w:vAlign w:val="center"/>
            <w:hideMark/>
          </w:tcPr>
          <w:p w14:paraId="102B6F11"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6 580</w:t>
            </w:r>
          </w:p>
        </w:tc>
      </w:tr>
      <w:tr w:rsidR="003A0696" w:rsidRPr="000D4EA7" w14:paraId="597C6843" w14:textId="77777777" w:rsidTr="003A0696">
        <w:trPr>
          <w:trHeight w:val="291"/>
        </w:trPr>
        <w:tc>
          <w:tcPr>
            <w:tcW w:w="4181" w:type="dxa"/>
            <w:tcBorders>
              <w:top w:val="nil"/>
              <w:left w:val="nil"/>
              <w:bottom w:val="nil"/>
              <w:right w:val="nil"/>
            </w:tcBorders>
            <w:shd w:val="clear" w:color="auto" w:fill="auto"/>
            <w:noWrap/>
            <w:vAlign w:val="center"/>
            <w:hideMark/>
          </w:tcPr>
          <w:p w14:paraId="46EEA426"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val="x-none" w:eastAsia="sk-SK"/>
              </w:rPr>
              <w:t>Daň z príjmov právnických osôb</w:t>
            </w:r>
          </w:p>
        </w:tc>
        <w:tc>
          <w:tcPr>
            <w:tcW w:w="1222" w:type="dxa"/>
            <w:tcBorders>
              <w:top w:val="nil"/>
              <w:left w:val="nil"/>
              <w:bottom w:val="nil"/>
              <w:right w:val="nil"/>
            </w:tcBorders>
            <w:vAlign w:val="center"/>
          </w:tcPr>
          <w:p w14:paraId="4C1C3286"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3 211 098</w:t>
            </w:r>
          </w:p>
        </w:tc>
        <w:tc>
          <w:tcPr>
            <w:tcW w:w="1222" w:type="dxa"/>
            <w:tcBorders>
              <w:top w:val="nil"/>
              <w:left w:val="nil"/>
              <w:bottom w:val="nil"/>
              <w:right w:val="nil"/>
            </w:tcBorders>
            <w:shd w:val="clear" w:color="auto" w:fill="auto"/>
            <w:noWrap/>
            <w:vAlign w:val="center"/>
            <w:hideMark/>
          </w:tcPr>
          <w:p w14:paraId="70CB2E05"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3 423 206</w:t>
            </w:r>
          </w:p>
        </w:tc>
        <w:tc>
          <w:tcPr>
            <w:tcW w:w="1310" w:type="dxa"/>
            <w:tcBorders>
              <w:top w:val="nil"/>
              <w:left w:val="nil"/>
              <w:bottom w:val="nil"/>
              <w:right w:val="nil"/>
            </w:tcBorders>
            <w:shd w:val="clear" w:color="auto" w:fill="FFFFFF" w:themeFill="background1"/>
            <w:noWrap/>
            <w:vAlign w:val="center"/>
            <w:hideMark/>
          </w:tcPr>
          <w:p w14:paraId="3DB172DF"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3 588 462</w:t>
            </w:r>
          </w:p>
        </w:tc>
        <w:tc>
          <w:tcPr>
            <w:tcW w:w="1215" w:type="dxa"/>
            <w:tcBorders>
              <w:top w:val="nil"/>
              <w:left w:val="nil"/>
              <w:bottom w:val="nil"/>
              <w:right w:val="nil"/>
            </w:tcBorders>
            <w:shd w:val="clear" w:color="auto" w:fill="auto"/>
            <w:noWrap/>
            <w:vAlign w:val="center"/>
            <w:hideMark/>
          </w:tcPr>
          <w:p w14:paraId="5B90B4FE"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165 256</w:t>
            </w:r>
          </w:p>
        </w:tc>
      </w:tr>
      <w:tr w:rsidR="003A0696" w:rsidRPr="000D4EA7" w14:paraId="64C92EFB" w14:textId="77777777" w:rsidTr="003A0696">
        <w:trPr>
          <w:trHeight w:val="291"/>
        </w:trPr>
        <w:tc>
          <w:tcPr>
            <w:tcW w:w="4181" w:type="dxa"/>
            <w:tcBorders>
              <w:top w:val="nil"/>
              <w:left w:val="nil"/>
              <w:bottom w:val="nil"/>
              <w:right w:val="nil"/>
            </w:tcBorders>
            <w:shd w:val="clear" w:color="auto" w:fill="auto"/>
            <w:noWrap/>
            <w:vAlign w:val="center"/>
            <w:hideMark/>
          </w:tcPr>
          <w:p w14:paraId="14B8B313"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Daň z príjmov vyberaná zrážkou</w:t>
            </w:r>
          </w:p>
        </w:tc>
        <w:tc>
          <w:tcPr>
            <w:tcW w:w="1222" w:type="dxa"/>
            <w:tcBorders>
              <w:top w:val="nil"/>
              <w:left w:val="nil"/>
              <w:bottom w:val="nil"/>
              <w:right w:val="nil"/>
            </w:tcBorders>
            <w:vAlign w:val="center"/>
          </w:tcPr>
          <w:p w14:paraId="0CBAA67D"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290 450</w:t>
            </w:r>
          </w:p>
        </w:tc>
        <w:tc>
          <w:tcPr>
            <w:tcW w:w="1222" w:type="dxa"/>
            <w:tcBorders>
              <w:top w:val="nil"/>
              <w:left w:val="nil"/>
              <w:bottom w:val="nil"/>
              <w:right w:val="nil"/>
            </w:tcBorders>
            <w:shd w:val="clear" w:color="auto" w:fill="auto"/>
            <w:noWrap/>
            <w:vAlign w:val="center"/>
            <w:hideMark/>
          </w:tcPr>
          <w:p w14:paraId="6F91C0EE"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320 338</w:t>
            </w:r>
          </w:p>
        </w:tc>
        <w:tc>
          <w:tcPr>
            <w:tcW w:w="1310" w:type="dxa"/>
            <w:tcBorders>
              <w:top w:val="nil"/>
              <w:left w:val="nil"/>
              <w:bottom w:val="nil"/>
              <w:right w:val="nil"/>
            </w:tcBorders>
            <w:shd w:val="clear" w:color="auto" w:fill="FFFFFF" w:themeFill="background1"/>
            <w:noWrap/>
            <w:vAlign w:val="center"/>
            <w:hideMark/>
          </w:tcPr>
          <w:p w14:paraId="45A35B2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314 764</w:t>
            </w:r>
          </w:p>
        </w:tc>
        <w:tc>
          <w:tcPr>
            <w:tcW w:w="1215" w:type="dxa"/>
            <w:tcBorders>
              <w:top w:val="nil"/>
              <w:left w:val="nil"/>
              <w:bottom w:val="nil"/>
              <w:right w:val="nil"/>
            </w:tcBorders>
            <w:shd w:val="clear" w:color="auto" w:fill="auto"/>
            <w:noWrap/>
            <w:vAlign w:val="center"/>
            <w:hideMark/>
          </w:tcPr>
          <w:p w14:paraId="26ECC834"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-5 574</w:t>
            </w:r>
          </w:p>
        </w:tc>
      </w:tr>
      <w:tr w:rsidR="003A0696" w:rsidRPr="000D4EA7" w14:paraId="0215C2F4" w14:textId="77777777" w:rsidTr="003A0696">
        <w:trPr>
          <w:trHeight w:val="291"/>
        </w:trPr>
        <w:tc>
          <w:tcPr>
            <w:tcW w:w="4181" w:type="dxa"/>
            <w:tcBorders>
              <w:top w:val="nil"/>
              <w:left w:val="nil"/>
              <w:bottom w:val="nil"/>
              <w:right w:val="nil"/>
            </w:tcBorders>
            <w:shd w:val="clear" w:color="auto" w:fill="auto"/>
            <w:noWrap/>
            <w:vAlign w:val="center"/>
            <w:hideMark/>
          </w:tcPr>
          <w:p w14:paraId="151C46F3"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Daň z pridanej hodnoty</w:t>
            </w:r>
          </w:p>
        </w:tc>
        <w:tc>
          <w:tcPr>
            <w:tcW w:w="1222" w:type="dxa"/>
            <w:tcBorders>
              <w:top w:val="nil"/>
              <w:left w:val="nil"/>
              <w:bottom w:val="nil"/>
              <w:right w:val="nil"/>
            </w:tcBorders>
            <w:vAlign w:val="center"/>
          </w:tcPr>
          <w:p w14:paraId="78DAA41A"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7 988 815</w:t>
            </w:r>
          </w:p>
        </w:tc>
        <w:tc>
          <w:tcPr>
            <w:tcW w:w="1222" w:type="dxa"/>
            <w:tcBorders>
              <w:top w:val="nil"/>
              <w:left w:val="nil"/>
              <w:bottom w:val="nil"/>
              <w:right w:val="nil"/>
            </w:tcBorders>
            <w:shd w:val="clear" w:color="auto" w:fill="auto"/>
            <w:noWrap/>
            <w:vAlign w:val="center"/>
            <w:hideMark/>
          </w:tcPr>
          <w:p w14:paraId="76D672C0"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8 796 163</w:t>
            </w:r>
          </w:p>
        </w:tc>
        <w:tc>
          <w:tcPr>
            <w:tcW w:w="1310" w:type="dxa"/>
            <w:tcBorders>
              <w:top w:val="nil"/>
              <w:left w:val="nil"/>
              <w:bottom w:val="nil"/>
              <w:right w:val="nil"/>
            </w:tcBorders>
            <w:shd w:val="clear" w:color="auto" w:fill="FFFFFF" w:themeFill="background1"/>
            <w:noWrap/>
            <w:vAlign w:val="center"/>
            <w:hideMark/>
          </w:tcPr>
          <w:p w14:paraId="1BFD32F4"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8 484 451</w:t>
            </w:r>
          </w:p>
        </w:tc>
        <w:tc>
          <w:tcPr>
            <w:tcW w:w="1215" w:type="dxa"/>
            <w:tcBorders>
              <w:top w:val="nil"/>
              <w:left w:val="nil"/>
              <w:bottom w:val="nil"/>
              <w:right w:val="nil"/>
            </w:tcBorders>
            <w:shd w:val="clear" w:color="auto" w:fill="auto"/>
            <w:noWrap/>
            <w:vAlign w:val="center"/>
            <w:hideMark/>
          </w:tcPr>
          <w:p w14:paraId="5B98703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-311 712</w:t>
            </w:r>
          </w:p>
        </w:tc>
      </w:tr>
      <w:tr w:rsidR="003A0696" w:rsidRPr="000D4EA7" w14:paraId="6EA78FF6" w14:textId="77777777" w:rsidTr="003A0696">
        <w:trPr>
          <w:trHeight w:val="291"/>
        </w:trPr>
        <w:tc>
          <w:tcPr>
            <w:tcW w:w="4181" w:type="dxa"/>
            <w:tcBorders>
              <w:top w:val="nil"/>
              <w:left w:val="nil"/>
              <w:bottom w:val="nil"/>
              <w:right w:val="nil"/>
            </w:tcBorders>
            <w:shd w:val="clear" w:color="auto" w:fill="auto"/>
            <w:noWrap/>
            <w:vAlign w:val="center"/>
            <w:hideMark/>
          </w:tcPr>
          <w:p w14:paraId="17E4BD5F"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Spotrebné dane</w:t>
            </w:r>
            <w:r w:rsidRPr="000D4EA7">
              <w:rPr>
                <w:rFonts w:eastAsia="Times New Roman" w:cs="Times New Roman"/>
                <w:color w:val="000000"/>
                <w:sz w:val="20"/>
                <w:szCs w:val="20"/>
                <w:vertAlign w:val="superscript"/>
                <w:lang w:eastAsia="sk-SK"/>
              </w:rPr>
              <w:t>1</w:t>
            </w:r>
          </w:p>
        </w:tc>
        <w:tc>
          <w:tcPr>
            <w:tcW w:w="1222" w:type="dxa"/>
            <w:tcBorders>
              <w:top w:val="nil"/>
              <w:left w:val="nil"/>
              <w:bottom w:val="nil"/>
              <w:right w:val="nil"/>
            </w:tcBorders>
            <w:vAlign w:val="center"/>
          </w:tcPr>
          <w:p w14:paraId="3D4197DE"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2 497 366</w:t>
            </w:r>
          </w:p>
        </w:tc>
        <w:tc>
          <w:tcPr>
            <w:tcW w:w="1222" w:type="dxa"/>
            <w:tcBorders>
              <w:top w:val="nil"/>
              <w:left w:val="nil"/>
              <w:bottom w:val="nil"/>
              <w:right w:val="nil"/>
            </w:tcBorders>
            <w:shd w:val="clear" w:color="auto" w:fill="auto"/>
            <w:noWrap/>
            <w:vAlign w:val="center"/>
            <w:hideMark/>
          </w:tcPr>
          <w:p w14:paraId="186BEC8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2 518 183</w:t>
            </w:r>
          </w:p>
        </w:tc>
        <w:tc>
          <w:tcPr>
            <w:tcW w:w="1310" w:type="dxa"/>
            <w:tcBorders>
              <w:top w:val="nil"/>
              <w:left w:val="nil"/>
              <w:bottom w:val="nil"/>
              <w:right w:val="nil"/>
            </w:tcBorders>
            <w:shd w:val="clear" w:color="auto" w:fill="FFFFFF" w:themeFill="background1"/>
            <w:noWrap/>
            <w:vAlign w:val="center"/>
            <w:hideMark/>
          </w:tcPr>
          <w:p w14:paraId="7F5DB874"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2 531 013</w:t>
            </w:r>
          </w:p>
        </w:tc>
        <w:tc>
          <w:tcPr>
            <w:tcW w:w="1215" w:type="dxa"/>
            <w:tcBorders>
              <w:top w:val="nil"/>
              <w:left w:val="nil"/>
              <w:bottom w:val="nil"/>
              <w:right w:val="nil"/>
            </w:tcBorders>
            <w:shd w:val="clear" w:color="auto" w:fill="auto"/>
            <w:noWrap/>
            <w:vAlign w:val="center"/>
            <w:hideMark/>
          </w:tcPr>
          <w:p w14:paraId="497A29EF"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12 830</w:t>
            </w:r>
          </w:p>
        </w:tc>
      </w:tr>
      <w:tr w:rsidR="003A0696" w:rsidRPr="000D4EA7" w14:paraId="33D0DF34" w14:textId="77777777" w:rsidTr="003A0696">
        <w:trPr>
          <w:trHeight w:val="291"/>
        </w:trPr>
        <w:tc>
          <w:tcPr>
            <w:tcW w:w="4181" w:type="dxa"/>
            <w:tcBorders>
              <w:top w:val="nil"/>
              <w:left w:val="nil"/>
              <w:bottom w:val="nil"/>
              <w:right w:val="nil"/>
            </w:tcBorders>
            <w:shd w:val="clear" w:color="auto" w:fill="auto"/>
            <w:noWrap/>
            <w:vAlign w:val="center"/>
            <w:hideMark/>
          </w:tcPr>
          <w:p w14:paraId="2D4ABDEA"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Minerálny olej</w:t>
            </w:r>
          </w:p>
        </w:tc>
        <w:tc>
          <w:tcPr>
            <w:tcW w:w="1222" w:type="dxa"/>
            <w:tcBorders>
              <w:top w:val="nil"/>
              <w:left w:val="nil"/>
              <w:bottom w:val="nil"/>
              <w:right w:val="nil"/>
            </w:tcBorders>
            <w:vAlign w:val="center"/>
          </w:tcPr>
          <w:p w14:paraId="27648311"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1 293 984</w:t>
            </w:r>
          </w:p>
        </w:tc>
        <w:tc>
          <w:tcPr>
            <w:tcW w:w="1222" w:type="dxa"/>
            <w:tcBorders>
              <w:top w:val="nil"/>
              <w:left w:val="nil"/>
              <w:bottom w:val="nil"/>
              <w:right w:val="nil"/>
            </w:tcBorders>
            <w:shd w:val="clear" w:color="auto" w:fill="auto"/>
            <w:noWrap/>
            <w:vAlign w:val="center"/>
            <w:hideMark/>
          </w:tcPr>
          <w:p w14:paraId="5604DA79"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1 288 684</w:t>
            </w:r>
          </w:p>
        </w:tc>
        <w:tc>
          <w:tcPr>
            <w:tcW w:w="1310" w:type="dxa"/>
            <w:tcBorders>
              <w:top w:val="nil"/>
              <w:left w:val="nil"/>
              <w:bottom w:val="nil"/>
              <w:right w:val="nil"/>
            </w:tcBorders>
            <w:shd w:val="clear" w:color="auto" w:fill="FFFFFF" w:themeFill="background1"/>
            <w:noWrap/>
            <w:vAlign w:val="center"/>
            <w:hideMark/>
          </w:tcPr>
          <w:p w14:paraId="133E2FBF"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1 294 143</w:t>
            </w:r>
          </w:p>
        </w:tc>
        <w:tc>
          <w:tcPr>
            <w:tcW w:w="1215" w:type="dxa"/>
            <w:tcBorders>
              <w:top w:val="nil"/>
              <w:left w:val="nil"/>
              <w:bottom w:val="nil"/>
              <w:right w:val="nil"/>
            </w:tcBorders>
            <w:shd w:val="clear" w:color="auto" w:fill="auto"/>
            <w:noWrap/>
            <w:vAlign w:val="center"/>
            <w:hideMark/>
          </w:tcPr>
          <w:p w14:paraId="53BA796B"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5 459</w:t>
            </w:r>
          </w:p>
        </w:tc>
      </w:tr>
      <w:tr w:rsidR="003A0696" w:rsidRPr="000D4EA7" w14:paraId="1B7158BF" w14:textId="77777777" w:rsidTr="003A0696">
        <w:trPr>
          <w:trHeight w:val="291"/>
        </w:trPr>
        <w:tc>
          <w:tcPr>
            <w:tcW w:w="4181" w:type="dxa"/>
            <w:tcBorders>
              <w:top w:val="nil"/>
              <w:left w:val="nil"/>
              <w:bottom w:val="nil"/>
              <w:right w:val="nil"/>
            </w:tcBorders>
            <w:shd w:val="clear" w:color="auto" w:fill="auto"/>
            <w:noWrap/>
            <w:vAlign w:val="center"/>
            <w:hideMark/>
          </w:tcPr>
          <w:p w14:paraId="6F0FA5DB"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Tabak a tabakové výrobky</w:t>
            </w:r>
          </w:p>
        </w:tc>
        <w:tc>
          <w:tcPr>
            <w:tcW w:w="1222" w:type="dxa"/>
            <w:tcBorders>
              <w:top w:val="nil"/>
              <w:left w:val="nil"/>
              <w:bottom w:val="nil"/>
              <w:right w:val="nil"/>
            </w:tcBorders>
            <w:vAlign w:val="center"/>
          </w:tcPr>
          <w:p w14:paraId="465AA5D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896 088</w:t>
            </w:r>
          </w:p>
        </w:tc>
        <w:tc>
          <w:tcPr>
            <w:tcW w:w="1222" w:type="dxa"/>
            <w:tcBorders>
              <w:top w:val="nil"/>
              <w:left w:val="nil"/>
              <w:bottom w:val="nil"/>
              <w:right w:val="nil"/>
            </w:tcBorders>
            <w:shd w:val="clear" w:color="auto" w:fill="auto"/>
            <w:noWrap/>
            <w:vAlign w:val="center"/>
            <w:hideMark/>
          </w:tcPr>
          <w:p w14:paraId="1E98F682"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908 363</w:t>
            </w:r>
          </w:p>
        </w:tc>
        <w:tc>
          <w:tcPr>
            <w:tcW w:w="1310" w:type="dxa"/>
            <w:tcBorders>
              <w:top w:val="nil"/>
              <w:left w:val="nil"/>
              <w:bottom w:val="nil"/>
              <w:right w:val="nil"/>
            </w:tcBorders>
            <w:shd w:val="clear" w:color="auto" w:fill="FFFFFF" w:themeFill="background1"/>
            <w:noWrap/>
            <w:vAlign w:val="center"/>
            <w:hideMark/>
          </w:tcPr>
          <w:p w14:paraId="6D35A50D"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901 197</w:t>
            </w:r>
          </w:p>
        </w:tc>
        <w:tc>
          <w:tcPr>
            <w:tcW w:w="1215" w:type="dxa"/>
            <w:tcBorders>
              <w:top w:val="nil"/>
              <w:left w:val="nil"/>
              <w:bottom w:val="nil"/>
              <w:right w:val="nil"/>
            </w:tcBorders>
            <w:shd w:val="clear" w:color="auto" w:fill="auto"/>
            <w:noWrap/>
            <w:vAlign w:val="center"/>
            <w:hideMark/>
          </w:tcPr>
          <w:p w14:paraId="3E09DD08"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-7 166</w:t>
            </w:r>
          </w:p>
        </w:tc>
      </w:tr>
      <w:tr w:rsidR="003A0696" w:rsidRPr="000D4EA7" w14:paraId="6B089E13" w14:textId="77777777" w:rsidTr="003A0696">
        <w:trPr>
          <w:trHeight w:val="291"/>
        </w:trPr>
        <w:tc>
          <w:tcPr>
            <w:tcW w:w="4181" w:type="dxa"/>
            <w:tcBorders>
              <w:top w:val="nil"/>
              <w:left w:val="nil"/>
              <w:bottom w:val="nil"/>
              <w:right w:val="nil"/>
            </w:tcBorders>
            <w:shd w:val="clear" w:color="auto" w:fill="auto"/>
            <w:noWrap/>
            <w:vAlign w:val="center"/>
            <w:hideMark/>
          </w:tcPr>
          <w:p w14:paraId="66664CE2"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Ostatné spotrebné dane</w:t>
            </w:r>
          </w:p>
        </w:tc>
        <w:tc>
          <w:tcPr>
            <w:tcW w:w="1222" w:type="dxa"/>
            <w:tcBorders>
              <w:top w:val="nil"/>
              <w:left w:val="nil"/>
              <w:bottom w:val="nil"/>
              <w:right w:val="nil"/>
            </w:tcBorders>
            <w:vAlign w:val="center"/>
          </w:tcPr>
          <w:p w14:paraId="7DA06E76"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307 294</w:t>
            </w:r>
          </w:p>
        </w:tc>
        <w:tc>
          <w:tcPr>
            <w:tcW w:w="1222" w:type="dxa"/>
            <w:tcBorders>
              <w:top w:val="nil"/>
              <w:left w:val="nil"/>
              <w:bottom w:val="nil"/>
              <w:right w:val="nil"/>
            </w:tcBorders>
            <w:shd w:val="clear" w:color="auto" w:fill="auto"/>
            <w:noWrap/>
            <w:vAlign w:val="center"/>
            <w:hideMark/>
          </w:tcPr>
          <w:p w14:paraId="0EBAA872"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321 136</w:t>
            </w:r>
          </w:p>
        </w:tc>
        <w:tc>
          <w:tcPr>
            <w:tcW w:w="1310" w:type="dxa"/>
            <w:tcBorders>
              <w:top w:val="nil"/>
              <w:left w:val="nil"/>
              <w:bottom w:val="nil"/>
              <w:right w:val="nil"/>
            </w:tcBorders>
            <w:shd w:val="clear" w:color="auto" w:fill="FFFFFF" w:themeFill="background1"/>
            <w:noWrap/>
            <w:vAlign w:val="center"/>
            <w:hideMark/>
          </w:tcPr>
          <w:p w14:paraId="29DCCF65"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335 673</w:t>
            </w:r>
          </w:p>
        </w:tc>
        <w:tc>
          <w:tcPr>
            <w:tcW w:w="1215" w:type="dxa"/>
            <w:tcBorders>
              <w:top w:val="nil"/>
              <w:left w:val="nil"/>
              <w:bottom w:val="nil"/>
              <w:right w:val="nil"/>
            </w:tcBorders>
            <w:shd w:val="clear" w:color="auto" w:fill="auto"/>
            <w:noWrap/>
            <w:vAlign w:val="center"/>
            <w:hideMark/>
          </w:tcPr>
          <w:p w14:paraId="170D0F1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14 537</w:t>
            </w:r>
          </w:p>
        </w:tc>
      </w:tr>
      <w:tr w:rsidR="003A0696" w:rsidRPr="000D4EA7" w14:paraId="662F6FBA" w14:textId="77777777" w:rsidTr="003A0696">
        <w:trPr>
          <w:trHeight w:val="291"/>
        </w:trPr>
        <w:tc>
          <w:tcPr>
            <w:tcW w:w="4181" w:type="dxa"/>
            <w:tcBorders>
              <w:top w:val="nil"/>
              <w:left w:val="nil"/>
              <w:bottom w:val="nil"/>
              <w:right w:val="nil"/>
            </w:tcBorders>
            <w:shd w:val="clear" w:color="auto" w:fill="auto"/>
            <w:noWrap/>
            <w:vAlign w:val="center"/>
            <w:hideMark/>
          </w:tcPr>
          <w:p w14:paraId="44A52BFF"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Dane z majetku (nehnuteľnosti)</w:t>
            </w:r>
          </w:p>
        </w:tc>
        <w:tc>
          <w:tcPr>
            <w:tcW w:w="1222" w:type="dxa"/>
            <w:tcBorders>
              <w:top w:val="nil"/>
              <w:left w:val="nil"/>
              <w:bottom w:val="nil"/>
              <w:right w:val="nil"/>
            </w:tcBorders>
            <w:vAlign w:val="center"/>
          </w:tcPr>
          <w:p w14:paraId="0F95C176"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453 331</w:t>
            </w:r>
          </w:p>
        </w:tc>
        <w:tc>
          <w:tcPr>
            <w:tcW w:w="1222" w:type="dxa"/>
            <w:tcBorders>
              <w:top w:val="nil"/>
              <w:left w:val="nil"/>
              <w:bottom w:val="nil"/>
              <w:right w:val="nil"/>
            </w:tcBorders>
            <w:shd w:val="clear" w:color="auto" w:fill="auto"/>
            <w:noWrap/>
            <w:vAlign w:val="center"/>
            <w:hideMark/>
          </w:tcPr>
          <w:p w14:paraId="7F2B8DF3"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472 073</w:t>
            </w:r>
          </w:p>
        </w:tc>
        <w:tc>
          <w:tcPr>
            <w:tcW w:w="1310" w:type="dxa"/>
            <w:tcBorders>
              <w:top w:val="nil"/>
              <w:left w:val="nil"/>
              <w:bottom w:val="nil"/>
              <w:right w:val="nil"/>
            </w:tcBorders>
            <w:shd w:val="clear" w:color="auto" w:fill="FFFFFF" w:themeFill="background1"/>
            <w:noWrap/>
            <w:vAlign w:val="center"/>
            <w:hideMark/>
          </w:tcPr>
          <w:p w14:paraId="44F1AB6C"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456 736</w:t>
            </w:r>
          </w:p>
        </w:tc>
        <w:tc>
          <w:tcPr>
            <w:tcW w:w="1215" w:type="dxa"/>
            <w:tcBorders>
              <w:top w:val="nil"/>
              <w:left w:val="nil"/>
              <w:bottom w:val="nil"/>
              <w:right w:val="nil"/>
            </w:tcBorders>
            <w:shd w:val="clear" w:color="auto" w:fill="auto"/>
            <w:noWrap/>
            <w:vAlign w:val="center"/>
            <w:hideMark/>
          </w:tcPr>
          <w:p w14:paraId="064A29BA"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-15 337</w:t>
            </w:r>
          </w:p>
        </w:tc>
      </w:tr>
      <w:tr w:rsidR="003A0696" w:rsidRPr="000D4EA7" w14:paraId="483C3059" w14:textId="77777777" w:rsidTr="003A0696">
        <w:trPr>
          <w:trHeight w:val="291"/>
        </w:trPr>
        <w:tc>
          <w:tcPr>
            <w:tcW w:w="4181" w:type="dxa"/>
            <w:tcBorders>
              <w:top w:val="nil"/>
              <w:left w:val="nil"/>
              <w:bottom w:val="nil"/>
              <w:right w:val="nil"/>
            </w:tcBorders>
            <w:shd w:val="clear" w:color="auto" w:fill="auto"/>
            <w:noWrap/>
            <w:vAlign w:val="center"/>
            <w:hideMark/>
          </w:tcPr>
          <w:p w14:paraId="44DE2463"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Dane z medzinárodného obchodu</w:t>
            </w:r>
          </w:p>
        </w:tc>
        <w:tc>
          <w:tcPr>
            <w:tcW w:w="1222" w:type="dxa"/>
            <w:tcBorders>
              <w:top w:val="nil"/>
              <w:left w:val="nil"/>
              <w:bottom w:val="nil"/>
              <w:right w:val="nil"/>
            </w:tcBorders>
            <w:vAlign w:val="center"/>
          </w:tcPr>
          <w:p w14:paraId="1926C06F"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25 967</w:t>
            </w:r>
          </w:p>
        </w:tc>
        <w:tc>
          <w:tcPr>
            <w:tcW w:w="1222" w:type="dxa"/>
            <w:tcBorders>
              <w:top w:val="nil"/>
              <w:left w:val="nil"/>
              <w:bottom w:val="nil"/>
              <w:right w:val="nil"/>
            </w:tcBorders>
            <w:shd w:val="clear" w:color="auto" w:fill="auto"/>
            <w:noWrap/>
            <w:vAlign w:val="center"/>
            <w:hideMark/>
          </w:tcPr>
          <w:p w14:paraId="7EB12D53"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37 098</w:t>
            </w:r>
          </w:p>
        </w:tc>
        <w:tc>
          <w:tcPr>
            <w:tcW w:w="1310" w:type="dxa"/>
            <w:tcBorders>
              <w:top w:val="nil"/>
              <w:left w:val="nil"/>
              <w:bottom w:val="nil"/>
              <w:right w:val="nil"/>
            </w:tcBorders>
            <w:shd w:val="clear" w:color="auto" w:fill="FFFFFF" w:themeFill="background1"/>
            <w:noWrap/>
            <w:vAlign w:val="center"/>
            <w:hideMark/>
          </w:tcPr>
          <w:p w14:paraId="6E24C289"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39 848</w:t>
            </w:r>
          </w:p>
        </w:tc>
        <w:tc>
          <w:tcPr>
            <w:tcW w:w="1215" w:type="dxa"/>
            <w:tcBorders>
              <w:top w:val="nil"/>
              <w:left w:val="nil"/>
              <w:bottom w:val="nil"/>
              <w:right w:val="nil"/>
            </w:tcBorders>
            <w:shd w:val="clear" w:color="auto" w:fill="auto"/>
            <w:noWrap/>
            <w:vAlign w:val="center"/>
            <w:hideMark/>
          </w:tcPr>
          <w:p w14:paraId="1347E581"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2 750</w:t>
            </w:r>
          </w:p>
        </w:tc>
      </w:tr>
      <w:tr w:rsidR="003A0696" w:rsidRPr="000D4EA7" w14:paraId="14C43F36" w14:textId="77777777" w:rsidTr="003A0696">
        <w:trPr>
          <w:trHeight w:val="291"/>
        </w:trPr>
        <w:tc>
          <w:tcPr>
            <w:tcW w:w="4181" w:type="dxa"/>
            <w:tcBorders>
              <w:top w:val="nil"/>
              <w:left w:val="nil"/>
              <w:bottom w:val="nil"/>
              <w:right w:val="nil"/>
            </w:tcBorders>
            <w:shd w:val="clear" w:color="auto" w:fill="auto"/>
            <w:noWrap/>
            <w:vAlign w:val="center"/>
            <w:hideMark/>
          </w:tcPr>
          <w:p w14:paraId="48179FCC"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Ostatné dane</w:t>
            </w:r>
          </w:p>
        </w:tc>
        <w:tc>
          <w:tcPr>
            <w:tcW w:w="1222" w:type="dxa"/>
            <w:tcBorders>
              <w:top w:val="nil"/>
              <w:left w:val="nil"/>
              <w:bottom w:val="nil"/>
              <w:right w:val="nil"/>
            </w:tcBorders>
            <w:vAlign w:val="center"/>
          </w:tcPr>
          <w:p w14:paraId="4D5A2A4D"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711 531</w:t>
            </w:r>
          </w:p>
        </w:tc>
        <w:tc>
          <w:tcPr>
            <w:tcW w:w="1222" w:type="dxa"/>
            <w:tcBorders>
              <w:top w:val="nil"/>
              <w:left w:val="nil"/>
              <w:bottom w:val="nil"/>
              <w:right w:val="nil"/>
            </w:tcBorders>
            <w:shd w:val="clear" w:color="auto" w:fill="auto"/>
            <w:noWrap/>
            <w:vAlign w:val="center"/>
            <w:hideMark/>
          </w:tcPr>
          <w:p w14:paraId="1715B9F8"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712 605</w:t>
            </w:r>
          </w:p>
        </w:tc>
        <w:tc>
          <w:tcPr>
            <w:tcW w:w="1310" w:type="dxa"/>
            <w:tcBorders>
              <w:top w:val="nil"/>
              <w:left w:val="nil"/>
              <w:bottom w:val="nil"/>
              <w:right w:val="nil"/>
            </w:tcBorders>
            <w:shd w:val="clear" w:color="auto" w:fill="FFFFFF" w:themeFill="background1"/>
            <w:noWrap/>
            <w:vAlign w:val="center"/>
            <w:hideMark/>
          </w:tcPr>
          <w:p w14:paraId="378C2B72"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1 239 908</w:t>
            </w:r>
          </w:p>
        </w:tc>
        <w:tc>
          <w:tcPr>
            <w:tcW w:w="1215" w:type="dxa"/>
            <w:tcBorders>
              <w:top w:val="nil"/>
              <w:left w:val="nil"/>
              <w:bottom w:val="nil"/>
              <w:right w:val="nil"/>
            </w:tcBorders>
            <w:shd w:val="clear" w:color="auto" w:fill="auto"/>
            <w:noWrap/>
            <w:vAlign w:val="center"/>
            <w:hideMark/>
          </w:tcPr>
          <w:p w14:paraId="176B91C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527 303</w:t>
            </w:r>
          </w:p>
        </w:tc>
      </w:tr>
      <w:tr w:rsidR="003A0696" w:rsidRPr="000D4EA7" w14:paraId="4809A720" w14:textId="77777777" w:rsidTr="003A0696">
        <w:trPr>
          <w:trHeight w:val="291"/>
        </w:trPr>
        <w:tc>
          <w:tcPr>
            <w:tcW w:w="4181" w:type="dxa"/>
            <w:tcBorders>
              <w:top w:val="nil"/>
              <w:left w:val="nil"/>
              <w:bottom w:val="nil"/>
              <w:right w:val="nil"/>
            </w:tcBorders>
            <w:shd w:val="clear" w:color="auto" w:fill="auto"/>
            <w:noWrap/>
            <w:vAlign w:val="center"/>
            <w:hideMark/>
          </w:tcPr>
          <w:p w14:paraId="47B9ABC5"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Daň z motorových vozidiel</w:t>
            </w:r>
          </w:p>
        </w:tc>
        <w:tc>
          <w:tcPr>
            <w:tcW w:w="1222" w:type="dxa"/>
            <w:tcBorders>
              <w:top w:val="nil"/>
              <w:left w:val="nil"/>
              <w:bottom w:val="nil"/>
              <w:right w:val="nil"/>
            </w:tcBorders>
            <w:vAlign w:val="center"/>
          </w:tcPr>
          <w:p w14:paraId="38FF846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132 239</w:t>
            </w:r>
          </w:p>
        </w:tc>
        <w:tc>
          <w:tcPr>
            <w:tcW w:w="1222" w:type="dxa"/>
            <w:tcBorders>
              <w:top w:val="nil"/>
              <w:left w:val="nil"/>
              <w:bottom w:val="nil"/>
              <w:right w:val="nil"/>
            </w:tcBorders>
            <w:shd w:val="clear" w:color="auto" w:fill="auto"/>
            <w:noWrap/>
            <w:vAlign w:val="center"/>
            <w:hideMark/>
          </w:tcPr>
          <w:p w14:paraId="3D87231C"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132 250</w:t>
            </w:r>
          </w:p>
        </w:tc>
        <w:tc>
          <w:tcPr>
            <w:tcW w:w="1310" w:type="dxa"/>
            <w:tcBorders>
              <w:top w:val="nil"/>
              <w:left w:val="nil"/>
              <w:bottom w:val="nil"/>
              <w:right w:val="nil"/>
            </w:tcBorders>
            <w:shd w:val="clear" w:color="auto" w:fill="FFFFFF" w:themeFill="background1"/>
            <w:noWrap/>
            <w:vAlign w:val="center"/>
            <w:hideMark/>
          </w:tcPr>
          <w:p w14:paraId="045AABC9"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131 885</w:t>
            </w:r>
          </w:p>
        </w:tc>
        <w:tc>
          <w:tcPr>
            <w:tcW w:w="1215" w:type="dxa"/>
            <w:tcBorders>
              <w:top w:val="nil"/>
              <w:left w:val="nil"/>
              <w:bottom w:val="nil"/>
              <w:right w:val="nil"/>
            </w:tcBorders>
            <w:shd w:val="clear" w:color="auto" w:fill="auto"/>
            <w:noWrap/>
            <w:vAlign w:val="center"/>
            <w:hideMark/>
          </w:tcPr>
          <w:p w14:paraId="257D03DB"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-365</w:t>
            </w:r>
          </w:p>
        </w:tc>
      </w:tr>
      <w:tr w:rsidR="003A0696" w:rsidRPr="000D4EA7" w14:paraId="1470C53B" w14:textId="77777777" w:rsidTr="003A0696">
        <w:trPr>
          <w:trHeight w:val="291"/>
        </w:trPr>
        <w:tc>
          <w:tcPr>
            <w:tcW w:w="4181" w:type="dxa"/>
            <w:tcBorders>
              <w:top w:val="nil"/>
              <w:left w:val="nil"/>
              <w:bottom w:val="nil"/>
              <w:right w:val="nil"/>
            </w:tcBorders>
            <w:shd w:val="clear" w:color="auto" w:fill="auto"/>
            <w:noWrap/>
            <w:vAlign w:val="center"/>
            <w:hideMark/>
          </w:tcPr>
          <w:p w14:paraId="355D43CD" w14:textId="77777777" w:rsidR="003A0696" w:rsidRPr="000D4EA7" w:rsidRDefault="003A0696" w:rsidP="003A0696">
            <w:pPr>
              <w:spacing w:after="0" w:line="240" w:lineRule="auto"/>
              <w:ind w:right="-713"/>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Osobitný odvod z podnikania v regulovaných</w:t>
            </w:r>
          </w:p>
          <w:p w14:paraId="55FEECC2" w14:textId="77777777" w:rsidR="003A0696" w:rsidRPr="000D4EA7" w:rsidRDefault="003A0696" w:rsidP="003A0696">
            <w:pPr>
              <w:spacing w:after="0" w:line="240" w:lineRule="auto"/>
              <w:ind w:right="-713"/>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odvetviach </w:t>
            </w:r>
          </w:p>
        </w:tc>
        <w:tc>
          <w:tcPr>
            <w:tcW w:w="1222" w:type="dxa"/>
            <w:tcBorders>
              <w:top w:val="nil"/>
              <w:left w:val="nil"/>
              <w:bottom w:val="nil"/>
              <w:right w:val="nil"/>
            </w:tcBorders>
            <w:vAlign w:val="center"/>
          </w:tcPr>
          <w:p w14:paraId="2FCDADC9"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98 294</w:t>
            </w:r>
          </w:p>
        </w:tc>
        <w:tc>
          <w:tcPr>
            <w:tcW w:w="1222" w:type="dxa"/>
            <w:tcBorders>
              <w:top w:val="nil"/>
              <w:left w:val="nil"/>
              <w:bottom w:val="nil"/>
              <w:right w:val="nil"/>
            </w:tcBorders>
            <w:shd w:val="clear" w:color="auto" w:fill="auto"/>
            <w:noWrap/>
            <w:vAlign w:val="center"/>
            <w:hideMark/>
          </w:tcPr>
          <w:p w14:paraId="0090D3A9"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96 005</w:t>
            </w:r>
          </w:p>
        </w:tc>
        <w:tc>
          <w:tcPr>
            <w:tcW w:w="1310" w:type="dxa"/>
            <w:tcBorders>
              <w:top w:val="nil"/>
              <w:left w:val="nil"/>
              <w:bottom w:val="nil"/>
              <w:right w:val="nil"/>
            </w:tcBorders>
            <w:shd w:val="clear" w:color="auto" w:fill="FFFFFF" w:themeFill="background1"/>
            <w:noWrap/>
            <w:vAlign w:val="center"/>
            <w:hideMark/>
          </w:tcPr>
          <w:p w14:paraId="4F14B37D"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97 623</w:t>
            </w:r>
          </w:p>
        </w:tc>
        <w:tc>
          <w:tcPr>
            <w:tcW w:w="1215" w:type="dxa"/>
            <w:tcBorders>
              <w:top w:val="nil"/>
              <w:left w:val="nil"/>
              <w:bottom w:val="nil"/>
              <w:right w:val="nil"/>
            </w:tcBorders>
            <w:shd w:val="clear" w:color="auto" w:fill="auto"/>
            <w:noWrap/>
            <w:vAlign w:val="center"/>
            <w:hideMark/>
          </w:tcPr>
          <w:p w14:paraId="6836ABFC"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1 618</w:t>
            </w:r>
          </w:p>
        </w:tc>
      </w:tr>
      <w:tr w:rsidR="003A0696" w:rsidRPr="000D4EA7" w14:paraId="1F7243EC" w14:textId="77777777" w:rsidTr="003A0696">
        <w:trPr>
          <w:trHeight w:val="291"/>
        </w:trPr>
        <w:tc>
          <w:tcPr>
            <w:tcW w:w="4181" w:type="dxa"/>
            <w:tcBorders>
              <w:top w:val="nil"/>
              <w:left w:val="nil"/>
              <w:bottom w:val="nil"/>
              <w:right w:val="nil"/>
            </w:tcBorders>
            <w:shd w:val="clear" w:color="auto" w:fill="auto"/>
            <w:noWrap/>
            <w:vAlign w:val="center"/>
            <w:hideMark/>
          </w:tcPr>
          <w:p w14:paraId="454B2460"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Dane za špecifické služby</w:t>
            </w:r>
          </w:p>
        </w:tc>
        <w:tc>
          <w:tcPr>
            <w:tcW w:w="1222" w:type="dxa"/>
            <w:tcBorders>
              <w:top w:val="nil"/>
              <w:left w:val="nil"/>
              <w:bottom w:val="nil"/>
              <w:right w:val="nil"/>
            </w:tcBorders>
            <w:vAlign w:val="center"/>
          </w:tcPr>
          <w:p w14:paraId="6EBF5CB3"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0</w:t>
            </w:r>
          </w:p>
        </w:tc>
        <w:tc>
          <w:tcPr>
            <w:tcW w:w="1222" w:type="dxa"/>
            <w:tcBorders>
              <w:top w:val="nil"/>
              <w:left w:val="nil"/>
              <w:bottom w:val="nil"/>
              <w:right w:val="nil"/>
            </w:tcBorders>
            <w:shd w:val="clear" w:color="auto" w:fill="auto"/>
            <w:noWrap/>
            <w:vAlign w:val="center"/>
            <w:hideMark/>
          </w:tcPr>
          <w:p w14:paraId="3E543976"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0</w:t>
            </w:r>
          </w:p>
        </w:tc>
        <w:tc>
          <w:tcPr>
            <w:tcW w:w="1310" w:type="dxa"/>
            <w:tcBorders>
              <w:top w:val="nil"/>
              <w:left w:val="nil"/>
              <w:bottom w:val="nil"/>
              <w:right w:val="nil"/>
            </w:tcBorders>
            <w:shd w:val="clear" w:color="auto" w:fill="FFFFFF" w:themeFill="background1"/>
            <w:noWrap/>
            <w:vAlign w:val="center"/>
            <w:hideMark/>
          </w:tcPr>
          <w:p w14:paraId="402D363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521 165</w:t>
            </w:r>
          </w:p>
        </w:tc>
        <w:tc>
          <w:tcPr>
            <w:tcW w:w="1215" w:type="dxa"/>
            <w:tcBorders>
              <w:top w:val="nil"/>
              <w:left w:val="nil"/>
              <w:bottom w:val="nil"/>
              <w:right w:val="nil"/>
            </w:tcBorders>
            <w:shd w:val="clear" w:color="auto" w:fill="auto"/>
            <w:noWrap/>
            <w:vAlign w:val="center"/>
            <w:hideMark/>
          </w:tcPr>
          <w:p w14:paraId="2185A75C"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521 165</w:t>
            </w:r>
          </w:p>
        </w:tc>
      </w:tr>
      <w:tr w:rsidR="003A0696" w:rsidRPr="000D4EA7" w14:paraId="2124E5E3" w14:textId="77777777" w:rsidTr="003A0696">
        <w:trPr>
          <w:trHeight w:val="291"/>
        </w:trPr>
        <w:tc>
          <w:tcPr>
            <w:tcW w:w="4181" w:type="dxa"/>
            <w:tcBorders>
              <w:top w:val="nil"/>
              <w:left w:val="nil"/>
              <w:bottom w:val="nil"/>
              <w:right w:val="nil"/>
            </w:tcBorders>
            <w:shd w:val="clear" w:color="auto" w:fill="auto"/>
            <w:noWrap/>
            <w:vAlign w:val="center"/>
          </w:tcPr>
          <w:p w14:paraId="7DA483DB" w14:textId="77777777" w:rsidR="003A0696" w:rsidRPr="000D4EA7" w:rsidRDefault="003A0696" w:rsidP="003A0696">
            <w:pPr>
              <w:spacing w:after="0" w:line="240" w:lineRule="auto"/>
              <w:ind w:right="-462"/>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Solidárny príspevok z činností v odvetviach </w:t>
            </w:r>
          </w:p>
          <w:p w14:paraId="2B636192" w14:textId="77777777" w:rsidR="003A0696" w:rsidRPr="000D4EA7" w:rsidRDefault="003A0696" w:rsidP="003A0696">
            <w:pPr>
              <w:spacing w:after="0" w:line="240" w:lineRule="auto"/>
              <w:ind w:right="-462"/>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ropy, zemného plynu, uhlia a rafinérií                                                        </w:t>
            </w:r>
          </w:p>
        </w:tc>
        <w:tc>
          <w:tcPr>
            <w:tcW w:w="1222" w:type="dxa"/>
            <w:tcBorders>
              <w:top w:val="nil"/>
              <w:left w:val="nil"/>
              <w:bottom w:val="nil"/>
              <w:right w:val="nil"/>
            </w:tcBorders>
            <w:vAlign w:val="center"/>
          </w:tcPr>
          <w:p w14:paraId="1EA2DF01"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255 475</w:t>
            </w:r>
          </w:p>
        </w:tc>
        <w:tc>
          <w:tcPr>
            <w:tcW w:w="1222" w:type="dxa"/>
            <w:tcBorders>
              <w:top w:val="nil"/>
              <w:left w:val="nil"/>
              <w:bottom w:val="nil"/>
              <w:right w:val="nil"/>
            </w:tcBorders>
            <w:shd w:val="clear" w:color="auto" w:fill="auto"/>
            <w:noWrap/>
            <w:vAlign w:val="center"/>
          </w:tcPr>
          <w:p w14:paraId="6951EF58"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260 508</w:t>
            </w:r>
          </w:p>
        </w:tc>
        <w:tc>
          <w:tcPr>
            <w:tcW w:w="1310" w:type="dxa"/>
            <w:tcBorders>
              <w:top w:val="nil"/>
              <w:left w:val="nil"/>
              <w:bottom w:val="nil"/>
              <w:right w:val="nil"/>
            </w:tcBorders>
            <w:shd w:val="clear" w:color="auto" w:fill="FFFFFF" w:themeFill="background1"/>
            <w:noWrap/>
            <w:vAlign w:val="center"/>
          </w:tcPr>
          <w:p w14:paraId="0757F5D6"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258 110</w:t>
            </w:r>
          </w:p>
        </w:tc>
        <w:tc>
          <w:tcPr>
            <w:tcW w:w="1215" w:type="dxa"/>
            <w:tcBorders>
              <w:top w:val="nil"/>
              <w:left w:val="nil"/>
              <w:bottom w:val="nil"/>
              <w:right w:val="nil"/>
            </w:tcBorders>
            <w:shd w:val="clear" w:color="auto" w:fill="auto"/>
            <w:noWrap/>
            <w:vAlign w:val="center"/>
          </w:tcPr>
          <w:p w14:paraId="547ED7AD"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-2 398</w:t>
            </w:r>
          </w:p>
        </w:tc>
      </w:tr>
      <w:tr w:rsidR="003A0696" w:rsidRPr="000D4EA7" w14:paraId="4CC61B15" w14:textId="77777777" w:rsidTr="003A0696">
        <w:trPr>
          <w:trHeight w:val="291"/>
        </w:trPr>
        <w:tc>
          <w:tcPr>
            <w:tcW w:w="4181" w:type="dxa"/>
            <w:tcBorders>
              <w:top w:val="nil"/>
              <w:left w:val="nil"/>
              <w:bottom w:val="nil"/>
              <w:right w:val="nil"/>
            </w:tcBorders>
            <w:shd w:val="clear" w:color="auto" w:fill="auto"/>
            <w:noWrap/>
            <w:vAlign w:val="center"/>
            <w:hideMark/>
          </w:tcPr>
          <w:p w14:paraId="1F93E75F"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 xml:space="preserve">     - Ostatné</w:t>
            </w:r>
          </w:p>
        </w:tc>
        <w:tc>
          <w:tcPr>
            <w:tcW w:w="1222" w:type="dxa"/>
            <w:tcBorders>
              <w:top w:val="nil"/>
              <w:left w:val="nil"/>
              <w:bottom w:val="single" w:sz="4" w:space="0" w:color="auto"/>
              <w:right w:val="nil"/>
            </w:tcBorders>
            <w:vAlign w:val="center"/>
          </w:tcPr>
          <w:p w14:paraId="081FD9F1"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225 523</w:t>
            </w:r>
          </w:p>
        </w:tc>
        <w:tc>
          <w:tcPr>
            <w:tcW w:w="1222" w:type="dxa"/>
            <w:tcBorders>
              <w:top w:val="nil"/>
              <w:left w:val="nil"/>
              <w:bottom w:val="single" w:sz="4" w:space="0" w:color="auto"/>
              <w:right w:val="nil"/>
            </w:tcBorders>
            <w:shd w:val="clear" w:color="auto" w:fill="auto"/>
            <w:noWrap/>
            <w:vAlign w:val="center"/>
            <w:hideMark/>
          </w:tcPr>
          <w:p w14:paraId="48F8AF64"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223 842</w:t>
            </w:r>
          </w:p>
        </w:tc>
        <w:tc>
          <w:tcPr>
            <w:tcW w:w="1310" w:type="dxa"/>
            <w:tcBorders>
              <w:top w:val="nil"/>
              <w:left w:val="nil"/>
              <w:bottom w:val="nil"/>
              <w:right w:val="nil"/>
            </w:tcBorders>
            <w:shd w:val="clear" w:color="auto" w:fill="FFFFFF" w:themeFill="background1"/>
            <w:noWrap/>
            <w:vAlign w:val="center"/>
            <w:hideMark/>
          </w:tcPr>
          <w:p w14:paraId="076D7C0E"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231 125</w:t>
            </w:r>
          </w:p>
        </w:tc>
        <w:tc>
          <w:tcPr>
            <w:tcW w:w="1215" w:type="dxa"/>
            <w:tcBorders>
              <w:top w:val="nil"/>
              <w:left w:val="nil"/>
              <w:bottom w:val="nil"/>
              <w:right w:val="nil"/>
            </w:tcBorders>
            <w:shd w:val="clear" w:color="auto" w:fill="auto"/>
            <w:noWrap/>
            <w:vAlign w:val="center"/>
            <w:hideMark/>
          </w:tcPr>
          <w:p w14:paraId="0E3CC7B5"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7 283</w:t>
            </w:r>
          </w:p>
        </w:tc>
      </w:tr>
      <w:tr w:rsidR="003A0696" w:rsidRPr="000D4EA7" w14:paraId="0788394E" w14:textId="77777777" w:rsidTr="003A0696">
        <w:trPr>
          <w:trHeight w:val="291"/>
        </w:trPr>
        <w:tc>
          <w:tcPr>
            <w:tcW w:w="4181" w:type="dxa"/>
            <w:tcBorders>
              <w:top w:val="single" w:sz="4" w:space="0" w:color="auto"/>
              <w:left w:val="nil"/>
              <w:bottom w:val="single" w:sz="4" w:space="0" w:color="auto"/>
              <w:right w:val="nil"/>
            </w:tcBorders>
            <w:shd w:val="clear" w:color="auto" w:fill="auto"/>
            <w:noWrap/>
            <w:vAlign w:val="center"/>
            <w:hideMark/>
          </w:tcPr>
          <w:p w14:paraId="6709D489" w14:textId="77777777" w:rsidR="003A0696" w:rsidRPr="000D4EA7" w:rsidRDefault="003A0696" w:rsidP="003A0696">
            <w:pPr>
              <w:spacing w:after="0" w:line="240" w:lineRule="auto"/>
              <w:jc w:val="left"/>
              <w:rPr>
                <w:rFonts w:eastAsia="Times New Roman" w:cs="Times New Roman"/>
                <w:b/>
                <w:bCs/>
                <w:color w:val="000000"/>
                <w:sz w:val="20"/>
                <w:szCs w:val="20"/>
                <w:lang w:eastAsia="sk-SK"/>
              </w:rPr>
            </w:pPr>
            <w:r w:rsidRPr="000D4EA7">
              <w:rPr>
                <w:rFonts w:eastAsia="Times New Roman" w:cs="Times New Roman"/>
                <w:b/>
                <w:bCs/>
                <w:color w:val="000000"/>
                <w:sz w:val="20"/>
                <w:szCs w:val="20"/>
                <w:lang w:eastAsia="sk-SK"/>
              </w:rPr>
              <w:t>Daňové príjmy vrátane sankcií</w:t>
            </w:r>
          </w:p>
        </w:tc>
        <w:tc>
          <w:tcPr>
            <w:tcW w:w="1222" w:type="dxa"/>
            <w:tcBorders>
              <w:top w:val="nil"/>
              <w:left w:val="nil"/>
              <w:bottom w:val="single" w:sz="4" w:space="0" w:color="auto"/>
              <w:right w:val="nil"/>
            </w:tcBorders>
            <w:vAlign w:val="center"/>
          </w:tcPr>
          <w:p w14:paraId="7F2B78C9" w14:textId="77777777" w:rsidR="003A0696" w:rsidRPr="000D4EA7" w:rsidRDefault="003A0696" w:rsidP="003A0696">
            <w:pPr>
              <w:spacing w:after="0" w:line="240" w:lineRule="auto"/>
              <w:jc w:val="right"/>
              <w:rPr>
                <w:rFonts w:eastAsia="Times New Roman" w:cs="Times New Roman"/>
                <w:b/>
                <w:bCs/>
                <w:color w:val="000000"/>
                <w:sz w:val="20"/>
                <w:szCs w:val="20"/>
                <w:lang w:eastAsia="sk-SK"/>
              </w:rPr>
            </w:pPr>
            <w:r w:rsidRPr="000D4EA7">
              <w:rPr>
                <w:b/>
                <w:bCs/>
                <w:color w:val="000000"/>
                <w:sz w:val="20"/>
                <w:szCs w:val="20"/>
              </w:rPr>
              <w:t>19 190 938</w:t>
            </w:r>
          </w:p>
        </w:tc>
        <w:tc>
          <w:tcPr>
            <w:tcW w:w="1222" w:type="dxa"/>
            <w:tcBorders>
              <w:top w:val="nil"/>
              <w:left w:val="nil"/>
              <w:bottom w:val="single" w:sz="4" w:space="0" w:color="auto"/>
              <w:right w:val="nil"/>
            </w:tcBorders>
            <w:shd w:val="clear" w:color="auto" w:fill="auto"/>
            <w:noWrap/>
            <w:vAlign w:val="center"/>
            <w:hideMark/>
          </w:tcPr>
          <w:p w14:paraId="41C5C23D" w14:textId="77777777" w:rsidR="003A0696" w:rsidRPr="000D4EA7" w:rsidRDefault="003A0696" w:rsidP="003A0696">
            <w:pPr>
              <w:spacing w:after="0" w:line="240" w:lineRule="auto"/>
              <w:jc w:val="right"/>
              <w:rPr>
                <w:rFonts w:eastAsia="Times New Roman" w:cs="Times New Roman"/>
                <w:b/>
                <w:bCs/>
                <w:color w:val="000000"/>
                <w:sz w:val="20"/>
                <w:szCs w:val="20"/>
                <w:lang w:eastAsia="sk-SK"/>
              </w:rPr>
            </w:pPr>
            <w:r w:rsidRPr="000D4EA7">
              <w:rPr>
                <w:b/>
                <w:bCs/>
                <w:color w:val="000000"/>
                <w:sz w:val="20"/>
                <w:szCs w:val="20"/>
              </w:rPr>
              <w:t>20 582 460</w:t>
            </w:r>
          </w:p>
        </w:tc>
        <w:tc>
          <w:tcPr>
            <w:tcW w:w="1310" w:type="dxa"/>
            <w:tcBorders>
              <w:top w:val="single" w:sz="4" w:space="0" w:color="auto"/>
              <w:left w:val="nil"/>
              <w:bottom w:val="single" w:sz="4" w:space="0" w:color="auto"/>
              <w:right w:val="nil"/>
            </w:tcBorders>
            <w:shd w:val="clear" w:color="auto" w:fill="FFFFFF" w:themeFill="background1"/>
            <w:noWrap/>
            <w:vAlign w:val="center"/>
            <w:hideMark/>
          </w:tcPr>
          <w:p w14:paraId="5AB96484" w14:textId="77777777" w:rsidR="003A0696" w:rsidRPr="000D4EA7" w:rsidRDefault="003A0696" w:rsidP="003A0696">
            <w:pPr>
              <w:spacing w:after="0" w:line="240" w:lineRule="auto"/>
              <w:jc w:val="right"/>
              <w:rPr>
                <w:rFonts w:eastAsia="Times New Roman" w:cs="Times New Roman"/>
                <w:b/>
                <w:bCs/>
                <w:color w:val="000000"/>
                <w:sz w:val="20"/>
                <w:szCs w:val="20"/>
                <w:lang w:eastAsia="sk-SK"/>
              </w:rPr>
            </w:pPr>
            <w:r w:rsidRPr="000D4EA7">
              <w:rPr>
                <w:b/>
                <w:bCs/>
                <w:color w:val="000000"/>
                <w:sz w:val="20"/>
                <w:szCs w:val="20"/>
              </w:rPr>
              <w:t>20 822 897</w:t>
            </w:r>
          </w:p>
        </w:tc>
        <w:tc>
          <w:tcPr>
            <w:tcW w:w="1215" w:type="dxa"/>
            <w:tcBorders>
              <w:top w:val="single" w:sz="4" w:space="0" w:color="auto"/>
              <w:left w:val="nil"/>
              <w:bottom w:val="single" w:sz="4" w:space="0" w:color="auto"/>
              <w:right w:val="nil"/>
            </w:tcBorders>
            <w:shd w:val="clear" w:color="auto" w:fill="auto"/>
            <w:noWrap/>
            <w:vAlign w:val="center"/>
            <w:hideMark/>
          </w:tcPr>
          <w:p w14:paraId="15520B4D" w14:textId="77777777" w:rsidR="003A0696" w:rsidRPr="000D4EA7" w:rsidRDefault="003A0696" w:rsidP="003A0696">
            <w:pPr>
              <w:spacing w:after="0" w:line="240" w:lineRule="auto"/>
              <w:jc w:val="right"/>
              <w:rPr>
                <w:rFonts w:eastAsia="Times New Roman" w:cs="Times New Roman"/>
                <w:b/>
                <w:bCs/>
                <w:color w:val="000000"/>
                <w:sz w:val="20"/>
                <w:szCs w:val="20"/>
                <w:lang w:eastAsia="sk-SK"/>
              </w:rPr>
            </w:pPr>
            <w:r w:rsidRPr="000D4EA7">
              <w:rPr>
                <w:b/>
                <w:bCs/>
                <w:color w:val="000000"/>
                <w:sz w:val="20"/>
                <w:szCs w:val="20"/>
              </w:rPr>
              <w:t>240 437</w:t>
            </w:r>
          </w:p>
        </w:tc>
      </w:tr>
      <w:tr w:rsidR="003A0696" w:rsidRPr="000D4EA7" w14:paraId="7395D8FC" w14:textId="77777777" w:rsidTr="003A0696">
        <w:trPr>
          <w:trHeight w:val="291"/>
        </w:trPr>
        <w:tc>
          <w:tcPr>
            <w:tcW w:w="4181" w:type="dxa"/>
            <w:tcBorders>
              <w:top w:val="nil"/>
              <w:left w:val="nil"/>
              <w:bottom w:val="nil"/>
              <w:right w:val="nil"/>
            </w:tcBorders>
            <w:shd w:val="clear" w:color="auto" w:fill="auto"/>
            <w:noWrap/>
            <w:vAlign w:val="center"/>
            <w:hideMark/>
          </w:tcPr>
          <w:p w14:paraId="100B1EE2"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Sociálne odvody (EAO + dlžné)</w:t>
            </w:r>
            <w:r w:rsidRPr="000D4EA7">
              <w:rPr>
                <w:rFonts w:eastAsia="Times New Roman" w:cs="Times New Roman"/>
                <w:color w:val="000000"/>
                <w:sz w:val="20"/>
                <w:szCs w:val="20"/>
                <w:vertAlign w:val="superscript"/>
                <w:lang w:eastAsia="sk-SK"/>
              </w:rPr>
              <w:t>2</w:t>
            </w:r>
          </w:p>
        </w:tc>
        <w:tc>
          <w:tcPr>
            <w:tcW w:w="1222" w:type="dxa"/>
            <w:tcBorders>
              <w:top w:val="nil"/>
              <w:left w:val="nil"/>
              <w:bottom w:val="nil"/>
              <w:right w:val="nil"/>
            </w:tcBorders>
            <w:vAlign w:val="center"/>
          </w:tcPr>
          <w:p w14:paraId="15AC8AC3"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9 083 009</w:t>
            </w:r>
          </w:p>
        </w:tc>
        <w:tc>
          <w:tcPr>
            <w:tcW w:w="1222" w:type="dxa"/>
            <w:tcBorders>
              <w:top w:val="nil"/>
              <w:left w:val="nil"/>
              <w:bottom w:val="nil"/>
              <w:right w:val="nil"/>
            </w:tcBorders>
            <w:shd w:val="clear" w:color="auto" w:fill="auto"/>
            <w:noWrap/>
            <w:vAlign w:val="center"/>
            <w:hideMark/>
          </w:tcPr>
          <w:p w14:paraId="17541955"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9 641 760</w:t>
            </w:r>
          </w:p>
        </w:tc>
        <w:tc>
          <w:tcPr>
            <w:tcW w:w="1310" w:type="dxa"/>
            <w:tcBorders>
              <w:top w:val="nil"/>
              <w:left w:val="nil"/>
              <w:bottom w:val="nil"/>
              <w:right w:val="nil"/>
            </w:tcBorders>
            <w:shd w:val="clear" w:color="auto" w:fill="FFFFFF" w:themeFill="background1"/>
            <w:noWrap/>
            <w:vAlign w:val="center"/>
            <w:hideMark/>
          </w:tcPr>
          <w:p w14:paraId="105C981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9 515 549</w:t>
            </w:r>
          </w:p>
        </w:tc>
        <w:tc>
          <w:tcPr>
            <w:tcW w:w="1215" w:type="dxa"/>
            <w:tcBorders>
              <w:top w:val="nil"/>
              <w:left w:val="nil"/>
              <w:bottom w:val="nil"/>
              <w:right w:val="nil"/>
            </w:tcBorders>
            <w:shd w:val="clear" w:color="auto" w:fill="auto"/>
            <w:noWrap/>
            <w:vAlign w:val="center"/>
            <w:hideMark/>
          </w:tcPr>
          <w:p w14:paraId="4B436566"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-126 211</w:t>
            </w:r>
          </w:p>
        </w:tc>
      </w:tr>
      <w:tr w:rsidR="003A0696" w:rsidRPr="000D4EA7" w14:paraId="025C82DB" w14:textId="77777777" w:rsidTr="003A0696">
        <w:trPr>
          <w:trHeight w:val="291"/>
        </w:trPr>
        <w:tc>
          <w:tcPr>
            <w:tcW w:w="4181" w:type="dxa"/>
            <w:tcBorders>
              <w:top w:val="nil"/>
              <w:left w:val="nil"/>
              <w:bottom w:val="single" w:sz="4" w:space="0" w:color="auto"/>
              <w:right w:val="nil"/>
            </w:tcBorders>
            <w:shd w:val="clear" w:color="auto" w:fill="auto"/>
            <w:noWrap/>
            <w:vAlign w:val="center"/>
            <w:hideMark/>
          </w:tcPr>
          <w:p w14:paraId="56B24111" w14:textId="77777777" w:rsidR="003A0696" w:rsidRPr="000D4EA7" w:rsidRDefault="003A0696" w:rsidP="003A0696">
            <w:pPr>
              <w:spacing w:after="0" w:line="240" w:lineRule="auto"/>
              <w:jc w:val="left"/>
              <w:rPr>
                <w:rFonts w:eastAsia="Times New Roman" w:cs="Times New Roman"/>
                <w:color w:val="000000"/>
                <w:sz w:val="20"/>
                <w:szCs w:val="20"/>
                <w:lang w:eastAsia="sk-SK"/>
              </w:rPr>
            </w:pPr>
            <w:r w:rsidRPr="000D4EA7">
              <w:rPr>
                <w:rFonts w:eastAsia="Times New Roman" w:cs="Times New Roman"/>
                <w:color w:val="000000"/>
                <w:sz w:val="20"/>
                <w:szCs w:val="20"/>
                <w:lang w:eastAsia="sk-SK"/>
              </w:rPr>
              <w:t>Zdravotné odvody (EAO + dlžné)</w:t>
            </w:r>
            <w:r w:rsidRPr="000D4EA7">
              <w:rPr>
                <w:rFonts w:eastAsia="Times New Roman" w:cs="Times New Roman"/>
                <w:color w:val="000000"/>
                <w:sz w:val="20"/>
                <w:szCs w:val="20"/>
                <w:vertAlign w:val="superscript"/>
                <w:lang w:eastAsia="sk-SK"/>
              </w:rPr>
              <w:t>3</w:t>
            </w:r>
          </w:p>
        </w:tc>
        <w:tc>
          <w:tcPr>
            <w:tcW w:w="1222" w:type="dxa"/>
            <w:tcBorders>
              <w:top w:val="nil"/>
              <w:left w:val="nil"/>
              <w:bottom w:val="single" w:sz="4" w:space="0" w:color="auto"/>
              <w:right w:val="nil"/>
            </w:tcBorders>
            <w:vAlign w:val="center"/>
          </w:tcPr>
          <w:p w14:paraId="0F771D65"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4 557 188</w:t>
            </w:r>
          </w:p>
        </w:tc>
        <w:tc>
          <w:tcPr>
            <w:tcW w:w="1222" w:type="dxa"/>
            <w:tcBorders>
              <w:top w:val="nil"/>
              <w:left w:val="nil"/>
              <w:bottom w:val="single" w:sz="4" w:space="0" w:color="auto"/>
              <w:right w:val="nil"/>
            </w:tcBorders>
            <w:shd w:val="clear" w:color="auto" w:fill="auto"/>
            <w:noWrap/>
            <w:vAlign w:val="center"/>
            <w:hideMark/>
          </w:tcPr>
          <w:p w14:paraId="67AF549A"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4 775 531</w:t>
            </w:r>
          </w:p>
        </w:tc>
        <w:tc>
          <w:tcPr>
            <w:tcW w:w="1310" w:type="dxa"/>
            <w:tcBorders>
              <w:top w:val="nil"/>
              <w:left w:val="nil"/>
              <w:bottom w:val="single" w:sz="4" w:space="0" w:color="auto"/>
              <w:right w:val="nil"/>
            </w:tcBorders>
            <w:shd w:val="clear" w:color="auto" w:fill="FFFFFF" w:themeFill="background1"/>
            <w:noWrap/>
            <w:vAlign w:val="center"/>
            <w:hideMark/>
          </w:tcPr>
          <w:p w14:paraId="4C4D7887"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4 707 999</w:t>
            </w:r>
          </w:p>
        </w:tc>
        <w:tc>
          <w:tcPr>
            <w:tcW w:w="1215" w:type="dxa"/>
            <w:tcBorders>
              <w:top w:val="nil"/>
              <w:left w:val="nil"/>
              <w:bottom w:val="single" w:sz="4" w:space="0" w:color="auto"/>
              <w:right w:val="nil"/>
            </w:tcBorders>
            <w:shd w:val="clear" w:color="auto" w:fill="auto"/>
            <w:noWrap/>
            <w:vAlign w:val="center"/>
            <w:hideMark/>
          </w:tcPr>
          <w:p w14:paraId="5315B20D" w14:textId="77777777" w:rsidR="003A0696" w:rsidRPr="000D4EA7" w:rsidRDefault="003A0696" w:rsidP="003A0696">
            <w:pPr>
              <w:spacing w:after="0" w:line="240" w:lineRule="auto"/>
              <w:jc w:val="right"/>
              <w:rPr>
                <w:rFonts w:eastAsia="Times New Roman" w:cs="Times New Roman"/>
                <w:color w:val="000000"/>
                <w:sz w:val="20"/>
                <w:szCs w:val="20"/>
                <w:lang w:eastAsia="sk-SK"/>
              </w:rPr>
            </w:pPr>
            <w:r w:rsidRPr="000D4EA7">
              <w:rPr>
                <w:color w:val="000000"/>
                <w:sz w:val="20"/>
                <w:szCs w:val="20"/>
              </w:rPr>
              <w:t>-67 532</w:t>
            </w:r>
          </w:p>
        </w:tc>
      </w:tr>
      <w:tr w:rsidR="003A0696" w:rsidRPr="000D4EA7" w14:paraId="2DCEE3E4" w14:textId="77777777" w:rsidTr="003A0696">
        <w:trPr>
          <w:trHeight w:val="291"/>
        </w:trPr>
        <w:tc>
          <w:tcPr>
            <w:tcW w:w="4181" w:type="dxa"/>
            <w:tcBorders>
              <w:top w:val="single" w:sz="4" w:space="0" w:color="auto"/>
              <w:left w:val="nil"/>
              <w:bottom w:val="single" w:sz="4" w:space="0" w:color="auto"/>
              <w:right w:val="nil"/>
            </w:tcBorders>
            <w:shd w:val="clear" w:color="auto" w:fill="auto"/>
            <w:noWrap/>
            <w:vAlign w:val="center"/>
            <w:hideMark/>
          </w:tcPr>
          <w:p w14:paraId="3214AEC7" w14:textId="77777777" w:rsidR="003A0696" w:rsidRPr="000D4EA7" w:rsidRDefault="003A0696" w:rsidP="003A0696">
            <w:pPr>
              <w:spacing w:after="0" w:line="240" w:lineRule="auto"/>
              <w:jc w:val="left"/>
              <w:rPr>
                <w:rFonts w:eastAsia="Times New Roman" w:cs="Times New Roman"/>
                <w:b/>
                <w:bCs/>
                <w:color w:val="000000"/>
                <w:sz w:val="20"/>
                <w:szCs w:val="20"/>
                <w:lang w:eastAsia="sk-SK"/>
              </w:rPr>
            </w:pPr>
            <w:r w:rsidRPr="000D4EA7">
              <w:rPr>
                <w:rFonts w:eastAsia="Times New Roman" w:cs="Times New Roman"/>
                <w:b/>
                <w:bCs/>
                <w:color w:val="000000"/>
                <w:sz w:val="20"/>
                <w:szCs w:val="20"/>
                <w:lang w:eastAsia="sk-SK"/>
              </w:rPr>
              <w:t xml:space="preserve">Fondy sociálneho zabezpečenia </w:t>
            </w:r>
          </w:p>
        </w:tc>
        <w:tc>
          <w:tcPr>
            <w:tcW w:w="1222" w:type="dxa"/>
            <w:tcBorders>
              <w:top w:val="single" w:sz="4" w:space="0" w:color="auto"/>
              <w:left w:val="nil"/>
              <w:bottom w:val="single" w:sz="4" w:space="0" w:color="auto"/>
              <w:right w:val="nil"/>
            </w:tcBorders>
            <w:vAlign w:val="center"/>
          </w:tcPr>
          <w:p w14:paraId="5E81CA02" w14:textId="77777777" w:rsidR="003A0696" w:rsidRPr="000D4EA7" w:rsidRDefault="003A0696" w:rsidP="003A0696">
            <w:pPr>
              <w:spacing w:after="0" w:line="240" w:lineRule="auto"/>
              <w:jc w:val="right"/>
              <w:rPr>
                <w:rFonts w:eastAsia="Times New Roman" w:cs="Times New Roman"/>
                <w:b/>
                <w:bCs/>
                <w:color w:val="000000"/>
                <w:sz w:val="20"/>
                <w:szCs w:val="20"/>
                <w:lang w:eastAsia="sk-SK"/>
              </w:rPr>
            </w:pPr>
            <w:r w:rsidRPr="000D4EA7">
              <w:rPr>
                <w:b/>
                <w:bCs/>
                <w:color w:val="000000"/>
                <w:sz w:val="20"/>
                <w:szCs w:val="20"/>
              </w:rPr>
              <w:t>13 640 197</w:t>
            </w:r>
          </w:p>
        </w:tc>
        <w:tc>
          <w:tcPr>
            <w:tcW w:w="1222" w:type="dxa"/>
            <w:tcBorders>
              <w:top w:val="single" w:sz="4" w:space="0" w:color="auto"/>
              <w:left w:val="nil"/>
              <w:bottom w:val="single" w:sz="4" w:space="0" w:color="auto"/>
              <w:right w:val="nil"/>
            </w:tcBorders>
            <w:shd w:val="clear" w:color="auto" w:fill="auto"/>
            <w:noWrap/>
            <w:vAlign w:val="center"/>
            <w:hideMark/>
          </w:tcPr>
          <w:p w14:paraId="342F84AC" w14:textId="77777777" w:rsidR="003A0696" w:rsidRPr="000D4EA7" w:rsidRDefault="003A0696" w:rsidP="003A0696">
            <w:pPr>
              <w:spacing w:after="0" w:line="240" w:lineRule="auto"/>
              <w:jc w:val="right"/>
              <w:rPr>
                <w:rFonts w:eastAsia="Times New Roman" w:cs="Times New Roman"/>
                <w:b/>
                <w:bCs/>
                <w:color w:val="000000"/>
                <w:sz w:val="20"/>
                <w:szCs w:val="20"/>
                <w:lang w:eastAsia="sk-SK"/>
              </w:rPr>
            </w:pPr>
            <w:r w:rsidRPr="000D4EA7">
              <w:rPr>
                <w:b/>
                <w:bCs/>
                <w:color w:val="000000"/>
                <w:sz w:val="20"/>
                <w:szCs w:val="20"/>
              </w:rPr>
              <w:t>14 417 291</w:t>
            </w:r>
          </w:p>
        </w:tc>
        <w:tc>
          <w:tcPr>
            <w:tcW w:w="1310" w:type="dxa"/>
            <w:tcBorders>
              <w:top w:val="single" w:sz="4" w:space="0" w:color="auto"/>
              <w:left w:val="nil"/>
              <w:bottom w:val="single" w:sz="4" w:space="0" w:color="auto"/>
              <w:right w:val="nil"/>
            </w:tcBorders>
            <w:shd w:val="clear" w:color="auto" w:fill="FFFFFF" w:themeFill="background1"/>
            <w:noWrap/>
            <w:vAlign w:val="center"/>
            <w:hideMark/>
          </w:tcPr>
          <w:p w14:paraId="1E017B13" w14:textId="77777777" w:rsidR="003A0696" w:rsidRPr="000D4EA7" w:rsidRDefault="003A0696" w:rsidP="003A0696">
            <w:pPr>
              <w:spacing w:after="0" w:line="240" w:lineRule="auto"/>
              <w:jc w:val="right"/>
              <w:rPr>
                <w:rFonts w:eastAsia="Times New Roman" w:cs="Times New Roman"/>
                <w:b/>
                <w:bCs/>
                <w:color w:val="000000"/>
                <w:sz w:val="20"/>
                <w:szCs w:val="20"/>
                <w:lang w:eastAsia="sk-SK"/>
              </w:rPr>
            </w:pPr>
            <w:r w:rsidRPr="000D4EA7">
              <w:rPr>
                <w:b/>
                <w:bCs/>
                <w:color w:val="000000"/>
                <w:sz w:val="20"/>
                <w:szCs w:val="20"/>
              </w:rPr>
              <w:t>14 223 548</w:t>
            </w:r>
          </w:p>
        </w:tc>
        <w:tc>
          <w:tcPr>
            <w:tcW w:w="1215" w:type="dxa"/>
            <w:tcBorders>
              <w:top w:val="single" w:sz="4" w:space="0" w:color="auto"/>
              <w:left w:val="nil"/>
              <w:bottom w:val="single" w:sz="4" w:space="0" w:color="auto"/>
              <w:right w:val="nil"/>
            </w:tcBorders>
            <w:shd w:val="clear" w:color="auto" w:fill="auto"/>
            <w:noWrap/>
            <w:vAlign w:val="center"/>
            <w:hideMark/>
          </w:tcPr>
          <w:p w14:paraId="39DB5168" w14:textId="77777777" w:rsidR="003A0696" w:rsidRPr="000D4EA7" w:rsidRDefault="003A0696" w:rsidP="003A0696">
            <w:pPr>
              <w:spacing w:after="0" w:line="240" w:lineRule="auto"/>
              <w:jc w:val="right"/>
              <w:rPr>
                <w:rFonts w:eastAsia="Times New Roman" w:cs="Times New Roman"/>
                <w:b/>
                <w:bCs/>
                <w:color w:val="000000"/>
                <w:sz w:val="20"/>
                <w:szCs w:val="20"/>
                <w:lang w:eastAsia="sk-SK"/>
              </w:rPr>
            </w:pPr>
            <w:r w:rsidRPr="000D4EA7">
              <w:rPr>
                <w:b/>
                <w:bCs/>
                <w:color w:val="000000"/>
                <w:sz w:val="20"/>
                <w:szCs w:val="20"/>
              </w:rPr>
              <w:t>-193 743</w:t>
            </w:r>
          </w:p>
        </w:tc>
      </w:tr>
      <w:tr w:rsidR="003A0696" w:rsidRPr="000D4EA7" w14:paraId="34583329" w14:textId="77777777" w:rsidTr="003A0696">
        <w:trPr>
          <w:trHeight w:val="310"/>
        </w:trPr>
        <w:tc>
          <w:tcPr>
            <w:tcW w:w="4181" w:type="dxa"/>
            <w:tcBorders>
              <w:top w:val="single" w:sz="4" w:space="0" w:color="auto"/>
              <w:left w:val="nil"/>
              <w:bottom w:val="single" w:sz="4" w:space="0" w:color="auto"/>
              <w:right w:val="nil"/>
            </w:tcBorders>
            <w:shd w:val="clear" w:color="auto" w:fill="auto"/>
            <w:noWrap/>
            <w:vAlign w:val="center"/>
            <w:hideMark/>
          </w:tcPr>
          <w:p w14:paraId="750964E3" w14:textId="77777777" w:rsidR="003A0696" w:rsidRPr="000D4EA7" w:rsidRDefault="003A0696" w:rsidP="003A0696">
            <w:pPr>
              <w:keepNext/>
              <w:spacing w:after="0" w:line="240" w:lineRule="auto"/>
              <w:jc w:val="left"/>
              <w:rPr>
                <w:rFonts w:eastAsia="Times New Roman" w:cs="Times New Roman"/>
                <w:b/>
                <w:bCs/>
                <w:color w:val="000000"/>
                <w:sz w:val="20"/>
                <w:szCs w:val="20"/>
                <w:lang w:eastAsia="sk-SK"/>
              </w:rPr>
            </w:pPr>
            <w:r w:rsidRPr="000D4EA7">
              <w:rPr>
                <w:rFonts w:eastAsia="Times New Roman" w:cs="Times New Roman"/>
                <w:b/>
                <w:bCs/>
                <w:color w:val="000000"/>
                <w:sz w:val="20"/>
                <w:szCs w:val="20"/>
                <w:lang w:eastAsia="sk-SK"/>
              </w:rPr>
              <w:t>Daňové a odvodové príjmy spolu</w:t>
            </w:r>
          </w:p>
        </w:tc>
        <w:tc>
          <w:tcPr>
            <w:tcW w:w="1222" w:type="dxa"/>
            <w:tcBorders>
              <w:top w:val="single" w:sz="4" w:space="0" w:color="auto"/>
              <w:left w:val="nil"/>
              <w:bottom w:val="single" w:sz="4" w:space="0" w:color="auto"/>
              <w:right w:val="nil"/>
            </w:tcBorders>
            <w:vAlign w:val="center"/>
          </w:tcPr>
          <w:p w14:paraId="0470481D" w14:textId="77777777" w:rsidR="003A0696" w:rsidRPr="000D4EA7" w:rsidRDefault="003A0696" w:rsidP="003A0696">
            <w:pPr>
              <w:keepNext/>
              <w:spacing w:after="0" w:line="240" w:lineRule="auto"/>
              <w:jc w:val="right"/>
              <w:rPr>
                <w:rFonts w:eastAsia="Times New Roman" w:cs="Times New Roman"/>
                <w:b/>
                <w:bCs/>
                <w:color w:val="000000"/>
                <w:sz w:val="20"/>
                <w:szCs w:val="20"/>
                <w:lang w:eastAsia="sk-SK"/>
              </w:rPr>
            </w:pPr>
            <w:r w:rsidRPr="000D4EA7">
              <w:rPr>
                <w:b/>
                <w:bCs/>
                <w:color w:val="000000"/>
                <w:sz w:val="20"/>
                <w:szCs w:val="20"/>
              </w:rPr>
              <w:t>32 831 135</w:t>
            </w:r>
          </w:p>
        </w:tc>
        <w:tc>
          <w:tcPr>
            <w:tcW w:w="1222" w:type="dxa"/>
            <w:tcBorders>
              <w:top w:val="single" w:sz="4" w:space="0" w:color="auto"/>
              <w:left w:val="nil"/>
              <w:bottom w:val="single" w:sz="4" w:space="0" w:color="auto"/>
              <w:right w:val="nil"/>
            </w:tcBorders>
            <w:shd w:val="clear" w:color="auto" w:fill="auto"/>
            <w:noWrap/>
            <w:vAlign w:val="center"/>
            <w:hideMark/>
          </w:tcPr>
          <w:p w14:paraId="628B2686" w14:textId="77777777" w:rsidR="003A0696" w:rsidRPr="000D4EA7" w:rsidRDefault="003A0696" w:rsidP="003A0696">
            <w:pPr>
              <w:keepNext/>
              <w:spacing w:after="0" w:line="240" w:lineRule="auto"/>
              <w:jc w:val="right"/>
              <w:rPr>
                <w:rFonts w:eastAsia="Times New Roman" w:cs="Times New Roman"/>
                <w:b/>
                <w:bCs/>
                <w:color w:val="000000"/>
                <w:sz w:val="20"/>
                <w:szCs w:val="20"/>
                <w:lang w:eastAsia="sk-SK"/>
              </w:rPr>
            </w:pPr>
            <w:r w:rsidRPr="000D4EA7">
              <w:rPr>
                <w:b/>
                <w:bCs/>
                <w:color w:val="000000"/>
                <w:sz w:val="20"/>
                <w:szCs w:val="20"/>
              </w:rPr>
              <w:t>34 999 751</w:t>
            </w:r>
          </w:p>
        </w:tc>
        <w:tc>
          <w:tcPr>
            <w:tcW w:w="1310" w:type="dxa"/>
            <w:tcBorders>
              <w:top w:val="single" w:sz="4" w:space="0" w:color="auto"/>
              <w:left w:val="nil"/>
              <w:bottom w:val="single" w:sz="4" w:space="0" w:color="auto"/>
              <w:right w:val="nil"/>
            </w:tcBorders>
            <w:shd w:val="clear" w:color="auto" w:fill="FFFFFF" w:themeFill="background1"/>
            <w:noWrap/>
            <w:vAlign w:val="center"/>
            <w:hideMark/>
          </w:tcPr>
          <w:p w14:paraId="0F51C00B" w14:textId="77777777" w:rsidR="003A0696" w:rsidRPr="000D4EA7" w:rsidRDefault="003A0696" w:rsidP="003A0696">
            <w:pPr>
              <w:keepNext/>
              <w:spacing w:after="0" w:line="240" w:lineRule="auto"/>
              <w:jc w:val="right"/>
              <w:rPr>
                <w:rFonts w:eastAsia="Times New Roman" w:cs="Times New Roman"/>
                <w:b/>
                <w:bCs/>
                <w:color w:val="000000"/>
                <w:sz w:val="20"/>
                <w:szCs w:val="20"/>
                <w:lang w:eastAsia="sk-SK"/>
              </w:rPr>
            </w:pPr>
            <w:r w:rsidRPr="000D4EA7">
              <w:rPr>
                <w:b/>
                <w:bCs/>
                <w:color w:val="000000"/>
                <w:sz w:val="20"/>
                <w:szCs w:val="20"/>
              </w:rPr>
              <w:t>35 046 445</w:t>
            </w:r>
          </w:p>
        </w:tc>
        <w:tc>
          <w:tcPr>
            <w:tcW w:w="1215" w:type="dxa"/>
            <w:tcBorders>
              <w:top w:val="single" w:sz="4" w:space="0" w:color="auto"/>
              <w:left w:val="nil"/>
              <w:bottom w:val="single" w:sz="4" w:space="0" w:color="auto"/>
              <w:right w:val="nil"/>
            </w:tcBorders>
            <w:shd w:val="clear" w:color="auto" w:fill="auto"/>
            <w:noWrap/>
            <w:vAlign w:val="center"/>
            <w:hideMark/>
          </w:tcPr>
          <w:p w14:paraId="4E4125E9" w14:textId="77777777" w:rsidR="003A0696" w:rsidRPr="000D4EA7" w:rsidRDefault="003A0696" w:rsidP="003A0696">
            <w:pPr>
              <w:keepNext/>
              <w:spacing w:after="0" w:line="240" w:lineRule="auto"/>
              <w:jc w:val="right"/>
              <w:rPr>
                <w:rFonts w:eastAsia="Times New Roman" w:cs="Times New Roman"/>
                <w:b/>
                <w:bCs/>
                <w:color w:val="000000"/>
                <w:sz w:val="20"/>
                <w:szCs w:val="20"/>
                <w:lang w:eastAsia="sk-SK"/>
              </w:rPr>
            </w:pPr>
            <w:r w:rsidRPr="000D4EA7">
              <w:rPr>
                <w:b/>
                <w:bCs/>
                <w:color w:val="000000"/>
                <w:sz w:val="20"/>
                <w:szCs w:val="20"/>
              </w:rPr>
              <w:t>46 694</w:t>
            </w:r>
          </w:p>
        </w:tc>
      </w:tr>
    </w:tbl>
    <w:p w14:paraId="36AF8BBB" w14:textId="77777777" w:rsidR="003A0696" w:rsidRPr="00043311" w:rsidRDefault="003A0696" w:rsidP="003A0696">
      <w:pPr>
        <w:keepNext/>
        <w:spacing w:after="0" w:line="240" w:lineRule="auto"/>
        <w:ind w:right="142"/>
        <w:rPr>
          <w:sz w:val="16"/>
          <w:szCs w:val="16"/>
        </w:rPr>
      </w:pPr>
      <w:r w:rsidRPr="000D4EA7">
        <w:rPr>
          <w:sz w:val="18"/>
          <w:szCs w:val="18"/>
          <w:vertAlign w:val="superscript"/>
        </w:rPr>
        <w:footnoteRef/>
      </w:r>
      <w:r w:rsidRPr="000D4EA7">
        <w:rPr>
          <w:sz w:val="18"/>
          <w:szCs w:val="18"/>
        </w:rPr>
        <w:t xml:space="preserve"> </w:t>
      </w:r>
      <w:r w:rsidRPr="00043311">
        <w:rPr>
          <w:sz w:val="16"/>
          <w:szCs w:val="16"/>
        </w:rPr>
        <w:t>Spotrebné dane sú uvedené bez výnosu zo zelenej</w:t>
      </w:r>
      <w:r w:rsidRPr="00043311">
        <w:rPr>
          <w:sz w:val="16"/>
          <w:szCs w:val="16"/>
        </w:rPr>
        <w:tab/>
        <w:t xml:space="preserve">           </w:t>
      </w:r>
      <w:r>
        <w:rPr>
          <w:sz w:val="16"/>
          <w:szCs w:val="16"/>
        </w:rPr>
        <w:t xml:space="preserve">                                                                                               </w:t>
      </w:r>
      <w:r w:rsidRPr="00043311">
        <w:rPr>
          <w:sz w:val="16"/>
          <w:szCs w:val="16"/>
        </w:rPr>
        <w:t xml:space="preserve"> </w:t>
      </w:r>
      <w:r w:rsidRPr="00043311">
        <w:rPr>
          <w:rFonts w:cs="Times New Roman"/>
          <w:sz w:val="16"/>
          <w:szCs w:val="16"/>
        </w:rPr>
        <w:t>Zdroj: IFP, MF SR</w:t>
      </w:r>
    </w:p>
    <w:p w14:paraId="079044A0" w14:textId="77777777" w:rsidR="003A0696" w:rsidRPr="00043311" w:rsidRDefault="003A0696" w:rsidP="003A0696">
      <w:pPr>
        <w:spacing w:after="0" w:line="240" w:lineRule="auto"/>
        <w:rPr>
          <w:sz w:val="16"/>
          <w:szCs w:val="16"/>
        </w:rPr>
      </w:pPr>
      <w:r w:rsidRPr="00043311">
        <w:rPr>
          <w:sz w:val="16"/>
          <w:szCs w:val="16"/>
          <w:vertAlign w:val="superscript"/>
        </w:rPr>
        <w:t>2</w:t>
      </w:r>
      <w:r w:rsidRPr="00043311">
        <w:rPr>
          <w:sz w:val="16"/>
          <w:szCs w:val="16"/>
        </w:rPr>
        <w:t xml:space="preserve"> Príspevky na sociálne zabezpečenie, neobsahujú okrem štátom plateného poistného aj príjmy z odvodov za ozbrojené</w:t>
      </w:r>
    </w:p>
    <w:p w14:paraId="44A570BC" w14:textId="77777777" w:rsidR="003A0696" w:rsidRPr="00043311" w:rsidRDefault="003A0696" w:rsidP="003A0696">
      <w:pPr>
        <w:spacing w:after="0" w:line="240" w:lineRule="auto"/>
        <w:rPr>
          <w:sz w:val="16"/>
          <w:szCs w:val="16"/>
        </w:rPr>
      </w:pPr>
      <w:r w:rsidRPr="00043311">
        <w:rPr>
          <w:sz w:val="16"/>
          <w:szCs w:val="16"/>
        </w:rPr>
        <w:t xml:space="preserve">  zložky, penále a imputované poistné.</w:t>
      </w:r>
    </w:p>
    <w:p w14:paraId="19E2C87F" w14:textId="77777777" w:rsidR="003A0696" w:rsidRPr="00043311" w:rsidRDefault="003A0696" w:rsidP="003A0696">
      <w:pPr>
        <w:spacing w:after="0" w:line="240" w:lineRule="auto"/>
        <w:rPr>
          <w:sz w:val="16"/>
          <w:szCs w:val="16"/>
        </w:rPr>
      </w:pPr>
      <w:r w:rsidRPr="00043311">
        <w:rPr>
          <w:sz w:val="16"/>
          <w:szCs w:val="16"/>
          <w:vertAlign w:val="superscript"/>
        </w:rPr>
        <w:t>3</w:t>
      </w:r>
      <w:r w:rsidRPr="00043311">
        <w:rPr>
          <w:sz w:val="16"/>
          <w:szCs w:val="16"/>
        </w:rPr>
        <w:t xml:space="preserve"> Zdravotné odvody neobsahujú štátom platené poistné.</w:t>
      </w:r>
    </w:p>
    <w:p w14:paraId="2C326EB4" w14:textId="77777777" w:rsidR="003A0696" w:rsidRDefault="003A0696" w:rsidP="003A0696">
      <w:pPr>
        <w:spacing w:before="120" w:line="240" w:lineRule="auto"/>
        <w:rPr>
          <w:sz w:val="24"/>
          <w:szCs w:val="24"/>
        </w:rPr>
      </w:pPr>
      <w:r w:rsidRPr="004C525D">
        <w:rPr>
          <w:b/>
          <w:sz w:val="24"/>
          <w:szCs w:val="24"/>
        </w:rPr>
        <w:t>Daň z príjmu fyzických osôb zo závislej činnosti</w:t>
      </w:r>
      <w:r w:rsidRPr="004C525D">
        <w:rPr>
          <w:sz w:val="24"/>
          <w:szCs w:val="24"/>
        </w:rPr>
        <w:t xml:space="preserve"> je oproti rozpočtu nižšia o 141 659 tis. eur. z dôvodu zaostávania výnosu dane za mzdovou bázou. Zdanenie jednorazovej odmeny zdravotníkov vo forme stabilizačného príspevku v odhadovanej </w:t>
      </w:r>
      <w:r>
        <w:rPr>
          <w:sz w:val="24"/>
          <w:szCs w:val="24"/>
        </w:rPr>
        <w:t>sume približne 32 700 tis. eur</w:t>
      </w:r>
      <w:r w:rsidRPr="004C525D">
        <w:rPr>
          <w:sz w:val="24"/>
          <w:szCs w:val="24"/>
        </w:rPr>
        <w:t>, sa do akruálneho výnosu dane na základe metodiky ŠUSR za rok 2022 nezapočítava</w:t>
      </w:r>
      <w:r w:rsidRPr="004C525D">
        <w:rPr>
          <w:rStyle w:val="Odkaznapoznmkupodiarou"/>
          <w:sz w:val="24"/>
          <w:szCs w:val="24"/>
        </w:rPr>
        <w:footnoteReference w:id="11"/>
      </w:r>
      <w:r w:rsidRPr="004C525D">
        <w:rPr>
          <w:sz w:val="24"/>
          <w:szCs w:val="24"/>
        </w:rPr>
        <w:t xml:space="preserve">. Výnos z tohto druhu odmeny bude do budúcna pripočítaný k výnosu dane v rokoch 2023 až 2025 (každý rok jedna tretina). Odmena sa metodicky viaže na obdobie troch rokov nakoľko príspevok pre zdravotníkov bol podmienený zotrvaním v zamestnanosti najbližšie 3 roky. </w:t>
      </w:r>
    </w:p>
    <w:p w14:paraId="25CDBC92" w14:textId="131F1B28" w:rsidR="003A0696" w:rsidRPr="004C525D" w:rsidRDefault="003A0696" w:rsidP="003A0696">
      <w:pPr>
        <w:spacing w:before="120" w:line="240" w:lineRule="auto"/>
        <w:rPr>
          <w:sz w:val="24"/>
          <w:szCs w:val="24"/>
        </w:rPr>
      </w:pPr>
      <w:r w:rsidRPr="004C525D">
        <w:rPr>
          <w:sz w:val="24"/>
          <w:szCs w:val="24"/>
        </w:rPr>
        <w:lastRenderedPageBreak/>
        <w:t xml:space="preserve">Odhad výnosu </w:t>
      </w:r>
      <w:r w:rsidRPr="004C525D">
        <w:rPr>
          <w:b/>
          <w:sz w:val="24"/>
          <w:szCs w:val="24"/>
        </w:rPr>
        <w:t>dane z príjmov fyzických osôb z podnikania</w:t>
      </w:r>
      <w:r w:rsidRPr="004C525D">
        <w:rPr>
          <w:rStyle w:val="Odkaznapoznmkupodiarou"/>
          <w:sz w:val="24"/>
          <w:szCs w:val="24"/>
        </w:rPr>
        <w:footnoteReference w:id="12"/>
      </w:r>
      <w:r w:rsidRPr="004C525D">
        <w:rPr>
          <w:sz w:val="24"/>
          <w:szCs w:val="24"/>
        </w:rPr>
        <w:t xml:space="preserve"> je na rok 2022 o 6 580 tis. eur vyšší ako rozpočet. Kvôli vyššej inflácii </w:t>
      </w:r>
      <w:r w:rsidR="00926F06">
        <w:rPr>
          <w:sz w:val="24"/>
          <w:szCs w:val="24"/>
        </w:rPr>
        <w:t xml:space="preserve">sa </w:t>
      </w:r>
      <w:r w:rsidRPr="004C525D">
        <w:rPr>
          <w:sz w:val="24"/>
          <w:szCs w:val="24"/>
        </w:rPr>
        <w:t>očakáva</w:t>
      </w:r>
      <w:r w:rsidR="00926F06">
        <w:rPr>
          <w:sz w:val="24"/>
          <w:szCs w:val="24"/>
        </w:rPr>
        <w:t>jú</w:t>
      </w:r>
      <w:r w:rsidRPr="004C525D">
        <w:rPr>
          <w:sz w:val="24"/>
          <w:szCs w:val="24"/>
        </w:rPr>
        <w:t xml:space="preserve"> zvýšené príjmy zo živnosti, ktoré sa pretavia do vyššej ziskovosti.</w:t>
      </w:r>
    </w:p>
    <w:p w14:paraId="60C7E3F6" w14:textId="31BCAE31" w:rsidR="003A0696" w:rsidRPr="004C525D" w:rsidRDefault="003A0696" w:rsidP="003A0696">
      <w:pPr>
        <w:spacing w:line="240" w:lineRule="auto"/>
        <w:rPr>
          <w:sz w:val="24"/>
          <w:szCs w:val="24"/>
        </w:rPr>
      </w:pPr>
      <w:r w:rsidRPr="004C525D">
        <w:rPr>
          <w:sz w:val="24"/>
          <w:szCs w:val="24"/>
        </w:rPr>
        <w:t xml:space="preserve">Odhad výnosu </w:t>
      </w:r>
      <w:r w:rsidRPr="004C525D">
        <w:rPr>
          <w:b/>
          <w:sz w:val="24"/>
          <w:szCs w:val="24"/>
        </w:rPr>
        <w:t>dane z príjmov právnických osôb</w:t>
      </w:r>
      <w:r w:rsidRPr="004C525D">
        <w:rPr>
          <w:sz w:val="24"/>
          <w:szCs w:val="24"/>
          <w:vertAlign w:val="superscript"/>
        </w:rPr>
        <w:footnoteReference w:id="13"/>
      </w:r>
      <w:r w:rsidRPr="004C525D">
        <w:rPr>
          <w:sz w:val="24"/>
          <w:szCs w:val="24"/>
          <w:vertAlign w:val="superscript"/>
        </w:rPr>
        <w:t xml:space="preserve"> </w:t>
      </w:r>
      <w:r w:rsidRPr="004C525D">
        <w:rPr>
          <w:sz w:val="24"/>
          <w:szCs w:val="24"/>
        </w:rPr>
        <w:t xml:space="preserve">za rok 2022 je oproti rozpočtu vyšší o 165 256 tis. eur. Revízia je postavená na uzavretom roku 2021, kde sa potvrdil lepší výnos dane, a na aktualizácii odhadu ekonomického vývoja. Tam sa nepredpokladá výraznejší pokles, ako tomu bolo pri zostavovaní novelizovaného rozpočtu. Celkovo sú očakávania z pohľadu firiem nastavené pozitívne. Firmy by mali pokračovať v oživení po pandémii a rozbiehať svoju činnosť. Energetická kríza </w:t>
      </w:r>
      <w:r>
        <w:rPr>
          <w:sz w:val="24"/>
          <w:szCs w:val="24"/>
        </w:rPr>
        <w:t>ne</w:t>
      </w:r>
      <w:r w:rsidRPr="004C525D">
        <w:rPr>
          <w:sz w:val="24"/>
          <w:szCs w:val="24"/>
        </w:rPr>
        <w:t>zasiah</w:t>
      </w:r>
      <w:r>
        <w:rPr>
          <w:sz w:val="24"/>
          <w:szCs w:val="24"/>
        </w:rPr>
        <w:t>la</w:t>
      </w:r>
      <w:r w:rsidRPr="004C525D">
        <w:rPr>
          <w:sz w:val="24"/>
          <w:szCs w:val="24"/>
        </w:rPr>
        <w:t xml:space="preserve"> ich pôsobenie v roku 2022 až v takej miere, ak</w:t>
      </w:r>
      <w:r>
        <w:rPr>
          <w:sz w:val="24"/>
          <w:szCs w:val="24"/>
        </w:rPr>
        <w:t>o sa pôvodne očakávalo. Darilo sa</w:t>
      </w:r>
      <w:r w:rsidRPr="004C525D">
        <w:rPr>
          <w:sz w:val="24"/>
          <w:szCs w:val="24"/>
        </w:rPr>
        <w:t xml:space="preserve"> firmám v odvetví maloobchodu, bankovníctva, zlepšenie </w:t>
      </w:r>
      <w:r w:rsidR="00926F06">
        <w:rPr>
          <w:sz w:val="24"/>
          <w:szCs w:val="24"/>
        </w:rPr>
        <w:t>je</w:t>
      </w:r>
      <w:r w:rsidRPr="004C525D">
        <w:rPr>
          <w:sz w:val="24"/>
          <w:szCs w:val="24"/>
        </w:rPr>
        <w:t xml:space="preserve"> vidieť aj vo vybraných oblastiach priemyslu.   </w:t>
      </w:r>
    </w:p>
    <w:p w14:paraId="6F8133AC" w14:textId="77777777" w:rsidR="003A0696" w:rsidRPr="004C525D" w:rsidRDefault="003A0696" w:rsidP="003A0696">
      <w:pPr>
        <w:spacing w:line="240" w:lineRule="auto"/>
        <w:rPr>
          <w:rFonts w:cs="Times New Roman"/>
          <w:sz w:val="24"/>
          <w:szCs w:val="24"/>
        </w:rPr>
      </w:pPr>
      <w:r w:rsidRPr="004C525D">
        <w:rPr>
          <w:sz w:val="24"/>
          <w:szCs w:val="24"/>
        </w:rPr>
        <w:t xml:space="preserve">Výnos </w:t>
      </w:r>
      <w:r w:rsidRPr="004C525D">
        <w:rPr>
          <w:b/>
          <w:sz w:val="24"/>
          <w:szCs w:val="24"/>
        </w:rPr>
        <w:t>dane z pridanej hodnoty</w:t>
      </w:r>
      <w:r w:rsidRPr="004C525D">
        <w:rPr>
          <w:sz w:val="24"/>
          <w:szCs w:val="24"/>
          <w:vertAlign w:val="superscript"/>
        </w:rPr>
        <w:footnoteReference w:id="14"/>
      </w:r>
      <w:r w:rsidRPr="004C525D">
        <w:rPr>
          <w:sz w:val="24"/>
          <w:szCs w:val="24"/>
        </w:rPr>
        <w:t xml:space="preserve"> je oproti rozpočtu nižší o 311 712 tis. eur. Takmer 70 % zo slabšieho výnosu DPH plynie zo slabšej úspešnosti výberu. </w:t>
      </w:r>
      <w:r w:rsidRPr="004C525D">
        <w:rPr>
          <w:rFonts w:cs="Times New Roman"/>
          <w:sz w:val="24"/>
          <w:szCs w:val="24"/>
        </w:rPr>
        <w:t xml:space="preserve">Na jednoznačné vysvetlenie poklesu efektívnej sadzby si ešte musíme počkať na presnejší a detailnejší indikátor, a tým je daňová medzera DPH, ktorá dlhodobo klesala. Výpočet </w:t>
      </w:r>
      <w:r>
        <w:rPr>
          <w:rFonts w:cs="Times New Roman"/>
          <w:sz w:val="24"/>
          <w:szCs w:val="24"/>
        </w:rPr>
        <w:t>efektívnej daňovej sadzby</w:t>
      </w:r>
      <w:r w:rsidRPr="004C525D">
        <w:rPr>
          <w:rFonts w:cs="Times New Roman"/>
          <w:sz w:val="24"/>
          <w:szCs w:val="24"/>
        </w:rPr>
        <w:t xml:space="preserve"> podlieha pravidelným štatistickým zmenám v čase, preto je potrebné sledovať dlhodobejšie trendy, ktoré sú lepším ukazovateľom výberu DPH. Medzičasom sa zverejnili dáta aj za 4. štvrťrok 2022, kde </w:t>
      </w:r>
      <w:r>
        <w:rPr>
          <w:rFonts w:cs="Times New Roman"/>
          <w:sz w:val="24"/>
          <w:szCs w:val="24"/>
        </w:rPr>
        <w:t>efektívna daňová sadzba</w:t>
      </w:r>
      <w:r w:rsidRPr="004C525D">
        <w:rPr>
          <w:rFonts w:cs="Times New Roman"/>
          <w:sz w:val="24"/>
          <w:szCs w:val="24"/>
        </w:rPr>
        <w:t xml:space="preserve"> mierne stúpla. Tieto dáta indikujú, že sa mohlo  jednať o jednorazový výpadok v rámci roka.  Návrat na pôvodné hodnoty indikoval aj vysoký výnos DPH na konci roka. Vysvetlenie poklesu môže byť znovuotvorenie problematických sektorov (</w:t>
      </w:r>
      <w:proofErr w:type="spellStart"/>
      <w:r w:rsidRPr="004C525D">
        <w:rPr>
          <w:rFonts w:cs="Times New Roman"/>
          <w:sz w:val="24"/>
          <w:szCs w:val="24"/>
        </w:rPr>
        <w:t>gastro</w:t>
      </w:r>
      <w:proofErr w:type="spellEnd"/>
      <w:r w:rsidRPr="004C525D">
        <w:rPr>
          <w:rFonts w:cs="Times New Roman"/>
          <w:sz w:val="24"/>
          <w:szCs w:val="24"/>
        </w:rPr>
        <w:t>, stavebníctvo, profesionálne služby) a návrat hotovostných platieb. Efektívna sadzba za DPH narástla práve počas pandémie, v čase, keď tieto sektory boli zatvorené. S postupným návratom do čias spred pandémie sa efektívna sadzba spomaľuje.</w:t>
      </w:r>
      <w:r w:rsidRPr="004C525D">
        <w:rPr>
          <w:rFonts w:ascii="Arial Narrow" w:hAnsi="Arial Narrow"/>
          <w:i/>
          <w:sz w:val="24"/>
          <w:szCs w:val="24"/>
        </w:rPr>
        <w:t xml:space="preserve"> </w:t>
      </w:r>
      <w:r w:rsidRPr="004C525D">
        <w:rPr>
          <w:rFonts w:cs="Times New Roman"/>
          <w:sz w:val="24"/>
          <w:szCs w:val="24"/>
        </w:rPr>
        <w:t>Zvyšných 30 % slabšieho výnosu oproti rozpočtu plynie zo slabšej konečnej spotreby domácností, aká sa pôvodne očakávala. Jedným z možných vysvetlení sú vysoké ceny komodít, ktoré tlmili spotrebu.</w:t>
      </w:r>
    </w:p>
    <w:p w14:paraId="4AA84F7C" w14:textId="77777777" w:rsidR="003A0696" w:rsidRPr="004C525D" w:rsidRDefault="003A0696" w:rsidP="003A0696">
      <w:pPr>
        <w:spacing w:line="240" w:lineRule="auto"/>
        <w:rPr>
          <w:sz w:val="24"/>
          <w:szCs w:val="24"/>
        </w:rPr>
      </w:pPr>
      <w:r w:rsidRPr="004C525D">
        <w:rPr>
          <w:sz w:val="24"/>
          <w:szCs w:val="24"/>
        </w:rPr>
        <w:t xml:space="preserve">Výnos </w:t>
      </w:r>
      <w:r w:rsidRPr="004C525D">
        <w:rPr>
          <w:b/>
          <w:sz w:val="24"/>
          <w:szCs w:val="24"/>
        </w:rPr>
        <w:t>spotrebných daní</w:t>
      </w:r>
      <w:r w:rsidRPr="004C525D">
        <w:rPr>
          <w:sz w:val="24"/>
          <w:szCs w:val="24"/>
        </w:rPr>
        <w:t xml:space="preserve"> za rok 2022 je oproti rozpočtu vyšší o 12 830 tis. eur. Plnenie spotrebnej dane z minerálneho oleja bolo vyššie o 5 459 tis. eur, najmä z titulu vyššej efektivity výberu. Úroveň výnosu sa po dvoch rokoch vrátila na </w:t>
      </w:r>
      <w:proofErr w:type="spellStart"/>
      <w:r w:rsidRPr="004C525D">
        <w:rPr>
          <w:sz w:val="24"/>
          <w:szCs w:val="24"/>
        </w:rPr>
        <w:t>predpandemický</w:t>
      </w:r>
      <w:proofErr w:type="spellEnd"/>
      <w:r w:rsidRPr="004C525D">
        <w:rPr>
          <w:sz w:val="24"/>
          <w:szCs w:val="24"/>
        </w:rPr>
        <w:t xml:space="preserve"> rok 2019. Výnos spotrebnej dane z tabakových výrobkov je o 7 166 tis. eur nižší v porovnaní s rozpočtom. Pozitívne na výnos vplývalo zvýšenie sadzieb spotrebnej dane a vývoj makroekonomickej základne (spotreba domácností). Medziročne však došlo k poklesu počtu cigariet o 1,7 %, čo má negatívny vplyv na výnos. Výnos spotrebnej dane z liehu prevýšil rozpočtovanú hodnotu o 15 639 tis. eur, čo súviselo s predzásobením z dôvodu zvýšenia sadzby od 1.4.2023. Ostatné spotrebné dane sa vyvíjali v súlade s rozpočtom, okrem spotrebnej dane zo zemného plynu.</w:t>
      </w:r>
    </w:p>
    <w:p w14:paraId="35FE2795" w14:textId="77777777" w:rsidR="003A0696" w:rsidRPr="004C525D" w:rsidRDefault="003A0696" w:rsidP="003A0696">
      <w:pPr>
        <w:spacing w:line="240" w:lineRule="auto"/>
        <w:rPr>
          <w:sz w:val="24"/>
          <w:szCs w:val="24"/>
        </w:rPr>
      </w:pPr>
      <w:r w:rsidRPr="004C525D">
        <w:rPr>
          <w:b/>
          <w:sz w:val="24"/>
          <w:szCs w:val="24"/>
        </w:rPr>
        <w:t>Solidárny príspevok z činností v odvetviach ropy, zemného plynu, uhlia a rafinérií</w:t>
      </w:r>
      <w:r w:rsidRPr="004C525D">
        <w:rPr>
          <w:rStyle w:val="Odkaznapoznmkupodiarou"/>
          <w:b/>
          <w:sz w:val="24"/>
          <w:szCs w:val="24"/>
        </w:rPr>
        <w:footnoteReference w:id="15"/>
      </w:r>
      <w:r w:rsidRPr="004C525D">
        <w:rPr>
          <w:sz w:val="24"/>
          <w:szCs w:val="24"/>
        </w:rPr>
        <w:t xml:space="preserve"> je nová položka v rámci daňovo odvodových príjmov. Solidárny príspevok vznikol implementáciou nariadenia Rady (EÚ) 2022/1854 zo 6. októbra 2022. Účinnosť je nastavená na rok 2023, ale ekonomicky sa príspevok týka obdobia za rok 2022. Výnos solidárneho príspevku tvorí </w:t>
      </w:r>
      <w:proofErr w:type="spellStart"/>
      <w:r w:rsidRPr="004C525D">
        <w:rPr>
          <w:sz w:val="24"/>
          <w:szCs w:val="24"/>
        </w:rPr>
        <w:t>nadzisk</w:t>
      </w:r>
      <w:proofErr w:type="spellEnd"/>
      <w:r w:rsidRPr="004C525D">
        <w:rPr>
          <w:sz w:val="24"/>
          <w:szCs w:val="24"/>
        </w:rPr>
        <w:t xml:space="preserve"> firiem z predaja vymedzených produktov. Na Slovensku pod solidárny príspevok spadá 13 subjektov, pričom aktuálny odhad zohľadňuje len najvýznamnejší subjekt. </w:t>
      </w:r>
    </w:p>
    <w:p w14:paraId="7241494E" w14:textId="77777777" w:rsidR="003A0696" w:rsidRPr="00506EA0" w:rsidRDefault="003A0696" w:rsidP="003A0696">
      <w:pPr>
        <w:spacing w:line="240" w:lineRule="auto"/>
        <w:rPr>
          <w:sz w:val="24"/>
          <w:szCs w:val="24"/>
          <w:highlight w:val="yellow"/>
        </w:rPr>
      </w:pPr>
      <w:r w:rsidRPr="004C525D">
        <w:rPr>
          <w:sz w:val="24"/>
          <w:szCs w:val="24"/>
        </w:rPr>
        <w:t xml:space="preserve">Výnos </w:t>
      </w:r>
      <w:r w:rsidRPr="004C525D">
        <w:rPr>
          <w:b/>
          <w:sz w:val="24"/>
          <w:szCs w:val="24"/>
        </w:rPr>
        <w:t>sociálnych aj zdravotných odvodov</w:t>
      </w:r>
      <w:r w:rsidRPr="004C525D">
        <w:rPr>
          <w:sz w:val="24"/>
          <w:szCs w:val="24"/>
        </w:rPr>
        <w:t xml:space="preserve"> bol podobne ako pri DPFO negatívne ovplyvnený najmä slabším ako očakávaným vývojom na trhu práce v druhom polroku. Výnos odvodov </w:t>
      </w:r>
      <w:r w:rsidRPr="004C525D">
        <w:rPr>
          <w:sz w:val="24"/>
          <w:szCs w:val="24"/>
        </w:rPr>
        <w:lastRenderedPageBreak/>
        <w:t>zaostával za vývojom mzdovej bázy. To stálo za nižším plnením zdravotných odvodov o</w:t>
      </w:r>
      <w:r>
        <w:rPr>
          <w:sz w:val="24"/>
          <w:szCs w:val="24"/>
        </w:rPr>
        <w:t> </w:t>
      </w:r>
      <w:r w:rsidRPr="004C525D">
        <w:rPr>
          <w:sz w:val="24"/>
          <w:szCs w:val="24"/>
        </w:rPr>
        <w:t>67</w:t>
      </w:r>
      <w:r>
        <w:rPr>
          <w:sz w:val="24"/>
          <w:szCs w:val="24"/>
        </w:rPr>
        <w:t> </w:t>
      </w:r>
      <w:r w:rsidRPr="004C525D">
        <w:rPr>
          <w:sz w:val="24"/>
          <w:szCs w:val="24"/>
        </w:rPr>
        <w:t>532 tis. eur, aj keď ročné zúčtovanie malo plnenie vyššie o 10 848 tis. eur v porovnaní s</w:t>
      </w:r>
      <w:r>
        <w:rPr>
          <w:sz w:val="24"/>
          <w:szCs w:val="24"/>
        </w:rPr>
        <w:t> </w:t>
      </w:r>
      <w:r w:rsidRPr="004C525D">
        <w:rPr>
          <w:sz w:val="24"/>
          <w:szCs w:val="24"/>
        </w:rPr>
        <w:t xml:space="preserve"> rozpočtom. Akruálny výnos sociálnych odvodov nedosiahol rozpočtovanú sumu a výnos bol nižší o 126 211 tis. eur (-1,3 %) aj napriek tomu, že výnos dlžného poistného bol poznačený</w:t>
      </w:r>
      <w:r w:rsidRPr="00B11550">
        <w:t xml:space="preserve"> </w:t>
      </w:r>
      <w:r w:rsidRPr="00506EA0">
        <w:rPr>
          <w:sz w:val="24"/>
          <w:szCs w:val="24"/>
        </w:rPr>
        <w:t xml:space="preserve">jednorazovým príjmom vo výške 198 636 tis. eur z titulu oddlženia zdravotníckych zariadení. </w:t>
      </w:r>
    </w:p>
    <w:p w14:paraId="4DA62ECB" w14:textId="77777777" w:rsidR="003A0696" w:rsidRPr="00062FFE" w:rsidRDefault="003A0696" w:rsidP="003A0696">
      <w:pPr>
        <w:spacing w:line="240" w:lineRule="auto"/>
        <w:rPr>
          <w:sz w:val="24"/>
          <w:szCs w:val="24"/>
          <w:highlight w:val="yellow"/>
        </w:rPr>
      </w:pPr>
      <w:r w:rsidRPr="00365C1B">
        <w:rPr>
          <w:b/>
          <w:color w:val="5B9BD5" w:themeColor="accent1"/>
          <w:sz w:val="24"/>
          <w:szCs w:val="24"/>
        </w:rPr>
        <w:t>Nedaňové príjmy</w:t>
      </w:r>
      <w:r w:rsidRPr="00365C1B">
        <w:rPr>
          <w:color w:val="5B9BD5" w:themeColor="accent1"/>
          <w:sz w:val="24"/>
          <w:szCs w:val="24"/>
        </w:rPr>
        <w:t xml:space="preserve"> </w:t>
      </w:r>
      <w:r w:rsidRPr="00365C1B">
        <w:rPr>
          <w:sz w:val="24"/>
          <w:szCs w:val="24"/>
        </w:rPr>
        <w:t>vznikajú z činnosti subjektov verejnej správy a môžu to byť príjmy z</w:t>
      </w:r>
      <w:r>
        <w:rPr>
          <w:sz w:val="24"/>
          <w:szCs w:val="24"/>
        </w:rPr>
        <w:t> </w:t>
      </w:r>
      <w:r w:rsidRPr="00365C1B">
        <w:rPr>
          <w:sz w:val="24"/>
          <w:szCs w:val="24"/>
        </w:rPr>
        <w:t xml:space="preserve">podnikania a vlastníctva majetku, poplatky a platby, kapitálové príjmy, úroky a iné nedaňové príjmy. V roku 2022 boli nedaňové </w:t>
      </w:r>
      <w:r>
        <w:rPr>
          <w:sz w:val="24"/>
          <w:szCs w:val="24"/>
        </w:rPr>
        <w:t>príjmy</w:t>
      </w:r>
      <w:r w:rsidRPr="00365C1B">
        <w:rPr>
          <w:sz w:val="24"/>
          <w:szCs w:val="24"/>
        </w:rPr>
        <w:t xml:space="preserve"> oproti </w:t>
      </w:r>
      <w:r w:rsidRPr="00401C68">
        <w:rPr>
          <w:sz w:val="24"/>
          <w:szCs w:val="24"/>
        </w:rPr>
        <w:t>rozpočtu vyššie o 1 594 023 tis. eur vplyvom vyšších hotovostných nedaňových príjmov o 939 965 tis. eur a vyšších úprav v súlade s metodikou ESA 2010 o 654 058 tis. eur. Hotovostné nedaňové príjmy boli pozitívne ovplyvnené nárastom príjmov z administratívnych a iných poplatkov</w:t>
      </w:r>
      <w:r>
        <w:rPr>
          <w:sz w:val="24"/>
          <w:szCs w:val="24"/>
        </w:rPr>
        <w:t xml:space="preserve"> o 419 814 tis. eur (najviac u zdravotníckych zariadení o 132 810 tis. eur a Environmentálneho fondu o 83 157 tis. eur),  nárastom iných nedaňových príjmov o 579 485 tis. eur (najviac u štátnych rozpočtových organizácií o 328 012 tis. eur) a nárastom príjmov z </w:t>
      </w:r>
      <w:r w:rsidRPr="00C04FA8">
        <w:rPr>
          <w:sz w:val="24"/>
          <w:szCs w:val="24"/>
        </w:rPr>
        <w:t>úrokov o 89 614 tis. eur.</w:t>
      </w:r>
      <w:r>
        <w:rPr>
          <w:sz w:val="24"/>
          <w:szCs w:val="24"/>
        </w:rPr>
        <w:t xml:space="preserve"> </w:t>
      </w:r>
      <w:r w:rsidRPr="00C04FA8">
        <w:rPr>
          <w:sz w:val="24"/>
          <w:szCs w:val="24"/>
        </w:rPr>
        <w:t>Hotovostné príjmy z úrokov boli ďalej upravované v súlade s metodikou ESA</w:t>
      </w:r>
      <w:r>
        <w:rPr>
          <w:sz w:val="24"/>
          <w:szCs w:val="24"/>
        </w:rPr>
        <w:t> </w:t>
      </w:r>
      <w:r w:rsidRPr="00C04FA8">
        <w:rPr>
          <w:sz w:val="24"/>
          <w:szCs w:val="24"/>
        </w:rPr>
        <w:t>2010, a to pozitívne časovým rozlíšením prijatých úrokov v sume 125 483 tis. eur a negatívne vylúčením úrokov zo swapov v sume 54 287 tis. eur, obe úpravy neboli rozpočtované.</w:t>
      </w:r>
    </w:p>
    <w:p w14:paraId="7B5E0C84" w14:textId="38C09144" w:rsidR="003A0696" w:rsidRPr="00AA71C1" w:rsidRDefault="003A0696" w:rsidP="003A0696">
      <w:pPr>
        <w:spacing w:line="240" w:lineRule="auto"/>
        <w:rPr>
          <w:sz w:val="24"/>
          <w:szCs w:val="24"/>
        </w:rPr>
      </w:pPr>
      <w:r w:rsidRPr="00926F06">
        <w:rPr>
          <w:sz w:val="24"/>
          <w:szCs w:val="24"/>
        </w:rPr>
        <w:t xml:space="preserve">Na rozdiel nedaňových príjmov oproti rozpočtu vplývali aj ďalšie metodické úpravy, pozitívne medziročná zmena stavu pohľadávok sumou 260 407 tis. eur, nižšie vylúčenie </w:t>
      </w:r>
      <w:proofErr w:type="spellStart"/>
      <w:r w:rsidRPr="00926F06">
        <w:rPr>
          <w:sz w:val="24"/>
          <w:szCs w:val="24"/>
        </w:rPr>
        <w:t>superdividendy</w:t>
      </w:r>
      <w:proofErr w:type="spellEnd"/>
      <w:r w:rsidRPr="00926F06">
        <w:rPr>
          <w:rStyle w:val="Odkaznapoznmkupodiarou"/>
          <w:sz w:val="24"/>
          <w:szCs w:val="24"/>
        </w:rPr>
        <w:footnoteReference w:id="16"/>
      </w:r>
      <w:r w:rsidRPr="00926F06">
        <w:rPr>
          <w:sz w:val="24"/>
          <w:szCs w:val="24"/>
        </w:rPr>
        <w:t xml:space="preserve"> z príjmov z vlastníctva majetku v štátnych rozpočtových o</w:t>
      </w:r>
      <w:r w:rsidR="008E5816">
        <w:rPr>
          <w:sz w:val="24"/>
          <w:szCs w:val="24"/>
        </w:rPr>
        <w:t>rganizáciách o 37 939 tis. eur</w:t>
      </w:r>
      <w:bookmarkStart w:id="23" w:name="_GoBack"/>
      <w:bookmarkEnd w:id="23"/>
      <w:r w:rsidRPr="00926F06">
        <w:rPr>
          <w:sz w:val="24"/>
          <w:szCs w:val="24"/>
        </w:rPr>
        <w:t>, ako aj nižšia suma úpravy vylučujúca príspevky prevádzkovateľov jadrových zariadení z príjmov Národného jadrového fondu (NJF) o 26 978 tis. eur (z dôvodu nenaplnenia plánu spustenia prevádzky 3. a 4. bloku jadrovej elektrárne v Mochovciach v roku 2022, ako sa očakávalo v rozpočte). Táto úprava vylučuje príjmy. Negatívny vplyv</w:t>
      </w:r>
      <w:r>
        <w:rPr>
          <w:sz w:val="24"/>
          <w:szCs w:val="24"/>
        </w:rPr>
        <w:t xml:space="preserve"> na rozdiel oproti rozpočtu malo</w:t>
      </w:r>
      <w:r w:rsidRPr="00AA71C1">
        <w:rPr>
          <w:sz w:val="24"/>
          <w:szCs w:val="24"/>
        </w:rPr>
        <w:t xml:space="preserve"> vylúčenie príjmov z predaja emisných kvót </w:t>
      </w:r>
      <w:r>
        <w:rPr>
          <w:sz w:val="24"/>
          <w:szCs w:val="24"/>
        </w:rPr>
        <w:t>v sume 342 522 tis. eur z nedaňových príjmov, čo je o </w:t>
      </w:r>
      <w:r w:rsidRPr="00AA71C1">
        <w:rPr>
          <w:sz w:val="24"/>
          <w:szCs w:val="24"/>
        </w:rPr>
        <w:t>88 955 tis. eur</w:t>
      </w:r>
      <w:r>
        <w:rPr>
          <w:sz w:val="24"/>
          <w:szCs w:val="24"/>
        </w:rPr>
        <w:t xml:space="preserve"> viac oproti rozpočtu</w:t>
      </w:r>
      <w:r w:rsidRPr="00AA71C1">
        <w:rPr>
          <w:sz w:val="24"/>
          <w:szCs w:val="24"/>
        </w:rPr>
        <w:t xml:space="preserve"> (príjmy z predaja emisných kvót sa podľa metodiky ESA zatrieďujú medzi daňové príjmy)</w:t>
      </w:r>
      <w:r>
        <w:rPr>
          <w:sz w:val="24"/>
          <w:szCs w:val="24"/>
        </w:rPr>
        <w:t>.</w:t>
      </w:r>
    </w:p>
    <w:p w14:paraId="62131DEF" w14:textId="77777777" w:rsidR="003A0696" w:rsidRPr="00062FFE" w:rsidRDefault="003A0696" w:rsidP="003A0696">
      <w:pPr>
        <w:spacing w:line="240" w:lineRule="auto"/>
        <w:rPr>
          <w:sz w:val="24"/>
          <w:szCs w:val="24"/>
          <w:highlight w:val="yellow"/>
        </w:rPr>
      </w:pPr>
      <w:r w:rsidRPr="006279AF">
        <w:rPr>
          <w:b/>
          <w:color w:val="5B9BD5" w:themeColor="accent1"/>
          <w:sz w:val="24"/>
          <w:szCs w:val="24"/>
        </w:rPr>
        <w:t xml:space="preserve">V rámci </w:t>
      </w:r>
      <w:r>
        <w:rPr>
          <w:b/>
          <w:color w:val="5B9BD5" w:themeColor="accent1"/>
          <w:sz w:val="24"/>
          <w:szCs w:val="24"/>
        </w:rPr>
        <w:t xml:space="preserve">príjmových </w:t>
      </w:r>
      <w:r w:rsidRPr="006279AF">
        <w:rPr>
          <w:b/>
          <w:color w:val="5B9BD5" w:themeColor="accent1"/>
          <w:sz w:val="24"/>
          <w:szCs w:val="24"/>
        </w:rPr>
        <w:t xml:space="preserve">grantov a transferov </w:t>
      </w:r>
      <w:r w:rsidRPr="006279AF">
        <w:rPr>
          <w:sz w:val="24"/>
          <w:szCs w:val="24"/>
        </w:rPr>
        <w:t>sa triedia tuzemské a zahraničné granty a transfery určené na financovanie tak bežných, ako aj kapitálových potrieb štátu.  Granty a transfery realizované medzi subjektami verejnej správy sa navzájom konsolidujú. V porovnaní s rozpočtom bola hodnota konsolidovaných grantov a transferov v súlade s metodikou ESA</w:t>
      </w:r>
      <w:r>
        <w:rPr>
          <w:sz w:val="24"/>
          <w:szCs w:val="24"/>
        </w:rPr>
        <w:t> 2010</w:t>
      </w:r>
      <w:r w:rsidRPr="006279AF">
        <w:rPr>
          <w:sz w:val="24"/>
          <w:szCs w:val="24"/>
        </w:rPr>
        <w:t xml:space="preserve"> </w:t>
      </w:r>
      <w:r w:rsidRPr="00401C68">
        <w:rPr>
          <w:sz w:val="24"/>
          <w:szCs w:val="24"/>
        </w:rPr>
        <w:t>nižšia o 102 288 tis. eur. Hodnota nekonsolidovaných grantov a transferov vzrástla oproti rozpočtu o 2 571 966 tis. eur, išlo najmä o prijaté bežné a kapitálové transfery zo štátneho rozpočtu. Nárast oproti</w:t>
      </w:r>
      <w:r w:rsidRPr="00594233">
        <w:rPr>
          <w:sz w:val="24"/>
          <w:szCs w:val="24"/>
        </w:rPr>
        <w:t xml:space="preserve"> rozpočtu zaznamenali najmä obce a ich rozpočtové a príspevkové organizácie spolu o 586 122 tis. eur, zdravotnícke zariadenia spolu o 372 367 tis. eur, vyššie územné celky a ich rozpočtové a príspevkové organizácie spolu o 310 052 tis. eur, príspevkové organizácie štátu o 297 671 tis. eur, verejné vysoké školy o 152 846</w:t>
      </w:r>
      <w:r>
        <w:rPr>
          <w:sz w:val="24"/>
          <w:szCs w:val="24"/>
        </w:rPr>
        <w:t> tis. eur a verejné výskumné inštitúcie o 116 094 tis. eur</w:t>
      </w:r>
      <w:r w:rsidRPr="00594233">
        <w:rPr>
          <w:sz w:val="24"/>
          <w:szCs w:val="24"/>
        </w:rPr>
        <w:t xml:space="preserve"> na základe zvýšených požiadaviek na plnenie svojich úloh. Obchodné spoločnosti štátu Národná diaľničná spoločnosť, a. s. a Železnice slovenskej republiky zaznamenali vyššie granty a transfery oproti rozpočtu spolu o 440 886 tis. eur v nadväznosti na vyššiu refundáciu investičných výdavkov</w:t>
      </w:r>
      <w:r>
        <w:rPr>
          <w:sz w:val="24"/>
          <w:szCs w:val="24"/>
        </w:rPr>
        <w:t xml:space="preserve"> oproti plánom a na dofinancovanie prevádzky železničnej infraštruktúry</w:t>
      </w:r>
      <w:r w:rsidRPr="00594233">
        <w:rPr>
          <w:sz w:val="24"/>
          <w:szCs w:val="24"/>
        </w:rPr>
        <w:t>. Z ostatných ústredných podniko</w:t>
      </w:r>
      <w:r>
        <w:rPr>
          <w:sz w:val="24"/>
          <w:szCs w:val="24"/>
        </w:rPr>
        <w:t>v</w:t>
      </w:r>
      <w:r w:rsidRPr="00594233">
        <w:rPr>
          <w:sz w:val="24"/>
          <w:szCs w:val="24"/>
        </w:rPr>
        <w:t>, ktoré sa nerozpočtujú</w:t>
      </w:r>
      <w:r>
        <w:rPr>
          <w:sz w:val="24"/>
          <w:szCs w:val="24"/>
        </w:rPr>
        <w:t>,</w:t>
      </w:r>
      <w:r w:rsidRPr="00594233">
        <w:rPr>
          <w:sz w:val="24"/>
          <w:szCs w:val="24"/>
        </w:rPr>
        <w:t xml:space="preserve"> dosiahli najvyššie granty a transfery spoločnosti </w:t>
      </w:r>
      <w:proofErr w:type="spellStart"/>
      <w:r w:rsidRPr="00594233">
        <w:rPr>
          <w:sz w:val="24"/>
          <w:szCs w:val="24"/>
        </w:rPr>
        <w:t>Debitum</w:t>
      </w:r>
      <w:proofErr w:type="spellEnd"/>
      <w:r w:rsidRPr="00594233">
        <w:rPr>
          <w:sz w:val="24"/>
          <w:szCs w:val="24"/>
        </w:rPr>
        <w:t>, s. r. o. v sume 198 636 tis. eur</w:t>
      </w:r>
      <w:r>
        <w:rPr>
          <w:sz w:val="24"/>
          <w:szCs w:val="24"/>
        </w:rPr>
        <w:t xml:space="preserve"> </w:t>
      </w:r>
      <w:r w:rsidRPr="00594233">
        <w:rPr>
          <w:sz w:val="24"/>
          <w:szCs w:val="24"/>
        </w:rPr>
        <w:t>v súvislosti s oddlž</w:t>
      </w:r>
      <w:r>
        <w:rPr>
          <w:sz w:val="24"/>
          <w:szCs w:val="24"/>
        </w:rPr>
        <w:t>ovaním</w:t>
      </w:r>
      <w:r w:rsidRPr="00594233">
        <w:rPr>
          <w:sz w:val="24"/>
          <w:szCs w:val="24"/>
        </w:rPr>
        <w:t xml:space="preserve"> zdravotníckych zariadení </w:t>
      </w:r>
      <w:r w:rsidRPr="00660C7B">
        <w:rPr>
          <w:sz w:val="24"/>
          <w:szCs w:val="24"/>
        </w:rPr>
        <w:t>v súlade s Návrhom finančnej stabilizácie zdravotníckych zariadení schválenej vládou SR v roku 2020</w:t>
      </w:r>
      <w:r w:rsidRPr="00594233">
        <w:rPr>
          <w:sz w:val="24"/>
          <w:szCs w:val="24"/>
        </w:rPr>
        <w:t xml:space="preserve"> a Valaliky Industrial Park, s. r. o.</w:t>
      </w:r>
      <w:r>
        <w:rPr>
          <w:sz w:val="24"/>
          <w:szCs w:val="24"/>
        </w:rPr>
        <w:t xml:space="preserve"> </w:t>
      </w:r>
      <w:r w:rsidRPr="00594233">
        <w:rPr>
          <w:sz w:val="24"/>
          <w:szCs w:val="24"/>
        </w:rPr>
        <w:lastRenderedPageBreak/>
        <w:t>v sume 214 </w:t>
      </w:r>
      <w:r w:rsidRPr="00FD6465">
        <w:rPr>
          <w:sz w:val="24"/>
          <w:szCs w:val="24"/>
        </w:rPr>
        <w:t>118 tis. eur</w:t>
      </w:r>
      <w:r w:rsidRPr="00594233">
        <w:rPr>
          <w:sz w:val="24"/>
          <w:szCs w:val="24"/>
        </w:rPr>
        <w:t xml:space="preserve"> v súvislosti s výstavbou priemyselného parku</w:t>
      </w:r>
      <w:r w:rsidRPr="00FD6465">
        <w:rPr>
          <w:sz w:val="24"/>
          <w:szCs w:val="24"/>
        </w:rPr>
        <w:t>. Naopak oproti rozpočtu klesli granty a transfery Sociálnej poisťovne o 299 293 tis. eur.</w:t>
      </w:r>
    </w:p>
    <w:p w14:paraId="12704EF1" w14:textId="77777777" w:rsidR="003A0696" w:rsidRPr="000741F0" w:rsidRDefault="003A0696" w:rsidP="003A0696">
      <w:pPr>
        <w:spacing w:line="240" w:lineRule="auto"/>
        <w:rPr>
          <w:sz w:val="24"/>
          <w:szCs w:val="24"/>
        </w:rPr>
      </w:pPr>
      <w:r w:rsidRPr="005D5374">
        <w:rPr>
          <w:b/>
          <w:color w:val="5B9BD5" w:themeColor="accent1"/>
          <w:sz w:val="24"/>
          <w:szCs w:val="24"/>
        </w:rPr>
        <w:t>Bežné výdavky</w:t>
      </w:r>
      <w:r w:rsidRPr="005D5374">
        <w:rPr>
          <w:color w:val="5B9BD5" w:themeColor="accent1"/>
          <w:sz w:val="24"/>
          <w:szCs w:val="24"/>
        </w:rPr>
        <w:t xml:space="preserve"> </w:t>
      </w:r>
      <w:r w:rsidRPr="005D5374">
        <w:rPr>
          <w:sz w:val="24"/>
          <w:szCs w:val="24"/>
        </w:rPr>
        <w:t xml:space="preserve">verejnej správy boli </w:t>
      </w:r>
      <w:r w:rsidRPr="00401C68">
        <w:rPr>
          <w:sz w:val="24"/>
          <w:szCs w:val="24"/>
        </w:rPr>
        <w:t>vyššie o 227 889 tis</w:t>
      </w:r>
      <w:r w:rsidRPr="005D5374">
        <w:rPr>
          <w:sz w:val="24"/>
          <w:szCs w:val="24"/>
        </w:rPr>
        <w:t xml:space="preserve">. eur oproti rozpočtu a zahŕňajú mzdové a odvodové výdavky, výdavky na tovary a služby, bežné transfery a úroky. Pri výdavkoch na </w:t>
      </w:r>
      <w:r w:rsidRPr="005D5374">
        <w:rPr>
          <w:sz w:val="24"/>
          <w:szCs w:val="24"/>
          <w:u w:val="single"/>
        </w:rPr>
        <w:t>mzdy</w:t>
      </w:r>
      <w:r w:rsidRPr="005D5374">
        <w:rPr>
          <w:sz w:val="24"/>
          <w:szCs w:val="24"/>
        </w:rPr>
        <w:t xml:space="preserve">, ktoré dosiahli nárast oproti rozpočtu o 807 512 tis. eur, zaznamenali najväčší nárast </w:t>
      </w:r>
      <w:r>
        <w:rPr>
          <w:sz w:val="24"/>
          <w:szCs w:val="24"/>
        </w:rPr>
        <w:t xml:space="preserve">obce o 214 581 tis. eur, </w:t>
      </w:r>
      <w:r w:rsidRPr="005D5374">
        <w:rPr>
          <w:sz w:val="24"/>
          <w:szCs w:val="24"/>
        </w:rPr>
        <w:t>zdravotnícke zariadenia o 178 622 tis. eur (z toho v ústrednej správe 164 007 tis. eur), príspevkové organizácie VÚC o 64 745 tis. eur</w:t>
      </w:r>
      <w:r>
        <w:rPr>
          <w:sz w:val="24"/>
          <w:szCs w:val="24"/>
        </w:rPr>
        <w:t xml:space="preserve"> a</w:t>
      </w:r>
      <w:r w:rsidRPr="005D5374">
        <w:rPr>
          <w:sz w:val="24"/>
          <w:szCs w:val="24"/>
        </w:rPr>
        <w:t xml:space="preserve"> verejné vysoké školy o 48 584 tis. eur. </w:t>
      </w:r>
      <w:r w:rsidRPr="007F2CC6">
        <w:rPr>
          <w:sz w:val="24"/>
          <w:szCs w:val="24"/>
        </w:rPr>
        <w:t xml:space="preserve">S tým súvisel aj nárast výdavkov na poistné o 317 062 tis. eur v rámci celej verejnej </w:t>
      </w:r>
      <w:r w:rsidRPr="000741F0">
        <w:rPr>
          <w:sz w:val="24"/>
          <w:szCs w:val="24"/>
        </w:rPr>
        <w:t xml:space="preserve">správy. Výdavky na </w:t>
      </w:r>
      <w:r w:rsidRPr="000741F0">
        <w:rPr>
          <w:sz w:val="24"/>
          <w:szCs w:val="24"/>
          <w:u w:val="single"/>
        </w:rPr>
        <w:t>tovary a služby</w:t>
      </w:r>
      <w:r w:rsidRPr="000741F0">
        <w:rPr>
          <w:sz w:val="24"/>
          <w:szCs w:val="24"/>
        </w:rPr>
        <w:t xml:space="preserve"> zaznamenali v hotovostnom vyjadrení zníženie o 3 923 584 tis. eur oproti rozpočtu, a to najmä u štátnych rozpočtových organizácií. Na ich vývoj malo do veľkej miery vplyv čerpanie výdavkov v rámci konkrétnych výdavkových titulov, pričom sú rozpočtované v rámci bežných výdavkov (napr. zálohové platby na projekty EU a prostriedky štátneho rozpočtu na spolufinancovanie, ktorých zúčtovanie sa vykonáva na príslušných výdavkoch). </w:t>
      </w:r>
      <w:r w:rsidRPr="006E66CD">
        <w:rPr>
          <w:sz w:val="24"/>
          <w:szCs w:val="24"/>
        </w:rPr>
        <w:t xml:space="preserve">Na </w:t>
      </w:r>
      <w:r>
        <w:rPr>
          <w:sz w:val="24"/>
          <w:szCs w:val="24"/>
        </w:rPr>
        <w:t xml:space="preserve">vývoj </w:t>
      </w:r>
      <w:r w:rsidRPr="006E66CD">
        <w:rPr>
          <w:sz w:val="24"/>
          <w:szCs w:val="24"/>
        </w:rPr>
        <w:t>bež</w:t>
      </w:r>
      <w:r w:rsidRPr="000741F0">
        <w:rPr>
          <w:sz w:val="24"/>
          <w:szCs w:val="24"/>
        </w:rPr>
        <w:t xml:space="preserve">ných výdavkov vplýval aj odvod do rozpočtu EÚ  v sume 940 226 tis. eur, ktorý bol oproti rozpočtu nižší o 86 342 tis. eur. Hotovostné </w:t>
      </w:r>
      <w:r w:rsidRPr="000741F0">
        <w:rPr>
          <w:sz w:val="24"/>
          <w:szCs w:val="24"/>
          <w:u w:val="single"/>
        </w:rPr>
        <w:t>výdavkové úroky</w:t>
      </w:r>
      <w:r w:rsidRPr="000741F0">
        <w:rPr>
          <w:sz w:val="24"/>
          <w:szCs w:val="24"/>
        </w:rPr>
        <w:t xml:space="preserve"> boli oproti rozpočtu vyššie o 36 242 tis. eur, v súlade s metodikou ESA 2010 boli hotovostné výdavky upravené časovým rozlíšením platených úrokov negatívne o</w:t>
      </w:r>
      <w:r>
        <w:rPr>
          <w:sz w:val="24"/>
          <w:szCs w:val="24"/>
        </w:rPr>
        <w:t> 24 082</w:t>
      </w:r>
      <w:r w:rsidRPr="000741F0">
        <w:rPr>
          <w:sz w:val="24"/>
          <w:szCs w:val="24"/>
        </w:rPr>
        <w:t> tis. eur a vylúčením úrokov zo swapov pozitívne o 44 882 tis. eur oproti rozpočtu.</w:t>
      </w:r>
    </w:p>
    <w:p w14:paraId="7991235A" w14:textId="77777777" w:rsidR="003A0696" w:rsidRDefault="003A0696" w:rsidP="003A0696">
      <w:pPr>
        <w:spacing w:line="240" w:lineRule="auto"/>
        <w:rPr>
          <w:sz w:val="24"/>
          <w:szCs w:val="24"/>
        </w:rPr>
      </w:pPr>
      <w:r w:rsidRPr="00401C68">
        <w:rPr>
          <w:b/>
          <w:color w:val="5B9BD5" w:themeColor="accent1"/>
          <w:sz w:val="24"/>
          <w:szCs w:val="24"/>
        </w:rPr>
        <w:t>Kapitálové výdavky</w:t>
      </w:r>
      <w:r w:rsidRPr="00401C68">
        <w:rPr>
          <w:color w:val="5B9BD5" w:themeColor="accent1"/>
          <w:sz w:val="24"/>
          <w:szCs w:val="24"/>
        </w:rPr>
        <w:t xml:space="preserve"> </w:t>
      </w:r>
      <w:r w:rsidRPr="00401C68">
        <w:rPr>
          <w:sz w:val="24"/>
          <w:szCs w:val="24"/>
        </w:rPr>
        <w:t xml:space="preserve">verejnej správy sa triedia na  výdavky na obstaranie kapitálových aktív a kapitálové transfery. Oproti rozpočtu na rok 2022 klesli ESA kapitálové výdavky </w:t>
      </w:r>
      <w:r w:rsidRPr="006E179B">
        <w:rPr>
          <w:sz w:val="24"/>
          <w:szCs w:val="24"/>
        </w:rPr>
        <w:t>o 1 089 697 tis. eur</w:t>
      </w:r>
      <w:r w:rsidRPr="00744DEE">
        <w:rPr>
          <w:sz w:val="24"/>
          <w:szCs w:val="24"/>
        </w:rPr>
        <w:t xml:space="preserve">. </w:t>
      </w:r>
      <w:r w:rsidRPr="00233489">
        <w:rPr>
          <w:sz w:val="24"/>
          <w:szCs w:val="24"/>
          <w:u w:val="single"/>
        </w:rPr>
        <w:t>Výdavky na obstaranie kapitálových aktív</w:t>
      </w:r>
      <w:r w:rsidRPr="00476799">
        <w:rPr>
          <w:sz w:val="24"/>
          <w:szCs w:val="24"/>
        </w:rPr>
        <w:t xml:space="preserve"> v porovnaní s rozpočtom </w:t>
      </w:r>
      <w:r>
        <w:rPr>
          <w:sz w:val="24"/>
          <w:szCs w:val="24"/>
        </w:rPr>
        <w:t>klesli o 553 673 tis. eur, najvýraznejší pokles zaznamenali štátne</w:t>
      </w:r>
      <w:r w:rsidRPr="00476799">
        <w:rPr>
          <w:sz w:val="24"/>
          <w:szCs w:val="24"/>
        </w:rPr>
        <w:t xml:space="preserve"> rozpočtov</w:t>
      </w:r>
      <w:r>
        <w:rPr>
          <w:sz w:val="24"/>
          <w:szCs w:val="24"/>
        </w:rPr>
        <w:t xml:space="preserve">é organizácie </w:t>
      </w:r>
      <w:r w:rsidRPr="00890580">
        <w:rPr>
          <w:sz w:val="24"/>
          <w:szCs w:val="24"/>
        </w:rPr>
        <w:t>(opisované v kapitole 3)</w:t>
      </w:r>
      <w:r w:rsidRPr="00BD5875">
        <w:rPr>
          <w:sz w:val="24"/>
          <w:szCs w:val="24"/>
        </w:rPr>
        <w:t xml:space="preserve"> </w:t>
      </w:r>
      <w:r w:rsidRPr="00476799">
        <w:rPr>
          <w:sz w:val="24"/>
          <w:szCs w:val="24"/>
        </w:rPr>
        <w:t xml:space="preserve"> o 1 172 166 tis. eur, čo však bolo </w:t>
      </w:r>
      <w:r>
        <w:rPr>
          <w:sz w:val="24"/>
          <w:szCs w:val="24"/>
        </w:rPr>
        <w:t xml:space="preserve">čiastočne </w:t>
      </w:r>
      <w:r w:rsidRPr="00476799">
        <w:rPr>
          <w:sz w:val="24"/>
          <w:szCs w:val="24"/>
        </w:rPr>
        <w:t>eliminované nárastom investičných výdavkov obcí o 190 948 tis. eur, Železníc Slovenskej republiky o 151 772 tis. eur, vyšších územných celkov o 92 932 tis. eur, ústredných zdravotníckych zariadení o 55 867 tis. eur</w:t>
      </w:r>
      <w:r>
        <w:rPr>
          <w:sz w:val="24"/>
          <w:szCs w:val="24"/>
        </w:rPr>
        <w:t>,</w:t>
      </w:r>
      <w:r w:rsidRPr="00476799">
        <w:rPr>
          <w:sz w:val="24"/>
          <w:szCs w:val="24"/>
        </w:rPr>
        <w:t xml:space="preserve"> verejných vysokých škôl o 45 608 tis. eur a príspevkových organizácií štátu o 44 674 tis. eur.</w:t>
      </w:r>
      <w:r>
        <w:rPr>
          <w:sz w:val="24"/>
          <w:szCs w:val="24"/>
        </w:rPr>
        <w:t xml:space="preserve"> </w:t>
      </w:r>
      <w:r w:rsidRPr="00476799">
        <w:rPr>
          <w:b/>
          <w:bCs/>
          <w:sz w:val="24"/>
          <w:szCs w:val="24"/>
        </w:rPr>
        <w:t xml:space="preserve">Od roku 2021 sa pri rozpočtovaní investičných výdavkov zaviedol nulový štartovací rozpočet (tzv. </w:t>
      </w:r>
      <w:proofErr w:type="spellStart"/>
      <w:r w:rsidRPr="00476799">
        <w:rPr>
          <w:b/>
          <w:bCs/>
          <w:sz w:val="24"/>
          <w:szCs w:val="24"/>
        </w:rPr>
        <w:t>zero-based</w:t>
      </w:r>
      <w:proofErr w:type="spellEnd"/>
      <w:r w:rsidRPr="00476799">
        <w:rPr>
          <w:b/>
          <w:bCs/>
          <w:sz w:val="24"/>
          <w:szCs w:val="24"/>
        </w:rPr>
        <w:t xml:space="preserve"> </w:t>
      </w:r>
      <w:proofErr w:type="spellStart"/>
      <w:r w:rsidRPr="00476799">
        <w:rPr>
          <w:b/>
          <w:bCs/>
          <w:sz w:val="24"/>
          <w:szCs w:val="24"/>
        </w:rPr>
        <w:t>budgeting</w:t>
      </w:r>
      <w:proofErr w:type="spellEnd"/>
      <w:r w:rsidRPr="00476799">
        <w:rPr>
          <w:b/>
          <w:bCs/>
          <w:sz w:val="24"/>
          <w:szCs w:val="24"/>
        </w:rPr>
        <w:t>)</w:t>
      </w:r>
      <w:r w:rsidRPr="001E163B">
        <w:rPr>
          <w:rFonts w:cs="Times New Roman"/>
          <w:sz w:val="24"/>
          <w:szCs w:val="24"/>
        </w:rPr>
        <w:t>, kedy kapitálové výdavky na rok 2022 boli rozpočtované v</w:t>
      </w:r>
      <w:r>
        <w:rPr>
          <w:rFonts w:cs="Times New Roman"/>
          <w:sz w:val="24"/>
          <w:szCs w:val="24"/>
        </w:rPr>
        <w:t> </w:t>
      </w:r>
      <w:r w:rsidRPr="001E163B">
        <w:rPr>
          <w:rFonts w:cs="Times New Roman"/>
          <w:sz w:val="24"/>
          <w:szCs w:val="24"/>
        </w:rPr>
        <w:t>kapitole Všeobecná pokladničná správa a až po ich posúdení investičnou autoritou nastalo ich reálne čerpanie</w:t>
      </w:r>
      <w:r>
        <w:rPr>
          <w:rFonts w:cs="Times New Roman"/>
          <w:sz w:val="24"/>
          <w:szCs w:val="24"/>
        </w:rPr>
        <w:t>.</w:t>
      </w:r>
      <w:r w:rsidRPr="001E163B">
        <w:rPr>
          <w:rFonts w:cs="Times New Roman"/>
          <w:sz w:val="24"/>
          <w:szCs w:val="24"/>
        </w:rPr>
        <w:t xml:space="preserve"> </w:t>
      </w:r>
      <w:r>
        <w:rPr>
          <w:bCs/>
          <w:sz w:val="24"/>
          <w:szCs w:val="24"/>
        </w:rPr>
        <w:t>Financované</w:t>
      </w:r>
      <w:r w:rsidRPr="00476799">
        <w:rPr>
          <w:sz w:val="24"/>
          <w:szCs w:val="24"/>
        </w:rPr>
        <w:t xml:space="preserve"> sú iba pripravené a návratné projekty v súlade s </w:t>
      </w:r>
      <w:proofErr w:type="spellStart"/>
      <w:r w:rsidRPr="00476799">
        <w:rPr>
          <w:sz w:val="24"/>
          <w:szCs w:val="24"/>
        </w:rPr>
        <w:t>prioritizovanými</w:t>
      </w:r>
      <w:proofErr w:type="spellEnd"/>
      <w:r w:rsidRPr="00476799">
        <w:rPr>
          <w:sz w:val="24"/>
          <w:szCs w:val="24"/>
        </w:rPr>
        <w:t xml:space="preserve"> investičnými plánmi. Minimalizujú sa tak situácie, keď nepripravené projekty dlhodobo blokovali veľký balík peňazí na úkor pripravených a lepších investícií. </w:t>
      </w:r>
      <w:r>
        <w:rPr>
          <w:sz w:val="24"/>
          <w:szCs w:val="24"/>
        </w:rPr>
        <w:t>H</w:t>
      </w:r>
      <w:r w:rsidRPr="00744DEE">
        <w:rPr>
          <w:sz w:val="24"/>
          <w:szCs w:val="24"/>
        </w:rPr>
        <w:t>otovostn</w:t>
      </w:r>
      <w:r>
        <w:rPr>
          <w:sz w:val="24"/>
          <w:szCs w:val="24"/>
        </w:rPr>
        <w:t>é</w:t>
      </w:r>
      <w:r w:rsidRPr="00744DEE">
        <w:rPr>
          <w:sz w:val="24"/>
          <w:szCs w:val="24"/>
        </w:rPr>
        <w:t xml:space="preserve"> </w:t>
      </w:r>
      <w:r w:rsidRPr="00744DEE">
        <w:rPr>
          <w:sz w:val="24"/>
          <w:szCs w:val="24"/>
          <w:u w:val="single"/>
        </w:rPr>
        <w:t>kapitálov</w:t>
      </w:r>
      <w:r>
        <w:rPr>
          <w:sz w:val="24"/>
          <w:szCs w:val="24"/>
          <w:u w:val="single"/>
        </w:rPr>
        <w:t>é</w:t>
      </w:r>
      <w:r w:rsidRPr="00744DEE">
        <w:rPr>
          <w:sz w:val="24"/>
          <w:szCs w:val="24"/>
          <w:u w:val="single"/>
        </w:rPr>
        <w:t xml:space="preserve"> transfer</w:t>
      </w:r>
      <w:r>
        <w:rPr>
          <w:sz w:val="24"/>
          <w:szCs w:val="24"/>
          <w:u w:val="single"/>
        </w:rPr>
        <w:t>y</w:t>
      </w:r>
      <w:r>
        <w:rPr>
          <w:sz w:val="24"/>
          <w:szCs w:val="24"/>
        </w:rPr>
        <w:t xml:space="preserve"> klesli oproti </w:t>
      </w:r>
      <w:r w:rsidRPr="006E179B">
        <w:rPr>
          <w:sz w:val="24"/>
          <w:szCs w:val="24"/>
        </w:rPr>
        <w:t>rozpočtu o 749 633 tis. eur. Najväčší pokles kapitálových transferov z pomedzi zložiek verejnej správy v hotovostnom nekonsolidovanom</w:t>
      </w:r>
      <w:r w:rsidRPr="00BD5875">
        <w:rPr>
          <w:sz w:val="24"/>
          <w:szCs w:val="24"/>
        </w:rPr>
        <w:t xml:space="preserve"> porovnaní oproti rozpočtu zaznamenali štátne rozpočtové organizácie</w:t>
      </w:r>
      <w:r>
        <w:rPr>
          <w:sz w:val="24"/>
          <w:szCs w:val="24"/>
        </w:rPr>
        <w:t xml:space="preserve"> </w:t>
      </w:r>
      <w:r w:rsidRPr="00BD5875">
        <w:rPr>
          <w:sz w:val="24"/>
          <w:szCs w:val="24"/>
        </w:rPr>
        <w:t xml:space="preserve">v sume </w:t>
      </w:r>
      <w:r w:rsidRPr="00890580">
        <w:rPr>
          <w:sz w:val="24"/>
          <w:szCs w:val="24"/>
        </w:rPr>
        <w:t xml:space="preserve">331 436 tis. eur, Environmentálny fond v sume 108 687 tis. eur a obce v sume 26 216 tis. eur. </w:t>
      </w:r>
    </w:p>
    <w:p w14:paraId="50062F8D" w14:textId="77777777" w:rsidR="003A0696" w:rsidRPr="0002677A" w:rsidRDefault="003A0696" w:rsidP="003A0696">
      <w:pPr>
        <w:spacing w:line="240" w:lineRule="auto"/>
        <w:rPr>
          <w:sz w:val="24"/>
          <w:szCs w:val="24"/>
        </w:rPr>
      </w:pPr>
      <w:r w:rsidRPr="0002677A">
        <w:rPr>
          <w:sz w:val="24"/>
          <w:szCs w:val="24"/>
        </w:rPr>
        <w:t>Nasledujúca tabuľka poskytuje prehľad najvýznamnejších položiek (príjmov, výdavkov resp. výsledok hospodárenie subjektov verejnej správy) a ich vplyv na dosiahnuté saldo verejnej správy za rok 2022 oproti rozpočtu.</w:t>
      </w:r>
    </w:p>
    <w:tbl>
      <w:tblPr>
        <w:tblW w:w="9079" w:type="dxa"/>
        <w:tblCellMar>
          <w:left w:w="70" w:type="dxa"/>
          <w:right w:w="70" w:type="dxa"/>
        </w:tblCellMar>
        <w:tblLook w:val="04A0" w:firstRow="1" w:lastRow="0" w:firstColumn="1" w:lastColumn="0" w:noHBand="0" w:noVBand="1"/>
      </w:tblPr>
      <w:tblGrid>
        <w:gridCol w:w="6439"/>
        <w:gridCol w:w="1449"/>
        <w:gridCol w:w="1191"/>
      </w:tblGrid>
      <w:tr w:rsidR="003A0696" w:rsidRPr="00EA66A4" w14:paraId="7C662D38" w14:textId="77777777" w:rsidTr="003A0696">
        <w:trPr>
          <w:trHeight w:val="268"/>
          <w:tblHeader/>
        </w:trPr>
        <w:tc>
          <w:tcPr>
            <w:tcW w:w="7888" w:type="dxa"/>
            <w:gridSpan w:val="2"/>
            <w:tcBorders>
              <w:top w:val="nil"/>
              <w:left w:val="nil"/>
              <w:bottom w:val="nil"/>
              <w:right w:val="nil"/>
            </w:tcBorders>
            <w:shd w:val="clear" w:color="auto" w:fill="auto"/>
            <w:noWrap/>
            <w:vAlign w:val="bottom"/>
            <w:hideMark/>
          </w:tcPr>
          <w:p w14:paraId="185B17CE" w14:textId="77777777" w:rsidR="003A0696" w:rsidRPr="00EA66A4" w:rsidRDefault="003A0696" w:rsidP="003A0696">
            <w:pPr>
              <w:spacing w:after="0" w:line="240" w:lineRule="auto"/>
              <w:jc w:val="left"/>
              <w:rPr>
                <w:rFonts w:eastAsia="Times New Roman" w:cs="Times New Roman"/>
                <w:b/>
                <w:bCs/>
                <w:color w:val="5B9BD5" w:themeColor="accent1"/>
                <w:sz w:val="18"/>
                <w:szCs w:val="18"/>
                <w:lang w:eastAsia="sk-SK"/>
              </w:rPr>
            </w:pPr>
            <w:r>
              <w:rPr>
                <w:rFonts w:eastAsia="Times New Roman" w:cs="Times New Roman"/>
                <w:b/>
                <w:bCs/>
                <w:color w:val="5B9BD5" w:themeColor="accent1"/>
                <w:sz w:val="18"/>
                <w:szCs w:val="18"/>
                <w:lang w:eastAsia="sk-SK"/>
              </w:rPr>
              <w:t>Tabuľka 8</w:t>
            </w:r>
            <w:r w:rsidRPr="00EA66A4">
              <w:rPr>
                <w:rFonts w:eastAsia="Times New Roman" w:cs="Times New Roman"/>
                <w:b/>
                <w:bCs/>
                <w:color w:val="5B9BD5" w:themeColor="accent1"/>
                <w:sz w:val="18"/>
                <w:szCs w:val="18"/>
                <w:lang w:eastAsia="sk-SK"/>
              </w:rPr>
              <w:t xml:space="preserve"> - Saldo verejnej správy v roku 2022 podľa ESA2010  - rozdiel oproti rozpočtu              </w:t>
            </w:r>
          </w:p>
        </w:tc>
        <w:tc>
          <w:tcPr>
            <w:tcW w:w="1191" w:type="dxa"/>
            <w:tcBorders>
              <w:top w:val="nil"/>
              <w:left w:val="nil"/>
              <w:bottom w:val="nil"/>
              <w:right w:val="nil"/>
            </w:tcBorders>
            <w:shd w:val="clear" w:color="auto" w:fill="auto"/>
            <w:noWrap/>
            <w:vAlign w:val="bottom"/>
            <w:hideMark/>
          </w:tcPr>
          <w:p w14:paraId="79ACFCAB" w14:textId="77777777" w:rsidR="003A0696" w:rsidRPr="00EA66A4" w:rsidRDefault="003A0696" w:rsidP="003A0696">
            <w:pPr>
              <w:spacing w:after="0" w:line="240" w:lineRule="auto"/>
              <w:jc w:val="left"/>
              <w:rPr>
                <w:rFonts w:eastAsia="Times New Roman" w:cs="Times New Roman"/>
                <w:b/>
                <w:bCs/>
                <w:color w:val="2F75B5"/>
                <w:sz w:val="18"/>
                <w:szCs w:val="18"/>
                <w:lang w:eastAsia="sk-SK"/>
              </w:rPr>
            </w:pPr>
          </w:p>
        </w:tc>
      </w:tr>
      <w:tr w:rsidR="003A0696" w:rsidRPr="00EA66A4" w14:paraId="089395DB" w14:textId="77777777" w:rsidTr="003A0696">
        <w:trPr>
          <w:trHeight w:val="322"/>
          <w:tblHeader/>
        </w:trPr>
        <w:tc>
          <w:tcPr>
            <w:tcW w:w="6439" w:type="dxa"/>
            <w:vMerge w:val="restart"/>
            <w:tcBorders>
              <w:top w:val="single" w:sz="4" w:space="0" w:color="auto"/>
              <w:left w:val="nil"/>
              <w:bottom w:val="single" w:sz="4" w:space="0" w:color="000000"/>
              <w:right w:val="nil"/>
            </w:tcBorders>
            <w:shd w:val="clear" w:color="auto" w:fill="auto"/>
            <w:vAlign w:val="center"/>
            <w:hideMark/>
          </w:tcPr>
          <w:p w14:paraId="76E1BC58"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v tis. eur</w:t>
            </w:r>
          </w:p>
        </w:tc>
        <w:tc>
          <w:tcPr>
            <w:tcW w:w="1449" w:type="dxa"/>
            <w:tcBorders>
              <w:top w:val="single" w:sz="4" w:space="0" w:color="auto"/>
              <w:left w:val="nil"/>
              <w:bottom w:val="nil"/>
              <w:right w:val="nil"/>
            </w:tcBorders>
            <w:shd w:val="clear" w:color="auto" w:fill="auto"/>
            <w:noWrap/>
            <w:vAlign w:val="center"/>
            <w:hideMark/>
          </w:tcPr>
          <w:p w14:paraId="4D0377AD" w14:textId="77777777" w:rsidR="003A0696" w:rsidRPr="00EA66A4" w:rsidRDefault="003A0696" w:rsidP="003A0696">
            <w:pPr>
              <w:spacing w:after="0" w:line="240" w:lineRule="auto"/>
              <w:jc w:val="center"/>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 xml:space="preserve">     2022</w:t>
            </w:r>
          </w:p>
        </w:tc>
        <w:tc>
          <w:tcPr>
            <w:tcW w:w="1191" w:type="dxa"/>
            <w:tcBorders>
              <w:top w:val="single" w:sz="4" w:space="0" w:color="auto"/>
              <w:left w:val="nil"/>
              <w:bottom w:val="nil"/>
              <w:right w:val="nil"/>
            </w:tcBorders>
            <w:shd w:val="clear" w:color="auto" w:fill="auto"/>
            <w:noWrap/>
            <w:vAlign w:val="center"/>
            <w:hideMark/>
          </w:tcPr>
          <w:p w14:paraId="1912FD7E" w14:textId="77777777" w:rsidR="003A0696" w:rsidRPr="00EA66A4" w:rsidRDefault="003A0696" w:rsidP="003A0696">
            <w:pPr>
              <w:spacing w:after="0" w:line="240" w:lineRule="auto"/>
              <w:jc w:val="center"/>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 xml:space="preserve">      Rozdiel</w:t>
            </w:r>
          </w:p>
        </w:tc>
      </w:tr>
      <w:tr w:rsidR="003A0696" w:rsidRPr="00EA66A4" w14:paraId="0873222F" w14:textId="77777777" w:rsidTr="003A0696">
        <w:trPr>
          <w:trHeight w:val="57"/>
          <w:tblHeader/>
        </w:trPr>
        <w:tc>
          <w:tcPr>
            <w:tcW w:w="6439" w:type="dxa"/>
            <w:vMerge/>
            <w:tcBorders>
              <w:top w:val="single" w:sz="4" w:space="0" w:color="auto"/>
              <w:left w:val="nil"/>
              <w:bottom w:val="single" w:sz="4" w:space="0" w:color="000000"/>
              <w:right w:val="nil"/>
            </w:tcBorders>
            <w:vAlign w:val="center"/>
            <w:hideMark/>
          </w:tcPr>
          <w:p w14:paraId="20E8A630"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p>
        </w:tc>
        <w:tc>
          <w:tcPr>
            <w:tcW w:w="1449" w:type="dxa"/>
            <w:tcBorders>
              <w:top w:val="nil"/>
              <w:left w:val="nil"/>
              <w:bottom w:val="single" w:sz="4" w:space="0" w:color="auto"/>
              <w:right w:val="nil"/>
            </w:tcBorders>
            <w:shd w:val="clear" w:color="auto" w:fill="auto"/>
            <w:noWrap/>
            <w:vAlign w:val="center"/>
            <w:hideMark/>
          </w:tcPr>
          <w:p w14:paraId="183C38AF" w14:textId="77777777" w:rsidR="003A0696" w:rsidRPr="00EA66A4" w:rsidRDefault="003A0696" w:rsidP="003A0696">
            <w:pPr>
              <w:spacing w:after="0" w:line="240" w:lineRule="auto"/>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 xml:space="preserve">         S - NR</w:t>
            </w:r>
            <w:r w:rsidRPr="00EA66A4">
              <w:rPr>
                <w:rFonts w:eastAsia="Times New Roman" w:cs="Times New Roman"/>
                <w:b/>
                <w:bCs/>
                <w:color w:val="000000"/>
                <w:sz w:val="18"/>
                <w:szCs w:val="18"/>
                <w:vertAlign w:val="superscript"/>
                <w:lang w:eastAsia="sk-SK"/>
              </w:rPr>
              <w:t>1)</w:t>
            </w:r>
          </w:p>
        </w:tc>
        <w:tc>
          <w:tcPr>
            <w:tcW w:w="1191" w:type="dxa"/>
            <w:tcBorders>
              <w:top w:val="nil"/>
              <w:left w:val="nil"/>
              <w:bottom w:val="single" w:sz="4" w:space="0" w:color="auto"/>
              <w:right w:val="nil"/>
            </w:tcBorders>
            <w:shd w:val="clear" w:color="auto" w:fill="auto"/>
            <w:noWrap/>
            <w:vAlign w:val="center"/>
            <w:hideMark/>
          </w:tcPr>
          <w:p w14:paraId="595762B8" w14:textId="77777777" w:rsidR="003A0696" w:rsidRPr="00EA66A4" w:rsidRDefault="003A0696" w:rsidP="003A0696">
            <w:pPr>
              <w:spacing w:after="0" w:line="240" w:lineRule="auto"/>
              <w:jc w:val="center"/>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 xml:space="preserve">    (% HDP)</w:t>
            </w:r>
          </w:p>
        </w:tc>
      </w:tr>
      <w:tr w:rsidR="003A0696" w:rsidRPr="00EA66A4" w14:paraId="63E1ECFD" w14:textId="77777777" w:rsidTr="003A0696">
        <w:trPr>
          <w:trHeight w:val="254"/>
        </w:trPr>
        <w:tc>
          <w:tcPr>
            <w:tcW w:w="6439" w:type="dxa"/>
            <w:tcBorders>
              <w:top w:val="nil"/>
              <w:left w:val="nil"/>
              <w:bottom w:val="nil"/>
              <w:right w:val="nil"/>
            </w:tcBorders>
            <w:shd w:val="clear" w:color="auto" w:fill="auto"/>
            <w:vAlign w:val="center"/>
            <w:hideMark/>
          </w:tcPr>
          <w:p w14:paraId="43F329C9"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 xml:space="preserve">Saldo verejnej správy - rozpočet </w:t>
            </w:r>
          </w:p>
        </w:tc>
        <w:tc>
          <w:tcPr>
            <w:tcW w:w="1449" w:type="dxa"/>
            <w:tcBorders>
              <w:top w:val="nil"/>
              <w:left w:val="nil"/>
              <w:bottom w:val="nil"/>
              <w:right w:val="nil"/>
            </w:tcBorders>
            <w:shd w:val="clear" w:color="auto" w:fill="auto"/>
            <w:noWrap/>
            <w:vAlign w:val="center"/>
            <w:hideMark/>
          </w:tcPr>
          <w:p w14:paraId="6296CD26" w14:textId="77777777" w:rsidR="003A0696" w:rsidRPr="00EA66A4" w:rsidRDefault="003A0696" w:rsidP="003A0696">
            <w:pPr>
              <w:spacing w:after="0" w:line="240" w:lineRule="auto"/>
              <w:jc w:val="righ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-5 666 683</w:t>
            </w:r>
          </w:p>
        </w:tc>
        <w:tc>
          <w:tcPr>
            <w:tcW w:w="1191" w:type="dxa"/>
            <w:tcBorders>
              <w:top w:val="nil"/>
              <w:left w:val="nil"/>
              <w:bottom w:val="nil"/>
              <w:right w:val="nil"/>
            </w:tcBorders>
            <w:shd w:val="clear" w:color="auto" w:fill="auto"/>
            <w:noWrap/>
            <w:vAlign w:val="center"/>
            <w:hideMark/>
          </w:tcPr>
          <w:p w14:paraId="4E490F6F" w14:textId="77777777" w:rsidR="003A0696" w:rsidRPr="00EA66A4" w:rsidRDefault="003A0696" w:rsidP="003A0696">
            <w:pPr>
              <w:spacing w:after="0" w:line="240" w:lineRule="auto"/>
              <w:jc w:val="right"/>
              <w:rPr>
                <w:rFonts w:eastAsia="Times New Roman" w:cs="Times New Roman"/>
                <w:b/>
                <w:color w:val="000000"/>
                <w:sz w:val="18"/>
                <w:szCs w:val="18"/>
                <w:lang w:eastAsia="sk-SK"/>
              </w:rPr>
            </w:pPr>
            <w:r w:rsidRPr="00EA66A4">
              <w:rPr>
                <w:rFonts w:eastAsia="Times New Roman" w:cs="Times New Roman"/>
                <w:b/>
                <w:color w:val="000000"/>
                <w:sz w:val="18"/>
                <w:szCs w:val="18"/>
                <w:lang w:eastAsia="sk-SK"/>
              </w:rPr>
              <w:t>-5,22</w:t>
            </w:r>
          </w:p>
        </w:tc>
      </w:tr>
      <w:tr w:rsidR="003A0696" w:rsidRPr="00EA66A4" w14:paraId="3D0A1049" w14:textId="77777777" w:rsidTr="003A0696">
        <w:trPr>
          <w:trHeight w:val="254"/>
        </w:trPr>
        <w:tc>
          <w:tcPr>
            <w:tcW w:w="6439" w:type="dxa"/>
            <w:tcBorders>
              <w:top w:val="nil"/>
              <w:left w:val="nil"/>
              <w:bottom w:val="nil"/>
              <w:right w:val="nil"/>
            </w:tcBorders>
            <w:shd w:val="clear" w:color="auto" w:fill="auto"/>
            <w:vAlign w:val="center"/>
            <w:hideMark/>
          </w:tcPr>
          <w:p w14:paraId="6D4D93AD"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1. Daňové a odvodové príjmy verejnej správy</w:t>
            </w:r>
          </w:p>
        </w:tc>
        <w:tc>
          <w:tcPr>
            <w:tcW w:w="1449" w:type="dxa"/>
            <w:tcBorders>
              <w:top w:val="nil"/>
              <w:left w:val="nil"/>
              <w:bottom w:val="nil"/>
              <w:right w:val="nil"/>
            </w:tcBorders>
            <w:shd w:val="clear" w:color="auto" w:fill="auto"/>
            <w:noWrap/>
            <w:vAlign w:val="center"/>
            <w:hideMark/>
          </w:tcPr>
          <w:p w14:paraId="54275805" w14:textId="77777777" w:rsidR="003A0696" w:rsidRPr="00EA66A4" w:rsidRDefault="003A0696" w:rsidP="003A0696">
            <w:pPr>
              <w:spacing w:after="0" w:line="240" w:lineRule="auto"/>
              <w:jc w:val="right"/>
              <w:rPr>
                <w:rFonts w:eastAsia="Times New Roman" w:cs="Times New Roman"/>
                <w:b/>
                <w:bCs/>
                <w:i/>
                <w:iCs/>
                <w:color w:val="000000"/>
                <w:sz w:val="18"/>
                <w:szCs w:val="18"/>
                <w:lang w:eastAsia="sk-SK"/>
              </w:rPr>
            </w:pPr>
            <w:r w:rsidRPr="00EA66A4">
              <w:rPr>
                <w:rFonts w:eastAsia="Times New Roman" w:cs="Times New Roman"/>
                <w:b/>
                <w:bCs/>
                <w:i/>
                <w:iCs/>
                <w:color w:val="000000"/>
                <w:sz w:val="18"/>
                <w:szCs w:val="18"/>
                <w:lang w:eastAsia="sk-SK"/>
              </w:rPr>
              <w:t>1 079 359</w:t>
            </w:r>
          </w:p>
        </w:tc>
        <w:tc>
          <w:tcPr>
            <w:tcW w:w="1191" w:type="dxa"/>
            <w:tcBorders>
              <w:top w:val="nil"/>
              <w:left w:val="nil"/>
              <w:bottom w:val="nil"/>
              <w:right w:val="nil"/>
            </w:tcBorders>
            <w:shd w:val="clear" w:color="auto" w:fill="auto"/>
            <w:noWrap/>
            <w:vAlign w:val="center"/>
            <w:hideMark/>
          </w:tcPr>
          <w:p w14:paraId="0468A18B"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0,98</w:t>
            </w:r>
          </w:p>
        </w:tc>
      </w:tr>
      <w:tr w:rsidR="003A0696" w:rsidRPr="00EA66A4" w14:paraId="5A0195B3" w14:textId="77777777" w:rsidTr="003A0696">
        <w:trPr>
          <w:trHeight w:val="254"/>
        </w:trPr>
        <w:tc>
          <w:tcPr>
            <w:tcW w:w="6439" w:type="dxa"/>
            <w:tcBorders>
              <w:top w:val="nil"/>
              <w:left w:val="nil"/>
              <w:bottom w:val="nil"/>
              <w:right w:val="nil"/>
            </w:tcBorders>
            <w:shd w:val="clear" w:color="auto" w:fill="auto"/>
            <w:vAlign w:val="center"/>
            <w:hideMark/>
          </w:tcPr>
          <w:p w14:paraId="461FA29A"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daňové príjmy</w:t>
            </w:r>
          </w:p>
        </w:tc>
        <w:tc>
          <w:tcPr>
            <w:tcW w:w="1449" w:type="dxa"/>
            <w:tcBorders>
              <w:top w:val="nil"/>
              <w:left w:val="nil"/>
              <w:bottom w:val="nil"/>
              <w:right w:val="nil"/>
            </w:tcBorders>
            <w:shd w:val="clear" w:color="auto" w:fill="auto"/>
            <w:noWrap/>
            <w:vAlign w:val="center"/>
            <w:hideMark/>
          </w:tcPr>
          <w:p w14:paraId="46ADBEDE"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370 098</w:t>
            </w:r>
          </w:p>
        </w:tc>
        <w:tc>
          <w:tcPr>
            <w:tcW w:w="1191" w:type="dxa"/>
            <w:tcBorders>
              <w:top w:val="nil"/>
              <w:left w:val="nil"/>
              <w:bottom w:val="nil"/>
              <w:right w:val="nil"/>
            </w:tcBorders>
            <w:shd w:val="clear" w:color="auto" w:fill="auto"/>
            <w:noWrap/>
            <w:vAlign w:val="center"/>
            <w:hideMark/>
          </w:tcPr>
          <w:p w14:paraId="12802B16"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0,34</w:t>
            </w:r>
          </w:p>
        </w:tc>
      </w:tr>
      <w:tr w:rsidR="003A0696" w:rsidRPr="00EA66A4" w14:paraId="05E6887F" w14:textId="77777777" w:rsidTr="003A0696">
        <w:trPr>
          <w:trHeight w:val="254"/>
        </w:trPr>
        <w:tc>
          <w:tcPr>
            <w:tcW w:w="6439" w:type="dxa"/>
            <w:tcBorders>
              <w:top w:val="nil"/>
              <w:left w:val="nil"/>
              <w:bottom w:val="nil"/>
              <w:right w:val="nil"/>
            </w:tcBorders>
            <w:shd w:val="clear" w:color="auto" w:fill="auto"/>
            <w:vAlign w:val="center"/>
            <w:hideMark/>
          </w:tcPr>
          <w:p w14:paraId="09D8E266"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z toho: </w:t>
            </w:r>
            <w:proofErr w:type="spellStart"/>
            <w:r w:rsidRPr="00EA66A4">
              <w:rPr>
                <w:rFonts w:eastAsia="Times New Roman" w:cs="Times New Roman"/>
                <w:color w:val="000000"/>
                <w:sz w:val="18"/>
                <w:szCs w:val="18"/>
                <w:lang w:eastAsia="sk-SK"/>
              </w:rPr>
              <w:t>imputácia</w:t>
            </w:r>
            <w:proofErr w:type="spellEnd"/>
            <w:r w:rsidRPr="00EA66A4">
              <w:rPr>
                <w:rFonts w:eastAsia="Times New Roman" w:cs="Times New Roman"/>
                <w:color w:val="000000"/>
                <w:sz w:val="18"/>
                <w:szCs w:val="18"/>
                <w:lang w:eastAsia="sk-SK"/>
              </w:rPr>
              <w:t xml:space="preserve"> daňových príjmov za zelenú energiu</w:t>
            </w:r>
          </w:p>
        </w:tc>
        <w:tc>
          <w:tcPr>
            <w:tcW w:w="1449" w:type="dxa"/>
            <w:tcBorders>
              <w:top w:val="nil"/>
              <w:left w:val="nil"/>
              <w:bottom w:val="nil"/>
              <w:right w:val="nil"/>
            </w:tcBorders>
            <w:shd w:val="clear" w:color="auto" w:fill="auto"/>
            <w:noWrap/>
            <w:vAlign w:val="center"/>
            <w:hideMark/>
          </w:tcPr>
          <w:p w14:paraId="60722BE2"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-122 231</w:t>
            </w:r>
          </w:p>
        </w:tc>
        <w:tc>
          <w:tcPr>
            <w:tcW w:w="1191" w:type="dxa"/>
            <w:tcBorders>
              <w:top w:val="nil"/>
              <w:left w:val="nil"/>
              <w:bottom w:val="nil"/>
              <w:right w:val="nil"/>
            </w:tcBorders>
            <w:shd w:val="clear" w:color="auto" w:fill="auto"/>
            <w:noWrap/>
            <w:vAlign w:val="center"/>
            <w:hideMark/>
          </w:tcPr>
          <w:p w14:paraId="170A6C39"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-0,11</w:t>
            </w:r>
          </w:p>
        </w:tc>
      </w:tr>
      <w:tr w:rsidR="003A0696" w:rsidRPr="00EA66A4" w14:paraId="6407A79F" w14:textId="77777777" w:rsidTr="003A0696">
        <w:trPr>
          <w:trHeight w:val="254"/>
        </w:trPr>
        <w:tc>
          <w:tcPr>
            <w:tcW w:w="6439" w:type="dxa"/>
            <w:tcBorders>
              <w:top w:val="nil"/>
              <w:left w:val="nil"/>
              <w:bottom w:val="nil"/>
              <w:right w:val="nil"/>
            </w:tcBorders>
            <w:shd w:val="clear" w:color="auto" w:fill="auto"/>
            <w:vAlign w:val="center"/>
            <w:hideMark/>
          </w:tcPr>
          <w:p w14:paraId="780F360B"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odvodové príjmy</w:t>
            </w:r>
          </w:p>
        </w:tc>
        <w:tc>
          <w:tcPr>
            <w:tcW w:w="1449" w:type="dxa"/>
            <w:tcBorders>
              <w:top w:val="nil"/>
              <w:left w:val="nil"/>
              <w:bottom w:val="nil"/>
              <w:right w:val="nil"/>
            </w:tcBorders>
            <w:shd w:val="clear" w:color="auto" w:fill="auto"/>
            <w:noWrap/>
            <w:vAlign w:val="center"/>
            <w:hideMark/>
          </w:tcPr>
          <w:p w14:paraId="7A992FE4" w14:textId="77777777" w:rsidR="003A0696" w:rsidRPr="00EA66A4" w:rsidRDefault="003A0696" w:rsidP="003A0696">
            <w:pPr>
              <w:spacing w:after="0" w:line="240" w:lineRule="auto"/>
              <w:jc w:val="right"/>
              <w:rPr>
                <w:rFonts w:eastAsia="Times New Roman" w:cs="Times New Roman"/>
                <w:sz w:val="18"/>
                <w:szCs w:val="18"/>
                <w:lang w:eastAsia="sk-SK"/>
              </w:rPr>
            </w:pPr>
            <w:r w:rsidRPr="00EA66A4">
              <w:rPr>
                <w:rFonts w:eastAsia="Times New Roman" w:cs="Times New Roman"/>
                <w:sz w:val="18"/>
                <w:szCs w:val="18"/>
                <w:lang w:eastAsia="sk-SK"/>
              </w:rPr>
              <w:t>709 261</w:t>
            </w:r>
          </w:p>
        </w:tc>
        <w:tc>
          <w:tcPr>
            <w:tcW w:w="1191" w:type="dxa"/>
            <w:tcBorders>
              <w:top w:val="nil"/>
              <w:left w:val="nil"/>
              <w:bottom w:val="nil"/>
              <w:right w:val="nil"/>
            </w:tcBorders>
            <w:shd w:val="clear" w:color="auto" w:fill="auto"/>
            <w:noWrap/>
            <w:vAlign w:val="center"/>
            <w:hideMark/>
          </w:tcPr>
          <w:p w14:paraId="61CF2D3F"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0,65</w:t>
            </w:r>
          </w:p>
        </w:tc>
      </w:tr>
      <w:tr w:rsidR="003A0696" w:rsidRPr="00EA66A4" w14:paraId="7A5C8EBC" w14:textId="77777777" w:rsidTr="003A0696">
        <w:trPr>
          <w:trHeight w:val="254"/>
        </w:trPr>
        <w:tc>
          <w:tcPr>
            <w:tcW w:w="6439" w:type="dxa"/>
            <w:tcBorders>
              <w:top w:val="nil"/>
              <w:left w:val="nil"/>
              <w:bottom w:val="nil"/>
              <w:right w:val="nil"/>
            </w:tcBorders>
            <w:shd w:val="clear" w:color="auto" w:fill="auto"/>
            <w:vAlign w:val="center"/>
            <w:hideMark/>
          </w:tcPr>
          <w:p w14:paraId="14B66185"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2. Vplyv iných ako daňových príjmov štátneho rozpočtu</w:t>
            </w:r>
          </w:p>
        </w:tc>
        <w:tc>
          <w:tcPr>
            <w:tcW w:w="1449" w:type="dxa"/>
            <w:tcBorders>
              <w:top w:val="nil"/>
              <w:left w:val="nil"/>
              <w:bottom w:val="nil"/>
              <w:right w:val="nil"/>
            </w:tcBorders>
            <w:shd w:val="clear" w:color="auto" w:fill="auto"/>
            <w:noWrap/>
            <w:vAlign w:val="center"/>
            <w:hideMark/>
          </w:tcPr>
          <w:p w14:paraId="33C7EE3A" w14:textId="77777777" w:rsidR="003A0696" w:rsidRPr="00EA66A4" w:rsidRDefault="003A0696" w:rsidP="003A0696">
            <w:pPr>
              <w:spacing w:after="0" w:line="240" w:lineRule="auto"/>
              <w:jc w:val="right"/>
              <w:rPr>
                <w:rFonts w:eastAsia="Times New Roman" w:cs="Times New Roman"/>
                <w:b/>
                <w:bCs/>
                <w:i/>
                <w:iCs/>
                <w:color w:val="000000"/>
                <w:sz w:val="18"/>
                <w:szCs w:val="18"/>
                <w:lang w:eastAsia="sk-SK"/>
              </w:rPr>
            </w:pPr>
            <w:r w:rsidRPr="00EA66A4">
              <w:rPr>
                <w:rFonts w:eastAsia="Times New Roman" w:cs="Times New Roman"/>
                <w:b/>
                <w:bCs/>
                <w:i/>
                <w:iCs/>
                <w:color w:val="000000"/>
                <w:sz w:val="18"/>
                <w:szCs w:val="18"/>
                <w:lang w:eastAsia="sk-SK"/>
              </w:rPr>
              <w:t>-460 379</w:t>
            </w:r>
          </w:p>
        </w:tc>
        <w:tc>
          <w:tcPr>
            <w:tcW w:w="1191" w:type="dxa"/>
            <w:tcBorders>
              <w:top w:val="nil"/>
              <w:left w:val="nil"/>
              <w:bottom w:val="nil"/>
              <w:right w:val="nil"/>
            </w:tcBorders>
            <w:shd w:val="clear" w:color="auto" w:fill="auto"/>
            <w:noWrap/>
            <w:vAlign w:val="center"/>
            <w:hideMark/>
          </w:tcPr>
          <w:p w14:paraId="180B08C8" w14:textId="77777777" w:rsidR="003A0696" w:rsidRPr="00EA66A4" w:rsidRDefault="003A0696" w:rsidP="003A0696">
            <w:pPr>
              <w:spacing w:after="0" w:line="240" w:lineRule="auto"/>
              <w:jc w:val="right"/>
              <w:rPr>
                <w:rFonts w:eastAsia="Times New Roman" w:cs="Times New Roman"/>
                <w:b/>
                <w:color w:val="000000"/>
                <w:sz w:val="18"/>
                <w:szCs w:val="18"/>
                <w:lang w:eastAsia="sk-SK"/>
              </w:rPr>
            </w:pPr>
            <w:r w:rsidRPr="00EA66A4">
              <w:rPr>
                <w:rFonts w:eastAsia="Times New Roman" w:cs="Times New Roman"/>
                <w:b/>
                <w:color w:val="000000"/>
                <w:sz w:val="18"/>
                <w:szCs w:val="18"/>
                <w:lang w:eastAsia="sk-SK"/>
              </w:rPr>
              <w:t>-0,42</w:t>
            </w:r>
          </w:p>
        </w:tc>
      </w:tr>
      <w:tr w:rsidR="003A0696" w:rsidRPr="00EA66A4" w14:paraId="1CD19F5E" w14:textId="77777777" w:rsidTr="003A0696">
        <w:trPr>
          <w:trHeight w:val="254"/>
        </w:trPr>
        <w:tc>
          <w:tcPr>
            <w:tcW w:w="6439" w:type="dxa"/>
            <w:tcBorders>
              <w:top w:val="nil"/>
              <w:left w:val="nil"/>
              <w:bottom w:val="nil"/>
              <w:right w:val="nil"/>
            </w:tcBorders>
            <w:shd w:val="clear" w:color="auto" w:fill="auto"/>
            <w:vAlign w:val="center"/>
            <w:hideMark/>
          </w:tcPr>
          <w:p w14:paraId="4BDCB756"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príjmy z dividend a z odvodov zo zisku (vrátane časového rozlíšenia    </w:t>
            </w:r>
          </w:p>
          <w:p w14:paraId="6D722D97"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lastRenderedPageBreak/>
              <w:t xml:space="preserve">       a po vylúčení </w:t>
            </w:r>
            <w:proofErr w:type="spellStart"/>
            <w:r w:rsidRPr="00EA66A4">
              <w:rPr>
                <w:rFonts w:eastAsia="Times New Roman" w:cs="Times New Roman"/>
                <w:color w:val="000000"/>
                <w:sz w:val="18"/>
                <w:szCs w:val="18"/>
                <w:lang w:eastAsia="sk-SK"/>
              </w:rPr>
              <w:t>superdividend</w:t>
            </w:r>
            <w:proofErr w:type="spellEnd"/>
            <w:r w:rsidRPr="00EA66A4">
              <w:rPr>
                <w:rFonts w:eastAsia="Times New Roman" w:cs="Times New Roman"/>
                <w:color w:val="000000"/>
                <w:sz w:val="18"/>
                <w:szCs w:val="18"/>
                <w:lang w:eastAsia="sk-SK"/>
              </w:rPr>
              <w:t>)</w:t>
            </w:r>
          </w:p>
        </w:tc>
        <w:tc>
          <w:tcPr>
            <w:tcW w:w="1449" w:type="dxa"/>
            <w:tcBorders>
              <w:top w:val="nil"/>
              <w:left w:val="nil"/>
              <w:bottom w:val="nil"/>
              <w:right w:val="nil"/>
            </w:tcBorders>
            <w:shd w:val="clear" w:color="auto" w:fill="auto"/>
            <w:noWrap/>
            <w:vAlign w:val="center"/>
            <w:hideMark/>
          </w:tcPr>
          <w:p w14:paraId="504BE168"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lastRenderedPageBreak/>
              <w:t>40 459</w:t>
            </w:r>
          </w:p>
        </w:tc>
        <w:tc>
          <w:tcPr>
            <w:tcW w:w="1191" w:type="dxa"/>
            <w:tcBorders>
              <w:top w:val="nil"/>
              <w:left w:val="nil"/>
              <w:bottom w:val="nil"/>
              <w:right w:val="nil"/>
            </w:tcBorders>
            <w:shd w:val="clear" w:color="auto" w:fill="auto"/>
            <w:noWrap/>
            <w:vAlign w:val="center"/>
            <w:hideMark/>
          </w:tcPr>
          <w:p w14:paraId="0A132DD3"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0,04</w:t>
            </w:r>
          </w:p>
        </w:tc>
      </w:tr>
      <w:tr w:rsidR="003A0696" w:rsidRPr="00EA66A4" w14:paraId="7F5736C7" w14:textId="77777777" w:rsidTr="003A0696">
        <w:trPr>
          <w:trHeight w:val="254"/>
        </w:trPr>
        <w:tc>
          <w:tcPr>
            <w:tcW w:w="6439" w:type="dxa"/>
            <w:tcBorders>
              <w:top w:val="nil"/>
              <w:left w:val="nil"/>
              <w:bottom w:val="nil"/>
              <w:right w:val="nil"/>
            </w:tcBorders>
            <w:shd w:val="clear" w:color="auto" w:fill="auto"/>
            <w:vAlign w:val="center"/>
            <w:hideMark/>
          </w:tcPr>
          <w:p w14:paraId="30DB96F7"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zmena stavu pohľadávok po vylúčení preddavkov na </w:t>
            </w:r>
            <w:proofErr w:type="spellStart"/>
            <w:r w:rsidRPr="00EA66A4">
              <w:rPr>
                <w:rFonts w:eastAsia="Times New Roman" w:cs="Times New Roman"/>
                <w:color w:val="000000"/>
                <w:sz w:val="18"/>
                <w:szCs w:val="18"/>
                <w:lang w:eastAsia="sk-SK"/>
              </w:rPr>
              <w:t>vojen.techniku</w:t>
            </w:r>
            <w:proofErr w:type="spellEnd"/>
          </w:p>
        </w:tc>
        <w:tc>
          <w:tcPr>
            <w:tcW w:w="1449" w:type="dxa"/>
            <w:tcBorders>
              <w:top w:val="nil"/>
              <w:left w:val="nil"/>
              <w:bottom w:val="nil"/>
              <w:right w:val="nil"/>
            </w:tcBorders>
            <w:shd w:val="clear" w:color="auto" w:fill="auto"/>
            <w:noWrap/>
            <w:vAlign w:val="center"/>
            <w:hideMark/>
          </w:tcPr>
          <w:p w14:paraId="733B55F2"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42 524</w:t>
            </w:r>
          </w:p>
        </w:tc>
        <w:tc>
          <w:tcPr>
            <w:tcW w:w="1191" w:type="dxa"/>
            <w:tcBorders>
              <w:top w:val="nil"/>
              <w:left w:val="nil"/>
              <w:bottom w:val="nil"/>
              <w:right w:val="nil"/>
            </w:tcBorders>
            <w:shd w:val="clear" w:color="auto" w:fill="auto"/>
            <w:noWrap/>
            <w:vAlign w:val="center"/>
            <w:hideMark/>
          </w:tcPr>
          <w:p w14:paraId="465D2B69"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0,04</w:t>
            </w:r>
          </w:p>
        </w:tc>
      </w:tr>
      <w:tr w:rsidR="003A0696" w:rsidRPr="00EA66A4" w14:paraId="65F8F938" w14:textId="77777777" w:rsidTr="003A0696">
        <w:trPr>
          <w:trHeight w:val="254"/>
        </w:trPr>
        <w:tc>
          <w:tcPr>
            <w:tcW w:w="6439" w:type="dxa"/>
            <w:tcBorders>
              <w:top w:val="nil"/>
              <w:left w:val="nil"/>
              <w:bottom w:val="nil"/>
              <w:right w:val="nil"/>
            </w:tcBorders>
            <w:shd w:val="clear" w:color="auto" w:fill="auto"/>
            <w:vAlign w:val="center"/>
            <w:hideMark/>
          </w:tcPr>
          <w:p w14:paraId="4FDD761D"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EÚ príjmy po vylúčení EÚ tokov mimo sektor</w:t>
            </w:r>
          </w:p>
        </w:tc>
        <w:tc>
          <w:tcPr>
            <w:tcW w:w="1449" w:type="dxa"/>
            <w:tcBorders>
              <w:top w:val="nil"/>
              <w:left w:val="nil"/>
              <w:bottom w:val="nil"/>
              <w:right w:val="nil"/>
            </w:tcBorders>
            <w:shd w:val="clear" w:color="auto" w:fill="auto"/>
            <w:noWrap/>
            <w:vAlign w:val="center"/>
            <w:hideMark/>
          </w:tcPr>
          <w:p w14:paraId="7E092041"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-900 319</w:t>
            </w:r>
          </w:p>
        </w:tc>
        <w:tc>
          <w:tcPr>
            <w:tcW w:w="1191" w:type="dxa"/>
            <w:tcBorders>
              <w:top w:val="nil"/>
              <w:left w:val="nil"/>
              <w:bottom w:val="nil"/>
              <w:right w:val="nil"/>
            </w:tcBorders>
            <w:shd w:val="clear" w:color="auto" w:fill="auto"/>
            <w:noWrap/>
            <w:vAlign w:val="center"/>
            <w:hideMark/>
          </w:tcPr>
          <w:p w14:paraId="3F276921"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-0,82</w:t>
            </w:r>
          </w:p>
        </w:tc>
      </w:tr>
      <w:tr w:rsidR="003A0696" w:rsidRPr="00EA66A4" w14:paraId="5454711A" w14:textId="77777777" w:rsidTr="003A0696">
        <w:trPr>
          <w:trHeight w:val="254"/>
        </w:trPr>
        <w:tc>
          <w:tcPr>
            <w:tcW w:w="6439" w:type="dxa"/>
            <w:tcBorders>
              <w:top w:val="nil"/>
              <w:left w:val="nil"/>
              <w:bottom w:val="nil"/>
              <w:right w:val="nil"/>
            </w:tcBorders>
            <w:shd w:val="clear" w:color="auto" w:fill="auto"/>
            <w:vAlign w:val="center"/>
            <w:hideMark/>
          </w:tcPr>
          <w:p w14:paraId="1B7DB835"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UMTS Licencie</w:t>
            </w:r>
          </w:p>
        </w:tc>
        <w:tc>
          <w:tcPr>
            <w:tcW w:w="1449" w:type="dxa"/>
            <w:tcBorders>
              <w:top w:val="nil"/>
              <w:left w:val="nil"/>
              <w:bottom w:val="nil"/>
              <w:right w:val="nil"/>
            </w:tcBorders>
            <w:shd w:val="clear" w:color="auto" w:fill="auto"/>
            <w:noWrap/>
            <w:vAlign w:val="center"/>
            <w:hideMark/>
          </w:tcPr>
          <w:p w14:paraId="41107B15"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w:t>
            </w:r>
            <w:r>
              <w:rPr>
                <w:rFonts w:eastAsia="Times New Roman" w:cs="Times New Roman"/>
                <w:color w:val="000000"/>
                <w:sz w:val="18"/>
                <w:szCs w:val="18"/>
                <w:lang w:eastAsia="sk-SK"/>
              </w:rPr>
              <w:t>17 195</w:t>
            </w:r>
          </w:p>
        </w:tc>
        <w:tc>
          <w:tcPr>
            <w:tcW w:w="1191" w:type="dxa"/>
            <w:tcBorders>
              <w:top w:val="nil"/>
              <w:left w:val="nil"/>
              <w:bottom w:val="nil"/>
              <w:right w:val="nil"/>
            </w:tcBorders>
            <w:shd w:val="clear" w:color="auto" w:fill="auto"/>
            <w:noWrap/>
            <w:vAlign w:val="center"/>
            <w:hideMark/>
          </w:tcPr>
          <w:p w14:paraId="304EA674"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w:t>
            </w:r>
            <w:r>
              <w:rPr>
                <w:rFonts w:eastAsia="Times New Roman" w:cs="Times New Roman"/>
                <w:color w:val="000000"/>
                <w:sz w:val="18"/>
                <w:szCs w:val="18"/>
                <w:lang w:eastAsia="sk-SK"/>
              </w:rPr>
              <w:t>02</w:t>
            </w:r>
          </w:p>
        </w:tc>
      </w:tr>
      <w:tr w:rsidR="003A0696" w:rsidRPr="00EA66A4" w14:paraId="2925A31C" w14:textId="77777777" w:rsidTr="003A0696">
        <w:trPr>
          <w:trHeight w:val="254"/>
        </w:trPr>
        <w:tc>
          <w:tcPr>
            <w:tcW w:w="6439" w:type="dxa"/>
            <w:tcBorders>
              <w:top w:val="nil"/>
              <w:left w:val="nil"/>
              <w:bottom w:val="nil"/>
              <w:right w:val="nil"/>
            </w:tcBorders>
            <w:shd w:val="clear" w:color="auto" w:fill="auto"/>
            <w:vAlign w:val="center"/>
            <w:hideMark/>
          </w:tcPr>
          <w:p w14:paraId="4683DECB"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iné nedaňové príjmy bez EÚ  zdrojov</w:t>
            </w:r>
          </w:p>
        </w:tc>
        <w:tc>
          <w:tcPr>
            <w:tcW w:w="1449" w:type="dxa"/>
            <w:tcBorders>
              <w:top w:val="nil"/>
              <w:left w:val="nil"/>
              <w:bottom w:val="nil"/>
              <w:right w:val="nil"/>
            </w:tcBorders>
            <w:shd w:val="clear" w:color="auto" w:fill="auto"/>
            <w:noWrap/>
            <w:vAlign w:val="center"/>
            <w:hideMark/>
          </w:tcPr>
          <w:p w14:paraId="4C06DE3F"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251 724</w:t>
            </w:r>
          </w:p>
        </w:tc>
        <w:tc>
          <w:tcPr>
            <w:tcW w:w="1191" w:type="dxa"/>
            <w:tcBorders>
              <w:top w:val="nil"/>
              <w:left w:val="nil"/>
              <w:bottom w:val="nil"/>
              <w:right w:val="nil"/>
            </w:tcBorders>
            <w:shd w:val="clear" w:color="auto" w:fill="auto"/>
            <w:noWrap/>
            <w:vAlign w:val="center"/>
            <w:hideMark/>
          </w:tcPr>
          <w:p w14:paraId="3E89022F"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0,23</w:t>
            </w:r>
          </w:p>
        </w:tc>
      </w:tr>
      <w:tr w:rsidR="003A0696" w:rsidRPr="00EA66A4" w14:paraId="106A4E67" w14:textId="77777777" w:rsidTr="003A0696">
        <w:trPr>
          <w:trHeight w:val="254"/>
        </w:trPr>
        <w:tc>
          <w:tcPr>
            <w:tcW w:w="6439" w:type="dxa"/>
            <w:tcBorders>
              <w:top w:val="nil"/>
              <w:left w:val="nil"/>
              <w:bottom w:val="nil"/>
              <w:right w:val="nil"/>
            </w:tcBorders>
            <w:shd w:val="clear" w:color="auto" w:fill="auto"/>
            <w:vAlign w:val="center"/>
            <w:hideMark/>
          </w:tcPr>
          <w:p w14:paraId="23EF4170"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ostatné</w:t>
            </w:r>
          </w:p>
        </w:tc>
        <w:tc>
          <w:tcPr>
            <w:tcW w:w="1449" w:type="dxa"/>
            <w:tcBorders>
              <w:top w:val="nil"/>
              <w:left w:val="nil"/>
              <w:bottom w:val="nil"/>
              <w:right w:val="nil"/>
            </w:tcBorders>
            <w:shd w:val="clear" w:color="auto" w:fill="auto"/>
            <w:noWrap/>
            <w:vAlign w:val="center"/>
            <w:hideMark/>
          </w:tcPr>
          <w:p w14:paraId="2CAE3E7B"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122 428</w:t>
            </w:r>
          </w:p>
        </w:tc>
        <w:tc>
          <w:tcPr>
            <w:tcW w:w="1191" w:type="dxa"/>
            <w:tcBorders>
              <w:top w:val="nil"/>
              <w:left w:val="nil"/>
              <w:bottom w:val="nil"/>
              <w:right w:val="nil"/>
            </w:tcBorders>
            <w:shd w:val="clear" w:color="auto" w:fill="auto"/>
            <w:noWrap/>
            <w:vAlign w:val="center"/>
            <w:hideMark/>
          </w:tcPr>
          <w:p w14:paraId="339FB187"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w:t>
            </w:r>
            <w:r>
              <w:rPr>
                <w:rFonts w:eastAsia="Times New Roman" w:cs="Times New Roman"/>
                <w:color w:val="000000"/>
                <w:sz w:val="18"/>
                <w:szCs w:val="18"/>
                <w:lang w:eastAsia="sk-SK"/>
              </w:rPr>
              <w:t>11</w:t>
            </w:r>
          </w:p>
        </w:tc>
      </w:tr>
      <w:tr w:rsidR="003A0696" w:rsidRPr="00EA66A4" w14:paraId="76756A44" w14:textId="77777777" w:rsidTr="003A0696">
        <w:trPr>
          <w:trHeight w:val="254"/>
        </w:trPr>
        <w:tc>
          <w:tcPr>
            <w:tcW w:w="6439" w:type="dxa"/>
            <w:tcBorders>
              <w:top w:val="nil"/>
              <w:left w:val="nil"/>
              <w:bottom w:val="nil"/>
              <w:right w:val="nil"/>
            </w:tcBorders>
            <w:shd w:val="clear" w:color="auto" w:fill="auto"/>
            <w:vAlign w:val="center"/>
            <w:hideMark/>
          </w:tcPr>
          <w:p w14:paraId="594E8E66"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3. Vplyv vybraných výdavkov štátneho rozpočtu</w:t>
            </w:r>
          </w:p>
        </w:tc>
        <w:tc>
          <w:tcPr>
            <w:tcW w:w="1449" w:type="dxa"/>
            <w:tcBorders>
              <w:top w:val="nil"/>
              <w:left w:val="nil"/>
              <w:bottom w:val="nil"/>
              <w:right w:val="nil"/>
            </w:tcBorders>
            <w:shd w:val="clear" w:color="auto" w:fill="auto"/>
            <w:noWrap/>
            <w:vAlign w:val="center"/>
            <w:hideMark/>
          </w:tcPr>
          <w:p w14:paraId="35B9B5BF" w14:textId="77777777" w:rsidR="003A0696" w:rsidRPr="00EA66A4" w:rsidRDefault="003A0696" w:rsidP="003A0696">
            <w:pPr>
              <w:spacing w:after="0" w:line="240" w:lineRule="auto"/>
              <w:jc w:val="right"/>
              <w:rPr>
                <w:rFonts w:eastAsia="Times New Roman" w:cs="Times New Roman"/>
                <w:b/>
                <w:bCs/>
                <w:i/>
                <w:iCs/>
                <w:color w:val="000000"/>
                <w:sz w:val="18"/>
                <w:szCs w:val="18"/>
                <w:lang w:eastAsia="sk-SK"/>
              </w:rPr>
            </w:pPr>
            <w:r w:rsidRPr="00EA66A4">
              <w:rPr>
                <w:b/>
                <w:bCs/>
                <w:i/>
                <w:iCs/>
                <w:color w:val="000000"/>
                <w:sz w:val="18"/>
                <w:szCs w:val="18"/>
              </w:rPr>
              <w:t>3 384 621</w:t>
            </w:r>
          </w:p>
        </w:tc>
        <w:tc>
          <w:tcPr>
            <w:tcW w:w="1191" w:type="dxa"/>
            <w:tcBorders>
              <w:top w:val="nil"/>
              <w:left w:val="nil"/>
              <w:bottom w:val="nil"/>
              <w:right w:val="nil"/>
            </w:tcBorders>
            <w:shd w:val="clear" w:color="auto" w:fill="auto"/>
            <w:noWrap/>
            <w:vAlign w:val="center"/>
            <w:hideMark/>
          </w:tcPr>
          <w:p w14:paraId="307E404C" w14:textId="77777777" w:rsidR="003A0696" w:rsidRPr="00EA66A4" w:rsidRDefault="003A0696" w:rsidP="003A0696">
            <w:pPr>
              <w:spacing w:after="0" w:line="240" w:lineRule="auto"/>
              <w:jc w:val="right"/>
              <w:rPr>
                <w:rFonts w:eastAsia="Times New Roman" w:cs="Times New Roman"/>
                <w:b/>
                <w:color w:val="000000"/>
                <w:sz w:val="18"/>
                <w:szCs w:val="18"/>
                <w:lang w:eastAsia="sk-SK"/>
              </w:rPr>
            </w:pPr>
            <w:r w:rsidRPr="00EA66A4">
              <w:rPr>
                <w:b/>
                <w:color w:val="000000"/>
                <w:sz w:val="18"/>
                <w:szCs w:val="18"/>
              </w:rPr>
              <w:t>3,09</w:t>
            </w:r>
          </w:p>
        </w:tc>
      </w:tr>
      <w:tr w:rsidR="003A0696" w:rsidRPr="00EA66A4" w14:paraId="074E73E8" w14:textId="77777777" w:rsidTr="003A0696">
        <w:trPr>
          <w:trHeight w:val="254"/>
        </w:trPr>
        <w:tc>
          <w:tcPr>
            <w:tcW w:w="6439" w:type="dxa"/>
            <w:tcBorders>
              <w:top w:val="nil"/>
              <w:left w:val="nil"/>
              <w:bottom w:val="nil"/>
              <w:right w:val="nil"/>
            </w:tcBorders>
            <w:shd w:val="clear" w:color="auto" w:fill="auto"/>
            <w:vAlign w:val="center"/>
            <w:hideMark/>
          </w:tcPr>
          <w:p w14:paraId="117A978F"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EÚ výdavky po vylúčení EÚ tokov mimo sektor</w:t>
            </w:r>
          </w:p>
        </w:tc>
        <w:tc>
          <w:tcPr>
            <w:tcW w:w="1449" w:type="dxa"/>
            <w:tcBorders>
              <w:top w:val="nil"/>
              <w:left w:val="nil"/>
              <w:bottom w:val="nil"/>
              <w:right w:val="nil"/>
            </w:tcBorders>
            <w:shd w:val="clear" w:color="auto" w:fill="auto"/>
            <w:noWrap/>
            <w:vAlign w:val="center"/>
            <w:hideMark/>
          </w:tcPr>
          <w:p w14:paraId="27150F4F"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900 319</w:t>
            </w:r>
          </w:p>
        </w:tc>
        <w:tc>
          <w:tcPr>
            <w:tcW w:w="1191" w:type="dxa"/>
            <w:tcBorders>
              <w:top w:val="nil"/>
              <w:left w:val="nil"/>
              <w:bottom w:val="nil"/>
              <w:right w:val="nil"/>
            </w:tcBorders>
            <w:shd w:val="clear" w:color="auto" w:fill="auto"/>
            <w:noWrap/>
            <w:vAlign w:val="center"/>
            <w:hideMark/>
          </w:tcPr>
          <w:p w14:paraId="6DF912AD"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0,82</w:t>
            </w:r>
          </w:p>
        </w:tc>
      </w:tr>
      <w:tr w:rsidR="003A0696" w:rsidRPr="00EA66A4" w14:paraId="3652B618" w14:textId="77777777" w:rsidTr="003A0696">
        <w:trPr>
          <w:trHeight w:val="254"/>
        </w:trPr>
        <w:tc>
          <w:tcPr>
            <w:tcW w:w="6439" w:type="dxa"/>
            <w:tcBorders>
              <w:top w:val="nil"/>
              <w:left w:val="nil"/>
              <w:bottom w:val="nil"/>
              <w:right w:val="nil"/>
            </w:tcBorders>
            <w:shd w:val="clear" w:color="auto" w:fill="auto"/>
            <w:vAlign w:val="center"/>
            <w:hideMark/>
          </w:tcPr>
          <w:p w14:paraId="67C144E6"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spolufinancovanie k EÚ zdrojom</w:t>
            </w:r>
          </w:p>
        </w:tc>
        <w:tc>
          <w:tcPr>
            <w:tcW w:w="1449" w:type="dxa"/>
            <w:tcBorders>
              <w:top w:val="nil"/>
              <w:left w:val="nil"/>
              <w:bottom w:val="nil"/>
              <w:right w:val="nil"/>
            </w:tcBorders>
            <w:shd w:val="clear" w:color="auto" w:fill="auto"/>
            <w:noWrap/>
            <w:vAlign w:val="center"/>
            <w:hideMark/>
          </w:tcPr>
          <w:p w14:paraId="7C7D1F8A"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199 050</w:t>
            </w:r>
          </w:p>
        </w:tc>
        <w:tc>
          <w:tcPr>
            <w:tcW w:w="1191" w:type="dxa"/>
            <w:tcBorders>
              <w:top w:val="nil"/>
              <w:left w:val="nil"/>
              <w:bottom w:val="nil"/>
              <w:right w:val="nil"/>
            </w:tcBorders>
            <w:shd w:val="clear" w:color="auto" w:fill="auto"/>
            <w:noWrap/>
            <w:vAlign w:val="center"/>
            <w:hideMark/>
          </w:tcPr>
          <w:p w14:paraId="672FF83A"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0,18</w:t>
            </w:r>
          </w:p>
        </w:tc>
      </w:tr>
      <w:tr w:rsidR="003A0696" w:rsidRPr="00EA66A4" w14:paraId="03CE6C63" w14:textId="77777777" w:rsidTr="003A0696">
        <w:trPr>
          <w:trHeight w:val="254"/>
        </w:trPr>
        <w:tc>
          <w:tcPr>
            <w:tcW w:w="6439" w:type="dxa"/>
            <w:tcBorders>
              <w:top w:val="nil"/>
              <w:left w:val="nil"/>
              <w:bottom w:val="nil"/>
              <w:right w:val="nil"/>
            </w:tcBorders>
            <w:shd w:val="clear" w:color="auto" w:fill="auto"/>
            <w:vAlign w:val="center"/>
            <w:hideMark/>
          </w:tcPr>
          <w:p w14:paraId="1E207536"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odvod do rozpočtu EÚ</w:t>
            </w:r>
          </w:p>
        </w:tc>
        <w:tc>
          <w:tcPr>
            <w:tcW w:w="1449" w:type="dxa"/>
            <w:tcBorders>
              <w:top w:val="nil"/>
              <w:left w:val="nil"/>
              <w:bottom w:val="nil"/>
              <w:right w:val="nil"/>
            </w:tcBorders>
            <w:shd w:val="clear" w:color="auto" w:fill="auto"/>
            <w:noWrap/>
            <w:vAlign w:val="center"/>
            <w:hideMark/>
          </w:tcPr>
          <w:p w14:paraId="5E3D5ED3"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86 342</w:t>
            </w:r>
          </w:p>
        </w:tc>
        <w:tc>
          <w:tcPr>
            <w:tcW w:w="1191" w:type="dxa"/>
            <w:tcBorders>
              <w:top w:val="nil"/>
              <w:left w:val="nil"/>
              <w:bottom w:val="nil"/>
              <w:right w:val="nil"/>
            </w:tcBorders>
            <w:shd w:val="clear" w:color="auto" w:fill="auto"/>
            <w:noWrap/>
            <w:vAlign w:val="center"/>
            <w:hideMark/>
          </w:tcPr>
          <w:p w14:paraId="736BA60E"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0,08</w:t>
            </w:r>
          </w:p>
        </w:tc>
      </w:tr>
      <w:tr w:rsidR="003A0696" w:rsidRPr="00EA66A4" w14:paraId="0BAAED6A" w14:textId="77777777" w:rsidTr="003A0696">
        <w:trPr>
          <w:trHeight w:val="254"/>
        </w:trPr>
        <w:tc>
          <w:tcPr>
            <w:tcW w:w="6439" w:type="dxa"/>
            <w:tcBorders>
              <w:top w:val="nil"/>
              <w:left w:val="nil"/>
              <w:bottom w:val="nil"/>
              <w:right w:val="nil"/>
            </w:tcBorders>
            <w:shd w:val="clear" w:color="auto" w:fill="auto"/>
            <w:vAlign w:val="center"/>
            <w:hideMark/>
          </w:tcPr>
          <w:p w14:paraId="2120CAD6"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korekcie k fondom EÚ </w:t>
            </w:r>
          </w:p>
        </w:tc>
        <w:tc>
          <w:tcPr>
            <w:tcW w:w="1449" w:type="dxa"/>
            <w:tcBorders>
              <w:top w:val="nil"/>
              <w:left w:val="nil"/>
              <w:bottom w:val="nil"/>
              <w:right w:val="nil"/>
            </w:tcBorders>
            <w:shd w:val="clear" w:color="auto" w:fill="auto"/>
            <w:noWrap/>
            <w:vAlign w:val="center"/>
            <w:hideMark/>
          </w:tcPr>
          <w:p w14:paraId="0212486A"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-143 860</w:t>
            </w:r>
          </w:p>
        </w:tc>
        <w:tc>
          <w:tcPr>
            <w:tcW w:w="1191" w:type="dxa"/>
            <w:tcBorders>
              <w:top w:val="nil"/>
              <w:left w:val="nil"/>
              <w:bottom w:val="nil"/>
              <w:right w:val="nil"/>
            </w:tcBorders>
            <w:shd w:val="clear" w:color="auto" w:fill="auto"/>
            <w:noWrap/>
            <w:vAlign w:val="center"/>
            <w:hideMark/>
          </w:tcPr>
          <w:p w14:paraId="1270C7BA"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-0,13</w:t>
            </w:r>
          </w:p>
        </w:tc>
      </w:tr>
      <w:tr w:rsidR="003A0696" w:rsidRPr="00EA66A4" w14:paraId="10FB0F64" w14:textId="77777777" w:rsidTr="003A0696">
        <w:trPr>
          <w:trHeight w:val="254"/>
        </w:trPr>
        <w:tc>
          <w:tcPr>
            <w:tcW w:w="6439" w:type="dxa"/>
            <w:tcBorders>
              <w:top w:val="nil"/>
              <w:left w:val="nil"/>
              <w:bottom w:val="nil"/>
              <w:right w:val="nil"/>
            </w:tcBorders>
            <w:shd w:val="clear" w:color="auto" w:fill="auto"/>
            <w:vAlign w:val="center"/>
            <w:hideMark/>
          </w:tcPr>
          <w:p w14:paraId="3762A086"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upravujúca položka-očistenie vplyvu príjmov PJ za prostriedky EÚ </w:t>
            </w:r>
            <w:r w:rsidRPr="00EA66A4">
              <w:rPr>
                <w:rFonts w:eastAsia="Times New Roman" w:cs="Times New Roman"/>
                <w:color w:val="000000"/>
                <w:sz w:val="18"/>
                <w:szCs w:val="18"/>
                <w:lang w:eastAsia="sk-SK"/>
              </w:rPr>
              <w:br/>
              <w:t xml:space="preserve">       z uhradených korekcií nahlásených v roku rozhodnutia </w:t>
            </w:r>
          </w:p>
        </w:tc>
        <w:tc>
          <w:tcPr>
            <w:tcW w:w="1449" w:type="dxa"/>
            <w:tcBorders>
              <w:top w:val="nil"/>
              <w:left w:val="nil"/>
              <w:bottom w:val="nil"/>
              <w:right w:val="nil"/>
            </w:tcBorders>
            <w:shd w:val="clear" w:color="auto" w:fill="auto"/>
            <w:noWrap/>
            <w:vAlign w:val="center"/>
            <w:hideMark/>
          </w:tcPr>
          <w:p w14:paraId="5DB5042D"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212 778</w:t>
            </w:r>
          </w:p>
        </w:tc>
        <w:tc>
          <w:tcPr>
            <w:tcW w:w="1191" w:type="dxa"/>
            <w:tcBorders>
              <w:top w:val="nil"/>
              <w:left w:val="nil"/>
              <w:bottom w:val="nil"/>
              <w:right w:val="nil"/>
            </w:tcBorders>
            <w:shd w:val="clear" w:color="auto" w:fill="auto"/>
            <w:noWrap/>
            <w:vAlign w:val="center"/>
            <w:hideMark/>
          </w:tcPr>
          <w:p w14:paraId="046E27D7"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0,19</w:t>
            </w:r>
          </w:p>
        </w:tc>
      </w:tr>
      <w:tr w:rsidR="003A0696" w:rsidRPr="00EA66A4" w14:paraId="1C36EDEC" w14:textId="77777777" w:rsidTr="003A0696">
        <w:trPr>
          <w:trHeight w:val="254"/>
        </w:trPr>
        <w:tc>
          <w:tcPr>
            <w:tcW w:w="6439" w:type="dxa"/>
            <w:tcBorders>
              <w:top w:val="nil"/>
              <w:left w:val="nil"/>
              <w:bottom w:val="nil"/>
              <w:right w:val="nil"/>
            </w:tcBorders>
            <w:shd w:val="clear" w:color="auto" w:fill="auto"/>
            <w:vAlign w:val="center"/>
            <w:hideMark/>
          </w:tcPr>
          <w:p w14:paraId="0A8A3038"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transfer Sociálnej poisťovni a zdravotnej poisťovni</w:t>
            </w:r>
          </w:p>
        </w:tc>
        <w:tc>
          <w:tcPr>
            <w:tcW w:w="1449" w:type="dxa"/>
            <w:tcBorders>
              <w:top w:val="nil"/>
              <w:left w:val="nil"/>
              <w:bottom w:val="nil"/>
              <w:right w:val="nil"/>
            </w:tcBorders>
            <w:shd w:val="clear" w:color="auto" w:fill="auto"/>
            <w:noWrap/>
            <w:vAlign w:val="center"/>
            <w:hideMark/>
          </w:tcPr>
          <w:p w14:paraId="7268935B"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292 335</w:t>
            </w:r>
          </w:p>
        </w:tc>
        <w:tc>
          <w:tcPr>
            <w:tcW w:w="1191" w:type="dxa"/>
            <w:tcBorders>
              <w:top w:val="nil"/>
              <w:left w:val="nil"/>
              <w:bottom w:val="nil"/>
              <w:right w:val="nil"/>
            </w:tcBorders>
            <w:shd w:val="clear" w:color="auto" w:fill="auto"/>
            <w:noWrap/>
            <w:vAlign w:val="center"/>
            <w:hideMark/>
          </w:tcPr>
          <w:p w14:paraId="30EA010C"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0,27</w:t>
            </w:r>
          </w:p>
        </w:tc>
      </w:tr>
      <w:tr w:rsidR="003A0696" w:rsidRPr="00EA66A4" w14:paraId="38F89A8B" w14:textId="77777777" w:rsidTr="003A0696">
        <w:trPr>
          <w:trHeight w:val="254"/>
        </w:trPr>
        <w:tc>
          <w:tcPr>
            <w:tcW w:w="6439" w:type="dxa"/>
            <w:tcBorders>
              <w:top w:val="nil"/>
              <w:left w:val="nil"/>
              <w:bottom w:val="nil"/>
              <w:right w:val="nil"/>
            </w:tcBorders>
            <w:shd w:val="clear" w:color="auto" w:fill="auto"/>
            <w:vAlign w:val="center"/>
            <w:hideMark/>
          </w:tcPr>
          <w:p w14:paraId="025231EF"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w:t>
            </w:r>
            <w:proofErr w:type="spellStart"/>
            <w:r w:rsidRPr="00EA66A4">
              <w:rPr>
                <w:rFonts w:eastAsia="Times New Roman" w:cs="Times New Roman"/>
                <w:color w:val="000000"/>
                <w:sz w:val="18"/>
                <w:szCs w:val="18"/>
                <w:lang w:eastAsia="sk-SK"/>
              </w:rPr>
              <w:t>imputácia</w:t>
            </w:r>
            <w:proofErr w:type="spellEnd"/>
            <w:r w:rsidRPr="00EA66A4">
              <w:rPr>
                <w:rFonts w:eastAsia="Times New Roman" w:cs="Times New Roman"/>
                <w:color w:val="000000"/>
                <w:sz w:val="18"/>
                <w:szCs w:val="18"/>
                <w:lang w:eastAsia="sk-SK"/>
              </w:rPr>
              <w:t xml:space="preserve"> výdavkových subvencií na zelenú energiu</w:t>
            </w:r>
          </w:p>
        </w:tc>
        <w:tc>
          <w:tcPr>
            <w:tcW w:w="1449" w:type="dxa"/>
            <w:tcBorders>
              <w:top w:val="nil"/>
              <w:left w:val="nil"/>
              <w:bottom w:val="nil"/>
              <w:right w:val="nil"/>
            </w:tcBorders>
            <w:shd w:val="clear" w:color="auto" w:fill="auto"/>
            <w:noWrap/>
            <w:vAlign w:val="center"/>
            <w:hideMark/>
          </w:tcPr>
          <w:p w14:paraId="26523DF8"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228 412</w:t>
            </w:r>
          </w:p>
        </w:tc>
        <w:tc>
          <w:tcPr>
            <w:tcW w:w="1191" w:type="dxa"/>
            <w:tcBorders>
              <w:top w:val="nil"/>
              <w:left w:val="nil"/>
              <w:bottom w:val="nil"/>
              <w:right w:val="nil"/>
            </w:tcBorders>
            <w:shd w:val="clear" w:color="auto" w:fill="auto"/>
            <w:noWrap/>
            <w:vAlign w:val="center"/>
            <w:hideMark/>
          </w:tcPr>
          <w:p w14:paraId="3C202A03"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0,21</w:t>
            </w:r>
          </w:p>
        </w:tc>
      </w:tr>
      <w:tr w:rsidR="003A0696" w:rsidRPr="00EA66A4" w14:paraId="4CE52732" w14:textId="77777777" w:rsidTr="003A0696">
        <w:trPr>
          <w:trHeight w:val="254"/>
        </w:trPr>
        <w:tc>
          <w:tcPr>
            <w:tcW w:w="6439" w:type="dxa"/>
            <w:tcBorders>
              <w:top w:val="nil"/>
              <w:left w:val="nil"/>
              <w:bottom w:val="nil"/>
              <w:right w:val="nil"/>
            </w:tcBorders>
            <w:shd w:val="clear" w:color="auto" w:fill="auto"/>
            <w:vAlign w:val="center"/>
            <w:hideMark/>
          </w:tcPr>
          <w:p w14:paraId="344D9E17"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zmena stavu záväzkov</w:t>
            </w:r>
          </w:p>
        </w:tc>
        <w:tc>
          <w:tcPr>
            <w:tcW w:w="1449" w:type="dxa"/>
            <w:tcBorders>
              <w:top w:val="nil"/>
              <w:left w:val="nil"/>
              <w:bottom w:val="nil"/>
              <w:right w:val="nil"/>
            </w:tcBorders>
            <w:shd w:val="clear" w:color="auto" w:fill="auto"/>
            <w:noWrap/>
            <w:vAlign w:val="center"/>
            <w:hideMark/>
          </w:tcPr>
          <w:p w14:paraId="20B698CC"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15 085</w:t>
            </w:r>
          </w:p>
        </w:tc>
        <w:tc>
          <w:tcPr>
            <w:tcW w:w="1191" w:type="dxa"/>
            <w:tcBorders>
              <w:top w:val="nil"/>
              <w:left w:val="nil"/>
              <w:bottom w:val="nil"/>
              <w:right w:val="nil"/>
            </w:tcBorders>
            <w:shd w:val="clear" w:color="auto" w:fill="auto"/>
            <w:noWrap/>
            <w:vAlign w:val="center"/>
            <w:hideMark/>
          </w:tcPr>
          <w:p w14:paraId="181085AE"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0,01</w:t>
            </w:r>
          </w:p>
        </w:tc>
      </w:tr>
      <w:tr w:rsidR="003A0696" w:rsidRPr="00EA66A4" w14:paraId="3DF29AC5" w14:textId="77777777" w:rsidTr="003A0696">
        <w:trPr>
          <w:trHeight w:val="254"/>
        </w:trPr>
        <w:tc>
          <w:tcPr>
            <w:tcW w:w="6439" w:type="dxa"/>
            <w:tcBorders>
              <w:top w:val="nil"/>
              <w:left w:val="nil"/>
              <w:bottom w:val="nil"/>
              <w:right w:val="nil"/>
            </w:tcBorders>
            <w:shd w:val="clear" w:color="auto" w:fill="auto"/>
            <w:vAlign w:val="center"/>
          </w:tcPr>
          <w:p w14:paraId="0E1D91D8"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zaplatené preddavky na </w:t>
            </w:r>
            <w:proofErr w:type="spellStart"/>
            <w:r w:rsidRPr="00EA66A4">
              <w:rPr>
                <w:rFonts w:eastAsia="Times New Roman" w:cs="Times New Roman"/>
                <w:color w:val="000000"/>
                <w:sz w:val="18"/>
                <w:szCs w:val="18"/>
                <w:lang w:eastAsia="sk-SK"/>
              </w:rPr>
              <w:t>dlhod</w:t>
            </w:r>
            <w:proofErr w:type="spellEnd"/>
            <w:r w:rsidRPr="00EA66A4">
              <w:rPr>
                <w:rFonts w:eastAsia="Times New Roman" w:cs="Times New Roman"/>
                <w:color w:val="000000"/>
                <w:sz w:val="18"/>
                <w:szCs w:val="18"/>
                <w:lang w:eastAsia="sk-SK"/>
              </w:rPr>
              <w:t>. hm. majetok na vojenskú techniku</w:t>
            </w:r>
          </w:p>
        </w:tc>
        <w:tc>
          <w:tcPr>
            <w:tcW w:w="1449" w:type="dxa"/>
            <w:tcBorders>
              <w:top w:val="nil"/>
              <w:left w:val="nil"/>
              <w:bottom w:val="nil"/>
              <w:right w:val="nil"/>
            </w:tcBorders>
            <w:shd w:val="clear" w:color="auto" w:fill="auto"/>
            <w:noWrap/>
            <w:vAlign w:val="center"/>
          </w:tcPr>
          <w:p w14:paraId="1F70B56E"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483 553</w:t>
            </w:r>
          </w:p>
        </w:tc>
        <w:tc>
          <w:tcPr>
            <w:tcW w:w="1191" w:type="dxa"/>
            <w:tcBorders>
              <w:top w:val="nil"/>
              <w:left w:val="nil"/>
              <w:bottom w:val="nil"/>
              <w:right w:val="nil"/>
            </w:tcBorders>
            <w:shd w:val="clear" w:color="auto" w:fill="auto"/>
            <w:noWrap/>
            <w:vAlign w:val="center"/>
          </w:tcPr>
          <w:p w14:paraId="41ED0C03"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0,44</w:t>
            </w:r>
          </w:p>
        </w:tc>
      </w:tr>
      <w:tr w:rsidR="003A0696" w:rsidRPr="00EA66A4" w14:paraId="5568FA43" w14:textId="77777777" w:rsidTr="003A0696">
        <w:trPr>
          <w:trHeight w:val="254"/>
        </w:trPr>
        <w:tc>
          <w:tcPr>
            <w:tcW w:w="6439" w:type="dxa"/>
            <w:tcBorders>
              <w:top w:val="nil"/>
              <w:left w:val="nil"/>
              <w:bottom w:val="nil"/>
              <w:right w:val="nil"/>
            </w:tcBorders>
            <w:shd w:val="clear" w:color="auto" w:fill="auto"/>
            <w:vAlign w:val="center"/>
            <w:hideMark/>
          </w:tcPr>
          <w:p w14:paraId="1F283C94"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ostatné</w:t>
            </w:r>
          </w:p>
        </w:tc>
        <w:tc>
          <w:tcPr>
            <w:tcW w:w="1449" w:type="dxa"/>
            <w:tcBorders>
              <w:top w:val="nil"/>
              <w:left w:val="nil"/>
              <w:bottom w:val="nil"/>
              <w:right w:val="nil"/>
            </w:tcBorders>
            <w:shd w:val="clear" w:color="auto" w:fill="auto"/>
            <w:noWrap/>
            <w:vAlign w:val="center"/>
            <w:hideMark/>
          </w:tcPr>
          <w:p w14:paraId="65A8B867"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sz w:val="18"/>
                <w:szCs w:val="18"/>
              </w:rPr>
              <w:t>1 110 607</w:t>
            </w:r>
          </w:p>
        </w:tc>
        <w:tc>
          <w:tcPr>
            <w:tcW w:w="1191" w:type="dxa"/>
            <w:tcBorders>
              <w:top w:val="nil"/>
              <w:left w:val="nil"/>
              <w:bottom w:val="nil"/>
              <w:right w:val="nil"/>
            </w:tcBorders>
            <w:shd w:val="clear" w:color="auto" w:fill="auto"/>
            <w:noWrap/>
            <w:vAlign w:val="center"/>
            <w:hideMark/>
          </w:tcPr>
          <w:p w14:paraId="14B741EE"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color w:val="000000"/>
                <w:sz w:val="18"/>
                <w:szCs w:val="18"/>
              </w:rPr>
              <w:t>1,01</w:t>
            </w:r>
          </w:p>
        </w:tc>
      </w:tr>
      <w:tr w:rsidR="003A0696" w:rsidRPr="00EA66A4" w14:paraId="32582A64" w14:textId="77777777" w:rsidTr="003A0696">
        <w:trPr>
          <w:trHeight w:val="254"/>
        </w:trPr>
        <w:tc>
          <w:tcPr>
            <w:tcW w:w="6439" w:type="dxa"/>
            <w:tcBorders>
              <w:top w:val="nil"/>
              <w:left w:val="nil"/>
              <w:bottom w:val="nil"/>
              <w:right w:val="nil"/>
            </w:tcBorders>
            <w:shd w:val="clear" w:color="auto" w:fill="auto"/>
            <w:vAlign w:val="center"/>
            <w:hideMark/>
          </w:tcPr>
          <w:p w14:paraId="3755BC06"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4. Vplyv hospodárenia samostatných účtov (vrátane ŠFA) bez daní</w:t>
            </w:r>
          </w:p>
        </w:tc>
        <w:tc>
          <w:tcPr>
            <w:tcW w:w="1449" w:type="dxa"/>
            <w:tcBorders>
              <w:top w:val="nil"/>
              <w:left w:val="nil"/>
              <w:bottom w:val="nil"/>
              <w:right w:val="nil"/>
            </w:tcBorders>
            <w:shd w:val="clear" w:color="auto" w:fill="auto"/>
            <w:noWrap/>
            <w:vAlign w:val="center"/>
            <w:hideMark/>
          </w:tcPr>
          <w:p w14:paraId="6F1B0A4B" w14:textId="77777777" w:rsidR="003A0696" w:rsidRPr="00EA66A4" w:rsidRDefault="003A0696" w:rsidP="003A0696">
            <w:pPr>
              <w:spacing w:after="0" w:line="240" w:lineRule="auto"/>
              <w:jc w:val="right"/>
              <w:rPr>
                <w:rFonts w:eastAsia="Times New Roman" w:cs="Times New Roman"/>
                <w:b/>
                <w:bCs/>
                <w:i/>
                <w:iCs/>
                <w:color w:val="000000"/>
                <w:sz w:val="18"/>
                <w:szCs w:val="18"/>
                <w:lang w:eastAsia="sk-SK"/>
              </w:rPr>
            </w:pPr>
            <w:r w:rsidRPr="00EA66A4">
              <w:rPr>
                <w:rFonts w:eastAsia="Times New Roman" w:cs="Times New Roman"/>
                <w:b/>
                <w:bCs/>
                <w:i/>
                <w:iCs/>
                <w:color w:val="000000"/>
                <w:sz w:val="18"/>
                <w:szCs w:val="18"/>
                <w:lang w:eastAsia="sk-SK"/>
              </w:rPr>
              <w:t>-377 864</w:t>
            </w:r>
          </w:p>
        </w:tc>
        <w:tc>
          <w:tcPr>
            <w:tcW w:w="1191" w:type="dxa"/>
            <w:tcBorders>
              <w:top w:val="nil"/>
              <w:left w:val="nil"/>
              <w:bottom w:val="nil"/>
              <w:right w:val="nil"/>
            </w:tcBorders>
            <w:shd w:val="clear" w:color="auto" w:fill="auto"/>
            <w:noWrap/>
            <w:vAlign w:val="center"/>
            <w:hideMark/>
          </w:tcPr>
          <w:p w14:paraId="7B66D076"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-0,34</w:t>
            </w:r>
          </w:p>
        </w:tc>
      </w:tr>
      <w:tr w:rsidR="003A0696" w:rsidRPr="00EA66A4" w14:paraId="34E9E87F" w14:textId="77777777" w:rsidTr="003A0696">
        <w:trPr>
          <w:trHeight w:val="254"/>
        </w:trPr>
        <w:tc>
          <w:tcPr>
            <w:tcW w:w="6439" w:type="dxa"/>
            <w:tcBorders>
              <w:top w:val="nil"/>
              <w:left w:val="nil"/>
              <w:bottom w:val="nil"/>
              <w:right w:val="nil"/>
            </w:tcBorders>
            <w:shd w:val="clear" w:color="auto" w:fill="auto"/>
            <w:vAlign w:val="center"/>
            <w:hideMark/>
          </w:tcPr>
          <w:p w14:paraId="7B5F0AFA"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 xml:space="preserve">5. Vplyv akruálnych príjmov a výdavkov súvisiacich s obsluhou </w:t>
            </w:r>
            <w:r w:rsidRPr="00EA66A4">
              <w:rPr>
                <w:rFonts w:eastAsia="Times New Roman" w:cs="Times New Roman"/>
                <w:b/>
                <w:bCs/>
                <w:color w:val="000000"/>
                <w:sz w:val="18"/>
                <w:szCs w:val="18"/>
                <w:lang w:eastAsia="sk-SK"/>
              </w:rPr>
              <w:br/>
              <w:t xml:space="preserve">    štátneho dlhu</w:t>
            </w:r>
          </w:p>
        </w:tc>
        <w:tc>
          <w:tcPr>
            <w:tcW w:w="1449" w:type="dxa"/>
            <w:tcBorders>
              <w:top w:val="nil"/>
              <w:left w:val="nil"/>
              <w:bottom w:val="nil"/>
              <w:right w:val="nil"/>
            </w:tcBorders>
            <w:shd w:val="clear" w:color="auto" w:fill="auto"/>
            <w:noWrap/>
            <w:vAlign w:val="center"/>
            <w:hideMark/>
          </w:tcPr>
          <w:p w14:paraId="0835120F" w14:textId="77777777" w:rsidR="003A0696" w:rsidRPr="00EA66A4" w:rsidRDefault="003A0696" w:rsidP="003A0696">
            <w:pPr>
              <w:spacing w:after="0" w:line="240" w:lineRule="auto"/>
              <w:jc w:val="right"/>
              <w:rPr>
                <w:rFonts w:eastAsia="Times New Roman" w:cs="Times New Roman"/>
                <w:b/>
                <w:bCs/>
                <w:i/>
                <w:iCs/>
                <w:color w:val="000000"/>
                <w:sz w:val="18"/>
                <w:szCs w:val="18"/>
                <w:lang w:eastAsia="sk-SK"/>
              </w:rPr>
            </w:pPr>
            <w:r w:rsidRPr="00EA66A4">
              <w:rPr>
                <w:rFonts w:eastAsia="Times New Roman" w:cs="Times New Roman"/>
                <w:b/>
                <w:bCs/>
                <w:i/>
                <w:iCs/>
                <w:color w:val="000000"/>
                <w:sz w:val="18"/>
                <w:szCs w:val="18"/>
                <w:lang w:eastAsia="sk-SK"/>
              </w:rPr>
              <w:t>-12 513</w:t>
            </w:r>
          </w:p>
        </w:tc>
        <w:tc>
          <w:tcPr>
            <w:tcW w:w="1191" w:type="dxa"/>
            <w:tcBorders>
              <w:top w:val="nil"/>
              <w:left w:val="nil"/>
              <w:bottom w:val="nil"/>
              <w:right w:val="nil"/>
            </w:tcBorders>
            <w:shd w:val="clear" w:color="auto" w:fill="auto"/>
            <w:noWrap/>
            <w:vAlign w:val="center"/>
            <w:hideMark/>
          </w:tcPr>
          <w:p w14:paraId="77027907"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-0,01</w:t>
            </w:r>
          </w:p>
        </w:tc>
      </w:tr>
      <w:tr w:rsidR="003A0696" w:rsidRPr="00EA66A4" w14:paraId="4650B1B0" w14:textId="77777777" w:rsidTr="003A0696">
        <w:trPr>
          <w:trHeight w:val="254"/>
        </w:trPr>
        <w:tc>
          <w:tcPr>
            <w:tcW w:w="6439" w:type="dxa"/>
            <w:tcBorders>
              <w:top w:val="nil"/>
              <w:left w:val="nil"/>
              <w:bottom w:val="nil"/>
              <w:right w:val="nil"/>
            </w:tcBorders>
            <w:shd w:val="clear" w:color="auto" w:fill="auto"/>
            <w:vAlign w:val="center"/>
            <w:hideMark/>
          </w:tcPr>
          <w:p w14:paraId="0C8919CB"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6. Výdavky sociálneho a zdravotného poistenia</w:t>
            </w:r>
          </w:p>
        </w:tc>
        <w:tc>
          <w:tcPr>
            <w:tcW w:w="1449" w:type="dxa"/>
            <w:tcBorders>
              <w:top w:val="nil"/>
              <w:left w:val="nil"/>
              <w:bottom w:val="nil"/>
              <w:right w:val="nil"/>
            </w:tcBorders>
            <w:shd w:val="clear" w:color="auto" w:fill="auto"/>
            <w:noWrap/>
            <w:vAlign w:val="center"/>
            <w:hideMark/>
          </w:tcPr>
          <w:p w14:paraId="02AF496E" w14:textId="77777777" w:rsidR="003A0696" w:rsidRPr="00EA66A4" w:rsidRDefault="003A0696" w:rsidP="003A0696">
            <w:pPr>
              <w:spacing w:after="0" w:line="240" w:lineRule="auto"/>
              <w:jc w:val="right"/>
              <w:rPr>
                <w:rFonts w:eastAsia="Times New Roman" w:cs="Times New Roman"/>
                <w:b/>
                <w:bCs/>
                <w:i/>
                <w:iCs/>
                <w:color w:val="000000"/>
                <w:sz w:val="18"/>
                <w:szCs w:val="18"/>
                <w:lang w:eastAsia="sk-SK"/>
              </w:rPr>
            </w:pPr>
            <w:r w:rsidRPr="00EA66A4">
              <w:rPr>
                <w:rFonts w:eastAsia="Times New Roman" w:cs="Times New Roman"/>
                <w:b/>
                <w:bCs/>
                <w:i/>
                <w:iCs/>
                <w:color w:val="000000"/>
                <w:sz w:val="18"/>
                <w:szCs w:val="18"/>
                <w:lang w:eastAsia="sk-SK"/>
              </w:rPr>
              <w:t>-422 682</w:t>
            </w:r>
          </w:p>
        </w:tc>
        <w:tc>
          <w:tcPr>
            <w:tcW w:w="1191" w:type="dxa"/>
            <w:tcBorders>
              <w:top w:val="nil"/>
              <w:left w:val="nil"/>
              <w:bottom w:val="nil"/>
              <w:right w:val="nil"/>
            </w:tcBorders>
            <w:shd w:val="clear" w:color="auto" w:fill="auto"/>
            <w:noWrap/>
            <w:vAlign w:val="center"/>
            <w:hideMark/>
          </w:tcPr>
          <w:p w14:paraId="19A0BBC8"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-0,39</w:t>
            </w:r>
          </w:p>
        </w:tc>
      </w:tr>
      <w:tr w:rsidR="003A0696" w:rsidRPr="00EA66A4" w14:paraId="5B6F0BC5" w14:textId="77777777" w:rsidTr="003A0696">
        <w:trPr>
          <w:trHeight w:val="254"/>
        </w:trPr>
        <w:tc>
          <w:tcPr>
            <w:tcW w:w="6439" w:type="dxa"/>
            <w:tcBorders>
              <w:top w:val="nil"/>
              <w:left w:val="nil"/>
              <w:bottom w:val="nil"/>
              <w:right w:val="nil"/>
            </w:tcBorders>
            <w:shd w:val="clear" w:color="auto" w:fill="auto"/>
            <w:noWrap/>
            <w:vAlign w:val="center"/>
            <w:hideMark/>
          </w:tcPr>
          <w:p w14:paraId="20BD891A"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výdavky zo sociálneho poistenia</w:t>
            </w:r>
          </w:p>
        </w:tc>
        <w:tc>
          <w:tcPr>
            <w:tcW w:w="1449" w:type="dxa"/>
            <w:tcBorders>
              <w:top w:val="nil"/>
              <w:left w:val="nil"/>
              <w:bottom w:val="nil"/>
              <w:right w:val="nil"/>
            </w:tcBorders>
            <w:shd w:val="clear" w:color="auto" w:fill="auto"/>
            <w:noWrap/>
            <w:vAlign w:val="center"/>
            <w:hideMark/>
          </w:tcPr>
          <w:p w14:paraId="22416DF5"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85 582</w:t>
            </w:r>
          </w:p>
        </w:tc>
        <w:tc>
          <w:tcPr>
            <w:tcW w:w="1191" w:type="dxa"/>
            <w:tcBorders>
              <w:top w:val="nil"/>
              <w:left w:val="nil"/>
              <w:bottom w:val="nil"/>
              <w:right w:val="nil"/>
            </w:tcBorders>
            <w:shd w:val="clear" w:color="auto" w:fill="auto"/>
            <w:noWrap/>
            <w:vAlign w:val="center"/>
            <w:hideMark/>
          </w:tcPr>
          <w:p w14:paraId="43241CBB"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0,08</w:t>
            </w:r>
          </w:p>
        </w:tc>
      </w:tr>
      <w:tr w:rsidR="003A0696" w:rsidRPr="00EA66A4" w14:paraId="5F799558" w14:textId="77777777" w:rsidTr="003A0696">
        <w:trPr>
          <w:trHeight w:val="254"/>
        </w:trPr>
        <w:tc>
          <w:tcPr>
            <w:tcW w:w="6439" w:type="dxa"/>
            <w:tcBorders>
              <w:top w:val="nil"/>
              <w:left w:val="nil"/>
              <w:bottom w:val="nil"/>
              <w:right w:val="nil"/>
            </w:tcBorders>
            <w:shd w:val="clear" w:color="auto" w:fill="auto"/>
            <w:noWrap/>
            <w:vAlign w:val="center"/>
            <w:hideMark/>
          </w:tcPr>
          <w:p w14:paraId="4E237C9A"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výdavky zdravotníckym zariadeniam (výdavky poistenia)</w:t>
            </w:r>
          </w:p>
        </w:tc>
        <w:tc>
          <w:tcPr>
            <w:tcW w:w="1449" w:type="dxa"/>
            <w:tcBorders>
              <w:top w:val="nil"/>
              <w:left w:val="nil"/>
              <w:bottom w:val="nil"/>
              <w:right w:val="nil"/>
            </w:tcBorders>
            <w:shd w:val="clear" w:color="auto" w:fill="auto"/>
            <w:noWrap/>
            <w:vAlign w:val="center"/>
            <w:hideMark/>
          </w:tcPr>
          <w:p w14:paraId="426FF956" w14:textId="77777777" w:rsidR="003A0696" w:rsidRPr="00EA66A4" w:rsidRDefault="003A0696" w:rsidP="003A0696">
            <w:pPr>
              <w:spacing w:after="0" w:line="240" w:lineRule="auto"/>
              <w:jc w:val="right"/>
              <w:rPr>
                <w:rFonts w:eastAsia="Times New Roman" w:cs="Times New Roman"/>
                <w:sz w:val="18"/>
                <w:szCs w:val="18"/>
                <w:lang w:eastAsia="sk-SK"/>
              </w:rPr>
            </w:pPr>
            <w:r w:rsidRPr="00EA66A4">
              <w:rPr>
                <w:rFonts w:eastAsia="Times New Roman" w:cs="Times New Roman"/>
                <w:sz w:val="18"/>
                <w:szCs w:val="18"/>
                <w:lang w:eastAsia="sk-SK"/>
              </w:rPr>
              <w:t>-508 264</w:t>
            </w:r>
          </w:p>
        </w:tc>
        <w:tc>
          <w:tcPr>
            <w:tcW w:w="1191" w:type="dxa"/>
            <w:tcBorders>
              <w:top w:val="nil"/>
              <w:left w:val="nil"/>
              <w:bottom w:val="nil"/>
              <w:right w:val="nil"/>
            </w:tcBorders>
            <w:shd w:val="clear" w:color="auto" w:fill="auto"/>
            <w:noWrap/>
            <w:vAlign w:val="center"/>
            <w:hideMark/>
          </w:tcPr>
          <w:p w14:paraId="5CBD2677"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-0,46</w:t>
            </w:r>
          </w:p>
        </w:tc>
      </w:tr>
      <w:tr w:rsidR="003A0696" w:rsidRPr="00EA66A4" w14:paraId="32A63BF3" w14:textId="77777777" w:rsidTr="003A0696">
        <w:trPr>
          <w:trHeight w:val="254"/>
        </w:trPr>
        <w:tc>
          <w:tcPr>
            <w:tcW w:w="6439" w:type="dxa"/>
            <w:tcBorders>
              <w:top w:val="nil"/>
              <w:left w:val="nil"/>
              <w:bottom w:val="nil"/>
              <w:right w:val="nil"/>
            </w:tcBorders>
            <w:shd w:val="clear" w:color="auto" w:fill="auto"/>
            <w:vAlign w:val="center"/>
            <w:hideMark/>
          </w:tcPr>
          <w:p w14:paraId="5663434F"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7. Rozdiel v hospodárení fondov sociálneho zabezpečenia (okrem</w:t>
            </w:r>
            <w:r w:rsidRPr="00EA66A4">
              <w:rPr>
                <w:rFonts w:eastAsia="Times New Roman" w:cs="Times New Roman"/>
                <w:b/>
                <w:bCs/>
                <w:color w:val="000000"/>
                <w:sz w:val="18"/>
                <w:szCs w:val="18"/>
                <w:lang w:eastAsia="sk-SK"/>
              </w:rPr>
              <w:br/>
              <w:t xml:space="preserve">   odvodových príjmov a výdavkov poistenia  verejného zdravotného</w:t>
            </w:r>
            <w:r w:rsidRPr="00EA66A4">
              <w:rPr>
                <w:rFonts w:eastAsia="Times New Roman" w:cs="Times New Roman"/>
                <w:b/>
                <w:bCs/>
                <w:color w:val="000000"/>
                <w:sz w:val="18"/>
                <w:szCs w:val="18"/>
                <w:lang w:eastAsia="sk-SK"/>
              </w:rPr>
              <w:br/>
              <w:t xml:space="preserve">   poistenia a sociálneho poistenia)</w:t>
            </w:r>
          </w:p>
        </w:tc>
        <w:tc>
          <w:tcPr>
            <w:tcW w:w="1449" w:type="dxa"/>
            <w:tcBorders>
              <w:top w:val="nil"/>
              <w:left w:val="nil"/>
              <w:bottom w:val="nil"/>
              <w:right w:val="nil"/>
            </w:tcBorders>
            <w:shd w:val="clear" w:color="auto" w:fill="auto"/>
            <w:noWrap/>
            <w:vAlign w:val="center"/>
            <w:hideMark/>
          </w:tcPr>
          <w:p w14:paraId="391A0E95" w14:textId="77777777" w:rsidR="003A0696" w:rsidRPr="00EA66A4" w:rsidRDefault="003A0696" w:rsidP="003A0696">
            <w:pPr>
              <w:spacing w:after="0" w:line="240" w:lineRule="auto"/>
              <w:jc w:val="right"/>
              <w:rPr>
                <w:rFonts w:eastAsia="Times New Roman" w:cs="Times New Roman"/>
                <w:b/>
                <w:bCs/>
                <w:i/>
                <w:iCs/>
                <w:sz w:val="18"/>
                <w:szCs w:val="18"/>
                <w:lang w:eastAsia="sk-SK"/>
              </w:rPr>
            </w:pPr>
            <w:r w:rsidRPr="00EA66A4">
              <w:rPr>
                <w:rFonts w:eastAsia="Times New Roman" w:cs="Times New Roman"/>
                <w:b/>
                <w:bCs/>
                <w:i/>
                <w:iCs/>
                <w:sz w:val="18"/>
                <w:szCs w:val="18"/>
                <w:lang w:eastAsia="sk-SK"/>
              </w:rPr>
              <w:t>-146 220</w:t>
            </w:r>
          </w:p>
        </w:tc>
        <w:tc>
          <w:tcPr>
            <w:tcW w:w="1191" w:type="dxa"/>
            <w:tcBorders>
              <w:top w:val="nil"/>
              <w:left w:val="nil"/>
              <w:bottom w:val="nil"/>
              <w:right w:val="nil"/>
            </w:tcBorders>
            <w:shd w:val="clear" w:color="auto" w:fill="auto"/>
            <w:noWrap/>
            <w:vAlign w:val="center"/>
            <w:hideMark/>
          </w:tcPr>
          <w:p w14:paraId="37AE3EA6"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-0,13</w:t>
            </w:r>
          </w:p>
        </w:tc>
      </w:tr>
      <w:tr w:rsidR="003A0696" w:rsidRPr="00EA66A4" w14:paraId="79CE733D" w14:textId="77777777" w:rsidTr="003A0696">
        <w:trPr>
          <w:trHeight w:val="254"/>
        </w:trPr>
        <w:tc>
          <w:tcPr>
            <w:tcW w:w="6439" w:type="dxa"/>
            <w:tcBorders>
              <w:top w:val="nil"/>
              <w:left w:val="nil"/>
              <w:bottom w:val="nil"/>
              <w:right w:val="nil"/>
            </w:tcBorders>
            <w:shd w:val="clear" w:color="auto" w:fill="auto"/>
            <w:noWrap/>
            <w:vAlign w:val="center"/>
            <w:hideMark/>
          </w:tcPr>
          <w:p w14:paraId="2E56A45B"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transfer Sociálnej poisťovni zo štátneho rozpočtu</w:t>
            </w:r>
          </w:p>
        </w:tc>
        <w:tc>
          <w:tcPr>
            <w:tcW w:w="1449" w:type="dxa"/>
            <w:tcBorders>
              <w:top w:val="nil"/>
              <w:left w:val="nil"/>
              <w:bottom w:val="nil"/>
              <w:right w:val="nil"/>
            </w:tcBorders>
            <w:shd w:val="clear" w:color="auto" w:fill="auto"/>
            <w:noWrap/>
            <w:vAlign w:val="center"/>
            <w:hideMark/>
          </w:tcPr>
          <w:p w14:paraId="4CEC110C" w14:textId="77777777" w:rsidR="003A0696" w:rsidRPr="00EA66A4" w:rsidRDefault="003A0696" w:rsidP="003A0696">
            <w:pPr>
              <w:spacing w:after="0" w:line="240" w:lineRule="auto"/>
              <w:jc w:val="right"/>
              <w:rPr>
                <w:rFonts w:eastAsia="Times New Roman" w:cs="Times New Roman"/>
                <w:sz w:val="18"/>
                <w:szCs w:val="18"/>
                <w:lang w:eastAsia="sk-SK"/>
              </w:rPr>
            </w:pPr>
            <w:r w:rsidRPr="00EA66A4">
              <w:rPr>
                <w:rFonts w:eastAsia="Times New Roman" w:cs="Times New Roman"/>
                <w:sz w:val="18"/>
                <w:szCs w:val="18"/>
                <w:lang w:eastAsia="sk-SK"/>
              </w:rPr>
              <w:t>-296 512</w:t>
            </w:r>
          </w:p>
        </w:tc>
        <w:tc>
          <w:tcPr>
            <w:tcW w:w="1191" w:type="dxa"/>
            <w:tcBorders>
              <w:top w:val="nil"/>
              <w:left w:val="nil"/>
              <w:bottom w:val="nil"/>
              <w:right w:val="nil"/>
            </w:tcBorders>
            <w:shd w:val="clear" w:color="auto" w:fill="auto"/>
            <w:noWrap/>
            <w:vAlign w:val="center"/>
            <w:hideMark/>
          </w:tcPr>
          <w:p w14:paraId="1756D8F8"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-0,27</w:t>
            </w:r>
          </w:p>
        </w:tc>
      </w:tr>
      <w:tr w:rsidR="003A0696" w:rsidRPr="00EA66A4" w14:paraId="5ECFF12A" w14:textId="77777777" w:rsidTr="003A0696">
        <w:trPr>
          <w:trHeight w:val="254"/>
        </w:trPr>
        <w:tc>
          <w:tcPr>
            <w:tcW w:w="6439" w:type="dxa"/>
            <w:tcBorders>
              <w:top w:val="nil"/>
              <w:left w:val="nil"/>
              <w:bottom w:val="nil"/>
              <w:right w:val="nil"/>
            </w:tcBorders>
            <w:shd w:val="clear" w:color="auto" w:fill="auto"/>
            <w:vAlign w:val="center"/>
            <w:hideMark/>
          </w:tcPr>
          <w:p w14:paraId="0027E081"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výdavkový transfer z verejnej časti ZP do súkromnej časti ZP </w:t>
            </w:r>
            <w:r w:rsidRPr="00EA66A4">
              <w:rPr>
                <w:rFonts w:eastAsia="Times New Roman" w:cs="Times New Roman"/>
                <w:color w:val="000000"/>
                <w:sz w:val="18"/>
                <w:szCs w:val="18"/>
                <w:lang w:eastAsia="sk-SK"/>
              </w:rPr>
              <w:br/>
              <w:t xml:space="preserve">        na výplatu akcionárovi</w:t>
            </w:r>
          </w:p>
        </w:tc>
        <w:tc>
          <w:tcPr>
            <w:tcW w:w="1449" w:type="dxa"/>
            <w:tcBorders>
              <w:top w:val="nil"/>
              <w:left w:val="nil"/>
              <w:bottom w:val="nil"/>
              <w:right w:val="nil"/>
            </w:tcBorders>
            <w:shd w:val="clear" w:color="auto" w:fill="auto"/>
            <w:noWrap/>
            <w:vAlign w:val="center"/>
            <w:hideMark/>
          </w:tcPr>
          <w:p w14:paraId="14DC535D"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-4 900</w:t>
            </w:r>
          </w:p>
        </w:tc>
        <w:tc>
          <w:tcPr>
            <w:tcW w:w="1191" w:type="dxa"/>
            <w:tcBorders>
              <w:top w:val="nil"/>
              <w:left w:val="nil"/>
              <w:bottom w:val="nil"/>
              <w:right w:val="nil"/>
            </w:tcBorders>
            <w:shd w:val="clear" w:color="auto" w:fill="auto"/>
            <w:noWrap/>
            <w:vAlign w:val="center"/>
            <w:hideMark/>
          </w:tcPr>
          <w:p w14:paraId="6376C77D"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-0,00</w:t>
            </w:r>
          </w:p>
        </w:tc>
      </w:tr>
      <w:tr w:rsidR="003A0696" w:rsidRPr="00EA66A4" w14:paraId="0C6D228E" w14:textId="77777777" w:rsidTr="003A0696">
        <w:trPr>
          <w:trHeight w:val="254"/>
        </w:trPr>
        <w:tc>
          <w:tcPr>
            <w:tcW w:w="6439" w:type="dxa"/>
            <w:tcBorders>
              <w:top w:val="nil"/>
              <w:left w:val="nil"/>
              <w:bottom w:val="nil"/>
              <w:right w:val="nil"/>
            </w:tcBorders>
            <w:shd w:val="clear" w:color="auto" w:fill="auto"/>
            <w:vAlign w:val="center"/>
            <w:hideMark/>
          </w:tcPr>
          <w:p w14:paraId="6A63B3BE"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platba za správu verejného zdravotného poistenia </w:t>
            </w:r>
            <w:proofErr w:type="spellStart"/>
            <w:r w:rsidRPr="00EA66A4">
              <w:rPr>
                <w:rFonts w:eastAsia="Times New Roman" w:cs="Times New Roman"/>
                <w:color w:val="000000"/>
                <w:sz w:val="18"/>
                <w:szCs w:val="18"/>
                <w:lang w:eastAsia="sk-SK"/>
              </w:rPr>
              <w:t>súkr</w:t>
            </w:r>
            <w:proofErr w:type="spellEnd"/>
            <w:r>
              <w:rPr>
                <w:rFonts w:eastAsia="Times New Roman" w:cs="Times New Roman"/>
                <w:color w:val="000000"/>
                <w:sz w:val="18"/>
                <w:szCs w:val="18"/>
                <w:lang w:eastAsia="sk-SK"/>
              </w:rPr>
              <w:t>.</w:t>
            </w:r>
            <w:r w:rsidRPr="00EA66A4">
              <w:rPr>
                <w:rFonts w:eastAsia="Times New Roman" w:cs="Times New Roman"/>
                <w:color w:val="000000"/>
                <w:sz w:val="18"/>
                <w:szCs w:val="18"/>
                <w:lang w:eastAsia="sk-SK"/>
              </w:rPr>
              <w:t xml:space="preserve"> zdrav. poisťovniam</w:t>
            </w:r>
          </w:p>
        </w:tc>
        <w:tc>
          <w:tcPr>
            <w:tcW w:w="1449" w:type="dxa"/>
            <w:tcBorders>
              <w:top w:val="nil"/>
              <w:left w:val="nil"/>
              <w:bottom w:val="nil"/>
              <w:right w:val="nil"/>
            </w:tcBorders>
            <w:shd w:val="clear" w:color="auto" w:fill="auto"/>
            <w:noWrap/>
            <w:vAlign w:val="center"/>
            <w:hideMark/>
          </w:tcPr>
          <w:p w14:paraId="0DF377E9"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-83 785</w:t>
            </w:r>
          </w:p>
        </w:tc>
        <w:tc>
          <w:tcPr>
            <w:tcW w:w="1191" w:type="dxa"/>
            <w:tcBorders>
              <w:top w:val="nil"/>
              <w:left w:val="nil"/>
              <w:bottom w:val="nil"/>
              <w:right w:val="nil"/>
            </w:tcBorders>
            <w:shd w:val="clear" w:color="auto" w:fill="auto"/>
            <w:noWrap/>
            <w:vAlign w:val="center"/>
            <w:hideMark/>
          </w:tcPr>
          <w:p w14:paraId="504BF119"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-0,08</w:t>
            </w:r>
          </w:p>
        </w:tc>
      </w:tr>
      <w:tr w:rsidR="003A0696" w:rsidRPr="00EA66A4" w14:paraId="58EC5CC4" w14:textId="77777777" w:rsidTr="003A0696">
        <w:trPr>
          <w:trHeight w:val="254"/>
        </w:trPr>
        <w:tc>
          <w:tcPr>
            <w:tcW w:w="6439" w:type="dxa"/>
            <w:tcBorders>
              <w:top w:val="nil"/>
              <w:left w:val="nil"/>
              <w:bottom w:val="nil"/>
              <w:right w:val="nil"/>
            </w:tcBorders>
            <w:shd w:val="clear" w:color="auto" w:fill="auto"/>
            <w:vAlign w:val="center"/>
          </w:tcPr>
          <w:p w14:paraId="51D3463A"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transfer VŠZP vložený formou vkladu do základného imania</w:t>
            </w:r>
          </w:p>
        </w:tc>
        <w:tc>
          <w:tcPr>
            <w:tcW w:w="1449" w:type="dxa"/>
            <w:tcBorders>
              <w:top w:val="nil"/>
              <w:left w:val="nil"/>
              <w:bottom w:val="nil"/>
              <w:right w:val="nil"/>
            </w:tcBorders>
            <w:shd w:val="clear" w:color="auto" w:fill="auto"/>
            <w:noWrap/>
            <w:vAlign w:val="center"/>
          </w:tcPr>
          <w:p w14:paraId="3139F218"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160 000</w:t>
            </w:r>
          </w:p>
        </w:tc>
        <w:tc>
          <w:tcPr>
            <w:tcW w:w="1191" w:type="dxa"/>
            <w:tcBorders>
              <w:top w:val="nil"/>
              <w:left w:val="nil"/>
              <w:bottom w:val="nil"/>
              <w:right w:val="nil"/>
            </w:tcBorders>
            <w:shd w:val="clear" w:color="auto" w:fill="auto"/>
            <w:noWrap/>
            <w:vAlign w:val="center"/>
          </w:tcPr>
          <w:p w14:paraId="17094016"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0,15</w:t>
            </w:r>
          </w:p>
        </w:tc>
      </w:tr>
      <w:tr w:rsidR="003A0696" w:rsidRPr="00EA66A4" w14:paraId="516658F1" w14:textId="77777777" w:rsidTr="003A0696">
        <w:trPr>
          <w:trHeight w:val="254"/>
        </w:trPr>
        <w:tc>
          <w:tcPr>
            <w:tcW w:w="6439" w:type="dxa"/>
            <w:tcBorders>
              <w:top w:val="nil"/>
              <w:left w:val="nil"/>
              <w:bottom w:val="nil"/>
              <w:right w:val="nil"/>
            </w:tcBorders>
            <w:shd w:val="clear" w:color="auto" w:fill="auto"/>
            <w:noWrap/>
            <w:vAlign w:val="center"/>
            <w:hideMark/>
          </w:tcPr>
          <w:p w14:paraId="7EAF9DB2"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ostatné</w:t>
            </w:r>
          </w:p>
        </w:tc>
        <w:tc>
          <w:tcPr>
            <w:tcW w:w="1449" w:type="dxa"/>
            <w:tcBorders>
              <w:top w:val="nil"/>
              <w:left w:val="nil"/>
              <w:bottom w:val="nil"/>
              <w:right w:val="nil"/>
            </w:tcBorders>
            <w:shd w:val="clear" w:color="auto" w:fill="auto"/>
            <w:noWrap/>
            <w:vAlign w:val="center"/>
            <w:hideMark/>
          </w:tcPr>
          <w:p w14:paraId="3241B558" w14:textId="77777777" w:rsidR="003A0696" w:rsidRPr="00EA66A4" w:rsidRDefault="003A0696" w:rsidP="003A0696">
            <w:pPr>
              <w:spacing w:after="0" w:line="240" w:lineRule="auto"/>
              <w:jc w:val="right"/>
              <w:rPr>
                <w:rFonts w:eastAsia="Times New Roman" w:cs="Times New Roman"/>
                <w:sz w:val="18"/>
                <w:szCs w:val="18"/>
                <w:lang w:eastAsia="sk-SK"/>
              </w:rPr>
            </w:pPr>
            <w:r w:rsidRPr="00EA66A4">
              <w:rPr>
                <w:rFonts w:eastAsia="Times New Roman" w:cs="Times New Roman"/>
                <w:sz w:val="18"/>
                <w:szCs w:val="18"/>
                <w:lang w:eastAsia="sk-SK"/>
              </w:rPr>
              <w:t>78 977</w:t>
            </w:r>
          </w:p>
        </w:tc>
        <w:tc>
          <w:tcPr>
            <w:tcW w:w="1191" w:type="dxa"/>
            <w:tcBorders>
              <w:top w:val="nil"/>
              <w:left w:val="nil"/>
              <w:bottom w:val="nil"/>
              <w:right w:val="nil"/>
            </w:tcBorders>
            <w:shd w:val="clear" w:color="auto" w:fill="auto"/>
            <w:noWrap/>
            <w:vAlign w:val="center"/>
            <w:hideMark/>
          </w:tcPr>
          <w:p w14:paraId="1DD6B83A"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0,07</w:t>
            </w:r>
          </w:p>
        </w:tc>
      </w:tr>
      <w:tr w:rsidR="003A0696" w:rsidRPr="00EA66A4" w14:paraId="7EC6E9D7" w14:textId="77777777" w:rsidTr="003A0696">
        <w:trPr>
          <w:trHeight w:val="254"/>
        </w:trPr>
        <w:tc>
          <w:tcPr>
            <w:tcW w:w="6439" w:type="dxa"/>
            <w:tcBorders>
              <w:top w:val="nil"/>
              <w:left w:val="nil"/>
              <w:bottom w:val="nil"/>
              <w:right w:val="nil"/>
            </w:tcBorders>
            <w:shd w:val="clear" w:color="auto" w:fill="auto"/>
            <w:vAlign w:val="center"/>
            <w:hideMark/>
          </w:tcPr>
          <w:p w14:paraId="5E6F0784"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 xml:space="preserve">8. Rozdiel v hospodárení subjektov ústredných správy </w:t>
            </w:r>
            <w:r w:rsidRPr="00EA66A4">
              <w:rPr>
                <w:rFonts w:eastAsia="Times New Roman" w:cs="Times New Roman"/>
                <w:b/>
                <w:bCs/>
                <w:color w:val="000000"/>
                <w:sz w:val="18"/>
                <w:szCs w:val="18"/>
                <w:lang w:eastAsia="sk-SK"/>
              </w:rPr>
              <w:br/>
              <w:t xml:space="preserve">    bez daňových príjmov</w:t>
            </w:r>
          </w:p>
        </w:tc>
        <w:tc>
          <w:tcPr>
            <w:tcW w:w="1449" w:type="dxa"/>
            <w:tcBorders>
              <w:top w:val="nil"/>
              <w:left w:val="nil"/>
              <w:bottom w:val="nil"/>
              <w:right w:val="nil"/>
            </w:tcBorders>
            <w:shd w:val="clear" w:color="auto" w:fill="auto"/>
            <w:noWrap/>
            <w:vAlign w:val="center"/>
            <w:hideMark/>
          </w:tcPr>
          <w:p w14:paraId="6480375B" w14:textId="77777777" w:rsidR="003A0696" w:rsidRPr="00EA66A4" w:rsidRDefault="003A0696" w:rsidP="003A0696">
            <w:pPr>
              <w:spacing w:after="0" w:line="240" w:lineRule="auto"/>
              <w:jc w:val="right"/>
              <w:rPr>
                <w:rFonts w:eastAsia="Times New Roman" w:cs="Times New Roman"/>
                <w:b/>
                <w:bCs/>
                <w:i/>
                <w:iCs/>
                <w:color w:val="000000"/>
                <w:sz w:val="18"/>
                <w:szCs w:val="18"/>
                <w:lang w:eastAsia="sk-SK"/>
              </w:rPr>
            </w:pPr>
            <w:r w:rsidRPr="00EA66A4">
              <w:rPr>
                <w:b/>
                <w:bCs/>
                <w:i/>
                <w:iCs/>
                <w:color w:val="000000"/>
                <w:sz w:val="18"/>
                <w:szCs w:val="18"/>
              </w:rPr>
              <w:t>628 973</w:t>
            </w:r>
          </w:p>
        </w:tc>
        <w:tc>
          <w:tcPr>
            <w:tcW w:w="1191" w:type="dxa"/>
            <w:tcBorders>
              <w:top w:val="nil"/>
              <w:left w:val="nil"/>
              <w:bottom w:val="nil"/>
              <w:right w:val="nil"/>
            </w:tcBorders>
            <w:shd w:val="clear" w:color="auto" w:fill="auto"/>
            <w:noWrap/>
            <w:vAlign w:val="center"/>
            <w:hideMark/>
          </w:tcPr>
          <w:p w14:paraId="25D8872F" w14:textId="77777777" w:rsidR="003A0696" w:rsidRPr="00EA66A4" w:rsidRDefault="003A0696" w:rsidP="003A0696">
            <w:pPr>
              <w:spacing w:after="0" w:line="240" w:lineRule="auto"/>
              <w:jc w:val="right"/>
              <w:rPr>
                <w:rFonts w:eastAsia="Times New Roman" w:cs="Times New Roman"/>
                <w:b/>
                <w:color w:val="000000"/>
                <w:sz w:val="18"/>
                <w:szCs w:val="18"/>
                <w:lang w:eastAsia="sk-SK"/>
              </w:rPr>
            </w:pPr>
            <w:r w:rsidRPr="00EA66A4">
              <w:rPr>
                <w:b/>
                <w:color w:val="000000"/>
                <w:sz w:val="18"/>
                <w:szCs w:val="18"/>
              </w:rPr>
              <w:t>0,57</w:t>
            </w:r>
          </w:p>
        </w:tc>
      </w:tr>
      <w:tr w:rsidR="003A0696" w:rsidRPr="00EA66A4" w14:paraId="62E797BD" w14:textId="77777777" w:rsidTr="003A0696">
        <w:trPr>
          <w:trHeight w:val="254"/>
        </w:trPr>
        <w:tc>
          <w:tcPr>
            <w:tcW w:w="6439" w:type="dxa"/>
            <w:tcBorders>
              <w:top w:val="nil"/>
              <w:left w:val="nil"/>
              <w:bottom w:val="nil"/>
              <w:right w:val="nil"/>
            </w:tcBorders>
            <w:shd w:val="clear" w:color="auto" w:fill="auto"/>
            <w:vAlign w:val="center"/>
            <w:hideMark/>
          </w:tcPr>
          <w:p w14:paraId="3005E028"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obchodné spoločnosti štátu</w:t>
            </w:r>
          </w:p>
        </w:tc>
        <w:tc>
          <w:tcPr>
            <w:tcW w:w="1449" w:type="dxa"/>
            <w:tcBorders>
              <w:top w:val="nil"/>
              <w:left w:val="nil"/>
              <w:bottom w:val="nil"/>
              <w:right w:val="nil"/>
            </w:tcBorders>
            <w:shd w:val="clear" w:color="auto" w:fill="auto"/>
            <w:noWrap/>
            <w:vAlign w:val="center"/>
            <w:hideMark/>
          </w:tcPr>
          <w:p w14:paraId="6C752C87"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85 283</w:t>
            </w:r>
          </w:p>
        </w:tc>
        <w:tc>
          <w:tcPr>
            <w:tcW w:w="1191" w:type="dxa"/>
            <w:tcBorders>
              <w:top w:val="nil"/>
              <w:left w:val="nil"/>
              <w:bottom w:val="nil"/>
              <w:right w:val="nil"/>
            </w:tcBorders>
            <w:shd w:val="clear" w:color="auto" w:fill="auto"/>
            <w:noWrap/>
            <w:vAlign w:val="center"/>
            <w:hideMark/>
          </w:tcPr>
          <w:p w14:paraId="663A3A9D"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0,08</w:t>
            </w:r>
          </w:p>
        </w:tc>
      </w:tr>
      <w:tr w:rsidR="003A0696" w:rsidRPr="00EA66A4" w14:paraId="079F211F" w14:textId="77777777" w:rsidTr="003A0696">
        <w:trPr>
          <w:trHeight w:val="254"/>
        </w:trPr>
        <w:tc>
          <w:tcPr>
            <w:tcW w:w="6439" w:type="dxa"/>
            <w:tcBorders>
              <w:top w:val="nil"/>
              <w:left w:val="nil"/>
              <w:bottom w:val="nil"/>
              <w:right w:val="nil"/>
            </w:tcBorders>
            <w:shd w:val="clear" w:color="auto" w:fill="auto"/>
            <w:vAlign w:val="center"/>
            <w:hideMark/>
          </w:tcPr>
          <w:p w14:paraId="69B50D6B"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Slovak </w:t>
            </w:r>
            <w:proofErr w:type="spellStart"/>
            <w:r w:rsidRPr="00EA66A4">
              <w:rPr>
                <w:rFonts w:eastAsia="Times New Roman" w:cs="Times New Roman"/>
                <w:color w:val="000000"/>
                <w:sz w:val="18"/>
                <w:szCs w:val="18"/>
                <w:lang w:eastAsia="sk-SK"/>
              </w:rPr>
              <w:t>Investment</w:t>
            </w:r>
            <w:proofErr w:type="spellEnd"/>
            <w:r w:rsidRPr="00EA66A4">
              <w:rPr>
                <w:rFonts w:eastAsia="Times New Roman" w:cs="Times New Roman"/>
                <w:color w:val="000000"/>
                <w:sz w:val="18"/>
                <w:szCs w:val="18"/>
                <w:lang w:eastAsia="sk-SK"/>
              </w:rPr>
              <w:t xml:space="preserve"> Holding (SIH)</w:t>
            </w:r>
            <w:r w:rsidRPr="00EA66A4">
              <w:rPr>
                <w:sz w:val="16"/>
                <w:szCs w:val="16"/>
                <w:vertAlign w:val="superscript"/>
              </w:rPr>
              <w:t xml:space="preserve"> </w:t>
            </w:r>
            <w:r>
              <w:rPr>
                <w:sz w:val="16"/>
                <w:szCs w:val="16"/>
                <w:vertAlign w:val="superscript"/>
              </w:rPr>
              <w:t>2</w:t>
            </w:r>
            <w:r w:rsidRPr="00EA66A4">
              <w:rPr>
                <w:sz w:val="16"/>
                <w:szCs w:val="16"/>
                <w:vertAlign w:val="superscript"/>
              </w:rPr>
              <w:t>)</w:t>
            </w:r>
          </w:p>
        </w:tc>
        <w:tc>
          <w:tcPr>
            <w:tcW w:w="1449" w:type="dxa"/>
            <w:tcBorders>
              <w:top w:val="nil"/>
              <w:left w:val="nil"/>
              <w:bottom w:val="nil"/>
              <w:right w:val="nil"/>
            </w:tcBorders>
            <w:shd w:val="clear" w:color="auto" w:fill="auto"/>
            <w:noWrap/>
            <w:vAlign w:val="center"/>
            <w:hideMark/>
          </w:tcPr>
          <w:p w14:paraId="61D0A0F4"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color w:val="000000"/>
                <w:sz w:val="18"/>
                <w:szCs w:val="18"/>
              </w:rPr>
              <w:t>40 252</w:t>
            </w:r>
          </w:p>
        </w:tc>
        <w:tc>
          <w:tcPr>
            <w:tcW w:w="1191" w:type="dxa"/>
            <w:tcBorders>
              <w:top w:val="nil"/>
              <w:left w:val="nil"/>
              <w:bottom w:val="nil"/>
              <w:right w:val="nil"/>
            </w:tcBorders>
            <w:shd w:val="clear" w:color="auto" w:fill="auto"/>
            <w:noWrap/>
            <w:vAlign w:val="center"/>
            <w:hideMark/>
          </w:tcPr>
          <w:p w14:paraId="1BBB9DBD"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color w:val="000000"/>
                <w:sz w:val="18"/>
                <w:szCs w:val="18"/>
              </w:rPr>
              <w:t>0,04</w:t>
            </w:r>
          </w:p>
        </w:tc>
      </w:tr>
      <w:tr w:rsidR="003A0696" w:rsidRPr="00EA66A4" w14:paraId="4CF387B4" w14:textId="77777777" w:rsidTr="003A0696">
        <w:trPr>
          <w:trHeight w:val="254"/>
        </w:trPr>
        <w:tc>
          <w:tcPr>
            <w:tcW w:w="6439" w:type="dxa"/>
            <w:tcBorders>
              <w:top w:val="nil"/>
              <w:left w:val="nil"/>
              <w:bottom w:val="nil"/>
              <w:right w:val="nil"/>
            </w:tcBorders>
            <w:shd w:val="clear" w:color="auto" w:fill="auto"/>
            <w:noWrap/>
            <w:vAlign w:val="center"/>
            <w:hideMark/>
          </w:tcPr>
          <w:p w14:paraId="7EC66458" w14:textId="77777777" w:rsidR="003A0696" w:rsidRPr="00EA66A4" w:rsidRDefault="003A0696" w:rsidP="003A0696">
            <w:pPr>
              <w:spacing w:after="0" w:line="240" w:lineRule="auto"/>
              <w:jc w:val="left"/>
              <w:rPr>
                <w:rFonts w:eastAsia="Times New Roman" w:cs="Times New Roman"/>
                <w:sz w:val="18"/>
                <w:szCs w:val="18"/>
                <w:lang w:eastAsia="sk-SK"/>
              </w:rPr>
            </w:pPr>
            <w:r w:rsidRPr="00EA66A4">
              <w:rPr>
                <w:rFonts w:eastAsia="Times New Roman" w:cs="Times New Roman"/>
                <w:sz w:val="18"/>
                <w:szCs w:val="18"/>
                <w:lang w:eastAsia="sk-SK"/>
              </w:rPr>
              <w:t xml:space="preserve">     - zdravotnícke zariadenia ústredné</w:t>
            </w:r>
          </w:p>
        </w:tc>
        <w:tc>
          <w:tcPr>
            <w:tcW w:w="1449" w:type="dxa"/>
            <w:tcBorders>
              <w:top w:val="nil"/>
              <w:left w:val="nil"/>
              <w:bottom w:val="nil"/>
              <w:right w:val="nil"/>
            </w:tcBorders>
            <w:shd w:val="clear" w:color="auto" w:fill="auto"/>
            <w:noWrap/>
            <w:vAlign w:val="center"/>
            <w:hideMark/>
          </w:tcPr>
          <w:p w14:paraId="1C048C1E" w14:textId="77777777" w:rsidR="003A0696" w:rsidRPr="00EA66A4" w:rsidRDefault="003A0696" w:rsidP="003A0696">
            <w:pPr>
              <w:spacing w:after="0" w:line="240" w:lineRule="auto"/>
              <w:jc w:val="right"/>
              <w:rPr>
                <w:rFonts w:eastAsia="Times New Roman" w:cs="Times New Roman"/>
                <w:sz w:val="18"/>
                <w:szCs w:val="18"/>
                <w:lang w:eastAsia="sk-SK"/>
              </w:rPr>
            </w:pPr>
            <w:r w:rsidRPr="00EA66A4">
              <w:rPr>
                <w:rFonts w:eastAsia="Times New Roman" w:cs="Times New Roman"/>
                <w:sz w:val="18"/>
                <w:szCs w:val="18"/>
                <w:lang w:eastAsia="sk-SK"/>
              </w:rPr>
              <w:t>263 128</w:t>
            </w:r>
          </w:p>
        </w:tc>
        <w:tc>
          <w:tcPr>
            <w:tcW w:w="1191" w:type="dxa"/>
            <w:tcBorders>
              <w:top w:val="nil"/>
              <w:left w:val="nil"/>
              <w:bottom w:val="nil"/>
              <w:right w:val="nil"/>
            </w:tcBorders>
            <w:shd w:val="clear" w:color="auto" w:fill="auto"/>
            <w:noWrap/>
            <w:vAlign w:val="center"/>
            <w:hideMark/>
          </w:tcPr>
          <w:p w14:paraId="75801005"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0,24</w:t>
            </w:r>
          </w:p>
        </w:tc>
      </w:tr>
      <w:tr w:rsidR="003A0696" w:rsidRPr="00EA66A4" w14:paraId="0D8183D3" w14:textId="77777777" w:rsidTr="003A0696">
        <w:trPr>
          <w:trHeight w:val="254"/>
        </w:trPr>
        <w:tc>
          <w:tcPr>
            <w:tcW w:w="6439" w:type="dxa"/>
            <w:tcBorders>
              <w:top w:val="nil"/>
              <w:left w:val="nil"/>
              <w:bottom w:val="nil"/>
              <w:right w:val="nil"/>
            </w:tcBorders>
            <w:shd w:val="clear" w:color="auto" w:fill="auto"/>
            <w:noWrap/>
            <w:vAlign w:val="center"/>
          </w:tcPr>
          <w:p w14:paraId="35A9CFD8" w14:textId="77777777" w:rsidR="003A0696" w:rsidRPr="00EA66A4" w:rsidRDefault="003A0696" w:rsidP="003A0696">
            <w:pPr>
              <w:spacing w:after="0" w:line="240" w:lineRule="auto"/>
              <w:jc w:val="left"/>
              <w:rPr>
                <w:rFonts w:eastAsia="Times New Roman" w:cs="Times New Roman"/>
                <w:sz w:val="18"/>
                <w:szCs w:val="18"/>
                <w:lang w:eastAsia="sk-SK"/>
              </w:rPr>
            </w:pPr>
            <w:r w:rsidRPr="00EA66A4">
              <w:rPr>
                <w:rFonts w:eastAsia="Times New Roman" w:cs="Times New Roman"/>
                <w:sz w:val="18"/>
                <w:szCs w:val="18"/>
                <w:lang w:eastAsia="sk-SK"/>
              </w:rPr>
              <w:t xml:space="preserve">     - PO štátu</w:t>
            </w:r>
          </w:p>
        </w:tc>
        <w:tc>
          <w:tcPr>
            <w:tcW w:w="1449" w:type="dxa"/>
            <w:tcBorders>
              <w:top w:val="nil"/>
              <w:left w:val="nil"/>
              <w:bottom w:val="nil"/>
              <w:right w:val="nil"/>
            </w:tcBorders>
            <w:shd w:val="clear" w:color="auto" w:fill="auto"/>
            <w:noWrap/>
            <w:vAlign w:val="center"/>
          </w:tcPr>
          <w:p w14:paraId="4E9767EF" w14:textId="77777777" w:rsidR="003A0696" w:rsidRPr="00EA66A4" w:rsidRDefault="003A0696" w:rsidP="003A0696">
            <w:pPr>
              <w:spacing w:after="0" w:line="240" w:lineRule="auto"/>
              <w:jc w:val="right"/>
              <w:rPr>
                <w:rFonts w:eastAsia="Times New Roman" w:cs="Times New Roman"/>
                <w:sz w:val="18"/>
                <w:szCs w:val="18"/>
                <w:lang w:eastAsia="sk-SK"/>
              </w:rPr>
            </w:pPr>
            <w:r w:rsidRPr="00EA66A4">
              <w:rPr>
                <w:rFonts w:eastAsia="Times New Roman" w:cs="Times New Roman"/>
                <w:sz w:val="18"/>
                <w:szCs w:val="18"/>
                <w:lang w:eastAsia="sk-SK"/>
              </w:rPr>
              <w:t>47 362</w:t>
            </w:r>
          </w:p>
        </w:tc>
        <w:tc>
          <w:tcPr>
            <w:tcW w:w="1191" w:type="dxa"/>
            <w:tcBorders>
              <w:top w:val="nil"/>
              <w:left w:val="nil"/>
              <w:bottom w:val="nil"/>
              <w:right w:val="nil"/>
            </w:tcBorders>
            <w:shd w:val="clear" w:color="auto" w:fill="auto"/>
            <w:noWrap/>
            <w:vAlign w:val="center"/>
          </w:tcPr>
          <w:p w14:paraId="217B2D31"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0,04</w:t>
            </w:r>
          </w:p>
        </w:tc>
      </w:tr>
      <w:tr w:rsidR="003A0696" w:rsidRPr="00EA66A4" w14:paraId="7131EC02" w14:textId="77777777" w:rsidTr="003A0696">
        <w:trPr>
          <w:trHeight w:val="254"/>
        </w:trPr>
        <w:tc>
          <w:tcPr>
            <w:tcW w:w="6439" w:type="dxa"/>
            <w:tcBorders>
              <w:top w:val="nil"/>
              <w:left w:val="nil"/>
              <w:bottom w:val="nil"/>
              <w:right w:val="nil"/>
            </w:tcBorders>
            <w:shd w:val="clear" w:color="auto" w:fill="auto"/>
            <w:noWrap/>
            <w:vAlign w:val="center"/>
            <w:hideMark/>
          </w:tcPr>
          <w:p w14:paraId="3CAAF305"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štátne fondy bez vplyvu príjmov z emisných kvót</w:t>
            </w:r>
          </w:p>
        </w:tc>
        <w:tc>
          <w:tcPr>
            <w:tcW w:w="1449" w:type="dxa"/>
            <w:tcBorders>
              <w:top w:val="nil"/>
              <w:left w:val="nil"/>
              <w:bottom w:val="nil"/>
              <w:right w:val="nil"/>
            </w:tcBorders>
            <w:shd w:val="clear" w:color="auto" w:fill="auto"/>
            <w:noWrap/>
            <w:vAlign w:val="center"/>
            <w:hideMark/>
          </w:tcPr>
          <w:p w14:paraId="0539D798"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-23 619</w:t>
            </w:r>
          </w:p>
        </w:tc>
        <w:tc>
          <w:tcPr>
            <w:tcW w:w="1191" w:type="dxa"/>
            <w:tcBorders>
              <w:top w:val="nil"/>
              <w:left w:val="nil"/>
              <w:bottom w:val="nil"/>
              <w:right w:val="nil"/>
            </w:tcBorders>
            <w:shd w:val="clear" w:color="auto" w:fill="auto"/>
            <w:noWrap/>
            <w:vAlign w:val="center"/>
            <w:hideMark/>
          </w:tcPr>
          <w:p w14:paraId="17108E5B"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-0,02</w:t>
            </w:r>
          </w:p>
        </w:tc>
      </w:tr>
      <w:tr w:rsidR="003A0696" w:rsidRPr="00EA66A4" w14:paraId="0DC20FDB" w14:textId="77777777" w:rsidTr="003A0696">
        <w:trPr>
          <w:trHeight w:val="254"/>
        </w:trPr>
        <w:tc>
          <w:tcPr>
            <w:tcW w:w="6439" w:type="dxa"/>
            <w:tcBorders>
              <w:top w:val="nil"/>
              <w:left w:val="nil"/>
              <w:bottom w:val="nil"/>
              <w:right w:val="nil"/>
            </w:tcBorders>
            <w:shd w:val="clear" w:color="auto" w:fill="auto"/>
            <w:noWrap/>
            <w:vAlign w:val="center"/>
            <w:hideMark/>
          </w:tcPr>
          <w:p w14:paraId="2337F659"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ostatné subjekty ústrednej správy</w:t>
            </w:r>
          </w:p>
        </w:tc>
        <w:tc>
          <w:tcPr>
            <w:tcW w:w="1449" w:type="dxa"/>
            <w:tcBorders>
              <w:top w:val="nil"/>
              <w:left w:val="nil"/>
              <w:bottom w:val="nil"/>
              <w:right w:val="nil"/>
            </w:tcBorders>
            <w:shd w:val="clear" w:color="auto" w:fill="auto"/>
            <w:noWrap/>
            <w:vAlign w:val="center"/>
            <w:hideMark/>
          </w:tcPr>
          <w:p w14:paraId="34F28448" w14:textId="77777777" w:rsidR="003A0696" w:rsidRPr="00EA66A4" w:rsidRDefault="003A0696" w:rsidP="003A0696">
            <w:pPr>
              <w:spacing w:after="0" w:line="240" w:lineRule="auto"/>
              <w:jc w:val="right"/>
              <w:rPr>
                <w:rFonts w:eastAsia="Times New Roman" w:cs="Times New Roman"/>
                <w:color w:val="FF0000"/>
                <w:sz w:val="18"/>
                <w:szCs w:val="18"/>
                <w:lang w:eastAsia="sk-SK"/>
              </w:rPr>
            </w:pPr>
            <w:r w:rsidRPr="00EA66A4">
              <w:rPr>
                <w:rFonts w:eastAsia="Times New Roman" w:cs="Times New Roman"/>
                <w:sz w:val="18"/>
                <w:szCs w:val="18"/>
                <w:lang w:eastAsia="sk-SK"/>
              </w:rPr>
              <w:t>216 567</w:t>
            </w:r>
          </w:p>
        </w:tc>
        <w:tc>
          <w:tcPr>
            <w:tcW w:w="1191" w:type="dxa"/>
            <w:tcBorders>
              <w:top w:val="nil"/>
              <w:left w:val="nil"/>
              <w:bottom w:val="nil"/>
              <w:right w:val="nil"/>
            </w:tcBorders>
            <w:shd w:val="clear" w:color="auto" w:fill="auto"/>
            <w:noWrap/>
            <w:vAlign w:val="center"/>
            <w:hideMark/>
          </w:tcPr>
          <w:p w14:paraId="56C990BA"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0,20</w:t>
            </w:r>
          </w:p>
        </w:tc>
      </w:tr>
      <w:tr w:rsidR="003A0696" w:rsidRPr="00EA66A4" w14:paraId="612F9628" w14:textId="77777777" w:rsidTr="003A0696">
        <w:trPr>
          <w:trHeight w:val="254"/>
        </w:trPr>
        <w:tc>
          <w:tcPr>
            <w:tcW w:w="6439" w:type="dxa"/>
            <w:tcBorders>
              <w:top w:val="nil"/>
              <w:left w:val="nil"/>
              <w:bottom w:val="nil"/>
              <w:right w:val="nil"/>
            </w:tcBorders>
            <w:shd w:val="clear" w:color="auto" w:fill="auto"/>
            <w:vAlign w:val="center"/>
            <w:hideMark/>
          </w:tcPr>
          <w:p w14:paraId="68E707B1"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9. Rozdiel v hospodárení územnej samosprávy bez daňových príjmov</w:t>
            </w:r>
          </w:p>
        </w:tc>
        <w:tc>
          <w:tcPr>
            <w:tcW w:w="1449" w:type="dxa"/>
            <w:tcBorders>
              <w:top w:val="nil"/>
              <w:left w:val="nil"/>
              <w:bottom w:val="nil"/>
              <w:right w:val="nil"/>
            </w:tcBorders>
            <w:shd w:val="clear" w:color="auto" w:fill="auto"/>
            <w:noWrap/>
            <w:vAlign w:val="center"/>
            <w:hideMark/>
          </w:tcPr>
          <w:p w14:paraId="021F07EB" w14:textId="77777777" w:rsidR="003A0696" w:rsidRPr="00EA66A4" w:rsidRDefault="003A0696" w:rsidP="003A0696">
            <w:pPr>
              <w:spacing w:after="0" w:line="240" w:lineRule="auto"/>
              <w:jc w:val="right"/>
              <w:rPr>
                <w:rFonts w:eastAsia="Times New Roman" w:cs="Times New Roman"/>
                <w:b/>
                <w:bCs/>
                <w:i/>
                <w:iCs/>
                <w:color w:val="000000"/>
                <w:sz w:val="18"/>
                <w:szCs w:val="18"/>
                <w:lang w:eastAsia="sk-SK"/>
              </w:rPr>
            </w:pPr>
            <w:r w:rsidRPr="00EA66A4">
              <w:rPr>
                <w:rFonts w:eastAsia="Times New Roman" w:cs="Times New Roman"/>
                <w:b/>
                <w:bCs/>
                <w:i/>
                <w:iCs/>
                <w:color w:val="000000"/>
                <w:sz w:val="18"/>
                <w:szCs w:val="18"/>
                <w:lang w:eastAsia="sk-SK"/>
              </w:rPr>
              <w:t>-240 393</w:t>
            </w:r>
          </w:p>
        </w:tc>
        <w:tc>
          <w:tcPr>
            <w:tcW w:w="1191" w:type="dxa"/>
            <w:tcBorders>
              <w:top w:val="nil"/>
              <w:left w:val="nil"/>
              <w:bottom w:val="nil"/>
              <w:right w:val="nil"/>
            </w:tcBorders>
            <w:shd w:val="clear" w:color="auto" w:fill="auto"/>
            <w:noWrap/>
            <w:vAlign w:val="center"/>
            <w:hideMark/>
          </w:tcPr>
          <w:p w14:paraId="7B7F6416" w14:textId="77777777" w:rsidR="003A0696" w:rsidRPr="00EA66A4" w:rsidRDefault="003A0696" w:rsidP="003A0696">
            <w:pPr>
              <w:spacing w:after="0" w:line="240" w:lineRule="auto"/>
              <w:jc w:val="right"/>
              <w:rPr>
                <w:rFonts w:eastAsia="Times New Roman" w:cs="Times New Roman"/>
                <w:b/>
                <w:color w:val="000000"/>
                <w:sz w:val="18"/>
                <w:szCs w:val="18"/>
                <w:lang w:eastAsia="sk-SK"/>
              </w:rPr>
            </w:pPr>
            <w:r w:rsidRPr="00EA66A4">
              <w:rPr>
                <w:rFonts w:eastAsia="Times New Roman" w:cs="Times New Roman"/>
                <w:b/>
                <w:color w:val="000000"/>
                <w:sz w:val="18"/>
                <w:szCs w:val="18"/>
                <w:lang w:eastAsia="sk-SK"/>
              </w:rPr>
              <w:t>0,22</w:t>
            </w:r>
          </w:p>
        </w:tc>
      </w:tr>
      <w:tr w:rsidR="003A0696" w:rsidRPr="00EA66A4" w14:paraId="6D436810" w14:textId="77777777" w:rsidTr="003A0696">
        <w:trPr>
          <w:trHeight w:val="254"/>
        </w:trPr>
        <w:tc>
          <w:tcPr>
            <w:tcW w:w="6439" w:type="dxa"/>
            <w:tcBorders>
              <w:top w:val="nil"/>
              <w:left w:val="nil"/>
              <w:bottom w:val="nil"/>
              <w:right w:val="nil"/>
            </w:tcBorders>
            <w:shd w:val="clear" w:color="auto" w:fill="auto"/>
            <w:vAlign w:val="center"/>
            <w:hideMark/>
          </w:tcPr>
          <w:p w14:paraId="79A0582A"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obce</w:t>
            </w:r>
          </w:p>
        </w:tc>
        <w:tc>
          <w:tcPr>
            <w:tcW w:w="1449" w:type="dxa"/>
            <w:tcBorders>
              <w:top w:val="nil"/>
              <w:left w:val="nil"/>
              <w:bottom w:val="nil"/>
              <w:right w:val="nil"/>
            </w:tcBorders>
            <w:shd w:val="clear" w:color="auto" w:fill="auto"/>
            <w:noWrap/>
            <w:vAlign w:val="center"/>
            <w:hideMark/>
          </w:tcPr>
          <w:p w14:paraId="17634915"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-126 676</w:t>
            </w:r>
          </w:p>
        </w:tc>
        <w:tc>
          <w:tcPr>
            <w:tcW w:w="1191" w:type="dxa"/>
            <w:tcBorders>
              <w:top w:val="nil"/>
              <w:left w:val="nil"/>
              <w:bottom w:val="nil"/>
              <w:right w:val="nil"/>
            </w:tcBorders>
            <w:shd w:val="clear" w:color="auto" w:fill="auto"/>
            <w:noWrap/>
            <w:vAlign w:val="center"/>
            <w:hideMark/>
          </w:tcPr>
          <w:p w14:paraId="56F76DFD"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-0,12</w:t>
            </w:r>
          </w:p>
        </w:tc>
      </w:tr>
      <w:tr w:rsidR="003A0696" w:rsidRPr="00EA66A4" w14:paraId="3DC9BA0F" w14:textId="77777777" w:rsidTr="003A0696">
        <w:trPr>
          <w:trHeight w:val="254"/>
        </w:trPr>
        <w:tc>
          <w:tcPr>
            <w:tcW w:w="6439" w:type="dxa"/>
            <w:tcBorders>
              <w:top w:val="nil"/>
              <w:left w:val="nil"/>
              <w:bottom w:val="nil"/>
              <w:right w:val="nil"/>
            </w:tcBorders>
            <w:shd w:val="clear" w:color="auto" w:fill="auto"/>
            <w:vAlign w:val="center"/>
            <w:hideMark/>
          </w:tcPr>
          <w:p w14:paraId="4DFC0FE5"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VÚC</w:t>
            </w:r>
          </w:p>
        </w:tc>
        <w:tc>
          <w:tcPr>
            <w:tcW w:w="1449" w:type="dxa"/>
            <w:tcBorders>
              <w:top w:val="nil"/>
              <w:left w:val="nil"/>
              <w:bottom w:val="nil"/>
              <w:right w:val="nil"/>
            </w:tcBorders>
            <w:shd w:val="clear" w:color="auto" w:fill="auto"/>
            <w:noWrap/>
            <w:vAlign w:val="center"/>
            <w:hideMark/>
          </w:tcPr>
          <w:p w14:paraId="59FA9530"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-149 052</w:t>
            </w:r>
          </w:p>
        </w:tc>
        <w:tc>
          <w:tcPr>
            <w:tcW w:w="1191" w:type="dxa"/>
            <w:tcBorders>
              <w:top w:val="nil"/>
              <w:left w:val="nil"/>
              <w:bottom w:val="nil"/>
              <w:right w:val="nil"/>
            </w:tcBorders>
            <w:shd w:val="clear" w:color="auto" w:fill="auto"/>
            <w:noWrap/>
            <w:vAlign w:val="center"/>
            <w:hideMark/>
          </w:tcPr>
          <w:p w14:paraId="7D3A39D6"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-0,14</w:t>
            </w:r>
          </w:p>
        </w:tc>
      </w:tr>
      <w:tr w:rsidR="003A0696" w:rsidRPr="00EA66A4" w14:paraId="579C74BE" w14:textId="77777777" w:rsidTr="003A0696">
        <w:trPr>
          <w:trHeight w:val="254"/>
        </w:trPr>
        <w:tc>
          <w:tcPr>
            <w:tcW w:w="6439" w:type="dxa"/>
            <w:tcBorders>
              <w:top w:val="nil"/>
              <w:left w:val="nil"/>
              <w:bottom w:val="nil"/>
              <w:right w:val="nil"/>
            </w:tcBorders>
            <w:shd w:val="clear" w:color="auto" w:fill="auto"/>
            <w:vAlign w:val="center"/>
            <w:hideMark/>
          </w:tcPr>
          <w:p w14:paraId="7EF399E7"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dopravné podniky</w:t>
            </w:r>
          </w:p>
        </w:tc>
        <w:tc>
          <w:tcPr>
            <w:tcW w:w="1449" w:type="dxa"/>
            <w:tcBorders>
              <w:top w:val="nil"/>
              <w:left w:val="nil"/>
              <w:bottom w:val="nil"/>
              <w:right w:val="nil"/>
            </w:tcBorders>
            <w:shd w:val="clear" w:color="auto" w:fill="auto"/>
            <w:noWrap/>
            <w:vAlign w:val="center"/>
            <w:hideMark/>
          </w:tcPr>
          <w:p w14:paraId="6264258E"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14 704</w:t>
            </w:r>
          </w:p>
        </w:tc>
        <w:tc>
          <w:tcPr>
            <w:tcW w:w="1191" w:type="dxa"/>
            <w:tcBorders>
              <w:top w:val="nil"/>
              <w:left w:val="nil"/>
              <w:bottom w:val="nil"/>
              <w:right w:val="nil"/>
            </w:tcBorders>
            <w:shd w:val="clear" w:color="auto" w:fill="auto"/>
            <w:noWrap/>
            <w:vAlign w:val="center"/>
            <w:hideMark/>
          </w:tcPr>
          <w:p w14:paraId="3701B57E"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0,01</w:t>
            </w:r>
          </w:p>
        </w:tc>
      </w:tr>
      <w:tr w:rsidR="003A0696" w:rsidRPr="00EA66A4" w14:paraId="7F60E033" w14:textId="77777777" w:rsidTr="003A0696">
        <w:trPr>
          <w:trHeight w:val="254"/>
        </w:trPr>
        <w:tc>
          <w:tcPr>
            <w:tcW w:w="6439" w:type="dxa"/>
            <w:tcBorders>
              <w:top w:val="nil"/>
              <w:left w:val="nil"/>
              <w:bottom w:val="nil"/>
              <w:right w:val="nil"/>
            </w:tcBorders>
            <w:shd w:val="clear" w:color="auto" w:fill="auto"/>
            <w:vAlign w:val="center"/>
            <w:hideMark/>
          </w:tcPr>
          <w:p w14:paraId="2837924A"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príspevkové organizácie obcí a VÚC</w:t>
            </w:r>
          </w:p>
        </w:tc>
        <w:tc>
          <w:tcPr>
            <w:tcW w:w="1449" w:type="dxa"/>
            <w:tcBorders>
              <w:top w:val="nil"/>
              <w:left w:val="nil"/>
              <w:bottom w:val="nil"/>
              <w:right w:val="nil"/>
            </w:tcBorders>
            <w:shd w:val="clear" w:color="auto" w:fill="auto"/>
            <w:noWrap/>
            <w:vAlign w:val="center"/>
            <w:hideMark/>
          </w:tcPr>
          <w:p w14:paraId="76F3DE9F"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-15 587</w:t>
            </w:r>
          </w:p>
        </w:tc>
        <w:tc>
          <w:tcPr>
            <w:tcW w:w="1191" w:type="dxa"/>
            <w:tcBorders>
              <w:top w:val="nil"/>
              <w:left w:val="nil"/>
              <w:bottom w:val="nil"/>
              <w:right w:val="nil"/>
            </w:tcBorders>
            <w:shd w:val="clear" w:color="auto" w:fill="auto"/>
            <w:noWrap/>
            <w:vAlign w:val="center"/>
            <w:hideMark/>
          </w:tcPr>
          <w:p w14:paraId="04B06D61"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-0,01</w:t>
            </w:r>
          </w:p>
        </w:tc>
      </w:tr>
      <w:tr w:rsidR="003A0696" w:rsidRPr="00EA66A4" w14:paraId="4B42058A" w14:textId="77777777" w:rsidTr="003A0696">
        <w:trPr>
          <w:trHeight w:val="254"/>
        </w:trPr>
        <w:tc>
          <w:tcPr>
            <w:tcW w:w="6439" w:type="dxa"/>
            <w:tcBorders>
              <w:top w:val="nil"/>
              <w:left w:val="nil"/>
              <w:bottom w:val="nil"/>
              <w:right w:val="nil"/>
            </w:tcBorders>
            <w:shd w:val="clear" w:color="auto" w:fill="auto"/>
            <w:vAlign w:val="center"/>
            <w:hideMark/>
          </w:tcPr>
          <w:p w14:paraId="42860D0C"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zdravotnícke zariadenia územnej samosprávy</w:t>
            </w:r>
          </w:p>
        </w:tc>
        <w:tc>
          <w:tcPr>
            <w:tcW w:w="1449" w:type="dxa"/>
            <w:tcBorders>
              <w:top w:val="nil"/>
              <w:left w:val="nil"/>
              <w:bottom w:val="nil"/>
              <w:right w:val="nil"/>
            </w:tcBorders>
            <w:shd w:val="clear" w:color="auto" w:fill="auto"/>
            <w:noWrap/>
            <w:vAlign w:val="center"/>
            <w:hideMark/>
          </w:tcPr>
          <w:p w14:paraId="2BAF5D67"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29 102</w:t>
            </w:r>
          </w:p>
        </w:tc>
        <w:tc>
          <w:tcPr>
            <w:tcW w:w="1191" w:type="dxa"/>
            <w:tcBorders>
              <w:top w:val="nil"/>
              <w:left w:val="nil"/>
              <w:bottom w:val="nil"/>
              <w:right w:val="nil"/>
            </w:tcBorders>
            <w:shd w:val="clear" w:color="auto" w:fill="auto"/>
            <w:noWrap/>
            <w:vAlign w:val="center"/>
            <w:hideMark/>
          </w:tcPr>
          <w:p w14:paraId="019EFC4F"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0,03</w:t>
            </w:r>
          </w:p>
        </w:tc>
      </w:tr>
      <w:tr w:rsidR="003A0696" w:rsidRPr="00EA66A4" w14:paraId="64EF09CA" w14:textId="77777777" w:rsidTr="003A0696">
        <w:trPr>
          <w:trHeight w:val="254"/>
        </w:trPr>
        <w:tc>
          <w:tcPr>
            <w:tcW w:w="6439" w:type="dxa"/>
            <w:tcBorders>
              <w:top w:val="nil"/>
              <w:left w:val="nil"/>
              <w:bottom w:val="single" w:sz="4" w:space="0" w:color="auto"/>
              <w:right w:val="nil"/>
            </w:tcBorders>
            <w:shd w:val="clear" w:color="auto" w:fill="auto"/>
            <w:vAlign w:val="center"/>
            <w:hideMark/>
          </w:tcPr>
          <w:p w14:paraId="3EDB6ABB" w14:textId="77777777" w:rsidR="003A0696" w:rsidRPr="00EA66A4" w:rsidRDefault="003A0696" w:rsidP="003A0696">
            <w:pPr>
              <w:spacing w:after="0" w:line="240" w:lineRule="auto"/>
              <w:jc w:val="left"/>
              <w:rPr>
                <w:rFonts w:eastAsia="Times New Roman" w:cs="Times New Roman"/>
                <w:color w:val="000000"/>
                <w:sz w:val="18"/>
                <w:szCs w:val="18"/>
                <w:lang w:eastAsia="sk-SK"/>
              </w:rPr>
            </w:pPr>
            <w:r w:rsidRPr="00EA66A4">
              <w:rPr>
                <w:rFonts w:eastAsia="Times New Roman" w:cs="Times New Roman"/>
                <w:color w:val="000000"/>
                <w:sz w:val="18"/>
                <w:szCs w:val="18"/>
                <w:lang w:eastAsia="sk-SK"/>
              </w:rPr>
              <w:t xml:space="preserve">     - ostatné subjekty územnej samosprávy</w:t>
            </w:r>
          </w:p>
        </w:tc>
        <w:tc>
          <w:tcPr>
            <w:tcW w:w="1449" w:type="dxa"/>
            <w:tcBorders>
              <w:top w:val="nil"/>
              <w:left w:val="nil"/>
              <w:bottom w:val="single" w:sz="4" w:space="0" w:color="auto"/>
              <w:right w:val="nil"/>
            </w:tcBorders>
            <w:shd w:val="clear" w:color="auto" w:fill="auto"/>
            <w:noWrap/>
            <w:vAlign w:val="center"/>
            <w:hideMark/>
          </w:tcPr>
          <w:p w14:paraId="029A66F2"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7 116</w:t>
            </w:r>
          </w:p>
        </w:tc>
        <w:tc>
          <w:tcPr>
            <w:tcW w:w="1191" w:type="dxa"/>
            <w:tcBorders>
              <w:top w:val="nil"/>
              <w:left w:val="nil"/>
              <w:bottom w:val="single" w:sz="4" w:space="0" w:color="auto"/>
              <w:right w:val="nil"/>
            </w:tcBorders>
            <w:shd w:val="clear" w:color="auto" w:fill="auto"/>
            <w:noWrap/>
            <w:vAlign w:val="center"/>
            <w:hideMark/>
          </w:tcPr>
          <w:p w14:paraId="786C11AD" w14:textId="77777777" w:rsidR="003A0696" w:rsidRPr="00EA66A4" w:rsidRDefault="003A0696" w:rsidP="003A0696">
            <w:pPr>
              <w:spacing w:after="0" w:line="240" w:lineRule="auto"/>
              <w:jc w:val="right"/>
              <w:rPr>
                <w:rFonts w:eastAsia="Times New Roman" w:cs="Times New Roman"/>
                <w:color w:val="000000"/>
                <w:sz w:val="18"/>
                <w:szCs w:val="18"/>
                <w:lang w:eastAsia="sk-SK"/>
              </w:rPr>
            </w:pPr>
            <w:r w:rsidRPr="00EA66A4">
              <w:rPr>
                <w:rFonts w:eastAsia="Times New Roman" w:cs="Times New Roman"/>
                <w:color w:val="000000"/>
                <w:sz w:val="18"/>
                <w:szCs w:val="18"/>
                <w:lang w:eastAsia="sk-SK"/>
              </w:rPr>
              <w:t>0,01</w:t>
            </w:r>
          </w:p>
        </w:tc>
      </w:tr>
      <w:tr w:rsidR="003A0696" w:rsidRPr="00EA66A4" w14:paraId="149DBDB2" w14:textId="77777777" w:rsidTr="003A0696">
        <w:trPr>
          <w:trHeight w:val="254"/>
        </w:trPr>
        <w:tc>
          <w:tcPr>
            <w:tcW w:w="6439" w:type="dxa"/>
            <w:tcBorders>
              <w:top w:val="single" w:sz="4" w:space="0" w:color="auto"/>
              <w:left w:val="nil"/>
              <w:bottom w:val="single" w:sz="4" w:space="0" w:color="auto"/>
              <w:right w:val="nil"/>
            </w:tcBorders>
            <w:shd w:val="clear" w:color="auto" w:fill="auto"/>
            <w:vAlign w:val="center"/>
            <w:hideMark/>
          </w:tcPr>
          <w:p w14:paraId="41578989" w14:textId="77777777" w:rsidR="003A0696" w:rsidRPr="00EA66A4" w:rsidRDefault="003A0696" w:rsidP="003A0696">
            <w:pPr>
              <w:spacing w:after="0" w:line="240" w:lineRule="auto"/>
              <w:jc w:val="left"/>
              <w:rPr>
                <w:rFonts w:eastAsia="Times New Roman" w:cs="Times New Roman"/>
                <w:b/>
                <w:bCs/>
                <w:color w:val="000000"/>
                <w:sz w:val="18"/>
                <w:szCs w:val="18"/>
                <w:lang w:eastAsia="sk-SK"/>
              </w:rPr>
            </w:pPr>
            <w:r w:rsidRPr="00EA66A4">
              <w:rPr>
                <w:rFonts w:eastAsia="Times New Roman" w:cs="Times New Roman"/>
                <w:b/>
                <w:bCs/>
                <w:color w:val="000000"/>
                <w:sz w:val="18"/>
                <w:szCs w:val="18"/>
                <w:lang w:eastAsia="sk-SK"/>
              </w:rPr>
              <w:t>Saldo verejnej správy - skutočnosť</w:t>
            </w:r>
          </w:p>
        </w:tc>
        <w:tc>
          <w:tcPr>
            <w:tcW w:w="1449" w:type="dxa"/>
            <w:tcBorders>
              <w:top w:val="single" w:sz="4" w:space="0" w:color="auto"/>
              <w:left w:val="nil"/>
              <w:bottom w:val="single" w:sz="4" w:space="0" w:color="auto"/>
              <w:right w:val="nil"/>
            </w:tcBorders>
            <w:shd w:val="clear" w:color="auto" w:fill="auto"/>
            <w:noWrap/>
            <w:vAlign w:val="center"/>
            <w:hideMark/>
          </w:tcPr>
          <w:p w14:paraId="56442FF9" w14:textId="77777777" w:rsidR="003A0696" w:rsidRPr="00EA66A4" w:rsidRDefault="003A0696" w:rsidP="003A0696">
            <w:pPr>
              <w:spacing w:after="0" w:line="240" w:lineRule="auto"/>
              <w:jc w:val="right"/>
              <w:rPr>
                <w:rFonts w:eastAsia="Times New Roman" w:cs="Times New Roman"/>
                <w:b/>
                <w:bCs/>
                <w:color w:val="000000"/>
                <w:sz w:val="18"/>
                <w:szCs w:val="18"/>
                <w:lang w:eastAsia="sk-SK"/>
              </w:rPr>
            </w:pPr>
            <w:r w:rsidRPr="00EA66A4">
              <w:rPr>
                <w:b/>
                <w:bCs/>
                <w:color w:val="000000"/>
                <w:sz w:val="18"/>
                <w:szCs w:val="18"/>
              </w:rPr>
              <w:t>-2 233 781</w:t>
            </w:r>
          </w:p>
        </w:tc>
        <w:tc>
          <w:tcPr>
            <w:tcW w:w="1191" w:type="dxa"/>
            <w:tcBorders>
              <w:top w:val="single" w:sz="4" w:space="0" w:color="auto"/>
              <w:left w:val="nil"/>
              <w:bottom w:val="single" w:sz="4" w:space="0" w:color="auto"/>
              <w:right w:val="nil"/>
            </w:tcBorders>
            <w:shd w:val="clear" w:color="auto" w:fill="auto"/>
            <w:noWrap/>
            <w:vAlign w:val="center"/>
            <w:hideMark/>
          </w:tcPr>
          <w:p w14:paraId="10F1502E" w14:textId="77777777" w:rsidR="003A0696" w:rsidRPr="00EA66A4" w:rsidRDefault="003A0696" w:rsidP="003A0696">
            <w:pPr>
              <w:spacing w:after="0" w:line="240" w:lineRule="auto"/>
              <w:jc w:val="right"/>
              <w:rPr>
                <w:rFonts w:eastAsia="Times New Roman" w:cs="Times New Roman"/>
                <w:b/>
                <w:bCs/>
                <w:color w:val="000000"/>
                <w:sz w:val="18"/>
                <w:szCs w:val="18"/>
                <w:lang w:eastAsia="sk-SK"/>
              </w:rPr>
            </w:pPr>
            <w:r w:rsidRPr="00EA66A4">
              <w:rPr>
                <w:b/>
                <w:bCs/>
                <w:color w:val="000000"/>
                <w:sz w:val="18"/>
                <w:szCs w:val="18"/>
              </w:rPr>
              <w:t>-2,04</w:t>
            </w:r>
          </w:p>
        </w:tc>
      </w:tr>
    </w:tbl>
    <w:p w14:paraId="028305FF" w14:textId="591B88C8" w:rsidR="003A0696" w:rsidRPr="008C063C" w:rsidRDefault="003A0696" w:rsidP="003A0696">
      <w:pPr>
        <w:keepLines/>
        <w:spacing w:after="0" w:line="240" w:lineRule="auto"/>
        <w:rPr>
          <w:sz w:val="18"/>
          <w:szCs w:val="18"/>
        </w:rPr>
      </w:pPr>
      <w:r w:rsidRPr="008C063C">
        <w:rPr>
          <w:sz w:val="18"/>
          <w:szCs w:val="18"/>
        </w:rPr>
        <w:t>Pozn.: (+) znamená pozitívny vplyv a (-) negatívny vplyv na saldo VS</w:t>
      </w:r>
      <w:r w:rsidRPr="008C063C">
        <w:rPr>
          <w:sz w:val="18"/>
          <w:szCs w:val="18"/>
        </w:rPr>
        <w:tab/>
      </w:r>
      <w:r w:rsidRPr="008C063C">
        <w:rPr>
          <w:sz w:val="18"/>
          <w:szCs w:val="18"/>
        </w:rPr>
        <w:tab/>
      </w:r>
      <w:r w:rsidRPr="008C063C">
        <w:rPr>
          <w:sz w:val="18"/>
          <w:szCs w:val="18"/>
        </w:rPr>
        <w:tab/>
      </w:r>
      <w:r w:rsidRPr="008C063C">
        <w:rPr>
          <w:sz w:val="18"/>
          <w:szCs w:val="18"/>
        </w:rPr>
        <w:tab/>
        <w:t xml:space="preserve">                      Zdroj: MF SR</w:t>
      </w:r>
    </w:p>
    <w:p w14:paraId="7789C12E" w14:textId="77777777" w:rsidR="003A0696" w:rsidRPr="008C063C" w:rsidRDefault="003A0696" w:rsidP="003A0696">
      <w:pPr>
        <w:spacing w:after="0" w:line="240" w:lineRule="auto"/>
        <w:rPr>
          <w:sz w:val="18"/>
          <w:szCs w:val="18"/>
        </w:rPr>
      </w:pPr>
      <w:r w:rsidRPr="008C063C">
        <w:rPr>
          <w:sz w:val="18"/>
          <w:szCs w:val="18"/>
          <w:vertAlign w:val="superscript"/>
        </w:rPr>
        <w:t>1)</w:t>
      </w:r>
      <w:r w:rsidRPr="008C063C">
        <w:rPr>
          <w:sz w:val="18"/>
          <w:szCs w:val="18"/>
        </w:rPr>
        <w:t xml:space="preserve"> Rozpočet verejnej správy po novele štátneho rozpočtu na základe zákona č. 357/2022 Z. z.,    ktorým sa mení a dopĺňa zákon č. 534/2021 Z. z. o štátnom rozpočte na rok 2022.</w:t>
      </w:r>
    </w:p>
    <w:p w14:paraId="7AC4EEBB" w14:textId="77777777" w:rsidR="003A0696" w:rsidRPr="008C063C" w:rsidRDefault="003A0696" w:rsidP="003A0696">
      <w:pPr>
        <w:spacing w:after="0" w:line="240" w:lineRule="auto"/>
        <w:rPr>
          <w:sz w:val="18"/>
          <w:szCs w:val="18"/>
        </w:rPr>
      </w:pPr>
      <w:r w:rsidRPr="008C063C">
        <w:rPr>
          <w:sz w:val="18"/>
          <w:szCs w:val="18"/>
          <w:vertAlign w:val="superscript"/>
        </w:rPr>
        <w:t>2)</w:t>
      </w:r>
      <w:r w:rsidRPr="008C063C">
        <w:rPr>
          <w:sz w:val="18"/>
          <w:szCs w:val="18"/>
        </w:rPr>
        <w:t xml:space="preserve"> V roku 2022 boli pre účely vykázania rozpočtu príjmy a výdavky SIH-u (schodok vo výške 6 120 tis. eur) zahrnuté do štátneho rozpočtu a skutočné plnenie SIH-u bolo vykázané samostatne.</w:t>
      </w:r>
    </w:p>
    <w:p w14:paraId="698B63F6" w14:textId="77777777" w:rsidR="003A0696" w:rsidRDefault="003A0696" w:rsidP="003A0696">
      <w:pPr>
        <w:keepNext/>
        <w:spacing w:before="120" w:line="240" w:lineRule="auto"/>
        <w:rPr>
          <w:b/>
          <w:color w:val="5B9BD5" w:themeColor="accent1"/>
          <w:sz w:val="24"/>
          <w:szCs w:val="24"/>
        </w:rPr>
      </w:pPr>
      <w:r w:rsidRPr="0002677A">
        <w:rPr>
          <w:sz w:val="24"/>
          <w:szCs w:val="24"/>
        </w:rPr>
        <w:lastRenderedPageBreak/>
        <w:t xml:space="preserve">Vysvetlenie pozitívnej či negatívnej odchýlky od rozpočtu je v nasledujúcom texte pomocou opisu hotovostného plnenia rozpočtu resp. pri významných úpravách hotovostného plnenia aj pomocou vysvetlenia </w:t>
      </w:r>
      <w:proofErr w:type="spellStart"/>
      <w:r w:rsidRPr="0002677A">
        <w:rPr>
          <w:sz w:val="24"/>
          <w:szCs w:val="24"/>
        </w:rPr>
        <w:t>akrualizácie</w:t>
      </w:r>
      <w:proofErr w:type="spellEnd"/>
      <w:r w:rsidRPr="0002677A">
        <w:rPr>
          <w:sz w:val="24"/>
          <w:szCs w:val="24"/>
        </w:rPr>
        <w:t xml:space="preserve"> podľa metodiky ESA 2010.</w:t>
      </w:r>
      <w:r w:rsidRPr="0002677A">
        <w:rPr>
          <w:color w:val="FF0000"/>
          <w:sz w:val="24"/>
          <w:szCs w:val="24"/>
        </w:rPr>
        <w:t xml:space="preserve"> </w:t>
      </w:r>
      <w:r w:rsidRPr="0002677A">
        <w:rPr>
          <w:sz w:val="24"/>
          <w:szCs w:val="24"/>
        </w:rPr>
        <w:t xml:space="preserve">Výsledky hospodárenia podľa zložiek verejnej správy ako aj rozdiel medzi rozpočtom a skutočnosťou za rok 2022 sú uvedené v tabuľke </w:t>
      </w:r>
      <w:r w:rsidRPr="0002677A">
        <w:rPr>
          <w:b/>
          <w:sz w:val="24"/>
          <w:szCs w:val="24"/>
        </w:rPr>
        <w:t>Schodok verejnej správy podľa jednotlivých (zložiek) subjektov</w:t>
      </w:r>
      <w:r w:rsidRPr="0002677A">
        <w:rPr>
          <w:rFonts w:eastAsia="Times New Roman" w:cs="Times New Roman"/>
          <w:b/>
          <w:bCs/>
          <w:color w:val="5B9BD5" w:themeColor="accent1"/>
          <w:sz w:val="20"/>
          <w:szCs w:val="20"/>
          <w:lang w:eastAsia="sk-SK"/>
        </w:rPr>
        <w:t xml:space="preserve"> </w:t>
      </w:r>
      <w:r w:rsidRPr="0002677A">
        <w:rPr>
          <w:rFonts w:eastAsia="Times New Roman" w:cs="Times New Roman"/>
          <w:bCs/>
          <w:color w:val="5B9BD5" w:themeColor="accent1"/>
          <w:sz w:val="20"/>
          <w:szCs w:val="20"/>
          <w:lang w:eastAsia="sk-SK"/>
        </w:rPr>
        <w:t xml:space="preserve"> </w:t>
      </w:r>
      <w:r w:rsidRPr="0002677A">
        <w:rPr>
          <w:sz w:val="24"/>
          <w:szCs w:val="24"/>
        </w:rPr>
        <w:t>v závere kapitoly</w:t>
      </w:r>
      <w:r>
        <w:rPr>
          <w:sz w:val="24"/>
          <w:szCs w:val="24"/>
        </w:rPr>
        <w:t>.</w:t>
      </w:r>
    </w:p>
    <w:p w14:paraId="2386BDA5" w14:textId="77777777" w:rsidR="003A0696" w:rsidRPr="00626021" w:rsidRDefault="003A0696" w:rsidP="003A0696">
      <w:pPr>
        <w:keepNext/>
        <w:spacing w:before="120" w:line="240" w:lineRule="auto"/>
        <w:rPr>
          <w:b/>
          <w:color w:val="5B9BD5" w:themeColor="accent1"/>
          <w:sz w:val="24"/>
          <w:szCs w:val="24"/>
        </w:rPr>
      </w:pPr>
      <w:r w:rsidRPr="00626021">
        <w:rPr>
          <w:b/>
          <w:color w:val="5B9BD5" w:themeColor="accent1"/>
          <w:sz w:val="24"/>
          <w:szCs w:val="24"/>
        </w:rPr>
        <w:t xml:space="preserve">Dividendy </w:t>
      </w:r>
      <w:proofErr w:type="spellStart"/>
      <w:r w:rsidRPr="00626021">
        <w:rPr>
          <w:b/>
          <w:color w:val="5B9BD5" w:themeColor="accent1"/>
          <w:sz w:val="24"/>
          <w:szCs w:val="24"/>
        </w:rPr>
        <w:t>vs</w:t>
      </w:r>
      <w:proofErr w:type="spellEnd"/>
      <w:r w:rsidRPr="00626021">
        <w:rPr>
          <w:b/>
          <w:color w:val="5B9BD5" w:themeColor="accent1"/>
          <w:sz w:val="24"/>
          <w:szCs w:val="24"/>
        </w:rPr>
        <w:t xml:space="preserve">. </w:t>
      </w:r>
      <w:proofErr w:type="spellStart"/>
      <w:r w:rsidRPr="00626021">
        <w:rPr>
          <w:b/>
          <w:color w:val="5B9BD5" w:themeColor="accent1"/>
          <w:sz w:val="24"/>
          <w:szCs w:val="24"/>
        </w:rPr>
        <w:t>Superdividendy</w:t>
      </w:r>
      <w:proofErr w:type="spellEnd"/>
    </w:p>
    <w:p w14:paraId="03261E4A" w14:textId="77777777" w:rsidR="003A0696" w:rsidRPr="00245AB8" w:rsidRDefault="003A0696" w:rsidP="003A0696">
      <w:pPr>
        <w:keepLines/>
        <w:spacing w:before="120" w:line="240" w:lineRule="auto"/>
        <w:rPr>
          <w:sz w:val="24"/>
          <w:szCs w:val="24"/>
        </w:rPr>
      </w:pPr>
      <w:r w:rsidRPr="009E5A14">
        <w:rPr>
          <w:b/>
          <w:sz w:val="24"/>
          <w:szCs w:val="24"/>
        </w:rPr>
        <w:t>Príjem štátneho rozpočtu z dividend a odvodov zo zisku</w:t>
      </w:r>
      <w:r w:rsidRPr="009E5A14">
        <w:rPr>
          <w:sz w:val="24"/>
          <w:szCs w:val="24"/>
        </w:rPr>
        <w:t xml:space="preserve"> po vzájomnej konsolidácii bol rozpočtovaný vo výške </w:t>
      </w:r>
      <w:r>
        <w:rPr>
          <w:sz w:val="24"/>
          <w:szCs w:val="24"/>
        </w:rPr>
        <w:t>381 035</w:t>
      </w:r>
      <w:r w:rsidRPr="009E5A14">
        <w:rPr>
          <w:sz w:val="24"/>
          <w:szCs w:val="24"/>
        </w:rPr>
        <w:t xml:space="preserve"> tis. eur. </w:t>
      </w:r>
      <w:r w:rsidRPr="00245AB8">
        <w:rPr>
          <w:sz w:val="24"/>
          <w:szCs w:val="24"/>
        </w:rPr>
        <w:t xml:space="preserve">V skutočnosti konsolidovaný príjem štátneho rozpočtu z dividend a odvodov zo zisku za rok 2022 bol </w:t>
      </w:r>
      <w:r>
        <w:rPr>
          <w:sz w:val="24"/>
          <w:szCs w:val="24"/>
        </w:rPr>
        <w:t>vyčíslený</w:t>
      </w:r>
      <w:r w:rsidRPr="00245AB8">
        <w:rPr>
          <w:sz w:val="24"/>
          <w:szCs w:val="24"/>
        </w:rPr>
        <w:t xml:space="preserve"> vo výške 378 425 tis. eur, z toho hotovostný príjem štátneho rozpočtu </w:t>
      </w:r>
      <w:r>
        <w:rPr>
          <w:sz w:val="24"/>
          <w:szCs w:val="24"/>
        </w:rPr>
        <w:t>v</w:t>
      </w:r>
      <w:r w:rsidRPr="00245AB8">
        <w:rPr>
          <w:sz w:val="24"/>
          <w:szCs w:val="24"/>
        </w:rPr>
        <w:t>o výške 158 410 tis. eur a</w:t>
      </w:r>
      <w:r>
        <w:rPr>
          <w:sz w:val="24"/>
          <w:szCs w:val="24"/>
        </w:rPr>
        <w:t> </w:t>
      </w:r>
      <w:r w:rsidRPr="00245AB8">
        <w:rPr>
          <w:sz w:val="24"/>
          <w:szCs w:val="24"/>
        </w:rPr>
        <w:t>pohľadávka</w:t>
      </w:r>
      <w:r>
        <w:rPr>
          <w:sz w:val="24"/>
          <w:szCs w:val="24"/>
        </w:rPr>
        <w:t xml:space="preserve"> </w:t>
      </w:r>
      <w:r w:rsidRPr="00245AB8">
        <w:rPr>
          <w:sz w:val="24"/>
          <w:szCs w:val="24"/>
        </w:rPr>
        <w:t>z</w:t>
      </w:r>
      <w:r>
        <w:rPr>
          <w:sz w:val="24"/>
          <w:szCs w:val="24"/>
        </w:rPr>
        <w:t>o schválenýc</w:t>
      </w:r>
      <w:r w:rsidRPr="00245AB8">
        <w:rPr>
          <w:sz w:val="24"/>
          <w:szCs w:val="24"/>
        </w:rPr>
        <w:t>h dividend</w:t>
      </w:r>
      <w:r>
        <w:rPr>
          <w:sz w:val="24"/>
          <w:szCs w:val="24"/>
        </w:rPr>
        <w:t xml:space="preserve"> v roku 2022</w:t>
      </w:r>
      <w:r w:rsidRPr="00245AB8">
        <w:rPr>
          <w:sz w:val="24"/>
          <w:szCs w:val="24"/>
        </w:rPr>
        <w:t xml:space="preserve"> s termínom úhrady v roku 2023</w:t>
      </w:r>
      <w:r>
        <w:rPr>
          <w:sz w:val="24"/>
          <w:szCs w:val="24"/>
        </w:rPr>
        <w:t xml:space="preserve"> vo výške 220 015 tis. eur (z toho pohľadávka MH SR voči Slovenskému plynárenskému priemyslu, a. s.</w:t>
      </w:r>
      <w:r w:rsidRPr="00245AB8">
        <w:rPr>
          <w:sz w:val="24"/>
          <w:szCs w:val="24"/>
        </w:rPr>
        <w:t xml:space="preserve"> vo výške 220 000 tis. eur</w:t>
      </w:r>
      <w:r>
        <w:rPr>
          <w:sz w:val="24"/>
          <w:szCs w:val="24"/>
        </w:rPr>
        <w:t xml:space="preserve"> a pohľadávka MDV SR voči 365.bank, a. s vo výške 15 tis. eur.</w:t>
      </w:r>
    </w:p>
    <w:p w14:paraId="6864AAF6" w14:textId="77777777" w:rsidR="003A0696" w:rsidRDefault="003A0696" w:rsidP="003A0696">
      <w:pPr>
        <w:keepLines/>
        <w:spacing w:before="120" w:line="240" w:lineRule="auto"/>
        <w:rPr>
          <w:sz w:val="24"/>
          <w:szCs w:val="24"/>
        </w:rPr>
      </w:pPr>
      <w:r w:rsidRPr="00F92769">
        <w:rPr>
          <w:sz w:val="24"/>
          <w:szCs w:val="24"/>
        </w:rPr>
        <w:t>Dividendy a odvody zo zisku, ktoré sú príjmom štátneho rozpočtu podľa metodiky ESA</w:t>
      </w:r>
      <w:r>
        <w:rPr>
          <w:sz w:val="24"/>
          <w:szCs w:val="24"/>
        </w:rPr>
        <w:t> </w:t>
      </w:r>
      <w:r w:rsidRPr="00F92769">
        <w:rPr>
          <w:sz w:val="24"/>
          <w:szCs w:val="24"/>
        </w:rPr>
        <w:t xml:space="preserve">2010 za príslušný rok, dosiahli výšku 317 203 tis. eur (vrátane pohľadávky </w:t>
      </w:r>
      <w:r>
        <w:rPr>
          <w:sz w:val="24"/>
          <w:szCs w:val="24"/>
        </w:rPr>
        <w:t>z dividend</w:t>
      </w:r>
      <w:r w:rsidRPr="00F92769">
        <w:rPr>
          <w:sz w:val="24"/>
          <w:szCs w:val="24"/>
        </w:rPr>
        <w:t xml:space="preserve">), čo je oproti rozpočtu viac o 37 209 tis. eur. Výška konsolidovanej </w:t>
      </w:r>
      <w:proofErr w:type="spellStart"/>
      <w:r w:rsidRPr="00F92769">
        <w:rPr>
          <w:sz w:val="24"/>
          <w:szCs w:val="24"/>
        </w:rPr>
        <w:t>superdividendy</w:t>
      </w:r>
      <w:proofErr w:type="spellEnd"/>
      <w:r w:rsidRPr="00F92769">
        <w:rPr>
          <w:sz w:val="24"/>
          <w:szCs w:val="24"/>
          <w:vertAlign w:val="superscript"/>
        </w:rPr>
        <w:footnoteReference w:id="17"/>
      </w:r>
      <w:r w:rsidRPr="00F92769">
        <w:rPr>
          <w:sz w:val="24"/>
          <w:szCs w:val="24"/>
        </w:rPr>
        <w:t xml:space="preserve"> dosiahla sumu 61 2</w:t>
      </w:r>
      <w:r>
        <w:rPr>
          <w:sz w:val="24"/>
          <w:szCs w:val="24"/>
        </w:rPr>
        <w:t>22 tis. eur (vrátane pohľadávky voči SPP</w:t>
      </w:r>
      <w:r w:rsidRPr="00F92769">
        <w:rPr>
          <w:sz w:val="24"/>
          <w:szCs w:val="24"/>
        </w:rPr>
        <w:t xml:space="preserve">), </w:t>
      </w:r>
      <w:r>
        <w:rPr>
          <w:sz w:val="24"/>
          <w:szCs w:val="24"/>
        </w:rPr>
        <w:t xml:space="preserve">čo je </w:t>
      </w:r>
      <w:r w:rsidRPr="00F92769">
        <w:rPr>
          <w:sz w:val="24"/>
          <w:szCs w:val="24"/>
        </w:rPr>
        <w:t xml:space="preserve">o 39 819 tis. eur menej oproti rozpočtu. </w:t>
      </w:r>
      <w:proofErr w:type="spellStart"/>
      <w:r w:rsidRPr="00F92769">
        <w:rPr>
          <w:sz w:val="24"/>
          <w:szCs w:val="24"/>
        </w:rPr>
        <w:t>Superdividendu</w:t>
      </w:r>
      <w:proofErr w:type="spellEnd"/>
      <w:r w:rsidRPr="00F92769">
        <w:rPr>
          <w:sz w:val="24"/>
          <w:szCs w:val="24"/>
        </w:rPr>
        <w:t xml:space="preserve"> zaznamenal Slovenský plynárenský priemysel, a. s vo výške 55 383 tis. eur a Východoslovenská energetika Holding, a. s. vo výške 5 839 tis. eur.</w:t>
      </w:r>
    </w:p>
    <w:p w14:paraId="78FF9468" w14:textId="77777777" w:rsidR="003A0696" w:rsidRDefault="003A0696" w:rsidP="003A0696">
      <w:pPr>
        <w:keepLines/>
        <w:spacing w:before="120" w:line="240" w:lineRule="auto"/>
        <w:rPr>
          <w:sz w:val="24"/>
          <w:szCs w:val="24"/>
        </w:rPr>
      </w:pPr>
      <w:r w:rsidRPr="00245AB8">
        <w:rPr>
          <w:sz w:val="24"/>
          <w:szCs w:val="24"/>
        </w:rPr>
        <w:t>Rozdiel skutočnosti oproti rozpočtu tvorili odlišné výsledky hospodárenia dosiahnuté obchodnými spoločnosťami za rok 2021</w:t>
      </w:r>
      <w:r>
        <w:rPr>
          <w:sz w:val="24"/>
          <w:szCs w:val="24"/>
        </w:rPr>
        <w:t>,</w:t>
      </w:r>
      <w:r w:rsidRPr="00245AB8">
        <w:rPr>
          <w:sz w:val="24"/>
          <w:szCs w:val="24"/>
        </w:rPr>
        <w:t xml:space="preserve"> ako sa predpokladalo v čase zostavovania rozpočtu na rok 2022.</w:t>
      </w:r>
    </w:p>
    <w:tbl>
      <w:tblPr>
        <w:tblW w:w="8931" w:type="dxa"/>
        <w:tblCellMar>
          <w:left w:w="70" w:type="dxa"/>
          <w:right w:w="70" w:type="dxa"/>
        </w:tblCellMar>
        <w:tblLook w:val="04A0" w:firstRow="1" w:lastRow="0" w:firstColumn="1" w:lastColumn="0" w:noHBand="0" w:noVBand="1"/>
      </w:tblPr>
      <w:tblGrid>
        <w:gridCol w:w="9214"/>
      </w:tblGrid>
      <w:tr w:rsidR="003A0696" w:rsidRPr="00062FFE" w14:paraId="2859E02B" w14:textId="77777777" w:rsidTr="003A0696">
        <w:trPr>
          <w:trHeight w:val="227"/>
          <w:tblHeader/>
        </w:trPr>
        <w:tc>
          <w:tcPr>
            <w:tcW w:w="8931" w:type="dxa"/>
            <w:tcBorders>
              <w:top w:val="nil"/>
              <w:left w:val="nil"/>
              <w:bottom w:val="nil"/>
              <w:right w:val="nil"/>
            </w:tcBorders>
            <w:shd w:val="clear" w:color="auto" w:fill="auto"/>
            <w:noWrap/>
            <w:vAlign w:val="bottom"/>
            <w:hideMark/>
          </w:tcPr>
          <w:p w14:paraId="7FED3FFB" w14:textId="77777777" w:rsidR="003A0696" w:rsidRPr="001228A1" w:rsidRDefault="003A0696" w:rsidP="003A0696">
            <w:pPr>
              <w:spacing w:after="0" w:line="240" w:lineRule="auto"/>
              <w:jc w:val="left"/>
              <w:rPr>
                <w:rFonts w:eastAsia="Times New Roman" w:cs="Times New Roman"/>
                <w:b/>
                <w:bCs/>
                <w:color w:val="5B9BD5" w:themeColor="accent1"/>
                <w:sz w:val="20"/>
                <w:szCs w:val="20"/>
                <w:lang w:eastAsia="sk-SK"/>
              </w:rPr>
            </w:pPr>
            <w:r>
              <w:rPr>
                <w:rFonts w:eastAsia="Times New Roman" w:cs="Times New Roman"/>
                <w:b/>
                <w:bCs/>
                <w:color w:val="5B9BD5" w:themeColor="accent1"/>
                <w:sz w:val="20"/>
                <w:szCs w:val="20"/>
                <w:lang w:eastAsia="sk-SK"/>
              </w:rPr>
              <w:lastRenderedPageBreak/>
              <w:t>Tabuľka 9</w:t>
            </w:r>
            <w:r w:rsidRPr="001228A1">
              <w:rPr>
                <w:rFonts w:eastAsia="Times New Roman" w:cs="Times New Roman"/>
                <w:b/>
                <w:bCs/>
                <w:color w:val="5B9BD5" w:themeColor="accent1"/>
                <w:sz w:val="20"/>
                <w:szCs w:val="20"/>
                <w:lang w:eastAsia="sk-SK"/>
              </w:rPr>
              <w:t xml:space="preserve"> - Príjmy štátneho rozpočtu z dividend a odvodov zo zisku</w:t>
            </w:r>
            <w:r>
              <w:rPr>
                <w:rFonts w:eastAsia="Times New Roman" w:cs="Times New Roman"/>
                <w:b/>
                <w:bCs/>
                <w:color w:val="5B9BD5" w:themeColor="accent1"/>
                <w:sz w:val="20"/>
                <w:szCs w:val="20"/>
                <w:lang w:eastAsia="sk-SK"/>
              </w:rPr>
              <w:t xml:space="preserve"> podľa ESA 2010</w:t>
            </w:r>
          </w:p>
          <w:tbl>
            <w:tblPr>
              <w:tblW w:w="9173" w:type="dxa"/>
              <w:tblCellMar>
                <w:left w:w="70" w:type="dxa"/>
                <w:right w:w="70" w:type="dxa"/>
              </w:tblCellMar>
              <w:tblLook w:val="04A0" w:firstRow="1" w:lastRow="0" w:firstColumn="1" w:lastColumn="0" w:noHBand="0" w:noVBand="1"/>
            </w:tblPr>
            <w:tblGrid>
              <w:gridCol w:w="4668"/>
              <w:gridCol w:w="901"/>
              <w:gridCol w:w="901"/>
              <w:gridCol w:w="901"/>
              <w:gridCol w:w="901"/>
              <w:gridCol w:w="901"/>
            </w:tblGrid>
            <w:tr w:rsidR="003A0696" w:rsidRPr="001228A1" w14:paraId="7B5431AA" w14:textId="77777777" w:rsidTr="003A0696">
              <w:trPr>
                <w:trHeight w:val="223"/>
                <w:tblHeader/>
              </w:trPr>
              <w:tc>
                <w:tcPr>
                  <w:tcW w:w="4668" w:type="dxa"/>
                  <w:vMerge w:val="restart"/>
                  <w:tcBorders>
                    <w:top w:val="single" w:sz="8" w:space="0" w:color="auto"/>
                    <w:left w:val="nil"/>
                    <w:bottom w:val="single" w:sz="8" w:space="0" w:color="000000"/>
                    <w:right w:val="nil"/>
                  </w:tcBorders>
                  <w:shd w:val="clear" w:color="auto" w:fill="auto"/>
                  <w:vAlign w:val="center"/>
                  <w:hideMark/>
                </w:tcPr>
                <w:p w14:paraId="4BBC7718" w14:textId="77777777" w:rsidR="003A0696" w:rsidRPr="001228A1" w:rsidRDefault="003A0696" w:rsidP="003A0696">
                  <w:pPr>
                    <w:spacing w:after="0" w:line="240" w:lineRule="auto"/>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 v tis. eur</w:t>
                  </w:r>
                </w:p>
              </w:tc>
              <w:tc>
                <w:tcPr>
                  <w:tcW w:w="901" w:type="dxa"/>
                  <w:tcBorders>
                    <w:top w:val="single" w:sz="8" w:space="0" w:color="auto"/>
                    <w:left w:val="nil"/>
                    <w:bottom w:val="nil"/>
                    <w:right w:val="nil"/>
                  </w:tcBorders>
                  <w:shd w:val="clear" w:color="auto" w:fill="auto"/>
                  <w:vAlign w:val="center"/>
                  <w:hideMark/>
                </w:tcPr>
                <w:p w14:paraId="1831B7C0"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2020 S</w:t>
                  </w:r>
                </w:p>
              </w:tc>
              <w:tc>
                <w:tcPr>
                  <w:tcW w:w="901" w:type="dxa"/>
                  <w:tcBorders>
                    <w:top w:val="single" w:sz="8" w:space="0" w:color="auto"/>
                    <w:left w:val="nil"/>
                    <w:bottom w:val="nil"/>
                    <w:right w:val="nil"/>
                  </w:tcBorders>
                  <w:shd w:val="clear" w:color="auto" w:fill="auto"/>
                  <w:vAlign w:val="center"/>
                  <w:hideMark/>
                </w:tcPr>
                <w:p w14:paraId="46630708"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2021 S</w:t>
                  </w:r>
                </w:p>
              </w:tc>
              <w:tc>
                <w:tcPr>
                  <w:tcW w:w="901" w:type="dxa"/>
                  <w:tcBorders>
                    <w:top w:val="single" w:sz="8" w:space="0" w:color="auto"/>
                    <w:left w:val="nil"/>
                    <w:bottom w:val="nil"/>
                    <w:right w:val="nil"/>
                  </w:tcBorders>
                  <w:shd w:val="clear" w:color="auto" w:fill="auto"/>
                  <w:vAlign w:val="center"/>
                  <w:hideMark/>
                </w:tcPr>
                <w:p w14:paraId="6011A648"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2022 R</w:t>
                  </w:r>
                </w:p>
              </w:tc>
              <w:tc>
                <w:tcPr>
                  <w:tcW w:w="901" w:type="dxa"/>
                  <w:tcBorders>
                    <w:top w:val="single" w:sz="8" w:space="0" w:color="auto"/>
                    <w:left w:val="nil"/>
                    <w:bottom w:val="nil"/>
                    <w:right w:val="nil"/>
                  </w:tcBorders>
                  <w:shd w:val="clear" w:color="auto" w:fill="auto"/>
                  <w:vAlign w:val="center"/>
                  <w:hideMark/>
                </w:tcPr>
                <w:p w14:paraId="2024F2F9"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2022 S</w:t>
                  </w:r>
                </w:p>
              </w:tc>
              <w:tc>
                <w:tcPr>
                  <w:tcW w:w="901" w:type="dxa"/>
                  <w:tcBorders>
                    <w:top w:val="single" w:sz="8" w:space="0" w:color="auto"/>
                    <w:left w:val="nil"/>
                    <w:bottom w:val="nil"/>
                    <w:right w:val="nil"/>
                  </w:tcBorders>
                  <w:shd w:val="clear" w:color="auto" w:fill="auto"/>
                  <w:vAlign w:val="center"/>
                  <w:hideMark/>
                </w:tcPr>
                <w:p w14:paraId="4489F3A1"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 xml:space="preserve">Rozdiel </w:t>
                  </w:r>
                </w:p>
              </w:tc>
            </w:tr>
            <w:tr w:rsidR="003A0696" w:rsidRPr="001228A1" w14:paraId="16A24B05" w14:textId="77777777" w:rsidTr="003A0696">
              <w:trPr>
                <w:trHeight w:val="223"/>
                <w:tblHeader/>
              </w:trPr>
              <w:tc>
                <w:tcPr>
                  <w:tcW w:w="4668" w:type="dxa"/>
                  <w:vMerge/>
                  <w:tcBorders>
                    <w:top w:val="single" w:sz="8" w:space="0" w:color="auto"/>
                    <w:left w:val="nil"/>
                    <w:bottom w:val="single" w:sz="8" w:space="0" w:color="000000"/>
                    <w:right w:val="nil"/>
                  </w:tcBorders>
                  <w:vAlign w:val="center"/>
                  <w:hideMark/>
                </w:tcPr>
                <w:p w14:paraId="68024037" w14:textId="77777777" w:rsidR="003A0696" w:rsidRPr="001228A1" w:rsidRDefault="003A0696" w:rsidP="003A0696">
                  <w:pPr>
                    <w:spacing w:after="0" w:line="240" w:lineRule="auto"/>
                    <w:jc w:val="left"/>
                    <w:rPr>
                      <w:rFonts w:eastAsia="Times New Roman" w:cs="Times New Roman"/>
                      <w:b/>
                      <w:bCs/>
                      <w:color w:val="000000"/>
                      <w:sz w:val="20"/>
                      <w:szCs w:val="20"/>
                      <w:lang w:eastAsia="sk-SK"/>
                    </w:rPr>
                  </w:pPr>
                </w:p>
              </w:tc>
              <w:tc>
                <w:tcPr>
                  <w:tcW w:w="901" w:type="dxa"/>
                  <w:tcBorders>
                    <w:top w:val="nil"/>
                    <w:left w:val="nil"/>
                    <w:bottom w:val="single" w:sz="8" w:space="0" w:color="auto"/>
                    <w:right w:val="nil"/>
                  </w:tcBorders>
                  <w:shd w:val="clear" w:color="auto" w:fill="auto"/>
                  <w:vAlign w:val="center"/>
                  <w:hideMark/>
                </w:tcPr>
                <w:p w14:paraId="396668C1"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w:t>
                  </w:r>
                </w:p>
              </w:tc>
              <w:tc>
                <w:tcPr>
                  <w:tcW w:w="901" w:type="dxa"/>
                  <w:tcBorders>
                    <w:top w:val="nil"/>
                    <w:left w:val="nil"/>
                    <w:bottom w:val="single" w:sz="8" w:space="0" w:color="auto"/>
                    <w:right w:val="nil"/>
                  </w:tcBorders>
                  <w:shd w:val="clear" w:color="auto" w:fill="auto"/>
                  <w:vAlign w:val="center"/>
                  <w:hideMark/>
                </w:tcPr>
                <w:p w14:paraId="28CD87BC"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w:t>
                  </w:r>
                </w:p>
              </w:tc>
              <w:tc>
                <w:tcPr>
                  <w:tcW w:w="901" w:type="dxa"/>
                  <w:tcBorders>
                    <w:top w:val="nil"/>
                    <w:left w:val="nil"/>
                    <w:bottom w:val="single" w:sz="8" w:space="0" w:color="auto"/>
                    <w:right w:val="nil"/>
                  </w:tcBorders>
                  <w:shd w:val="clear" w:color="auto" w:fill="auto"/>
                  <w:vAlign w:val="center"/>
                  <w:hideMark/>
                </w:tcPr>
                <w:p w14:paraId="6FDD060B"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4</w:t>
                  </w:r>
                </w:p>
              </w:tc>
              <w:tc>
                <w:tcPr>
                  <w:tcW w:w="901" w:type="dxa"/>
                  <w:tcBorders>
                    <w:top w:val="nil"/>
                    <w:left w:val="nil"/>
                    <w:bottom w:val="single" w:sz="8" w:space="0" w:color="auto"/>
                    <w:right w:val="nil"/>
                  </w:tcBorders>
                  <w:shd w:val="clear" w:color="auto" w:fill="auto"/>
                  <w:vAlign w:val="center"/>
                  <w:hideMark/>
                </w:tcPr>
                <w:p w14:paraId="0D3DD088"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5</w:t>
                  </w:r>
                </w:p>
              </w:tc>
              <w:tc>
                <w:tcPr>
                  <w:tcW w:w="901" w:type="dxa"/>
                  <w:tcBorders>
                    <w:top w:val="nil"/>
                    <w:left w:val="nil"/>
                    <w:bottom w:val="single" w:sz="8" w:space="0" w:color="auto"/>
                    <w:right w:val="nil"/>
                  </w:tcBorders>
                  <w:shd w:val="clear" w:color="auto" w:fill="auto"/>
                  <w:vAlign w:val="center"/>
                  <w:hideMark/>
                </w:tcPr>
                <w:p w14:paraId="1775A0B0" w14:textId="77777777" w:rsidR="003A0696" w:rsidRPr="001228A1" w:rsidRDefault="003A0696" w:rsidP="003A0696">
                  <w:pPr>
                    <w:spacing w:after="0" w:line="240" w:lineRule="auto"/>
                    <w:jc w:val="center"/>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6=5-4</w:t>
                  </w:r>
                </w:p>
              </w:tc>
            </w:tr>
            <w:tr w:rsidR="003A0696" w:rsidRPr="001228A1" w14:paraId="3C3823C6" w14:textId="77777777" w:rsidTr="003A0696">
              <w:trPr>
                <w:trHeight w:val="223"/>
              </w:trPr>
              <w:tc>
                <w:tcPr>
                  <w:tcW w:w="4668" w:type="dxa"/>
                  <w:tcBorders>
                    <w:top w:val="nil"/>
                    <w:left w:val="nil"/>
                    <w:bottom w:val="nil"/>
                    <w:right w:val="nil"/>
                  </w:tcBorders>
                  <w:shd w:val="clear" w:color="auto" w:fill="auto"/>
                  <w:vAlign w:val="center"/>
                  <w:hideMark/>
                </w:tcPr>
                <w:p w14:paraId="6B24B271" w14:textId="77777777" w:rsidR="003A0696" w:rsidRDefault="003A0696" w:rsidP="003A0696">
                  <w:pPr>
                    <w:spacing w:after="0" w:line="240" w:lineRule="auto"/>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Nekonsolidované príjmy z dividend a</w:t>
                  </w:r>
                  <w:r>
                    <w:rPr>
                      <w:rFonts w:eastAsia="Times New Roman" w:cs="Times New Roman"/>
                      <w:b/>
                      <w:bCs/>
                      <w:color w:val="000000"/>
                      <w:sz w:val="20"/>
                      <w:szCs w:val="20"/>
                      <w:lang w:eastAsia="sk-SK"/>
                    </w:rPr>
                    <w:t> </w:t>
                  </w:r>
                  <w:r w:rsidRPr="001228A1">
                    <w:rPr>
                      <w:rFonts w:eastAsia="Times New Roman" w:cs="Times New Roman"/>
                      <w:b/>
                      <w:bCs/>
                      <w:color w:val="000000"/>
                      <w:sz w:val="20"/>
                      <w:szCs w:val="20"/>
                      <w:lang w:eastAsia="sk-SK"/>
                    </w:rPr>
                    <w:t>odvodov</w:t>
                  </w:r>
                </w:p>
                <w:p w14:paraId="79DE78A8" w14:textId="77777777" w:rsidR="003A0696" w:rsidRPr="001228A1" w:rsidRDefault="003A0696" w:rsidP="003A0696">
                  <w:pPr>
                    <w:spacing w:after="0" w:line="240" w:lineRule="auto"/>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zo zisku</w:t>
                  </w:r>
                </w:p>
              </w:tc>
              <w:tc>
                <w:tcPr>
                  <w:tcW w:w="901" w:type="dxa"/>
                  <w:tcBorders>
                    <w:top w:val="nil"/>
                    <w:left w:val="nil"/>
                    <w:bottom w:val="nil"/>
                    <w:right w:val="nil"/>
                  </w:tcBorders>
                  <w:shd w:val="clear" w:color="auto" w:fill="auto"/>
                  <w:vAlign w:val="center"/>
                  <w:hideMark/>
                </w:tcPr>
                <w:p w14:paraId="66C7BC8A"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428 589</w:t>
                  </w:r>
                </w:p>
              </w:tc>
              <w:tc>
                <w:tcPr>
                  <w:tcW w:w="901" w:type="dxa"/>
                  <w:tcBorders>
                    <w:top w:val="nil"/>
                    <w:left w:val="nil"/>
                    <w:bottom w:val="nil"/>
                    <w:right w:val="nil"/>
                  </w:tcBorders>
                  <w:shd w:val="clear" w:color="auto" w:fill="auto"/>
                  <w:vAlign w:val="center"/>
                  <w:hideMark/>
                </w:tcPr>
                <w:p w14:paraId="1798EF8C"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489 955</w:t>
                  </w:r>
                </w:p>
              </w:tc>
              <w:tc>
                <w:tcPr>
                  <w:tcW w:w="901" w:type="dxa"/>
                  <w:tcBorders>
                    <w:top w:val="nil"/>
                    <w:left w:val="nil"/>
                    <w:bottom w:val="nil"/>
                    <w:right w:val="nil"/>
                  </w:tcBorders>
                  <w:shd w:val="clear" w:color="auto" w:fill="auto"/>
                  <w:vAlign w:val="center"/>
                  <w:hideMark/>
                </w:tcPr>
                <w:p w14:paraId="612A9989"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385 905</w:t>
                  </w:r>
                </w:p>
              </w:tc>
              <w:tc>
                <w:tcPr>
                  <w:tcW w:w="901" w:type="dxa"/>
                  <w:tcBorders>
                    <w:top w:val="nil"/>
                    <w:left w:val="nil"/>
                    <w:bottom w:val="nil"/>
                    <w:right w:val="nil"/>
                  </w:tcBorders>
                  <w:shd w:val="clear" w:color="auto" w:fill="auto"/>
                  <w:vAlign w:val="center"/>
                  <w:hideMark/>
                </w:tcPr>
                <w:p w14:paraId="3A510824"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388 425</w:t>
                  </w:r>
                </w:p>
              </w:tc>
              <w:tc>
                <w:tcPr>
                  <w:tcW w:w="901" w:type="dxa"/>
                  <w:tcBorders>
                    <w:top w:val="nil"/>
                    <w:left w:val="nil"/>
                    <w:bottom w:val="nil"/>
                    <w:right w:val="nil"/>
                  </w:tcBorders>
                  <w:shd w:val="clear" w:color="auto" w:fill="auto"/>
                  <w:vAlign w:val="center"/>
                  <w:hideMark/>
                </w:tcPr>
                <w:p w14:paraId="51B23215"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2 520</w:t>
                  </w:r>
                </w:p>
              </w:tc>
            </w:tr>
            <w:tr w:rsidR="003A0696" w:rsidRPr="001228A1" w14:paraId="4AB04618" w14:textId="77777777" w:rsidTr="003A0696">
              <w:trPr>
                <w:trHeight w:val="223"/>
              </w:trPr>
              <w:tc>
                <w:tcPr>
                  <w:tcW w:w="4668" w:type="dxa"/>
                  <w:tcBorders>
                    <w:top w:val="nil"/>
                    <w:left w:val="nil"/>
                    <w:bottom w:val="nil"/>
                    <w:right w:val="nil"/>
                  </w:tcBorders>
                  <w:shd w:val="clear" w:color="auto" w:fill="auto"/>
                  <w:vAlign w:val="center"/>
                  <w:hideMark/>
                </w:tcPr>
                <w:p w14:paraId="50C13C18"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202B4468"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251 738</w:t>
                  </w:r>
                </w:p>
              </w:tc>
              <w:tc>
                <w:tcPr>
                  <w:tcW w:w="901" w:type="dxa"/>
                  <w:tcBorders>
                    <w:top w:val="nil"/>
                    <w:left w:val="nil"/>
                    <w:bottom w:val="nil"/>
                    <w:right w:val="nil"/>
                  </w:tcBorders>
                  <w:shd w:val="clear" w:color="auto" w:fill="auto"/>
                  <w:vAlign w:val="center"/>
                  <w:hideMark/>
                </w:tcPr>
                <w:p w14:paraId="36EBFB89"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422 574</w:t>
                  </w:r>
                </w:p>
              </w:tc>
              <w:tc>
                <w:tcPr>
                  <w:tcW w:w="901" w:type="dxa"/>
                  <w:tcBorders>
                    <w:top w:val="nil"/>
                    <w:left w:val="nil"/>
                    <w:bottom w:val="nil"/>
                    <w:right w:val="nil"/>
                  </w:tcBorders>
                  <w:shd w:val="clear" w:color="auto" w:fill="auto"/>
                  <w:vAlign w:val="center"/>
                  <w:hideMark/>
                </w:tcPr>
                <w:p w14:paraId="161D81A0"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281 744</w:t>
                  </w:r>
                </w:p>
              </w:tc>
              <w:tc>
                <w:tcPr>
                  <w:tcW w:w="901" w:type="dxa"/>
                  <w:tcBorders>
                    <w:top w:val="nil"/>
                    <w:left w:val="nil"/>
                    <w:bottom w:val="nil"/>
                    <w:right w:val="nil"/>
                  </w:tcBorders>
                  <w:shd w:val="clear" w:color="auto" w:fill="auto"/>
                  <w:vAlign w:val="center"/>
                  <w:hideMark/>
                </w:tcPr>
                <w:p w14:paraId="05029C36"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322 203</w:t>
                  </w:r>
                </w:p>
              </w:tc>
              <w:tc>
                <w:tcPr>
                  <w:tcW w:w="901" w:type="dxa"/>
                  <w:tcBorders>
                    <w:top w:val="nil"/>
                    <w:left w:val="nil"/>
                    <w:bottom w:val="nil"/>
                    <w:right w:val="nil"/>
                  </w:tcBorders>
                  <w:shd w:val="clear" w:color="auto" w:fill="auto"/>
                  <w:vAlign w:val="center"/>
                  <w:hideMark/>
                </w:tcPr>
                <w:p w14:paraId="502F893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40 459</w:t>
                  </w:r>
                </w:p>
              </w:tc>
            </w:tr>
            <w:tr w:rsidR="003A0696" w:rsidRPr="001228A1" w14:paraId="3F8D0577" w14:textId="77777777" w:rsidTr="003A0696">
              <w:trPr>
                <w:trHeight w:val="223"/>
              </w:trPr>
              <w:tc>
                <w:tcPr>
                  <w:tcW w:w="4668" w:type="dxa"/>
                  <w:tcBorders>
                    <w:top w:val="nil"/>
                    <w:left w:val="nil"/>
                    <w:bottom w:val="single" w:sz="8" w:space="0" w:color="auto"/>
                    <w:right w:val="nil"/>
                  </w:tcBorders>
                  <w:shd w:val="clear" w:color="auto" w:fill="auto"/>
                  <w:vAlign w:val="center"/>
                  <w:hideMark/>
                </w:tcPr>
                <w:p w14:paraId="677DE042"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single" w:sz="8" w:space="0" w:color="auto"/>
                    <w:right w:val="nil"/>
                  </w:tcBorders>
                  <w:shd w:val="clear" w:color="auto" w:fill="auto"/>
                  <w:vAlign w:val="center"/>
                  <w:hideMark/>
                </w:tcPr>
                <w:p w14:paraId="63112023"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176 851</w:t>
                  </w:r>
                </w:p>
              </w:tc>
              <w:tc>
                <w:tcPr>
                  <w:tcW w:w="901" w:type="dxa"/>
                  <w:tcBorders>
                    <w:top w:val="nil"/>
                    <w:left w:val="nil"/>
                    <w:bottom w:val="single" w:sz="8" w:space="0" w:color="auto"/>
                    <w:right w:val="nil"/>
                  </w:tcBorders>
                  <w:shd w:val="clear" w:color="auto" w:fill="auto"/>
                  <w:vAlign w:val="center"/>
                  <w:hideMark/>
                </w:tcPr>
                <w:p w14:paraId="230AC897"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67 381</w:t>
                  </w:r>
                </w:p>
              </w:tc>
              <w:tc>
                <w:tcPr>
                  <w:tcW w:w="901" w:type="dxa"/>
                  <w:tcBorders>
                    <w:top w:val="nil"/>
                    <w:left w:val="nil"/>
                    <w:bottom w:val="single" w:sz="8" w:space="0" w:color="auto"/>
                    <w:right w:val="nil"/>
                  </w:tcBorders>
                  <w:shd w:val="clear" w:color="auto" w:fill="auto"/>
                  <w:vAlign w:val="center"/>
                  <w:hideMark/>
                </w:tcPr>
                <w:p w14:paraId="6FBE1594"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104 161</w:t>
                  </w:r>
                </w:p>
              </w:tc>
              <w:tc>
                <w:tcPr>
                  <w:tcW w:w="901" w:type="dxa"/>
                  <w:tcBorders>
                    <w:top w:val="nil"/>
                    <w:left w:val="nil"/>
                    <w:bottom w:val="single" w:sz="8" w:space="0" w:color="auto"/>
                    <w:right w:val="nil"/>
                  </w:tcBorders>
                  <w:shd w:val="clear" w:color="auto" w:fill="auto"/>
                  <w:vAlign w:val="center"/>
                  <w:hideMark/>
                </w:tcPr>
                <w:p w14:paraId="6A4ECEF7"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66 222</w:t>
                  </w:r>
                </w:p>
              </w:tc>
              <w:tc>
                <w:tcPr>
                  <w:tcW w:w="901" w:type="dxa"/>
                  <w:tcBorders>
                    <w:top w:val="nil"/>
                    <w:left w:val="nil"/>
                    <w:bottom w:val="single" w:sz="8" w:space="0" w:color="auto"/>
                    <w:right w:val="nil"/>
                  </w:tcBorders>
                  <w:shd w:val="clear" w:color="auto" w:fill="auto"/>
                  <w:vAlign w:val="center"/>
                  <w:hideMark/>
                </w:tcPr>
                <w:p w14:paraId="6C66D1D7"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-37 939</w:t>
                  </w:r>
                </w:p>
              </w:tc>
            </w:tr>
            <w:tr w:rsidR="003A0696" w:rsidRPr="001228A1" w14:paraId="46AB09E0" w14:textId="77777777" w:rsidTr="003A0696">
              <w:trPr>
                <w:trHeight w:val="223"/>
              </w:trPr>
              <w:tc>
                <w:tcPr>
                  <w:tcW w:w="4668" w:type="dxa"/>
                  <w:tcBorders>
                    <w:top w:val="nil"/>
                    <w:left w:val="nil"/>
                    <w:bottom w:val="nil"/>
                    <w:right w:val="nil"/>
                  </w:tcBorders>
                  <w:shd w:val="clear" w:color="auto" w:fill="auto"/>
                  <w:vAlign w:val="center"/>
                  <w:hideMark/>
                </w:tcPr>
                <w:p w14:paraId="2017707D" w14:textId="77777777" w:rsidR="003A0696" w:rsidRPr="001228A1" w:rsidRDefault="003A0696" w:rsidP="003A0696">
                  <w:pPr>
                    <w:spacing w:after="0" w:line="240" w:lineRule="auto"/>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Konsolidované príjmy z dividend a odvodov zo zisku</w:t>
                  </w:r>
                </w:p>
              </w:tc>
              <w:tc>
                <w:tcPr>
                  <w:tcW w:w="901" w:type="dxa"/>
                  <w:tcBorders>
                    <w:top w:val="nil"/>
                    <w:left w:val="nil"/>
                    <w:bottom w:val="nil"/>
                    <w:right w:val="nil"/>
                  </w:tcBorders>
                  <w:shd w:val="clear" w:color="auto" w:fill="auto"/>
                  <w:vAlign w:val="center"/>
                  <w:hideMark/>
                </w:tcPr>
                <w:p w14:paraId="3E431F1C"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423 012</w:t>
                  </w:r>
                </w:p>
              </w:tc>
              <w:tc>
                <w:tcPr>
                  <w:tcW w:w="901" w:type="dxa"/>
                  <w:tcBorders>
                    <w:top w:val="nil"/>
                    <w:left w:val="nil"/>
                    <w:bottom w:val="nil"/>
                    <w:right w:val="nil"/>
                  </w:tcBorders>
                  <w:shd w:val="clear" w:color="auto" w:fill="auto"/>
                  <w:vAlign w:val="center"/>
                  <w:hideMark/>
                </w:tcPr>
                <w:p w14:paraId="300D5BC0"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481 130</w:t>
                  </w:r>
                </w:p>
              </w:tc>
              <w:tc>
                <w:tcPr>
                  <w:tcW w:w="901" w:type="dxa"/>
                  <w:tcBorders>
                    <w:top w:val="nil"/>
                    <w:left w:val="nil"/>
                    <w:bottom w:val="nil"/>
                    <w:right w:val="nil"/>
                  </w:tcBorders>
                  <w:shd w:val="clear" w:color="auto" w:fill="auto"/>
                  <w:vAlign w:val="center"/>
                  <w:hideMark/>
                </w:tcPr>
                <w:p w14:paraId="0B85A1C8"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381 035</w:t>
                  </w:r>
                </w:p>
              </w:tc>
              <w:tc>
                <w:tcPr>
                  <w:tcW w:w="901" w:type="dxa"/>
                  <w:tcBorders>
                    <w:top w:val="nil"/>
                    <w:left w:val="nil"/>
                    <w:bottom w:val="nil"/>
                    <w:right w:val="nil"/>
                  </w:tcBorders>
                  <w:shd w:val="clear" w:color="auto" w:fill="auto"/>
                  <w:vAlign w:val="center"/>
                  <w:hideMark/>
                </w:tcPr>
                <w:p w14:paraId="209C1EA5"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378 425</w:t>
                  </w:r>
                </w:p>
              </w:tc>
              <w:tc>
                <w:tcPr>
                  <w:tcW w:w="901" w:type="dxa"/>
                  <w:tcBorders>
                    <w:top w:val="nil"/>
                    <w:left w:val="nil"/>
                    <w:bottom w:val="nil"/>
                    <w:right w:val="nil"/>
                  </w:tcBorders>
                  <w:shd w:val="clear" w:color="auto" w:fill="auto"/>
                  <w:vAlign w:val="center"/>
                  <w:hideMark/>
                </w:tcPr>
                <w:p w14:paraId="20506122"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-2 610</w:t>
                  </w:r>
                </w:p>
              </w:tc>
            </w:tr>
            <w:tr w:rsidR="003A0696" w:rsidRPr="001228A1" w14:paraId="668CC7B8" w14:textId="77777777" w:rsidTr="003A0696">
              <w:trPr>
                <w:trHeight w:val="223"/>
              </w:trPr>
              <w:tc>
                <w:tcPr>
                  <w:tcW w:w="4668" w:type="dxa"/>
                  <w:tcBorders>
                    <w:top w:val="nil"/>
                    <w:left w:val="nil"/>
                    <w:bottom w:val="nil"/>
                    <w:right w:val="nil"/>
                  </w:tcBorders>
                  <w:shd w:val="clear" w:color="auto" w:fill="auto"/>
                  <w:vAlign w:val="center"/>
                  <w:hideMark/>
                </w:tcPr>
                <w:p w14:paraId="2AA6BCE1"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59A8C9C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251 488</w:t>
                  </w:r>
                </w:p>
              </w:tc>
              <w:tc>
                <w:tcPr>
                  <w:tcW w:w="901" w:type="dxa"/>
                  <w:tcBorders>
                    <w:top w:val="nil"/>
                    <w:left w:val="nil"/>
                    <w:bottom w:val="nil"/>
                    <w:right w:val="nil"/>
                  </w:tcBorders>
                  <w:shd w:val="clear" w:color="auto" w:fill="auto"/>
                  <w:vAlign w:val="center"/>
                  <w:hideMark/>
                </w:tcPr>
                <w:p w14:paraId="3B526A95"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416 749</w:t>
                  </w:r>
                </w:p>
              </w:tc>
              <w:tc>
                <w:tcPr>
                  <w:tcW w:w="901" w:type="dxa"/>
                  <w:tcBorders>
                    <w:top w:val="nil"/>
                    <w:left w:val="nil"/>
                    <w:bottom w:val="nil"/>
                    <w:right w:val="nil"/>
                  </w:tcBorders>
                  <w:shd w:val="clear" w:color="auto" w:fill="auto"/>
                  <w:vAlign w:val="center"/>
                  <w:hideMark/>
                </w:tcPr>
                <w:p w14:paraId="63CF96F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279 994</w:t>
                  </w:r>
                </w:p>
              </w:tc>
              <w:tc>
                <w:tcPr>
                  <w:tcW w:w="901" w:type="dxa"/>
                  <w:tcBorders>
                    <w:top w:val="nil"/>
                    <w:left w:val="nil"/>
                    <w:bottom w:val="nil"/>
                    <w:right w:val="nil"/>
                  </w:tcBorders>
                  <w:shd w:val="clear" w:color="auto" w:fill="auto"/>
                  <w:vAlign w:val="center"/>
                  <w:hideMark/>
                </w:tcPr>
                <w:p w14:paraId="2DDE79F6"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317 203</w:t>
                  </w:r>
                </w:p>
              </w:tc>
              <w:tc>
                <w:tcPr>
                  <w:tcW w:w="901" w:type="dxa"/>
                  <w:tcBorders>
                    <w:top w:val="nil"/>
                    <w:left w:val="nil"/>
                    <w:bottom w:val="nil"/>
                    <w:right w:val="nil"/>
                  </w:tcBorders>
                  <w:shd w:val="clear" w:color="auto" w:fill="auto"/>
                  <w:vAlign w:val="center"/>
                  <w:hideMark/>
                </w:tcPr>
                <w:p w14:paraId="4AF9A71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37 209</w:t>
                  </w:r>
                </w:p>
              </w:tc>
            </w:tr>
            <w:tr w:rsidR="003A0696" w:rsidRPr="001228A1" w14:paraId="0F1CBF82" w14:textId="77777777" w:rsidTr="003A0696">
              <w:trPr>
                <w:trHeight w:val="223"/>
              </w:trPr>
              <w:tc>
                <w:tcPr>
                  <w:tcW w:w="4668" w:type="dxa"/>
                  <w:tcBorders>
                    <w:top w:val="nil"/>
                    <w:left w:val="nil"/>
                    <w:bottom w:val="single" w:sz="8" w:space="0" w:color="auto"/>
                    <w:right w:val="nil"/>
                  </w:tcBorders>
                  <w:shd w:val="clear" w:color="auto" w:fill="auto"/>
                  <w:vAlign w:val="center"/>
                  <w:hideMark/>
                </w:tcPr>
                <w:p w14:paraId="41D6C2EC"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single" w:sz="8" w:space="0" w:color="auto"/>
                    <w:right w:val="nil"/>
                  </w:tcBorders>
                  <w:shd w:val="clear" w:color="auto" w:fill="auto"/>
                  <w:vAlign w:val="center"/>
                  <w:hideMark/>
                </w:tcPr>
                <w:p w14:paraId="6700B2D8"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171 524</w:t>
                  </w:r>
                </w:p>
              </w:tc>
              <w:tc>
                <w:tcPr>
                  <w:tcW w:w="901" w:type="dxa"/>
                  <w:tcBorders>
                    <w:top w:val="nil"/>
                    <w:left w:val="nil"/>
                    <w:bottom w:val="single" w:sz="8" w:space="0" w:color="auto"/>
                    <w:right w:val="nil"/>
                  </w:tcBorders>
                  <w:shd w:val="clear" w:color="auto" w:fill="auto"/>
                  <w:vAlign w:val="center"/>
                  <w:hideMark/>
                </w:tcPr>
                <w:p w14:paraId="20DA03E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64 381</w:t>
                  </w:r>
                </w:p>
              </w:tc>
              <w:tc>
                <w:tcPr>
                  <w:tcW w:w="901" w:type="dxa"/>
                  <w:tcBorders>
                    <w:top w:val="nil"/>
                    <w:left w:val="nil"/>
                    <w:bottom w:val="single" w:sz="8" w:space="0" w:color="auto"/>
                    <w:right w:val="nil"/>
                  </w:tcBorders>
                  <w:shd w:val="clear" w:color="auto" w:fill="auto"/>
                  <w:vAlign w:val="center"/>
                  <w:hideMark/>
                </w:tcPr>
                <w:p w14:paraId="66D3886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101 041</w:t>
                  </w:r>
                </w:p>
              </w:tc>
              <w:tc>
                <w:tcPr>
                  <w:tcW w:w="901" w:type="dxa"/>
                  <w:tcBorders>
                    <w:top w:val="nil"/>
                    <w:left w:val="nil"/>
                    <w:bottom w:val="single" w:sz="8" w:space="0" w:color="auto"/>
                    <w:right w:val="nil"/>
                  </w:tcBorders>
                  <w:shd w:val="clear" w:color="auto" w:fill="auto"/>
                  <w:vAlign w:val="center"/>
                  <w:hideMark/>
                </w:tcPr>
                <w:p w14:paraId="5C25DEEB"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61 222</w:t>
                  </w:r>
                </w:p>
              </w:tc>
              <w:tc>
                <w:tcPr>
                  <w:tcW w:w="901" w:type="dxa"/>
                  <w:tcBorders>
                    <w:top w:val="nil"/>
                    <w:left w:val="nil"/>
                    <w:bottom w:val="single" w:sz="8" w:space="0" w:color="auto"/>
                    <w:right w:val="nil"/>
                  </w:tcBorders>
                  <w:shd w:val="clear" w:color="auto" w:fill="auto"/>
                  <w:vAlign w:val="center"/>
                  <w:hideMark/>
                </w:tcPr>
                <w:p w14:paraId="33E5B9F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-39 819</w:t>
                  </w:r>
                </w:p>
              </w:tc>
            </w:tr>
            <w:tr w:rsidR="003A0696" w:rsidRPr="001228A1" w14:paraId="13922DCC" w14:textId="77777777" w:rsidTr="003A0696">
              <w:trPr>
                <w:trHeight w:val="223"/>
              </w:trPr>
              <w:tc>
                <w:tcPr>
                  <w:tcW w:w="4668" w:type="dxa"/>
                  <w:tcBorders>
                    <w:top w:val="nil"/>
                    <w:left w:val="nil"/>
                    <w:bottom w:val="nil"/>
                    <w:right w:val="nil"/>
                  </w:tcBorders>
                  <w:shd w:val="clear" w:color="auto" w:fill="auto"/>
                  <w:vAlign w:val="center"/>
                  <w:hideMark/>
                </w:tcPr>
                <w:p w14:paraId="5CEB923A" w14:textId="77777777" w:rsidR="003A0696" w:rsidRPr="001228A1" w:rsidRDefault="003A0696" w:rsidP="003A0696">
                  <w:pPr>
                    <w:spacing w:after="0" w:line="240" w:lineRule="auto"/>
                    <w:jc w:val="lef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Ministerstvo financií SR</w:t>
                  </w:r>
                </w:p>
              </w:tc>
              <w:tc>
                <w:tcPr>
                  <w:tcW w:w="901" w:type="dxa"/>
                  <w:tcBorders>
                    <w:top w:val="nil"/>
                    <w:left w:val="nil"/>
                    <w:bottom w:val="nil"/>
                    <w:right w:val="nil"/>
                  </w:tcBorders>
                  <w:shd w:val="clear" w:color="auto" w:fill="auto"/>
                  <w:vAlign w:val="center"/>
                  <w:hideMark/>
                </w:tcPr>
                <w:p w14:paraId="54559728"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6 694</w:t>
                  </w:r>
                </w:p>
              </w:tc>
              <w:tc>
                <w:tcPr>
                  <w:tcW w:w="901" w:type="dxa"/>
                  <w:tcBorders>
                    <w:top w:val="nil"/>
                    <w:left w:val="nil"/>
                    <w:bottom w:val="nil"/>
                    <w:right w:val="nil"/>
                  </w:tcBorders>
                  <w:shd w:val="clear" w:color="auto" w:fill="auto"/>
                  <w:vAlign w:val="center"/>
                  <w:hideMark/>
                </w:tcPr>
                <w:p w14:paraId="7294BC6F"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32 660</w:t>
                  </w:r>
                </w:p>
              </w:tc>
              <w:tc>
                <w:tcPr>
                  <w:tcW w:w="901" w:type="dxa"/>
                  <w:tcBorders>
                    <w:top w:val="nil"/>
                    <w:left w:val="nil"/>
                    <w:bottom w:val="nil"/>
                    <w:right w:val="nil"/>
                  </w:tcBorders>
                  <w:shd w:val="clear" w:color="auto" w:fill="auto"/>
                  <w:vAlign w:val="center"/>
                  <w:hideMark/>
                </w:tcPr>
                <w:p w14:paraId="4F0DE589"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10 779</w:t>
                  </w:r>
                </w:p>
              </w:tc>
              <w:tc>
                <w:tcPr>
                  <w:tcW w:w="901" w:type="dxa"/>
                  <w:tcBorders>
                    <w:top w:val="nil"/>
                    <w:left w:val="nil"/>
                    <w:bottom w:val="nil"/>
                    <w:right w:val="nil"/>
                  </w:tcBorders>
                  <w:shd w:val="clear" w:color="auto" w:fill="auto"/>
                  <w:vAlign w:val="center"/>
                  <w:hideMark/>
                </w:tcPr>
                <w:p w14:paraId="632B924F"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7 000</w:t>
                  </w:r>
                </w:p>
              </w:tc>
              <w:tc>
                <w:tcPr>
                  <w:tcW w:w="901" w:type="dxa"/>
                  <w:tcBorders>
                    <w:top w:val="nil"/>
                    <w:left w:val="nil"/>
                    <w:bottom w:val="nil"/>
                    <w:right w:val="nil"/>
                  </w:tcBorders>
                  <w:shd w:val="clear" w:color="auto" w:fill="auto"/>
                  <w:vAlign w:val="center"/>
                  <w:hideMark/>
                </w:tcPr>
                <w:p w14:paraId="1998BCDD"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-3 779</w:t>
                  </w:r>
                </w:p>
              </w:tc>
            </w:tr>
            <w:tr w:rsidR="003A0696" w:rsidRPr="001228A1" w14:paraId="67B658F2" w14:textId="77777777" w:rsidTr="003A0696">
              <w:trPr>
                <w:trHeight w:val="223"/>
              </w:trPr>
              <w:tc>
                <w:tcPr>
                  <w:tcW w:w="4668" w:type="dxa"/>
                  <w:tcBorders>
                    <w:top w:val="nil"/>
                    <w:left w:val="nil"/>
                    <w:bottom w:val="nil"/>
                    <w:right w:val="nil"/>
                  </w:tcBorders>
                  <w:shd w:val="clear" w:color="auto" w:fill="auto"/>
                  <w:vAlign w:val="center"/>
                  <w:hideMark/>
                </w:tcPr>
                <w:p w14:paraId="69F3B7D5"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Slovenská konsolidačná, a. s.</w:t>
                  </w:r>
                </w:p>
              </w:tc>
              <w:tc>
                <w:tcPr>
                  <w:tcW w:w="901" w:type="dxa"/>
                  <w:tcBorders>
                    <w:top w:val="nil"/>
                    <w:left w:val="nil"/>
                    <w:bottom w:val="nil"/>
                    <w:right w:val="nil"/>
                  </w:tcBorders>
                  <w:shd w:val="clear" w:color="auto" w:fill="auto"/>
                  <w:vAlign w:val="center"/>
                  <w:hideMark/>
                </w:tcPr>
                <w:p w14:paraId="45E06695"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3 144</w:t>
                  </w:r>
                </w:p>
              </w:tc>
              <w:tc>
                <w:tcPr>
                  <w:tcW w:w="901" w:type="dxa"/>
                  <w:tcBorders>
                    <w:top w:val="nil"/>
                    <w:left w:val="nil"/>
                    <w:bottom w:val="nil"/>
                    <w:right w:val="nil"/>
                  </w:tcBorders>
                  <w:shd w:val="clear" w:color="auto" w:fill="auto"/>
                  <w:vAlign w:val="center"/>
                  <w:hideMark/>
                </w:tcPr>
                <w:p w14:paraId="4CCC33CD"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575</w:t>
                  </w:r>
                </w:p>
              </w:tc>
              <w:tc>
                <w:tcPr>
                  <w:tcW w:w="901" w:type="dxa"/>
                  <w:tcBorders>
                    <w:top w:val="nil"/>
                    <w:left w:val="nil"/>
                    <w:bottom w:val="nil"/>
                    <w:right w:val="nil"/>
                  </w:tcBorders>
                  <w:shd w:val="clear" w:color="auto" w:fill="auto"/>
                  <w:vAlign w:val="center"/>
                  <w:hideMark/>
                </w:tcPr>
                <w:p w14:paraId="50EC18DD"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120</w:t>
                  </w:r>
                </w:p>
              </w:tc>
              <w:tc>
                <w:tcPr>
                  <w:tcW w:w="901" w:type="dxa"/>
                  <w:tcBorders>
                    <w:top w:val="nil"/>
                    <w:left w:val="nil"/>
                    <w:bottom w:val="nil"/>
                    <w:right w:val="nil"/>
                  </w:tcBorders>
                  <w:shd w:val="clear" w:color="auto" w:fill="auto"/>
                  <w:vAlign w:val="center"/>
                  <w:hideMark/>
                </w:tcPr>
                <w:p w14:paraId="0C82A484"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2 000</w:t>
                  </w:r>
                </w:p>
              </w:tc>
              <w:tc>
                <w:tcPr>
                  <w:tcW w:w="901" w:type="dxa"/>
                  <w:tcBorders>
                    <w:top w:val="nil"/>
                    <w:left w:val="nil"/>
                    <w:bottom w:val="nil"/>
                    <w:right w:val="nil"/>
                  </w:tcBorders>
                  <w:shd w:val="clear" w:color="auto" w:fill="auto"/>
                  <w:vAlign w:val="center"/>
                  <w:hideMark/>
                </w:tcPr>
                <w:p w14:paraId="0AEE0159"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1 880</w:t>
                  </w:r>
                </w:p>
              </w:tc>
            </w:tr>
            <w:tr w:rsidR="003A0696" w:rsidRPr="001228A1" w14:paraId="675F40DA" w14:textId="77777777" w:rsidTr="003A0696">
              <w:trPr>
                <w:trHeight w:val="223"/>
              </w:trPr>
              <w:tc>
                <w:tcPr>
                  <w:tcW w:w="4668" w:type="dxa"/>
                  <w:tcBorders>
                    <w:top w:val="nil"/>
                    <w:left w:val="nil"/>
                    <w:bottom w:val="nil"/>
                    <w:right w:val="nil"/>
                  </w:tcBorders>
                  <w:shd w:val="clear" w:color="auto" w:fill="auto"/>
                  <w:vAlign w:val="center"/>
                  <w:hideMark/>
                </w:tcPr>
                <w:p w14:paraId="597F1CCC"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7C8092A0"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6B86002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575</w:t>
                  </w:r>
                </w:p>
              </w:tc>
              <w:tc>
                <w:tcPr>
                  <w:tcW w:w="901" w:type="dxa"/>
                  <w:tcBorders>
                    <w:top w:val="nil"/>
                    <w:left w:val="nil"/>
                    <w:bottom w:val="nil"/>
                    <w:right w:val="nil"/>
                  </w:tcBorders>
                  <w:shd w:val="clear" w:color="auto" w:fill="auto"/>
                  <w:vAlign w:val="center"/>
                  <w:hideMark/>
                </w:tcPr>
                <w:p w14:paraId="0EBFE382"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7287ACE5"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5A00AFA5"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27052521" w14:textId="77777777" w:rsidTr="003A0696">
              <w:trPr>
                <w:trHeight w:val="223"/>
              </w:trPr>
              <w:tc>
                <w:tcPr>
                  <w:tcW w:w="4668" w:type="dxa"/>
                  <w:tcBorders>
                    <w:top w:val="nil"/>
                    <w:left w:val="nil"/>
                    <w:bottom w:val="nil"/>
                    <w:right w:val="nil"/>
                  </w:tcBorders>
                  <w:shd w:val="clear" w:color="auto" w:fill="auto"/>
                  <w:vAlign w:val="center"/>
                  <w:hideMark/>
                </w:tcPr>
                <w:p w14:paraId="4C47EB52"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nil"/>
                    <w:right w:val="nil"/>
                  </w:tcBorders>
                  <w:shd w:val="clear" w:color="auto" w:fill="auto"/>
                  <w:vAlign w:val="center"/>
                  <w:hideMark/>
                </w:tcPr>
                <w:p w14:paraId="7E1B99D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3 144</w:t>
                  </w:r>
                </w:p>
              </w:tc>
              <w:tc>
                <w:tcPr>
                  <w:tcW w:w="901" w:type="dxa"/>
                  <w:tcBorders>
                    <w:top w:val="nil"/>
                    <w:left w:val="nil"/>
                    <w:bottom w:val="nil"/>
                    <w:right w:val="nil"/>
                  </w:tcBorders>
                  <w:shd w:val="clear" w:color="auto" w:fill="auto"/>
                  <w:vAlign w:val="center"/>
                  <w:hideMark/>
                </w:tcPr>
                <w:p w14:paraId="03EA4413"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4D423464"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120</w:t>
                  </w:r>
                </w:p>
              </w:tc>
              <w:tc>
                <w:tcPr>
                  <w:tcW w:w="901" w:type="dxa"/>
                  <w:tcBorders>
                    <w:top w:val="nil"/>
                    <w:left w:val="nil"/>
                    <w:bottom w:val="nil"/>
                    <w:right w:val="nil"/>
                  </w:tcBorders>
                  <w:shd w:val="clear" w:color="auto" w:fill="auto"/>
                  <w:vAlign w:val="center"/>
                  <w:hideMark/>
                </w:tcPr>
                <w:p w14:paraId="7FE0AF99"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2 000</w:t>
                  </w:r>
                </w:p>
              </w:tc>
              <w:tc>
                <w:tcPr>
                  <w:tcW w:w="901" w:type="dxa"/>
                  <w:tcBorders>
                    <w:top w:val="nil"/>
                    <w:left w:val="nil"/>
                    <w:bottom w:val="nil"/>
                    <w:right w:val="nil"/>
                  </w:tcBorders>
                  <w:shd w:val="clear" w:color="auto" w:fill="auto"/>
                  <w:vAlign w:val="center"/>
                  <w:hideMark/>
                </w:tcPr>
                <w:p w14:paraId="69BD8787"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1 880</w:t>
                  </w:r>
                </w:p>
              </w:tc>
            </w:tr>
            <w:tr w:rsidR="003A0696" w:rsidRPr="001228A1" w14:paraId="4B7BD190" w14:textId="77777777" w:rsidTr="003A0696">
              <w:trPr>
                <w:trHeight w:val="223"/>
              </w:trPr>
              <w:tc>
                <w:tcPr>
                  <w:tcW w:w="4668" w:type="dxa"/>
                  <w:tcBorders>
                    <w:top w:val="nil"/>
                    <w:left w:val="nil"/>
                    <w:bottom w:val="nil"/>
                    <w:right w:val="nil"/>
                  </w:tcBorders>
                  <w:shd w:val="clear" w:color="auto" w:fill="auto"/>
                  <w:vAlign w:val="center"/>
                  <w:hideMark/>
                </w:tcPr>
                <w:p w14:paraId="0B6E29B9"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Tipos, a. s.</w:t>
                  </w:r>
                </w:p>
              </w:tc>
              <w:tc>
                <w:tcPr>
                  <w:tcW w:w="901" w:type="dxa"/>
                  <w:tcBorders>
                    <w:top w:val="nil"/>
                    <w:left w:val="nil"/>
                    <w:bottom w:val="nil"/>
                    <w:right w:val="nil"/>
                  </w:tcBorders>
                  <w:shd w:val="clear" w:color="auto" w:fill="auto"/>
                  <w:vAlign w:val="center"/>
                  <w:hideMark/>
                </w:tcPr>
                <w:p w14:paraId="1C4363AB"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3 300</w:t>
                  </w:r>
                </w:p>
              </w:tc>
              <w:tc>
                <w:tcPr>
                  <w:tcW w:w="901" w:type="dxa"/>
                  <w:tcBorders>
                    <w:top w:val="nil"/>
                    <w:left w:val="nil"/>
                    <w:bottom w:val="nil"/>
                    <w:right w:val="nil"/>
                  </w:tcBorders>
                  <w:shd w:val="clear" w:color="auto" w:fill="auto"/>
                  <w:vAlign w:val="center"/>
                  <w:hideMark/>
                </w:tcPr>
                <w:p w14:paraId="60535935"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2 500</w:t>
                  </w:r>
                </w:p>
              </w:tc>
              <w:tc>
                <w:tcPr>
                  <w:tcW w:w="901" w:type="dxa"/>
                  <w:tcBorders>
                    <w:top w:val="nil"/>
                    <w:left w:val="nil"/>
                    <w:bottom w:val="nil"/>
                    <w:right w:val="nil"/>
                  </w:tcBorders>
                  <w:shd w:val="clear" w:color="auto" w:fill="auto"/>
                  <w:vAlign w:val="center"/>
                  <w:hideMark/>
                </w:tcPr>
                <w:p w14:paraId="78922808"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2 500</w:t>
                  </w:r>
                </w:p>
              </w:tc>
              <w:tc>
                <w:tcPr>
                  <w:tcW w:w="901" w:type="dxa"/>
                  <w:tcBorders>
                    <w:top w:val="nil"/>
                    <w:left w:val="nil"/>
                    <w:bottom w:val="nil"/>
                    <w:right w:val="nil"/>
                  </w:tcBorders>
                  <w:shd w:val="clear" w:color="auto" w:fill="auto"/>
                  <w:vAlign w:val="center"/>
                  <w:hideMark/>
                </w:tcPr>
                <w:p w14:paraId="1A16BCAF"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5 000</w:t>
                  </w:r>
                </w:p>
              </w:tc>
              <w:tc>
                <w:tcPr>
                  <w:tcW w:w="901" w:type="dxa"/>
                  <w:tcBorders>
                    <w:top w:val="nil"/>
                    <w:left w:val="nil"/>
                    <w:bottom w:val="nil"/>
                    <w:right w:val="nil"/>
                  </w:tcBorders>
                  <w:shd w:val="clear" w:color="auto" w:fill="auto"/>
                  <w:vAlign w:val="center"/>
                  <w:hideMark/>
                </w:tcPr>
                <w:p w14:paraId="75515020"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2 500</w:t>
                  </w:r>
                </w:p>
              </w:tc>
            </w:tr>
            <w:tr w:rsidR="003A0696" w:rsidRPr="001228A1" w14:paraId="6CB597A3" w14:textId="77777777" w:rsidTr="003A0696">
              <w:trPr>
                <w:trHeight w:val="223"/>
              </w:trPr>
              <w:tc>
                <w:tcPr>
                  <w:tcW w:w="4668" w:type="dxa"/>
                  <w:tcBorders>
                    <w:top w:val="nil"/>
                    <w:left w:val="nil"/>
                    <w:bottom w:val="nil"/>
                    <w:right w:val="nil"/>
                  </w:tcBorders>
                  <w:shd w:val="clear" w:color="auto" w:fill="auto"/>
                  <w:vAlign w:val="center"/>
                  <w:hideMark/>
                </w:tcPr>
                <w:p w14:paraId="6823578E"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SEPS, a. s.</w:t>
                  </w:r>
                </w:p>
              </w:tc>
              <w:tc>
                <w:tcPr>
                  <w:tcW w:w="901" w:type="dxa"/>
                  <w:tcBorders>
                    <w:top w:val="nil"/>
                    <w:left w:val="nil"/>
                    <w:bottom w:val="nil"/>
                    <w:right w:val="nil"/>
                  </w:tcBorders>
                  <w:shd w:val="clear" w:color="auto" w:fill="auto"/>
                  <w:vAlign w:val="center"/>
                  <w:hideMark/>
                </w:tcPr>
                <w:p w14:paraId="2EE2BF0C"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4BC80EBE"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29 335</w:t>
                  </w:r>
                </w:p>
              </w:tc>
              <w:tc>
                <w:tcPr>
                  <w:tcW w:w="901" w:type="dxa"/>
                  <w:tcBorders>
                    <w:top w:val="nil"/>
                    <w:left w:val="nil"/>
                    <w:bottom w:val="nil"/>
                    <w:right w:val="nil"/>
                  </w:tcBorders>
                  <w:shd w:val="clear" w:color="auto" w:fill="auto"/>
                  <w:vAlign w:val="center"/>
                  <w:hideMark/>
                </w:tcPr>
                <w:p w14:paraId="54EA71A1"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7 909</w:t>
                  </w:r>
                </w:p>
              </w:tc>
              <w:tc>
                <w:tcPr>
                  <w:tcW w:w="901" w:type="dxa"/>
                  <w:tcBorders>
                    <w:top w:val="nil"/>
                    <w:left w:val="nil"/>
                    <w:bottom w:val="nil"/>
                    <w:right w:val="nil"/>
                  </w:tcBorders>
                  <w:shd w:val="clear" w:color="auto" w:fill="auto"/>
                  <w:vAlign w:val="center"/>
                  <w:hideMark/>
                </w:tcPr>
                <w:p w14:paraId="411608D3"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055D709B"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-7 909</w:t>
                  </w:r>
                </w:p>
              </w:tc>
            </w:tr>
            <w:tr w:rsidR="003A0696" w:rsidRPr="001228A1" w14:paraId="5B01C246" w14:textId="77777777" w:rsidTr="003A0696">
              <w:trPr>
                <w:trHeight w:val="223"/>
              </w:trPr>
              <w:tc>
                <w:tcPr>
                  <w:tcW w:w="4668" w:type="dxa"/>
                  <w:tcBorders>
                    <w:top w:val="nil"/>
                    <w:left w:val="nil"/>
                    <w:bottom w:val="nil"/>
                    <w:right w:val="nil"/>
                  </w:tcBorders>
                  <w:shd w:val="clear" w:color="auto" w:fill="auto"/>
                  <w:vAlign w:val="center"/>
                  <w:hideMark/>
                </w:tcPr>
                <w:p w14:paraId="0D87444D" w14:textId="77777777" w:rsidR="003A0696" w:rsidRPr="001228A1" w:rsidRDefault="003A0696" w:rsidP="003A0696">
                  <w:pPr>
                    <w:spacing w:after="0" w:line="240" w:lineRule="auto"/>
                    <w:rPr>
                      <w:rFonts w:eastAsia="Times New Roman" w:cs="Times New Roman"/>
                      <w:color w:val="000000"/>
                      <w:sz w:val="20"/>
                      <w:szCs w:val="20"/>
                      <w:lang w:eastAsia="sk-SK"/>
                    </w:rPr>
                  </w:pPr>
                  <w:r w:rsidRPr="001228A1">
                    <w:rPr>
                      <w:rFonts w:eastAsia="Times New Roman" w:cs="Times New Roman"/>
                      <w:color w:val="000000"/>
                      <w:sz w:val="20"/>
                      <w:szCs w:val="20"/>
                      <w:lang w:eastAsia="sk-SK"/>
                    </w:rPr>
                    <w:t>EXIMBANKA SR</w:t>
                  </w:r>
                </w:p>
              </w:tc>
              <w:tc>
                <w:tcPr>
                  <w:tcW w:w="901" w:type="dxa"/>
                  <w:tcBorders>
                    <w:top w:val="nil"/>
                    <w:left w:val="nil"/>
                    <w:bottom w:val="nil"/>
                    <w:right w:val="nil"/>
                  </w:tcBorders>
                  <w:shd w:val="clear" w:color="auto" w:fill="auto"/>
                  <w:vAlign w:val="center"/>
                  <w:hideMark/>
                </w:tcPr>
                <w:p w14:paraId="1953E9A9"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250</w:t>
                  </w:r>
                </w:p>
              </w:tc>
              <w:tc>
                <w:tcPr>
                  <w:tcW w:w="901" w:type="dxa"/>
                  <w:tcBorders>
                    <w:top w:val="nil"/>
                    <w:left w:val="nil"/>
                    <w:bottom w:val="nil"/>
                    <w:right w:val="nil"/>
                  </w:tcBorders>
                  <w:shd w:val="clear" w:color="auto" w:fill="auto"/>
                  <w:vAlign w:val="center"/>
                  <w:hideMark/>
                </w:tcPr>
                <w:p w14:paraId="4337A7E6"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250</w:t>
                  </w:r>
                </w:p>
              </w:tc>
              <w:tc>
                <w:tcPr>
                  <w:tcW w:w="901" w:type="dxa"/>
                  <w:tcBorders>
                    <w:top w:val="nil"/>
                    <w:left w:val="nil"/>
                    <w:bottom w:val="nil"/>
                    <w:right w:val="nil"/>
                  </w:tcBorders>
                  <w:shd w:val="clear" w:color="auto" w:fill="auto"/>
                  <w:vAlign w:val="center"/>
                  <w:hideMark/>
                </w:tcPr>
                <w:p w14:paraId="4931028A"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250</w:t>
                  </w:r>
                </w:p>
              </w:tc>
              <w:tc>
                <w:tcPr>
                  <w:tcW w:w="901" w:type="dxa"/>
                  <w:tcBorders>
                    <w:top w:val="nil"/>
                    <w:left w:val="nil"/>
                    <w:bottom w:val="nil"/>
                    <w:right w:val="nil"/>
                  </w:tcBorders>
                  <w:shd w:val="clear" w:color="auto" w:fill="auto"/>
                  <w:vAlign w:val="center"/>
                  <w:hideMark/>
                </w:tcPr>
                <w:p w14:paraId="783B35C1"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128A3436"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-250</w:t>
                  </w:r>
                </w:p>
              </w:tc>
            </w:tr>
            <w:tr w:rsidR="003A0696" w:rsidRPr="001228A1" w14:paraId="5069B60F" w14:textId="77777777" w:rsidTr="003A0696">
              <w:trPr>
                <w:trHeight w:val="223"/>
              </w:trPr>
              <w:tc>
                <w:tcPr>
                  <w:tcW w:w="4668" w:type="dxa"/>
                  <w:tcBorders>
                    <w:top w:val="nil"/>
                    <w:left w:val="nil"/>
                    <w:bottom w:val="nil"/>
                    <w:right w:val="nil"/>
                  </w:tcBorders>
                  <w:shd w:val="clear" w:color="auto" w:fill="auto"/>
                  <w:vAlign w:val="center"/>
                  <w:hideMark/>
                </w:tcPr>
                <w:p w14:paraId="6D86DC48"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69BDA2B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250</w:t>
                  </w:r>
                </w:p>
              </w:tc>
              <w:tc>
                <w:tcPr>
                  <w:tcW w:w="901" w:type="dxa"/>
                  <w:tcBorders>
                    <w:top w:val="nil"/>
                    <w:left w:val="nil"/>
                    <w:bottom w:val="nil"/>
                    <w:right w:val="nil"/>
                  </w:tcBorders>
                  <w:shd w:val="clear" w:color="auto" w:fill="auto"/>
                  <w:vAlign w:val="center"/>
                  <w:hideMark/>
                </w:tcPr>
                <w:p w14:paraId="2B189B0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250</w:t>
                  </w:r>
                </w:p>
              </w:tc>
              <w:tc>
                <w:tcPr>
                  <w:tcW w:w="901" w:type="dxa"/>
                  <w:tcBorders>
                    <w:top w:val="nil"/>
                    <w:left w:val="nil"/>
                    <w:bottom w:val="nil"/>
                    <w:right w:val="nil"/>
                  </w:tcBorders>
                  <w:shd w:val="clear" w:color="auto" w:fill="auto"/>
                  <w:vAlign w:val="center"/>
                  <w:hideMark/>
                </w:tcPr>
                <w:p w14:paraId="6A01279F"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250</w:t>
                  </w:r>
                </w:p>
              </w:tc>
              <w:tc>
                <w:tcPr>
                  <w:tcW w:w="901" w:type="dxa"/>
                  <w:tcBorders>
                    <w:top w:val="nil"/>
                    <w:left w:val="nil"/>
                    <w:bottom w:val="nil"/>
                    <w:right w:val="nil"/>
                  </w:tcBorders>
                  <w:shd w:val="clear" w:color="auto" w:fill="auto"/>
                  <w:vAlign w:val="center"/>
                  <w:hideMark/>
                </w:tcPr>
                <w:p w14:paraId="495A002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1CC51956"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-250</w:t>
                  </w:r>
                </w:p>
              </w:tc>
            </w:tr>
            <w:tr w:rsidR="003A0696" w:rsidRPr="001228A1" w14:paraId="4D935102" w14:textId="77777777" w:rsidTr="003A0696">
              <w:trPr>
                <w:trHeight w:val="223"/>
              </w:trPr>
              <w:tc>
                <w:tcPr>
                  <w:tcW w:w="4668" w:type="dxa"/>
                  <w:tcBorders>
                    <w:top w:val="nil"/>
                    <w:left w:val="nil"/>
                    <w:bottom w:val="nil"/>
                    <w:right w:val="nil"/>
                  </w:tcBorders>
                  <w:shd w:val="clear" w:color="auto" w:fill="auto"/>
                  <w:vAlign w:val="center"/>
                  <w:hideMark/>
                </w:tcPr>
                <w:p w14:paraId="027A31AC" w14:textId="77777777" w:rsidR="003A0696" w:rsidRPr="001228A1" w:rsidRDefault="003A0696" w:rsidP="003A0696">
                  <w:pPr>
                    <w:spacing w:after="0" w:line="240" w:lineRule="auto"/>
                    <w:jc w:val="lef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Ministerstvo zahraničných vecí a európskych záležitostí SR</w:t>
                  </w:r>
                </w:p>
              </w:tc>
              <w:tc>
                <w:tcPr>
                  <w:tcW w:w="901" w:type="dxa"/>
                  <w:tcBorders>
                    <w:top w:val="nil"/>
                    <w:left w:val="nil"/>
                    <w:bottom w:val="nil"/>
                    <w:right w:val="nil"/>
                  </w:tcBorders>
                  <w:shd w:val="clear" w:color="auto" w:fill="auto"/>
                  <w:vAlign w:val="center"/>
                  <w:hideMark/>
                </w:tcPr>
                <w:p w14:paraId="24D04D42"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698</w:t>
                  </w:r>
                </w:p>
              </w:tc>
              <w:tc>
                <w:tcPr>
                  <w:tcW w:w="901" w:type="dxa"/>
                  <w:tcBorders>
                    <w:top w:val="nil"/>
                    <w:left w:val="nil"/>
                    <w:bottom w:val="nil"/>
                    <w:right w:val="nil"/>
                  </w:tcBorders>
                  <w:shd w:val="clear" w:color="auto" w:fill="auto"/>
                  <w:vAlign w:val="center"/>
                  <w:hideMark/>
                </w:tcPr>
                <w:p w14:paraId="6630922D"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250</w:t>
                  </w:r>
                </w:p>
              </w:tc>
              <w:tc>
                <w:tcPr>
                  <w:tcW w:w="901" w:type="dxa"/>
                  <w:tcBorders>
                    <w:top w:val="nil"/>
                    <w:left w:val="nil"/>
                    <w:bottom w:val="nil"/>
                    <w:right w:val="nil"/>
                  </w:tcBorders>
                  <w:shd w:val="clear" w:color="auto" w:fill="auto"/>
                  <w:vAlign w:val="center"/>
                  <w:hideMark/>
                </w:tcPr>
                <w:p w14:paraId="7064B7D7"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240</w:t>
                  </w:r>
                </w:p>
              </w:tc>
              <w:tc>
                <w:tcPr>
                  <w:tcW w:w="901" w:type="dxa"/>
                  <w:tcBorders>
                    <w:top w:val="nil"/>
                    <w:left w:val="nil"/>
                    <w:bottom w:val="nil"/>
                    <w:right w:val="nil"/>
                  </w:tcBorders>
                  <w:shd w:val="clear" w:color="auto" w:fill="auto"/>
                  <w:vAlign w:val="center"/>
                  <w:hideMark/>
                </w:tcPr>
                <w:p w14:paraId="62ED97BB"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240</w:t>
                  </w:r>
                </w:p>
              </w:tc>
              <w:tc>
                <w:tcPr>
                  <w:tcW w:w="901" w:type="dxa"/>
                  <w:tcBorders>
                    <w:top w:val="nil"/>
                    <w:left w:val="nil"/>
                    <w:bottom w:val="nil"/>
                    <w:right w:val="nil"/>
                  </w:tcBorders>
                  <w:shd w:val="clear" w:color="auto" w:fill="auto"/>
                  <w:vAlign w:val="center"/>
                  <w:hideMark/>
                </w:tcPr>
                <w:p w14:paraId="4FE2DF0A"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0</w:t>
                  </w:r>
                </w:p>
              </w:tc>
            </w:tr>
            <w:tr w:rsidR="003A0696" w:rsidRPr="001228A1" w14:paraId="7503D10A" w14:textId="77777777" w:rsidTr="003A0696">
              <w:trPr>
                <w:trHeight w:val="223"/>
              </w:trPr>
              <w:tc>
                <w:tcPr>
                  <w:tcW w:w="4668" w:type="dxa"/>
                  <w:tcBorders>
                    <w:top w:val="nil"/>
                    <w:left w:val="nil"/>
                    <w:bottom w:val="nil"/>
                    <w:right w:val="nil"/>
                  </w:tcBorders>
                  <w:shd w:val="clear" w:color="auto" w:fill="auto"/>
                  <w:vAlign w:val="center"/>
                  <w:hideMark/>
                </w:tcPr>
                <w:p w14:paraId="2797936B"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Správa služieb diplomatickému zboru, a. s.</w:t>
                  </w:r>
                </w:p>
              </w:tc>
              <w:tc>
                <w:tcPr>
                  <w:tcW w:w="901" w:type="dxa"/>
                  <w:tcBorders>
                    <w:top w:val="nil"/>
                    <w:left w:val="nil"/>
                    <w:bottom w:val="nil"/>
                    <w:right w:val="nil"/>
                  </w:tcBorders>
                  <w:shd w:val="clear" w:color="auto" w:fill="auto"/>
                  <w:vAlign w:val="center"/>
                  <w:hideMark/>
                </w:tcPr>
                <w:p w14:paraId="7CFF339A"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698</w:t>
                  </w:r>
                </w:p>
              </w:tc>
              <w:tc>
                <w:tcPr>
                  <w:tcW w:w="901" w:type="dxa"/>
                  <w:tcBorders>
                    <w:top w:val="nil"/>
                    <w:left w:val="nil"/>
                    <w:bottom w:val="nil"/>
                    <w:right w:val="nil"/>
                  </w:tcBorders>
                  <w:shd w:val="clear" w:color="auto" w:fill="auto"/>
                  <w:vAlign w:val="center"/>
                  <w:hideMark/>
                </w:tcPr>
                <w:p w14:paraId="656BA2F0"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250</w:t>
                  </w:r>
                </w:p>
              </w:tc>
              <w:tc>
                <w:tcPr>
                  <w:tcW w:w="901" w:type="dxa"/>
                  <w:tcBorders>
                    <w:top w:val="nil"/>
                    <w:left w:val="nil"/>
                    <w:bottom w:val="nil"/>
                    <w:right w:val="nil"/>
                  </w:tcBorders>
                  <w:shd w:val="clear" w:color="auto" w:fill="auto"/>
                  <w:vAlign w:val="center"/>
                  <w:hideMark/>
                </w:tcPr>
                <w:p w14:paraId="6D56C519"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240</w:t>
                  </w:r>
                </w:p>
              </w:tc>
              <w:tc>
                <w:tcPr>
                  <w:tcW w:w="901" w:type="dxa"/>
                  <w:tcBorders>
                    <w:top w:val="nil"/>
                    <w:left w:val="nil"/>
                    <w:bottom w:val="nil"/>
                    <w:right w:val="nil"/>
                  </w:tcBorders>
                  <w:shd w:val="clear" w:color="auto" w:fill="auto"/>
                  <w:vAlign w:val="center"/>
                  <w:hideMark/>
                </w:tcPr>
                <w:p w14:paraId="34D45036"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240</w:t>
                  </w:r>
                </w:p>
              </w:tc>
              <w:tc>
                <w:tcPr>
                  <w:tcW w:w="901" w:type="dxa"/>
                  <w:tcBorders>
                    <w:top w:val="nil"/>
                    <w:left w:val="nil"/>
                    <w:bottom w:val="nil"/>
                    <w:right w:val="nil"/>
                  </w:tcBorders>
                  <w:shd w:val="clear" w:color="auto" w:fill="auto"/>
                  <w:vAlign w:val="center"/>
                  <w:hideMark/>
                </w:tcPr>
                <w:p w14:paraId="5015F278"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r>
            <w:tr w:rsidR="003A0696" w:rsidRPr="001228A1" w14:paraId="499C2259" w14:textId="77777777" w:rsidTr="003A0696">
              <w:trPr>
                <w:trHeight w:val="223"/>
              </w:trPr>
              <w:tc>
                <w:tcPr>
                  <w:tcW w:w="4668" w:type="dxa"/>
                  <w:tcBorders>
                    <w:top w:val="nil"/>
                    <w:left w:val="nil"/>
                    <w:bottom w:val="nil"/>
                    <w:right w:val="nil"/>
                  </w:tcBorders>
                  <w:shd w:val="clear" w:color="auto" w:fill="auto"/>
                  <w:vAlign w:val="center"/>
                  <w:hideMark/>
                </w:tcPr>
                <w:p w14:paraId="2E77589B"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338F0268"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490</w:t>
                  </w:r>
                </w:p>
              </w:tc>
              <w:tc>
                <w:tcPr>
                  <w:tcW w:w="901" w:type="dxa"/>
                  <w:tcBorders>
                    <w:top w:val="nil"/>
                    <w:left w:val="nil"/>
                    <w:bottom w:val="nil"/>
                    <w:right w:val="nil"/>
                  </w:tcBorders>
                  <w:shd w:val="clear" w:color="auto" w:fill="auto"/>
                  <w:vAlign w:val="center"/>
                  <w:hideMark/>
                </w:tcPr>
                <w:p w14:paraId="105C304B"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250</w:t>
                  </w:r>
                </w:p>
              </w:tc>
              <w:tc>
                <w:tcPr>
                  <w:tcW w:w="901" w:type="dxa"/>
                  <w:tcBorders>
                    <w:top w:val="nil"/>
                    <w:left w:val="nil"/>
                    <w:bottom w:val="nil"/>
                    <w:right w:val="nil"/>
                  </w:tcBorders>
                  <w:shd w:val="clear" w:color="auto" w:fill="auto"/>
                  <w:vAlign w:val="center"/>
                  <w:hideMark/>
                </w:tcPr>
                <w:p w14:paraId="3BB55EED"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240</w:t>
                  </w:r>
                </w:p>
              </w:tc>
              <w:tc>
                <w:tcPr>
                  <w:tcW w:w="901" w:type="dxa"/>
                  <w:tcBorders>
                    <w:top w:val="nil"/>
                    <w:left w:val="nil"/>
                    <w:bottom w:val="nil"/>
                    <w:right w:val="nil"/>
                  </w:tcBorders>
                  <w:shd w:val="clear" w:color="auto" w:fill="auto"/>
                  <w:vAlign w:val="center"/>
                  <w:hideMark/>
                </w:tcPr>
                <w:p w14:paraId="38076DF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240</w:t>
                  </w:r>
                </w:p>
              </w:tc>
              <w:tc>
                <w:tcPr>
                  <w:tcW w:w="901" w:type="dxa"/>
                  <w:tcBorders>
                    <w:top w:val="nil"/>
                    <w:left w:val="nil"/>
                    <w:bottom w:val="nil"/>
                    <w:right w:val="nil"/>
                  </w:tcBorders>
                  <w:shd w:val="clear" w:color="auto" w:fill="auto"/>
                  <w:vAlign w:val="center"/>
                  <w:hideMark/>
                </w:tcPr>
                <w:p w14:paraId="101325C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069875AF" w14:textId="77777777" w:rsidTr="003A0696">
              <w:trPr>
                <w:trHeight w:val="223"/>
              </w:trPr>
              <w:tc>
                <w:tcPr>
                  <w:tcW w:w="4668" w:type="dxa"/>
                  <w:tcBorders>
                    <w:top w:val="nil"/>
                    <w:left w:val="nil"/>
                    <w:bottom w:val="nil"/>
                    <w:right w:val="nil"/>
                  </w:tcBorders>
                  <w:shd w:val="clear" w:color="auto" w:fill="auto"/>
                  <w:vAlign w:val="center"/>
                  <w:hideMark/>
                </w:tcPr>
                <w:p w14:paraId="05DE83E2"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nil"/>
                    <w:right w:val="nil"/>
                  </w:tcBorders>
                  <w:shd w:val="clear" w:color="auto" w:fill="auto"/>
                  <w:vAlign w:val="center"/>
                  <w:hideMark/>
                </w:tcPr>
                <w:p w14:paraId="44761685"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208</w:t>
                  </w:r>
                </w:p>
              </w:tc>
              <w:tc>
                <w:tcPr>
                  <w:tcW w:w="901" w:type="dxa"/>
                  <w:tcBorders>
                    <w:top w:val="nil"/>
                    <w:left w:val="nil"/>
                    <w:bottom w:val="nil"/>
                    <w:right w:val="nil"/>
                  </w:tcBorders>
                  <w:shd w:val="clear" w:color="auto" w:fill="auto"/>
                  <w:vAlign w:val="center"/>
                  <w:hideMark/>
                </w:tcPr>
                <w:p w14:paraId="014AC69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2CB1FD6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435425A0"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0E34471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2AC94A8B" w14:textId="77777777" w:rsidTr="003A0696">
              <w:trPr>
                <w:trHeight w:val="223"/>
              </w:trPr>
              <w:tc>
                <w:tcPr>
                  <w:tcW w:w="4668" w:type="dxa"/>
                  <w:tcBorders>
                    <w:top w:val="nil"/>
                    <w:left w:val="nil"/>
                    <w:bottom w:val="nil"/>
                    <w:right w:val="nil"/>
                  </w:tcBorders>
                  <w:shd w:val="clear" w:color="auto" w:fill="auto"/>
                  <w:vAlign w:val="center"/>
                  <w:hideMark/>
                </w:tcPr>
                <w:p w14:paraId="21E767C2" w14:textId="77777777" w:rsidR="003A0696" w:rsidRPr="001228A1" w:rsidRDefault="003A0696" w:rsidP="003A0696">
                  <w:pPr>
                    <w:spacing w:after="0" w:line="240" w:lineRule="auto"/>
                    <w:jc w:val="lef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Ministerstvo hospodárstva SR</w:t>
                  </w:r>
                </w:p>
              </w:tc>
              <w:tc>
                <w:tcPr>
                  <w:tcW w:w="901" w:type="dxa"/>
                  <w:tcBorders>
                    <w:top w:val="nil"/>
                    <w:left w:val="nil"/>
                    <w:bottom w:val="nil"/>
                    <w:right w:val="nil"/>
                  </w:tcBorders>
                  <w:shd w:val="clear" w:color="auto" w:fill="auto"/>
                  <w:vAlign w:val="center"/>
                  <w:hideMark/>
                </w:tcPr>
                <w:p w14:paraId="45844542"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420 218</w:t>
                  </w:r>
                </w:p>
              </w:tc>
              <w:tc>
                <w:tcPr>
                  <w:tcW w:w="901" w:type="dxa"/>
                  <w:tcBorders>
                    <w:top w:val="nil"/>
                    <w:left w:val="nil"/>
                    <w:bottom w:val="nil"/>
                    <w:right w:val="nil"/>
                  </w:tcBorders>
                  <w:shd w:val="clear" w:color="auto" w:fill="auto"/>
                  <w:vAlign w:val="center"/>
                  <w:hideMark/>
                </w:tcPr>
                <w:p w14:paraId="7E61CF43"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451 845</w:t>
                  </w:r>
                </w:p>
              </w:tc>
              <w:tc>
                <w:tcPr>
                  <w:tcW w:w="901" w:type="dxa"/>
                  <w:tcBorders>
                    <w:top w:val="nil"/>
                    <w:left w:val="nil"/>
                    <w:bottom w:val="nil"/>
                    <w:right w:val="nil"/>
                  </w:tcBorders>
                  <w:shd w:val="clear" w:color="auto" w:fill="auto"/>
                  <w:vAlign w:val="center"/>
                  <w:hideMark/>
                </w:tcPr>
                <w:p w14:paraId="095938D3"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373 186</w:t>
                  </w:r>
                </w:p>
              </w:tc>
              <w:tc>
                <w:tcPr>
                  <w:tcW w:w="901" w:type="dxa"/>
                  <w:tcBorders>
                    <w:top w:val="nil"/>
                    <w:left w:val="nil"/>
                    <w:bottom w:val="nil"/>
                    <w:right w:val="nil"/>
                  </w:tcBorders>
                  <w:shd w:val="clear" w:color="auto" w:fill="auto"/>
                  <w:vAlign w:val="center"/>
                  <w:hideMark/>
                </w:tcPr>
                <w:p w14:paraId="3EE5B751"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373 186</w:t>
                  </w:r>
                </w:p>
              </w:tc>
              <w:tc>
                <w:tcPr>
                  <w:tcW w:w="901" w:type="dxa"/>
                  <w:tcBorders>
                    <w:top w:val="nil"/>
                    <w:left w:val="nil"/>
                    <w:bottom w:val="nil"/>
                    <w:right w:val="nil"/>
                  </w:tcBorders>
                  <w:shd w:val="clear" w:color="auto" w:fill="auto"/>
                  <w:vAlign w:val="center"/>
                  <w:hideMark/>
                </w:tcPr>
                <w:p w14:paraId="0DB66EE7"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0</w:t>
                  </w:r>
                </w:p>
              </w:tc>
            </w:tr>
            <w:tr w:rsidR="003A0696" w:rsidRPr="001228A1" w14:paraId="298D9277" w14:textId="77777777" w:rsidTr="003A0696">
              <w:trPr>
                <w:trHeight w:val="223"/>
              </w:trPr>
              <w:tc>
                <w:tcPr>
                  <w:tcW w:w="4668" w:type="dxa"/>
                  <w:tcBorders>
                    <w:top w:val="nil"/>
                    <w:left w:val="nil"/>
                    <w:bottom w:val="nil"/>
                    <w:right w:val="nil"/>
                  </w:tcBorders>
                  <w:shd w:val="clear" w:color="auto" w:fill="auto"/>
                  <w:vAlign w:val="center"/>
                  <w:hideMark/>
                </w:tcPr>
                <w:p w14:paraId="073D79EF"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Jadrová a vyraďovacia spoločnosť, a. s.</w:t>
                  </w:r>
                </w:p>
              </w:tc>
              <w:tc>
                <w:tcPr>
                  <w:tcW w:w="901" w:type="dxa"/>
                  <w:tcBorders>
                    <w:top w:val="nil"/>
                    <w:left w:val="nil"/>
                    <w:bottom w:val="nil"/>
                    <w:right w:val="nil"/>
                  </w:tcBorders>
                  <w:shd w:val="clear" w:color="auto" w:fill="auto"/>
                  <w:vAlign w:val="center"/>
                  <w:hideMark/>
                </w:tcPr>
                <w:p w14:paraId="5C7B8B95"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2 173</w:t>
                  </w:r>
                </w:p>
              </w:tc>
              <w:tc>
                <w:tcPr>
                  <w:tcW w:w="901" w:type="dxa"/>
                  <w:tcBorders>
                    <w:top w:val="nil"/>
                    <w:left w:val="nil"/>
                    <w:bottom w:val="nil"/>
                    <w:right w:val="nil"/>
                  </w:tcBorders>
                  <w:shd w:val="clear" w:color="auto" w:fill="auto"/>
                  <w:vAlign w:val="center"/>
                  <w:hideMark/>
                </w:tcPr>
                <w:p w14:paraId="0AA6B118"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3 000</w:t>
                  </w:r>
                </w:p>
              </w:tc>
              <w:tc>
                <w:tcPr>
                  <w:tcW w:w="901" w:type="dxa"/>
                  <w:tcBorders>
                    <w:top w:val="nil"/>
                    <w:left w:val="nil"/>
                    <w:bottom w:val="nil"/>
                    <w:right w:val="nil"/>
                  </w:tcBorders>
                  <w:shd w:val="clear" w:color="auto" w:fill="auto"/>
                  <w:vAlign w:val="center"/>
                  <w:hideMark/>
                </w:tcPr>
                <w:p w14:paraId="37E490A7"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3 000</w:t>
                  </w:r>
                </w:p>
              </w:tc>
              <w:tc>
                <w:tcPr>
                  <w:tcW w:w="901" w:type="dxa"/>
                  <w:tcBorders>
                    <w:top w:val="nil"/>
                    <w:left w:val="nil"/>
                    <w:bottom w:val="nil"/>
                    <w:right w:val="nil"/>
                  </w:tcBorders>
                  <w:shd w:val="clear" w:color="auto" w:fill="auto"/>
                  <w:vAlign w:val="center"/>
                  <w:hideMark/>
                </w:tcPr>
                <w:p w14:paraId="568E3394"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3 000</w:t>
                  </w:r>
                </w:p>
              </w:tc>
              <w:tc>
                <w:tcPr>
                  <w:tcW w:w="901" w:type="dxa"/>
                  <w:tcBorders>
                    <w:top w:val="nil"/>
                    <w:left w:val="nil"/>
                    <w:bottom w:val="nil"/>
                    <w:right w:val="nil"/>
                  </w:tcBorders>
                  <w:shd w:val="clear" w:color="auto" w:fill="auto"/>
                  <w:vAlign w:val="center"/>
                  <w:hideMark/>
                </w:tcPr>
                <w:p w14:paraId="285D9799"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r>
            <w:tr w:rsidR="003A0696" w:rsidRPr="001228A1" w14:paraId="622FC793" w14:textId="77777777" w:rsidTr="003A0696">
              <w:trPr>
                <w:trHeight w:val="223"/>
              </w:trPr>
              <w:tc>
                <w:tcPr>
                  <w:tcW w:w="4668" w:type="dxa"/>
                  <w:tcBorders>
                    <w:top w:val="nil"/>
                    <w:left w:val="nil"/>
                    <w:bottom w:val="nil"/>
                    <w:right w:val="nil"/>
                  </w:tcBorders>
                  <w:shd w:val="clear" w:color="auto" w:fill="auto"/>
                  <w:vAlign w:val="center"/>
                  <w:hideMark/>
                </w:tcPr>
                <w:p w14:paraId="37389674"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10F0B4F6"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7D5B0C84"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28FC2B46"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6D14F81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587D83A2"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6A4B7B83" w14:textId="77777777" w:rsidTr="003A0696">
              <w:trPr>
                <w:trHeight w:val="223"/>
              </w:trPr>
              <w:tc>
                <w:tcPr>
                  <w:tcW w:w="4668" w:type="dxa"/>
                  <w:tcBorders>
                    <w:top w:val="nil"/>
                    <w:left w:val="nil"/>
                    <w:bottom w:val="nil"/>
                    <w:right w:val="nil"/>
                  </w:tcBorders>
                  <w:shd w:val="clear" w:color="auto" w:fill="auto"/>
                  <w:vAlign w:val="center"/>
                  <w:hideMark/>
                </w:tcPr>
                <w:p w14:paraId="5E08378E"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nil"/>
                    <w:right w:val="nil"/>
                  </w:tcBorders>
                  <w:shd w:val="clear" w:color="auto" w:fill="auto"/>
                  <w:vAlign w:val="center"/>
                  <w:hideMark/>
                </w:tcPr>
                <w:p w14:paraId="7C4824A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2 173</w:t>
                  </w:r>
                </w:p>
              </w:tc>
              <w:tc>
                <w:tcPr>
                  <w:tcW w:w="901" w:type="dxa"/>
                  <w:tcBorders>
                    <w:top w:val="nil"/>
                    <w:left w:val="nil"/>
                    <w:bottom w:val="nil"/>
                    <w:right w:val="nil"/>
                  </w:tcBorders>
                  <w:shd w:val="clear" w:color="auto" w:fill="auto"/>
                  <w:vAlign w:val="center"/>
                  <w:hideMark/>
                </w:tcPr>
                <w:p w14:paraId="76B3850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3 000</w:t>
                  </w:r>
                </w:p>
              </w:tc>
              <w:tc>
                <w:tcPr>
                  <w:tcW w:w="901" w:type="dxa"/>
                  <w:tcBorders>
                    <w:top w:val="nil"/>
                    <w:left w:val="nil"/>
                    <w:bottom w:val="nil"/>
                    <w:right w:val="nil"/>
                  </w:tcBorders>
                  <w:shd w:val="clear" w:color="auto" w:fill="auto"/>
                  <w:vAlign w:val="center"/>
                  <w:hideMark/>
                </w:tcPr>
                <w:p w14:paraId="6003D76D"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3 000</w:t>
                  </w:r>
                </w:p>
              </w:tc>
              <w:tc>
                <w:tcPr>
                  <w:tcW w:w="901" w:type="dxa"/>
                  <w:tcBorders>
                    <w:top w:val="nil"/>
                    <w:left w:val="nil"/>
                    <w:bottom w:val="nil"/>
                    <w:right w:val="nil"/>
                  </w:tcBorders>
                  <w:shd w:val="clear" w:color="auto" w:fill="auto"/>
                  <w:vAlign w:val="center"/>
                  <w:hideMark/>
                </w:tcPr>
                <w:p w14:paraId="0E6C681D"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3 000</w:t>
                  </w:r>
                </w:p>
              </w:tc>
              <w:tc>
                <w:tcPr>
                  <w:tcW w:w="901" w:type="dxa"/>
                  <w:tcBorders>
                    <w:top w:val="nil"/>
                    <w:left w:val="nil"/>
                    <w:bottom w:val="nil"/>
                    <w:right w:val="nil"/>
                  </w:tcBorders>
                  <w:shd w:val="clear" w:color="auto" w:fill="auto"/>
                  <w:vAlign w:val="center"/>
                  <w:hideMark/>
                </w:tcPr>
                <w:p w14:paraId="6FE2C925"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6F1639C7" w14:textId="77777777" w:rsidTr="003A0696">
              <w:trPr>
                <w:trHeight w:val="223"/>
              </w:trPr>
              <w:tc>
                <w:tcPr>
                  <w:tcW w:w="4668" w:type="dxa"/>
                  <w:tcBorders>
                    <w:top w:val="nil"/>
                    <w:left w:val="nil"/>
                    <w:bottom w:val="nil"/>
                    <w:right w:val="nil"/>
                  </w:tcBorders>
                  <w:shd w:val="clear" w:color="auto" w:fill="auto"/>
                  <w:vAlign w:val="center"/>
                  <w:hideMark/>
                </w:tcPr>
                <w:p w14:paraId="6CCE4028"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Transpetrol, a. s.</w:t>
                  </w:r>
                </w:p>
              </w:tc>
              <w:tc>
                <w:tcPr>
                  <w:tcW w:w="901" w:type="dxa"/>
                  <w:tcBorders>
                    <w:top w:val="nil"/>
                    <w:left w:val="nil"/>
                    <w:bottom w:val="nil"/>
                    <w:right w:val="nil"/>
                  </w:tcBorders>
                  <w:shd w:val="clear" w:color="auto" w:fill="auto"/>
                  <w:vAlign w:val="center"/>
                  <w:hideMark/>
                </w:tcPr>
                <w:p w14:paraId="3F802A21"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32DD0789"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2 000</w:t>
                  </w:r>
                </w:p>
              </w:tc>
              <w:tc>
                <w:tcPr>
                  <w:tcW w:w="901" w:type="dxa"/>
                  <w:tcBorders>
                    <w:top w:val="nil"/>
                    <w:left w:val="nil"/>
                    <w:bottom w:val="nil"/>
                    <w:right w:val="nil"/>
                  </w:tcBorders>
                  <w:shd w:val="clear" w:color="auto" w:fill="auto"/>
                  <w:vAlign w:val="center"/>
                  <w:hideMark/>
                </w:tcPr>
                <w:p w14:paraId="6476DA8D"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1 500</w:t>
                  </w:r>
                </w:p>
              </w:tc>
              <w:tc>
                <w:tcPr>
                  <w:tcW w:w="901" w:type="dxa"/>
                  <w:tcBorders>
                    <w:top w:val="nil"/>
                    <w:left w:val="nil"/>
                    <w:bottom w:val="nil"/>
                    <w:right w:val="nil"/>
                  </w:tcBorders>
                  <w:shd w:val="clear" w:color="auto" w:fill="auto"/>
                  <w:vAlign w:val="center"/>
                  <w:hideMark/>
                </w:tcPr>
                <w:p w14:paraId="3EAB2D83"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1 500</w:t>
                  </w:r>
                </w:p>
              </w:tc>
              <w:tc>
                <w:tcPr>
                  <w:tcW w:w="901" w:type="dxa"/>
                  <w:tcBorders>
                    <w:top w:val="nil"/>
                    <w:left w:val="nil"/>
                    <w:bottom w:val="nil"/>
                    <w:right w:val="nil"/>
                  </w:tcBorders>
                  <w:shd w:val="clear" w:color="auto" w:fill="auto"/>
                  <w:vAlign w:val="center"/>
                  <w:hideMark/>
                </w:tcPr>
                <w:p w14:paraId="47FDCFB5"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r>
            <w:tr w:rsidR="003A0696" w:rsidRPr="001228A1" w14:paraId="12F73074" w14:textId="77777777" w:rsidTr="003A0696">
              <w:trPr>
                <w:trHeight w:val="223"/>
              </w:trPr>
              <w:tc>
                <w:tcPr>
                  <w:tcW w:w="4668" w:type="dxa"/>
                  <w:tcBorders>
                    <w:top w:val="nil"/>
                    <w:left w:val="nil"/>
                    <w:bottom w:val="nil"/>
                    <w:right w:val="nil"/>
                  </w:tcBorders>
                  <w:shd w:val="clear" w:color="auto" w:fill="auto"/>
                  <w:vAlign w:val="center"/>
                  <w:hideMark/>
                </w:tcPr>
                <w:p w14:paraId="42B37E21"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Slovenský plynárenský priemysel, a. s.</w:t>
                  </w:r>
                  <w:r w:rsidRPr="001228A1">
                    <w:rPr>
                      <w:rFonts w:eastAsia="Times New Roman" w:cs="Times New Roman"/>
                      <w:color w:val="000000"/>
                      <w:sz w:val="20"/>
                      <w:szCs w:val="20"/>
                      <w:vertAlign w:val="superscript"/>
                      <w:lang w:eastAsia="sk-SK"/>
                    </w:rPr>
                    <w:t>1)</w:t>
                  </w:r>
                </w:p>
              </w:tc>
              <w:tc>
                <w:tcPr>
                  <w:tcW w:w="901" w:type="dxa"/>
                  <w:tcBorders>
                    <w:top w:val="nil"/>
                    <w:left w:val="nil"/>
                    <w:bottom w:val="nil"/>
                    <w:right w:val="nil"/>
                  </w:tcBorders>
                  <w:shd w:val="clear" w:color="auto" w:fill="auto"/>
                  <w:vAlign w:val="center"/>
                  <w:hideMark/>
                </w:tcPr>
                <w:p w14:paraId="7AFA951F"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250 000</w:t>
                  </w:r>
                </w:p>
              </w:tc>
              <w:tc>
                <w:tcPr>
                  <w:tcW w:w="901" w:type="dxa"/>
                  <w:tcBorders>
                    <w:top w:val="nil"/>
                    <w:left w:val="nil"/>
                    <w:bottom w:val="nil"/>
                    <w:right w:val="nil"/>
                  </w:tcBorders>
                  <w:shd w:val="clear" w:color="auto" w:fill="auto"/>
                  <w:vAlign w:val="center"/>
                  <w:hideMark/>
                </w:tcPr>
                <w:p w14:paraId="7A37BDFE"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254 400</w:t>
                  </w:r>
                </w:p>
              </w:tc>
              <w:tc>
                <w:tcPr>
                  <w:tcW w:w="901" w:type="dxa"/>
                  <w:tcBorders>
                    <w:top w:val="nil"/>
                    <w:left w:val="nil"/>
                    <w:bottom w:val="nil"/>
                    <w:right w:val="nil"/>
                  </w:tcBorders>
                  <w:shd w:val="clear" w:color="auto" w:fill="auto"/>
                  <w:vAlign w:val="center"/>
                  <w:hideMark/>
                </w:tcPr>
                <w:p w14:paraId="4780C3AA"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220 000</w:t>
                  </w:r>
                </w:p>
              </w:tc>
              <w:tc>
                <w:tcPr>
                  <w:tcW w:w="901" w:type="dxa"/>
                  <w:tcBorders>
                    <w:top w:val="nil"/>
                    <w:left w:val="nil"/>
                    <w:bottom w:val="nil"/>
                    <w:right w:val="nil"/>
                  </w:tcBorders>
                  <w:shd w:val="clear" w:color="auto" w:fill="auto"/>
                  <w:vAlign w:val="center"/>
                  <w:hideMark/>
                </w:tcPr>
                <w:p w14:paraId="31DF3D7B"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220 000</w:t>
                  </w:r>
                </w:p>
              </w:tc>
              <w:tc>
                <w:tcPr>
                  <w:tcW w:w="901" w:type="dxa"/>
                  <w:tcBorders>
                    <w:top w:val="nil"/>
                    <w:left w:val="nil"/>
                    <w:bottom w:val="nil"/>
                    <w:right w:val="nil"/>
                  </w:tcBorders>
                  <w:shd w:val="clear" w:color="auto" w:fill="auto"/>
                  <w:vAlign w:val="center"/>
                  <w:hideMark/>
                </w:tcPr>
                <w:p w14:paraId="5C4660AA"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r>
            <w:tr w:rsidR="003A0696" w:rsidRPr="001228A1" w14:paraId="1C57AB15" w14:textId="77777777" w:rsidTr="003A0696">
              <w:trPr>
                <w:trHeight w:val="223"/>
              </w:trPr>
              <w:tc>
                <w:tcPr>
                  <w:tcW w:w="4668" w:type="dxa"/>
                  <w:tcBorders>
                    <w:top w:val="nil"/>
                    <w:left w:val="nil"/>
                    <w:bottom w:val="nil"/>
                    <w:right w:val="nil"/>
                  </w:tcBorders>
                  <w:shd w:val="clear" w:color="auto" w:fill="auto"/>
                  <w:vAlign w:val="center"/>
                  <w:hideMark/>
                </w:tcPr>
                <w:p w14:paraId="300A8BB0"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1F9DA599"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167 850</w:t>
                  </w:r>
                </w:p>
              </w:tc>
              <w:tc>
                <w:tcPr>
                  <w:tcW w:w="901" w:type="dxa"/>
                  <w:tcBorders>
                    <w:top w:val="nil"/>
                    <w:left w:val="nil"/>
                    <w:bottom w:val="nil"/>
                    <w:right w:val="nil"/>
                  </w:tcBorders>
                  <w:shd w:val="clear" w:color="auto" w:fill="auto"/>
                  <w:vAlign w:val="center"/>
                  <w:hideMark/>
                </w:tcPr>
                <w:p w14:paraId="7DE69D12"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249 510</w:t>
                  </w:r>
                </w:p>
              </w:tc>
              <w:tc>
                <w:tcPr>
                  <w:tcW w:w="901" w:type="dxa"/>
                  <w:tcBorders>
                    <w:top w:val="nil"/>
                    <w:left w:val="nil"/>
                    <w:bottom w:val="nil"/>
                    <w:right w:val="nil"/>
                  </w:tcBorders>
                  <w:shd w:val="clear" w:color="auto" w:fill="auto"/>
                  <w:vAlign w:val="center"/>
                  <w:hideMark/>
                </w:tcPr>
                <w:p w14:paraId="1324A81D"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131 735</w:t>
                  </w:r>
                </w:p>
              </w:tc>
              <w:tc>
                <w:tcPr>
                  <w:tcW w:w="901" w:type="dxa"/>
                  <w:tcBorders>
                    <w:top w:val="nil"/>
                    <w:left w:val="nil"/>
                    <w:bottom w:val="nil"/>
                    <w:right w:val="nil"/>
                  </w:tcBorders>
                  <w:shd w:val="clear" w:color="auto" w:fill="auto"/>
                  <w:vAlign w:val="center"/>
                  <w:hideMark/>
                </w:tcPr>
                <w:p w14:paraId="00521BA8"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164 617</w:t>
                  </w:r>
                </w:p>
              </w:tc>
              <w:tc>
                <w:tcPr>
                  <w:tcW w:w="901" w:type="dxa"/>
                  <w:tcBorders>
                    <w:top w:val="nil"/>
                    <w:left w:val="nil"/>
                    <w:bottom w:val="nil"/>
                    <w:right w:val="nil"/>
                  </w:tcBorders>
                  <w:shd w:val="clear" w:color="auto" w:fill="auto"/>
                  <w:vAlign w:val="center"/>
                  <w:hideMark/>
                </w:tcPr>
                <w:p w14:paraId="68FBBB9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32 882</w:t>
                  </w:r>
                </w:p>
              </w:tc>
            </w:tr>
            <w:tr w:rsidR="003A0696" w:rsidRPr="001228A1" w14:paraId="3498784A" w14:textId="77777777" w:rsidTr="003A0696">
              <w:trPr>
                <w:trHeight w:val="223"/>
              </w:trPr>
              <w:tc>
                <w:tcPr>
                  <w:tcW w:w="4668" w:type="dxa"/>
                  <w:tcBorders>
                    <w:top w:val="nil"/>
                    <w:left w:val="nil"/>
                    <w:bottom w:val="nil"/>
                    <w:right w:val="nil"/>
                  </w:tcBorders>
                  <w:shd w:val="clear" w:color="auto" w:fill="auto"/>
                  <w:vAlign w:val="center"/>
                  <w:hideMark/>
                </w:tcPr>
                <w:p w14:paraId="6A4AFABA"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nil"/>
                    <w:right w:val="nil"/>
                  </w:tcBorders>
                  <w:shd w:val="clear" w:color="auto" w:fill="auto"/>
                  <w:vAlign w:val="center"/>
                  <w:hideMark/>
                </w:tcPr>
                <w:p w14:paraId="598190F4"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82 150</w:t>
                  </w:r>
                </w:p>
              </w:tc>
              <w:tc>
                <w:tcPr>
                  <w:tcW w:w="901" w:type="dxa"/>
                  <w:tcBorders>
                    <w:top w:val="nil"/>
                    <w:left w:val="nil"/>
                    <w:bottom w:val="nil"/>
                    <w:right w:val="nil"/>
                  </w:tcBorders>
                  <w:shd w:val="clear" w:color="auto" w:fill="auto"/>
                  <w:vAlign w:val="center"/>
                  <w:hideMark/>
                </w:tcPr>
                <w:p w14:paraId="5AA2C33F"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4 890</w:t>
                  </w:r>
                </w:p>
              </w:tc>
              <w:tc>
                <w:tcPr>
                  <w:tcW w:w="901" w:type="dxa"/>
                  <w:tcBorders>
                    <w:top w:val="nil"/>
                    <w:left w:val="nil"/>
                    <w:bottom w:val="nil"/>
                    <w:right w:val="nil"/>
                  </w:tcBorders>
                  <w:shd w:val="clear" w:color="auto" w:fill="auto"/>
                  <w:vAlign w:val="center"/>
                  <w:hideMark/>
                </w:tcPr>
                <w:p w14:paraId="3129233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88 265</w:t>
                  </w:r>
                </w:p>
              </w:tc>
              <w:tc>
                <w:tcPr>
                  <w:tcW w:w="901" w:type="dxa"/>
                  <w:tcBorders>
                    <w:top w:val="nil"/>
                    <w:left w:val="nil"/>
                    <w:bottom w:val="nil"/>
                    <w:right w:val="nil"/>
                  </w:tcBorders>
                  <w:shd w:val="clear" w:color="auto" w:fill="auto"/>
                  <w:vAlign w:val="center"/>
                  <w:hideMark/>
                </w:tcPr>
                <w:p w14:paraId="12392BA9"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55 383</w:t>
                  </w:r>
                </w:p>
              </w:tc>
              <w:tc>
                <w:tcPr>
                  <w:tcW w:w="901" w:type="dxa"/>
                  <w:tcBorders>
                    <w:top w:val="nil"/>
                    <w:left w:val="nil"/>
                    <w:bottom w:val="nil"/>
                    <w:right w:val="nil"/>
                  </w:tcBorders>
                  <w:shd w:val="clear" w:color="auto" w:fill="auto"/>
                  <w:vAlign w:val="center"/>
                  <w:hideMark/>
                </w:tcPr>
                <w:p w14:paraId="364C9FB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-32 882</w:t>
                  </w:r>
                </w:p>
              </w:tc>
            </w:tr>
            <w:tr w:rsidR="003A0696" w:rsidRPr="001228A1" w14:paraId="1DF8A240" w14:textId="77777777" w:rsidTr="003A0696">
              <w:trPr>
                <w:trHeight w:val="223"/>
              </w:trPr>
              <w:tc>
                <w:tcPr>
                  <w:tcW w:w="4668" w:type="dxa"/>
                  <w:tcBorders>
                    <w:top w:val="nil"/>
                    <w:left w:val="nil"/>
                    <w:bottom w:val="nil"/>
                    <w:right w:val="nil"/>
                  </w:tcBorders>
                  <w:shd w:val="clear" w:color="auto" w:fill="auto"/>
                  <w:vAlign w:val="center"/>
                  <w:hideMark/>
                </w:tcPr>
                <w:p w14:paraId="584B80EE"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Západoslovenská energetika, a. s.</w:t>
                  </w:r>
                </w:p>
              </w:tc>
              <w:tc>
                <w:tcPr>
                  <w:tcW w:w="901" w:type="dxa"/>
                  <w:tcBorders>
                    <w:top w:val="nil"/>
                    <w:left w:val="nil"/>
                    <w:bottom w:val="nil"/>
                    <w:right w:val="nil"/>
                  </w:tcBorders>
                  <w:shd w:val="clear" w:color="auto" w:fill="auto"/>
                  <w:vAlign w:val="center"/>
                  <w:hideMark/>
                </w:tcPr>
                <w:p w14:paraId="639E0054"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37 809</w:t>
                  </w:r>
                </w:p>
              </w:tc>
              <w:tc>
                <w:tcPr>
                  <w:tcW w:w="901" w:type="dxa"/>
                  <w:tcBorders>
                    <w:top w:val="nil"/>
                    <w:left w:val="nil"/>
                    <w:bottom w:val="nil"/>
                    <w:right w:val="nil"/>
                  </w:tcBorders>
                  <w:shd w:val="clear" w:color="auto" w:fill="auto"/>
                  <w:vAlign w:val="center"/>
                  <w:hideMark/>
                </w:tcPr>
                <w:p w14:paraId="3F7F7680"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45 697</w:t>
                  </w:r>
                </w:p>
              </w:tc>
              <w:tc>
                <w:tcPr>
                  <w:tcW w:w="901" w:type="dxa"/>
                  <w:tcBorders>
                    <w:top w:val="nil"/>
                    <w:left w:val="nil"/>
                    <w:bottom w:val="nil"/>
                    <w:right w:val="nil"/>
                  </w:tcBorders>
                  <w:shd w:val="clear" w:color="auto" w:fill="auto"/>
                  <w:vAlign w:val="center"/>
                  <w:hideMark/>
                </w:tcPr>
                <w:p w14:paraId="17F1DA21"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44 839</w:t>
                  </w:r>
                </w:p>
              </w:tc>
              <w:tc>
                <w:tcPr>
                  <w:tcW w:w="901" w:type="dxa"/>
                  <w:tcBorders>
                    <w:top w:val="nil"/>
                    <w:left w:val="nil"/>
                    <w:bottom w:val="nil"/>
                    <w:right w:val="nil"/>
                  </w:tcBorders>
                  <w:shd w:val="clear" w:color="auto" w:fill="auto"/>
                  <w:vAlign w:val="center"/>
                  <w:hideMark/>
                </w:tcPr>
                <w:p w14:paraId="3449DE5C"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44 839</w:t>
                  </w:r>
                </w:p>
              </w:tc>
              <w:tc>
                <w:tcPr>
                  <w:tcW w:w="901" w:type="dxa"/>
                  <w:tcBorders>
                    <w:top w:val="nil"/>
                    <w:left w:val="nil"/>
                    <w:bottom w:val="nil"/>
                    <w:right w:val="nil"/>
                  </w:tcBorders>
                  <w:shd w:val="clear" w:color="auto" w:fill="auto"/>
                  <w:vAlign w:val="center"/>
                  <w:hideMark/>
                </w:tcPr>
                <w:p w14:paraId="10E43602"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r>
            <w:tr w:rsidR="003A0696" w:rsidRPr="001228A1" w14:paraId="4B75AD85" w14:textId="77777777" w:rsidTr="003A0696">
              <w:trPr>
                <w:trHeight w:val="223"/>
              </w:trPr>
              <w:tc>
                <w:tcPr>
                  <w:tcW w:w="4668" w:type="dxa"/>
                  <w:tcBorders>
                    <w:top w:val="nil"/>
                    <w:left w:val="nil"/>
                    <w:bottom w:val="nil"/>
                    <w:right w:val="nil"/>
                  </w:tcBorders>
                  <w:shd w:val="clear" w:color="auto" w:fill="auto"/>
                  <w:vAlign w:val="center"/>
                  <w:hideMark/>
                </w:tcPr>
                <w:p w14:paraId="66753B94"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3A7B7DC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37 483</w:t>
                  </w:r>
                </w:p>
              </w:tc>
              <w:tc>
                <w:tcPr>
                  <w:tcW w:w="901" w:type="dxa"/>
                  <w:tcBorders>
                    <w:top w:val="nil"/>
                    <w:left w:val="nil"/>
                    <w:bottom w:val="nil"/>
                    <w:right w:val="nil"/>
                  </w:tcBorders>
                  <w:shd w:val="clear" w:color="auto" w:fill="auto"/>
                  <w:vAlign w:val="center"/>
                  <w:hideMark/>
                </w:tcPr>
                <w:p w14:paraId="2E95DD9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45 697</w:t>
                  </w:r>
                </w:p>
              </w:tc>
              <w:tc>
                <w:tcPr>
                  <w:tcW w:w="901" w:type="dxa"/>
                  <w:tcBorders>
                    <w:top w:val="nil"/>
                    <w:left w:val="nil"/>
                    <w:bottom w:val="nil"/>
                    <w:right w:val="nil"/>
                  </w:tcBorders>
                  <w:shd w:val="clear" w:color="auto" w:fill="auto"/>
                  <w:vAlign w:val="center"/>
                  <w:hideMark/>
                </w:tcPr>
                <w:p w14:paraId="4661D114"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44 839</w:t>
                  </w:r>
                </w:p>
              </w:tc>
              <w:tc>
                <w:tcPr>
                  <w:tcW w:w="901" w:type="dxa"/>
                  <w:tcBorders>
                    <w:top w:val="nil"/>
                    <w:left w:val="nil"/>
                    <w:bottom w:val="nil"/>
                    <w:right w:val="nil"/>
                  </w:tcBorders>
                  <w:shd w:val="clear" w:color="auto" w:fill="auto"/>
                  <w:vAlign w:val="center"/>
                  <w:hideMark/>
                </w:tcPr>
                <w:p w14:paraId="319EB818"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44 839</w:t>
                  </w:r>
                </w:p>
              </w:tc>
              <w:tc>
                <w:tcPr>
                  <w:tcW w:w="901" w:type="dxa"/>
                  <w:tcBorders>
                    <w:top w:val="nil"/>
                    <w:left w:val="nil"/>
                    <w:bottom w:val="nil"/>
                    <w:right w:val="nil"/>
                  </w:tcBorders>
                  <w:shd w:val="clear" w:color="auto" w:fill="auto"/>
                  <w:vAlign w:val="center"/>
                  <w:hideMark/>
                </w:tcPr>
                <w:p w14:paraId="310943A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171FBAF6" w14:textId="77777777" w:rsidTr="003A0696">
              <w:trPr>
                <w:trHeight w:val="223"/>
              </w:trPr>
              <w:tc>
                <w:tcPr>
                  <w:tcW w:w="4668" w:type="dxa"/>
                  <w:tcBorders>
                    <w:top w:val="nil"/>
                    <w:left w:val="nil"/>
                    <w:bottom w:val="nil"/>
                    <w:right w:val="nil"/>
                  </w:tcBorders>
                  <w:shd w:val="clear" w:color="auto" w:fill="auto"/>
                  <w:vAlign w:val="center"/>
                  <w:hideMark/>
                </w:tcPr>
                <w:p w14:paraId="7C8E9C35"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nil"/>
                    <w:right w:val="nil"/>
                  </w:tcBorders>
                  <w:shd w:val="clear" w:color="auto" w:fill="auto"/>
                  <w:vAlign w:val="center"/>
                  <w:hideMark/>
                </w:tcPr>
                <w:p w14:paraId="060B95B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326</w:t>
                  </w:r>
                </w:p>
              </w:tc>
              <w:tc>
                <w:tcPr>
                  <w:tcW w:w="901" w:type="dxa"/>
                  <w:tcBorders>
                    <w:top w:val="nil"/>
                    <w:left w:val="nil"/>
                    <w:bottom w:val="nil"/>
                    <w:right w:val="nil"/>
                  </w:tcBorders>
                  <w:shd w:val="clear" w:color="auto" w:fill="auto"/>
                  <w:vAlign w:val="center"/>
                  <w:hideMark/>
                </w:tcPr>
                <w:p w14:paraId="057C5080"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0D28F40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772571FF"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72934735"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200DFBB3" w14:textId="77777777" w:rsidTr="003A0696">
              <w:trPr>
                <w:trHeight w:val="223"/>
              </w:trPr>
              <w:tc>
                <w:tcPr>
                  <w:tcW w:w="4668" w:type="dxa"/>
                  <w:tcBorders>
                    <w:top w:val="nil"/>
                    <w:left w:val="nil"/>
                    <w:bottom w:val="nil"/>
                    <w:right w:val="nil"/>
                  </w:tcBorders>
                  <w:shd w:val="clear" w:color="auto" w:fill="auto"/>
                  <w:vAlign w:val="center"/>
                  <w:hideMark/>
                </w:tcPr>
                <w:p w14:paraId="375428D7"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Stredoslovenská energetika Holding, a. s.</w:t>
                  </w:r>
                </w:p>
              </w:tc>
              <w:tc>
                <w:tcPr>
                  <w:tcW w:w="901" w:type="dxa"/>
                  <w:tcBorders>
                    <w:top w:val="nil"/>
                    <w:left w:val="nil"/>
                    <w:bottom w:val="nil"/>
                    <w:right w:val="nil"/>
                  </w:tcBorders>
                  <w:shd w:val="clear" w:color="auto" w:fill="auto"/>
                  <w:vAlign w:val="center"/>
                  <w:hideMark/>
                </w:tcPr>
                <w:p w14:paraId="32AF7FCC"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96 204</w:t>
                  </w:r>
                </w:p>
              </w:tc>
              <w:tc>
                <w:tcPr>
                  <w:tcW w:w="901" w:type="dxa"/>
                  <w:tcBorders>
                    <w:top w:val="nil"/>
                    <w:left w:val="nil"/>
                    <w:bottom w:val="nil"/>
                    <w:right w:val="nil"/>
                  </w:tcBorders>
                  <w:shd w:val="clear" w:color="auto" w:fill="auto"/>
                  <w:vAlign w:val="center"/>
                  <w:hideMark/>
                </w:tcPr>
                <w:p w14:paraId="11C677B9"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113 071</w:t>
                  </w:r>
                </w:p>
              </w:tc>
              <w:tc>
                <w:tcPr>
                  <w:tcW w:w="901" w:type="dxa"/>
                  <w:tcBorders>
                    <w:top w:val="nil"/>
                    <w:left w:val="nil"/>
                    <w:bottom w:val="nil"/>
                    <w:right w:val="nil"/>
                  </w:tcBorders>
                  <w:shd w:val="clear" w:color="auto" w:fill="auto"/>
                  <w:vAlign w:val="center"/>
                  <w:hideMark/>
                </w:tcPr>
                <w:p w14:paraId="05EBBA0B"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74 777</w:t>
                  </w:r>
                </w:p>
              </w:tc>
              <w:tc>
                <w:tcPr>
                  <w:tcW w:w="901" w:type="dxa"/>
                  <w:tcBorders>
                    <w:top w:val="nil"/>
                    <w:left w:val="nil"/>
                    <w:bottom w:val="nil"/>
                    <w:right w:val="nil"/>
                  </w:tcBorders>
                  <w:shd w:val="clear" w:color="auto" w:fill="auto"/>
                  <w:vAlign w:val="center"/>
                  <w:hideMark/>
                </w:tcPr>
                <w:p w14:paraId="3F4CF690"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74 777</w:t>
                  </w:r>
                </w:p>
              </w:tc>
              <w:tc>
                <w:tcPr>
                  <w:tcW w:w="901" w:type="dxa"/>
                  <w:tcBorders>
                    <w:top w:val="nil"/>
                    <w:left w:val="nil"/>
                    <w:bottom w:val="nil"/>
                    <w:right w:val="nil"/>
                  </w:tcBorders>
                  <w:shd w:val="clear" w:color="auto" w:fill="auto"/>
                  <w:vAlign w:val="center"/>
                  <w:hideMark/>
                </w:tcPr>
                <w:p w14:paraId="069BBF7E"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r>
            <w:tr w:rsidR="003A0696" w:rsidRPr="001228A1" w14:paraId="27825D1F" w14:textId="77777777" w:rsidTr="003A0696">
              <w:trPr>
                <w:trHeight w:val="223"/>
              </w:trPr>
              <w:tc>
                <w:tcPr>
                  <w:tcW w:w="4668" w:type="dxa"/>
                  <w:tcBorders>
                    <w:top w:val="nil"/>
                    <w:left w:val="nil"/>
                    <w:bottom w:val="nil"/>
                    <w:right w:val="nil"/>
                  </w:tcBorders>
                  <w:shd w:val="clear" w:color="auto" w:fill="auto"/>
                  <w:vAlign w:val="center"/>
                  <w:hideMark/>
                </w:tcPr>
                <w:p w14:paraId="537DBAF9"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197ABE19"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21 098</w:t>
                  </w:r>
                </w:p>
              </w:tc>
              <w:tc>
                <w:tcPr>
                  <w:tcW w:w="901" w:type="dxa"/>
                  <w:tcBorders>
                    <w:top w:val="nil"/>
                    <w:left w:val="nil"/>
                    <w:bottom w:val="nil"/>
                    <w:right w:val="nil"/>
                  </w:tcBorders>
                  <w:shd w:val="clear" w:color="auto" w:fill="auto"/>
                  <w:vAlign w:val="center"/>
                  <w:hideMark/>
                </w:tcPr>
                <w:p w14:paraId="14DB7E2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62 037</w:t>
                  </w:r>
                </w:p>
              </w:tc>
              <w:tc>
                <w:tcPr>
                  <w:tcW w:w="901" w:type="dxa"/>
                  <w:tcBorders>
                    <w:top w:val="nil"/>
                    <w:left w:val="nil"/>
                    <w:bottom w:val="nil"/>
                    <w:right w:val="nil"/>
                  </w:tcBorders>
                  <w:shd w:val="clear" w:color="auto" w:fill="auto"/>
                  <w:vAlign w:val="center"/>
                  <w:hideMark/>
                </w:tcPr>
                <w:p w14:paraId="43846DE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74 777</w:t>
                  </w:r>
                </w:p>
              </w:tc>
              <w:tc>
                <w:tcPr>
                  <w:tcW w:w="901" w:type="dxa"/>
                  <w:tcBorders>
                    <w:top w:val="nil"/>
                    <w:left w:val="nil"/>
                    <w:bottom w:val="nil"/>
                    <w:right w:val="nil"/>
                  </w:tcBorders>
                  <w:shd w:val="clear" w:color="auto" w:fill="auto"/>
                  <w:vAlign w:val="center"/>
                  <w:hideMark/>
                </w:tcPr>
                <w:p w14:paraId="4A79CDF3"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74 777</w:t>
                  </w:r>
                </w:p>
              </w:tc>
              <w:tc>
                <w:tcPr>
                  <w:tcW w:w="901" w:type="dxa"/>
                  <w:tcBorders>
                    <w:top w:val="nil"/>
                    <w:left w:val="nil"/>
                    <w:bottom w:val="nil"/>
                    <w:right w:val="nil"/>
                  </w:tcBorders>
                  <w:shd w:val="clear" w:color="auto" w:fill="auto"/>
                  <w:vAlign w:val="center"/>
                  <w:hideMark/>
                </w:tcPr>
                <w:p w14:paraId="3DDECD9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74815398" w14:textId="77777777" w:rsidTr="003A0696">
              <w:trPr>
                <w:trHeight w:val="223"/>
              </w:trPr>
              <w:tc>
                <w:tcPr>
                  <w:tcW w:w="4668" w:type="dxa"/>
                  <w:tcBorders>
                    <w:top w:val="nil"/>
                    <w:left w:val="nil"/>
                    <w:bottom w:val="nil"/>
                    <w:right w:val="nil"/>
                  </w:tcBorders>
                  <w:shd w:val="clear" w:color="auto" w:fill="auto"/>
                  <w:vAlign w:val="center"/>
                  <w:hideMark/>
                </w:tcPr>
                <w:p w14:paraId="4F3B2F60"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nil"/>
                    <w:right w:val="nil"/>
                  </w:tcBorders>
                  <w:shd w:val="clear" w:color="auto" w:fill="auto"/>
                  <w:vAlign w:val="center"/>
                  <w:hideMark/>
                </w:tcPr>
                <w:p w14:paraId="2C9549C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75 106</w:t>
                  </w:r>
                </w:p>
              </w:tc>
              <w:tc>
                <w:tcPr>
                  <w:tcW w:w="901" w:type="dxa"/>
                  <w:tcBorders>
                    <w:top w:val="nil"/>
                    <w:left w:val="nil"/>
                    <w:bottom w:val="nil"/>
                    <w:right w:val="nil"/>
                  </w:tcBorders>
                  <w:shd w:val="clear" w:color="auto" w:fill="auto"/>
                  <w:vAlign w:val="center"/>
                  <w:hideMark/>
                </w:tcPr>
                <w:p w14:paraId="763CDB5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51 034</w:t>
                  </w:r>
                </w:p>
              </w:tc>
              <w:tc>
                <w:tcPr>
                  <w:tcW w:w="901" w:type="dxa"/>
                  <w:tcBorders>
                    <w:top w:val="nil"/>
                    <w:left w:val="nil"/>
                    <w:bottom w:val="nil"/>
                    <w:right w:val="nil"/>
                  </w:tcBorders>
                  <w:shd w:val="clear" w:color="auto" w:fill="auto"/>
                  <w:vAlign w:val="center"/>
                  <w:hideMark/>
                </w:tcPr>
                <w:p w14:paraId="17B89133"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1EA7024F"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08104DB2"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76869D0C" w14:textId="77777777" w:rsidTr="003A0696">
              <w:trPr>
                <w:trHeight w:val="223"/>
              </w:trPr>
              <w:tc>
                <w:tcPr>
                  <w:tcW w:w="4668" w:type="dxa"/>
                  <w:tcBorders>
                    <w:top w:val="nil"/>
                    <w:left w:val="nil"/>
                    <w:bottom w:val="nil"/>
                    <w:right w:val="nil"/>
                  </w:tcBorders>
                  <w:shd w:val="clear" w:color="auto" w:fill="auto"/>
                  <w:vAlign w:val="center"/>
                  <w:hideMark/>
                </w:tcPr>
                <w:p w14:paraId="2070D553"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Východoslovenská energetika Holding, a. s.</w:t>
                  </w:r>
                </w:p>
              </w:tc>
              <w:tc>
                <w:tcPr>
                  <w:tcW w:w="901" w:type="dxa"/>
                  <w:tcBorders>
                    <w:top w:val="nil"/>
                    <w:left w:val="nil"/>
                    <w:bottom w:val="nil"/>
                    <w:right w:val="nil"/>
                  </w:tcBorders>
                  <w:shd w:val="clear" w:color="auto" w:fill="auto"/>
                  <w:vAlign w:val="center"/>
                  <w:hideMark/>
                </w:tcPr>
                <w:p w14:paraId="23B4823C"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34 022</w:t>
                  </w:r>
                </w:p>
              </w:tc>
              <w:tc>
                <w:tcPr>
                  <w:tcW w:w="901" w:type="dxa"/>
                  <w:tcBorders>
                    <w:top w:val="nil"/>
                    <w:left w:val="nil"/>
                    <w:bottom w:val="nil"/>
                    <w:right w:val="nil"/>
                  </w:tcBorders>
                  <w:shd w:val="clear" w:color="auto" w:fill="auto"/>
                  <w:vAlign w:val="center"/>
                  <w:hideMark/>
                </w:tcPr>
                <w:p w14:paraId="5EF4EA4C"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33 677</w:t>
                  </w:r>
                </w:p>
              </w:tc>
              <w:tc>
                <w:tcPr>
                  <w:tcW w:w="901" w:type="dxa"/>
                  <w:tcBorders>
                    <w:top w:val="nil"/>
                    <w:left w:val="nil"/>
                    <w:bottom w:val="nil"/>
                    <w:right w:val="nil"/>
                  </w:tcBorders>
                  <w:shd w:val="clear" w:color="auto" w:fill="auto"/>
                  <w:vAlign w:val="center"/>
                  <w:hideMark/>
                </w:tcPr>
                <w:p w14:paraId="74CD4FC8"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29 070</w:t>
                  </w:r>
                </w:p>
              </w:tc>
              <w:tc>
                <w:tcPr>
                  <w:tcW w:w="901" w:type="dxa"/>
                  <w:tcBorders>
                    <w:top w:val="nil"/>
                    <w:left w:val="nil"/>
                    <w:bottom w:val="nil"/>
                    <w:right w:val="nil"/>
                  </w:tcBorders>
                  <w:shd w:val="clear" w:color="auto" w:fill="auto"/>
                  <w:vAlign w:val="center"/>
                  <w:hideMark/>
                </w:tcPr>
                <w:p w14:paraId="037A9443"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29 070</w:t>
                  </w:r>
                </w:p>
              </w:tc>
              <w:tc>
                <w:tcPr>
                  <w:tcW w:w="901" w:type="dxa"/>
                  <w:tcBorders>
                    <w:top w:val="nil"/>
                    <w:left w:val="nil"/>
                    <w:bottom w:val="nil"/>
                    <w:right w:val="nil"/>
                  </w:tcBorders>
                  <w:shd w:val="clear" w:color="auto" w:fill="auto"/>
                  <w:vAlign w:val="center"/>
                  <w:hideMark/>
                </w:tcPr>
                <w:p w14:paraId="10967156"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r>
            <w:tr w:rsidR="003A0696" w:rsidRPr="001228A1" w14:paraId="23748840" w14:textId="77777777" w:rsidTr="003A0696">
              <w:trPr>
                <w:trHeight w:val="223"/>
              </w:trPr>
              <w:tc>
                <w:tcPr>
                  <w:tcW w:w="4668" w:type="dxa"/>
                  <w:tcBorders>
                    <w:top w:val="nil"/>
                    <w:left w:val="nil"/>
                    <w:bottom w:val="nil"/>
                    <w:right w:val="nil"/>
                  </w:tcBorders>
                  <w:shd w:val="clear" w:color="auto" w:fill="auto"/>
                  <w:vAlign w:val="center"/>
                  <w:hideMark/>
                </w:tcPr>
                <w:p w14:paraId="2543C707"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34372026"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20 325</w:t>
                  </w:r>
                </w:p>
              </w:tc>
              <w:tc>
                <w:tcPr>
                  <w:tcW w:w="901" w:type="dxa"/>
                  <w:tcBorders>
                    <w:top w:val="nil"/>
                    <w:left w:val="nil"/>
                    <w:bottom w:val="nil"/>
                    <w:right w:val="nil"/>
                  </w:tcBorders>
                  <w:shd w:val="clear" w:color="auto" w:fill="auto"/>
                  <w:vAlign w:val="center"/>
                  <w:hideMark/>
                </w:tcPr>
                <w:p w14:paraId="41D92C05"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25 220</w:t>
                  </w:r>
                </w:p>
              </w:tc>
              <w:tc>
                <w:tcPr>
                  <w:tcW w:w="901" w:type="dxa"/>
                  <w:tcBorders>
                    <w:top w:val="nil"/>
                    <w:left w:val="nil"/>
                    <w:bottom w:val="nil"/>
                    <w:right w:val="nil"/>
                  </w:tcBorders>
                  <w:shd w:val="clear" w:color="auto" w:fill="auto"/>
                  <w:vAlign w:val="center"/>
                  <w:hideMark/>
                </w:tcPr>
                <w:p w14:paraId="437A89F7"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16 294</w:t>
                  </w:r>
                </w:p>
              </w:tc>
              <w:tc>
                <w:tcPr>
                  <w:tcW w:w="901" w:type="dxa"/>
                  <w:tcBorders>
                    <w:top w:val="nil"/>
                    <w:left w:val="nil"/>
                    <w:bottom w:val="nil"/>
                    <w:right w:val="nil"/>
                  </w:tcBorders>
                  <w:shd w:val="clear" w:color="auto" w:fill="auto"/>
                  <w:vAlign w:val="center"/>
                  <w:hideMark/>
                </w:tcPr>
                <w:p w14:paraId="4F0BB3E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23 231</w:t>
                  </w:r>
                </w:p>
              </w:tc>
              <w:tc>
                <w:tcPr>
                  <w:tcW w:w="901" w:type="dxa"/>
                  <w:tcBorders>
                    <w:top w:val="nil"/>
                    <w:left w:val="nil"/>
                    <w:bottom w:val="nil"/>
                    <w:right w:val="nil"/>
                  </w:tcBorders>
                  <w:shd w:val="clear" w:color="auto" w:fill="auto"/>
                  <w:vAlign w:val="center"/>
                  <w:hideMark/>
                </w:tcPr>
                <w:p w14:paraId="0F008ED7"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6 937</w:t>
                  </w:r>
                </w:p>
              </w:tc>
            </w:tr>
            <w:tr w:rsidR="003A0696" w:rsidRPr="001228A1" w14:paraId="766EE7C8" w14:textId="77777777" w:rsidTr="003A0696">
              <w:trPr>
                <w:trHeight w:val="223"/>
              </w:trPr>
              <w:tc>
                <w:tcPr>
                  <w:tcW w:w="4668" w:type="dxa"/>
                  <w:tcBorders>
                    <w:top w:val="nil"/>
                    <w:left w:val="nil"/>
                    <w:bottom w:val="nil"/>
                    <w:right w:val="nil"/>
                  </w:tcBorders>
                  <w:shd w:val="clear" w:color="auto" w:fill="auto"/>
                  <w:vAlign w:val="center"/>
                  <w:hideMark/>
                </w:tcPr>
                <w:p w14:paraId="489BD74A"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nil"/>
                    <w:right w:val="nil"/>
                  </w:tcBorders>
                  <w:shd w:val="clear" w:color="auto" w:fill="auto"/>
                  <w:vAlign w:val="center"/>
                  <w:hideMark/>
                </w:tcPr>
                <w:p w14:paraId="1D9F1C22"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13 697</w:t>
                  </w:r>
                </w:p>
              </w:tc>
              <w:tc>
                <w:tcPr>
                  <w:tcW w:w="901" w:type="dxa"/>
                  <w:tcBorders>
                    <w:top w:val="nil"/>
                    <w:left w:val="nil"/>
                    <w:bottom w:val="nil"/>
                    <w:right w:val="nil"/>
                  </w:tcBorders>
                  <w:shd w:val="clear" w:color="auto" w:fill="auto"/>
                  <w:vAlign w:val="center"/>
                  <w:hideMark/>
                </w:tcPr>
                <w:p w14:paraId="7C070D8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8 457</w:t>
                  </w:r>
                </w:p>
              </w:tc>
              <w:tc>
                <w:tcPr>
                  <w:tcW w:w="901" w:type="dxa"/>
                  <w:tcBorders>
                    <w:top w:val="nil"/>
                    <w:left w:val="nil"/>
                    <w:bottom w:val="nil"/>
                    <w:right w:val="nil"/>
                  </w:tcBorders>
                  <w:shd w:val="clear" w:color="auto" w:fill="auto"/>
                  <w:vAlign w:val="center"/>
                  <w:hideMark/>
                </w:tcPr>
                <w:p w14:paraId="359FEC2F"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12 776</w:t>
                  </w:r>
                </w:p>
              </w:tc>
              <w:tc>
                <w:tcPr>
                  <w:tcW w:w="901" w:type="dxa"/>
                  <w:tcBorders>
                    <w:top w:val="nil"/>
                    <w:left w:val="nil"/>
                    <w:bottom w:val="nil"/>
                    <w:right w:val="nil"/>
                  </w:tcBorders>
                  <w:shd w:val="clear" w:color="auto" w:fill="auto"/>
                  <w:vAlign w:val="center"/>
                  <w:hideMark/>
                </w:tcPr>
                <w:p w14:paraId="53349A9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5 839</w:t>
                  </w:r>
                </w:p>
              </w:tc>
              <w:tc>
                <w:tcPr>
                  <w:tcW w:w="901" w:type="dxa"/>
                  <w:tcBorders>
                    <w:top w:val="nil"/>
                    <w:left w:val="nil"/>
                    <w:bottom w:val="nil"/>
                    <w:right w:val="nil"/>
                  </w:tcBorders>
                  <w:shd w:val="clear" w:color="auto" w:fill="auto"/>
                  <w:vAlign w:val="center"/>
                  <w:hideMark/>
                </w:tcPr>
                <w:p w14:paraId="241C8D8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-6 937</w:t>
                  </w:r>
                </w:p>
              </w:tc>
            </w:tr>
            <w:tr w:rsidR="003A0696" w:rsidRPr="001228A1" w14:paraId="7DCABEFF" w14:textId="77777777" w:rsidTr="003A0696">
              <w:trPr>
                <w:trHeight w:val="223"/>
              </w:trPr>
              <w:tc>
                <w:tcPr>
                  <w:tcW w:w="4668" w:type="dxa"/>
                  <w:tcBorders>
                    <w:top w:val="nil"/>
                    <w:left w:val="nil"/>
                    <w:bottom w:val="nil"/>
                    <w:right w:val="nil"/>
                  </w:tcBorders>
                  <w:shd w:val="clear" w:color="auto" w:fill="auto"/>
                  <w:vAlign w:val="center"/>
                  <w:hideMark/>
                </w:tcPr>
                <w:p w14:paraId="17BEDF24"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 xml:space="preserve">MH Manažment, a. s. </w:t>
                  </w:r>
                </w:p>
              </w:tc>
              <w:tc>
                <w:tcPr>
                  <w:tcW w:w="901" w:type="dxa"/>
                  <w:tcBorders>
                    <w:top w:val="nil"/>
                    <w:left w:val="nil"/>
                    <w:bottom w:val="nil"/>
                    <w:right w:val="nil"/>
                  </w:tcBorders>
                  <w:shd w:val="clear" w:color="auto" w:fill="auto"/>
                  <w:vAlign w:val="center"/>
                  <w:hideMark/>
                </w:tcPr>
                <w:p w14:paraId="108328BF"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10</w:t>
                  </w:r>
                </w:p>
              </w:tc>
              <w:tc>
                <w:tcPr>
                  <w:tcW w:w="901" w:type="dxa"/>
                  <w:tcBorders>
                    <w:top w:val="nil"/>
                    <w:left w:val="nil"/>
                    <w:bottom w:val="nil"/>
                    <w:right w:val="nil"/>
                  </w:tcBorders>
                  <w:shd w:val="clear" w:color="auto" w:fill="auto"/>
                  <w:vAlign w:val="center"/>
                  <w:hideMark/>
                </w:tcPr>
                <w:p w14:paraId="12BED180"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3D77D220"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38C4D910"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72C80091"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r>
            <w:tr w:rsidR="003A0696" w:rsidRPr="001228A1" w14:paraId="13AADAED" w14:textId="77777777" w:rsidTr="003A0696">
              <w:trPr>
                <w:trHeight w:val="223"/>
              </w:trPr>
              <w:tc>
                <w:tcPr>
                  <w:tcW w:w="4668" w:type="dxa"/>
                  <w:tcBorders>
                    <w:top w:val="nil"/>
                    <w:left w:val="nil"/>
                    <w:bottom w:val="nil"/>
                    <w:right w:val="nil"/>
                  </w:tcBorders>
                  <w:shd w:val="clear" w:color="auto" w:fill="auto"/>
                  <w:vAlign w:val="center"/>
                  <w:hideMark/>
                </w:tcPr>
                <w:p w14:paraId="660E3472"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49FEE456"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528A98CC"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2A14B6FB"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77BC9219"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183DBDE6"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762B5E35" w14:textId="77777777" w:rsidTr="003A0696">
              <w:trPr>
                <w:trHeight w:val="223"/>
              </w:trPr>
              <w:tc>
                <w:tcPr>
                  <w:tcW w:w="4668" w:type="dxa"/>
                  <w:tcBorders>
                    <w:top w:val="nil"/>
                    <w:left w:val="nil"/>
                    <w:bottom w:val="nil"/>
                    <w:right w:val="nil"/>
                  </w:tcBorders>
                  <w:shd w:val="clear" w:color="auto" w:fill="auto"/>
                  <w:vAlign w:val="center"/>
                  <w:hideMark/>
                </w:tcPr>
                <w:p w14:paraId="1C9D7CAF"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nil"/>
                    <w:right w:val="nil"/>
                  </w:tcBorders>
                  <w:shd w:val="clear" w:color="auto" w:fill="auto"/>
                  <w:vAlign w:val="center"/>
                  <w:hideMark/>
                </w:tcPr>
                <w:p w14:paraId="60C4FD18"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10</w:t>
                  </w:r>
                </w:p>
              </w:tc>
              <w:tc>
                <w:tcPr>
                  <w:tcW w:w="901" w:type="dxa"/>
                  <w:tcBorders>
                    <w:top w:val="nil"/>
                    <w:left w:val="nil"/>
                    <w:bottom w:val="nil"/>
                    <w:right w:val="nil"/>
                  </w:tcBorders>
                  <w:shd w:val="clear" w:color="auto" w:fill="auto"/>
                  <w:vAlign w:val="center"/>
                  <w:hideMark/>
                </w:tcPr>
                <w:p w14:paraId="002E726A"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10E8072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30682BC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2765599B"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54EF1052" w14:textId="77777777" w:rsidTr="003A0696">
              <w:trPr>
                <w:trHeight w:val="223"/>
              </w:trPr>
              <w:tc>
                <w:tcPr>
                  <w:tcW w:w="4668" w:type="dxa"/>
                  <w:tcBorders>
                    <w:top w:val="nil"/>
                    <w:left w:val="nil"/>
                    <w:bottom w:val="nil"/>
                    <w:right w:val="nil"/>
                  </w:tcBorders>
                  <w:shd w:val="clear" w:color="auto" w:fill="auto"/>
                  <w:vAlign w:val="center"/>
                  <w:hideMark/>
                </w:tcPr>
                <w:p w14:paraId="78C9FB5B" w14:textId="77777777" w:rsidR="003A0696" w:rsidRPr="001228A1" w:rsidRDefault="003A0696" w:rsidP="003A0696">
                  <w:pPr>
                    <w:spacing w:after="0" w:line="240" w:lineRule="auto"/>
                    <w:jc w:val="lef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Ministerstvo dopravy a výstavby SR</w:t>
                  </w:r>
                </w:p>
              </w:tc>
              <w:tc>
                <w:tcPr>
                  <w:tcW w:w="901" w:type="dxa"/>
                  <w:tcBorders>
                    <w:top w:val="nil"/>
                    <w:left w:val="nil"/>
                    <w:bottom w:val="nil"/>
                    <w:right w:val="nil"/>
                  </w:tcBorders>
                  <w:shd w:val="clear" w:color="auto" w:fill="auto"/>
                  <w:vAlign w:val="center"/>
                  <w:hideMark/>
                </w:tcPr>
                <w:p w14:paraId="77BCC5AB"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779</w:t>
                  </w:r>
                </w:p>
              </w:tc>
              <w:tc>
                <w:tcPr>
                  <w:tcW w:w="901" w:type="dxa"/>
                  <w:tcBorders>
                    <w:top w:val="nil"/>
                    <w:left w:val="nil"/>
                    <w:bottom w:val="nil"/>
                    <w:right w:val="nil"/>
                  </w:tcBorders>
                  <w:shd w:val="clear" w:color="auto" w:fill="auto"/>
                  <w:vAlign w:val="center"/>
                  <w:hideMark/>
                </w:tcPr>
                <w:p w14:paraId="1FF83BD1"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0</w:t>
                  </w:r>
                </w:p>
              </w:tc>
              <w:tc>
                <w:tcPr>
                  <w:tcW w:w="901" w:type="dxa"/>
                  <w:tcBorders>
                    <w:top w:val="nil"/>
                    <w:left w:val="nil"/>
                    <w:bottom w:val="nil"/>
                    <w:right w:val="nil"/>
                  </w:tcBorders>
                  <w:shd w:val="clear" w:color="auto" w:fill="auto"/>
                  <w:vAlign w:val="center"/>
                  <w:hideMark/>
                </w:tcPr>
                <w:p w14:paraId="111B7CCC"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0</w:t>
                  </w:r>
                </w:p>
              </w:tc>
              <w:tc>
                <w:tcPr>
                  <w:tcW w:w="901" w:type="dxa"/>
                  <w:tcBorders>
                    <w:top w:val="nil"/>
                    <w:left w:val="nil"/>
                    <w:bottom w:val="nil"/>
                    <w:right w:val="nil"/>
                  </w:tcBorders>
                  <w:shd w:val="clear" w:color="auto" w:fill="auto"/>
                  <w:vAlign w:val="center"/>
                  <w:hideMark/>
                </w:tcPr>
                <w:p w14:paraId="668F569A"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15</w:t>
                  </w:r>
                </w:p>
              </w:tc>
              <w:tc>
                <w:tcPr>
                  <w:tcW w:w="901" w:type="dxa"/>
                  <w:tcBorders>
                    <w:top w:val="nil"/>
                    <w:left w:val="nil"/>
                    <w:bottom w:val="nil"/>
                    <w:right w:val="nil"/>
                  </w:tcBorders>
                  <w:shd w:val="clear" w:color="auto" w:fill="auto"/>
                  <w:vAlign w:val="center"/>
                  <w:hideMark/>
                </w:tcPr>
                <w:p w14:paraId="23FA5080"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15</w:t>
                  </w:r>
                </w:p>
              </w:tc>
            </w:tr>
            <w:tr w:rsidR="003A0696" w:rsidRPr="001228A1" w14:paraId="62446D82" w14:textId="77777777" w:rsidTr="003A0696">
              <w:trPr>
                <w:trHeight w:val="223"/>
              </w:trPr>
              <w:tc>
                <w:tcPr>
                  <w:tcW w:w="4668" w:type="dxa"/>
                  <w:tcBorders>
                    <w:top w:val="nil"/>
                    <w:left w:val="nil"/>
                    <w:bottom w:val="nil"/>
                    <w:right w:val="nil"/>
                  </w:tcBorders>
                  <w:shd w:val="clear" w:color="auto" w:fill="auto"/>
                  <w:vAlign w:val="center"/>
                  <w:hideMark/>
                </w:tcPr>
                <w:p w14:paraId="7252011D"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 xml:space="preserve">Letisko Košice - </w:t>
                  </w:r>
                  <w:proofErr w:type="spellStart"/>
                  <w:r w:rsidRPr="001228A1">
                    <w:rPr>
                      <w:rFonts w:eastAsia="Times New Roman" w:cs="Times New Roman"/>
                      <w:color w:val="000000"/>
                      <w:sz w:val="20"/>
                      <w:szCs w:val="20"/>
                      <w:lang w:eastAsia="sk-SK"/>
                    </w:rPr>
                    <w:t>Airport</w:t>
                  </w:r>
                  <w:proofErr w:type="spellEnd"/>
                  <w:r w:rsidRPr="001228A1">
                    <w:rPr>
                      <w:rFonts w:eastAsia="Times New Roman" w:cs="Times New Roman"/>
                      <w:color w:val="000000"/>
                      <w:sz w:val="20"/>
                      <w:szCs w:val="20"/>
                      <w:lang w:eastAsia="sk-SK"/>
                    </w:rPr>
                    <w:t xml:space="preserve"> Košice, a. s.</w:t>
                  </w:r>
                </w:p>
              </w:tc>
              <w:tc>
                <w:tcPr>
                  <w:tcW w:w="901" w:type="dxa"/>
                  <w:tcBorders>
                    <w:top w:val="nil"/>
                    <w:left w:val="nil"/>
                    <w:bottom w:val="nil"/>
                    <w:right w:val="nil"/>
                  </w:tcBorders>
                  <w:shd w:val="clear" w:color="auto" w:fill="auto"/>
                  <w:vAlign w:val="center"/>
                  <w:hideMark/>
                </w:tcPr>
                <w:p w14:paraId="4F01A1E2"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779</w:t>
                  </w:r>
                </w:p>
              </w:tc>
              <w:tc>
                <w:tcPr>
                  <w:tcW w:w="901" w:type="dxa"/>
                  <w:tcBorders>
                    <w:top w:val="nil"/>
                    <w:left w:val="nil"/>
                    <w:bottom w:val="nil"/>
                    <w:right w:val="nil"/>
                  </w:tcBorders>
                  <w:shd w:val="clear" w:color="auto" w:fill="auto"/>
                  <w:vAlign w:val="center"/>
                  <w:hideMark/>
                </w:tcPr>
                <w:p w14:paraId="0CAC27C2"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437DE9FC"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50863E57"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4912689F"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r>
            <w:tr w:rsidR="003A0696" w:rsidRPr="001228A1" w14:paraId="5CDC3CB6" w14:textId="77777777" w:rsidTr="003A0696">
              <w:trPr>
                <w:trHeight w:val="223"/>
              </w:trPr>
              <w:tc>
                <w:tcPr>
                  <w:tcW w:w="4668" w:type="dxa"/>
                  <w:tcBorders>
                    <w:top w:val="nil"/>
                    <w:left w:val="nil"/>
                    <w:bottom w:val="nil"/>
                    <w:right w:val="nil"/>
                  </w:tcBorders>
                  <w:shd w:val="clear" w:color="auto" w:fill="auto"/>
                  <w:vAlign w:val="center"/>
                  <w:hideMark/>
                </w:tcPr>
                <w:p w14:paraId="7629F495"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4298E899"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742</w:t>
                  </w:r>
                </w:p>
              </w:tc>
              <w:tc>
                <w:tcPr>
                  <w:tcW w:w="901" w:type="dxa"/>
                  <w:tcBorders>
                    <w:top w:val="nil"/>
                    <w:left w:val="nil"/>
                    <w:bottom w:val="nil"/>
                    <w:right w:val="nil"/>
                  </w:tcBorders>
                  <w:shd w:val="clear" w:color="auto" w:fill="auto"/>
                  <w:vAlign w:val="center"/>
                  <w:hideMark/>
                </w:tcPr>
                <w:p w14:paraId="7F2001C8"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09F14B72"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08E81C93"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4B9CE3CE"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7ADE0237" w14:textId="77777777" w:rsidTr="003A0696">
              <w:trPr>
                <w:trHeight w:val="223"/>
              </w:trPr>
              <w:tc>
                <w:tcPr>
                  <w:tcW w:w="4668" w:type="dxa"/>
                  <w:tcBorders>
                    <w:top w:val="nil"/>
                    <w:left w:val="nil"/>
                    <w:bottom w:val="nil"/>
                    <w:right w:val="nil"/>
                  </w:tcBorders>
                  <w:shd w:val="clear" w:color="auto" w:fill="auto"/>
                  <w:vAlign w:val="center"/>
                  <w:hideMark/>
                </w:tcPr>
                <w:p w14:paraId="0811FB05"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w:t>
                  </w:r>
                  <w:proofErr w:type="spellStart"/>
                  <w:r w:rsidRPr="001228A1">
                    <w:rPr>
                      <w:rFonts w:eastAsia="Times New Roman" w:cs="Times New Roman"/>
                      <w:i/>
                      <w:iCs/>
                      <w:color w:val="000000"/>
                      <w:sz w:val="20"/>
                      <w:szCs w:val="20"/>
                      <w:lang w:eastAsia="sk-SK"/>
                    </w:rPr>
                    <w:t>superdividendy</w:t>
                  </w:r>
                  <w:proofErr w:type="spellEnd"/>
                </w:p>
              </w:tc>
              <w:tc>
                <w:tcPr>
                  <w:tcW w:w="901" w:type="dxa"/>
                  <w:tcBorders>
                    <w:top w:val="nil"/>
                    <w:left w:val="nil"/>
                    <w:bottom w:val="nil"/>
                    <w:right w:val="nil"/>
                  </w:tcBorders>
                  <w:shd w:val="clear" w:color="auto" w:fill="auto"/>
                  <w:vAlign w:val="center"/>
                  <w:hideMark/>
                </w:tcPr>
                <w:p w14:paraId="34D7ADAF"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37</w:t>
                  </w:r>
                </w:p>
              </w:tc>
              <w:tc>
                <w:tcPr>
                  <w:tcW w:w="901" w:type="dxa"/>
                  <w:tcBorders>
                    <w:top w:val="nil"/>
                    <w:left w:val="nil"/>
                    <w:bottom w:val="nil"/>
                    <w:right w:val="nil"/>
                  </w:tcBorders>
                  <w:shd w:val="clear" w:color="auto" w:fill="auto"/>
                  <w:vAlign w:val="center"/>
                  <w:hideMark/>
                </w:tcPr>
                <w:p w14:paraId="512ED542"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0CB83825"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124E9DE3"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6D0BDB03"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r>
            <w:tr w:rsidR="003A0696" w:rsidRPr="001228A1" w14:paraId="01BAA327" w14:textId="77777777" w:rsidTr="003A0696">
              <w:trPr>
                <w:trHeight w:val="223"/>
              </w:trPr>
              <w:tc>
                <w:tcPr>
                  <w:tcW w:w="4668" w:type="dxa"/>
                  <w:tcBorders>
                    <w:top w:val="nil"/>
                    <w:left w:val="nil"/>
                    <w:bottom w:val="nil"/>
                    <w:right w:val="nil"/>
                  </w:tcBorders>
                  <w:shd w:val="clear" w:color="auto" w:fill="auto"/>
                  <w:vAlign w:val="center"/>
                  <w:hideMark/>
                </w:tcPr>
                <w:p w14:paraId="3207E933"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 xml:space="preserve">365.bank, </w:t>
                  </w:r>
                  <w:proofErr w:type="spellStart"/>
                  <w:r w:rsidRPr="001228A1">
                    <w:rPr>
                      <w:rFonts w:eastAsia="Times New Roman" w:cs="Times New Roman"/>
                      <w:color w:val="000000"/>
                      <w:sz w:val="20"/>
                      <w:szCs w:val="20"/>
                      <w:lang w:eastAsia="sk-SK"/>
                    </w:rPr>
                    <w:t>a.s</w:t>
                  </w:r>
                  <w:proofErr w:type="spellEnd"/>
                  <w:r w:rsidRPr="001228A1">
                    <w:rPr>
                      <w:rFonts w:eastAsia="Times New Roman" w:cs="Times New Roman"/>
                      <w:color w:val="000000"/>
                      <w:sz w:val="20"/>
                      <w:szCs w:val="20"/>
                      <w:lang w:eastAsia="sk-SK"/>
                    </w:rPr>
                    <w:t>.</w:t>
                  </w:r>
                  <w:r w:rsidRPr="001228A1">
                    <w:rPr>
                      <w:rFonts w:eastAsia="Times New Roman" w:cs="Times New Roman"/>
                      <w:color w:val="000000"/>
                      <w:sz w:val="20"/>
                      <w:szCs w:val="20"/>
                      <w:vertAlign w:val="superscript"/>
                      <w:lang w:eastAsia="sk-SK"/>
                    </w:rPr>
                    <w:t xml:space="preserve"> </w:t>
                  </w:r>
                  <w:r>
                    <w:rPr>
                      <w:rFonts w:eastAsia="Times New Roman" w:cs="Times New Roman"/>
                      <w:color w:val="000000"/>
                      <w:sz w:val="20"/>
                      <w:szCs w:val="20"/>
                      <w:vertAlign w:val="superscript"/>
                      <w:lang w:eastAsia="sk-SK"/>
                    </w:rPr>
                    <w:t>2</w:t>
                  </w:r>
                  <w:r w:rsidRPr="001228A1">
                    <w:rPr>
                      <w:rFonts w:eastAsia="Times New Roman" w:cs="Times New Roman"/>
                      <w:color w:val="000000"/>
                      <w:sz w:val="20"/>
                      <w:szCs w:val="20"/>
                      <w:vertAlign w:val="superscript"/>
                      <w:lang w:eastAsia="sk-SK"/>
                    </w:rPr>
                    <w:t>)</w:t>
                  </w:r>
                </w:p>
              </w:tc>
              <w:tc>
                <w:tcPr>
                  <w:tcW w:w="901" w:type="dxa"/>
                  <w:tcBorders>
                    <w:top w:val="nil"/>
                    <w:left w:val="nil"/>
                    <w:bottom w:val="nil"/>
                    <w:right w:val="nil"/>
                  </w:tcBorders>
                  <w:shd w:val="clear" w:color="auto" w:fill="auto"/>
                  <w:vAlign w:val="center"/>
                  <w:hideMark/>
                </w:tcPr>
                <w:p w14:paraId="748A0EAF"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w:t>
                  </w:r>
                </w:p>
              </w:tc>
              <w:tc>
                <w:tcPr>
                  <w:tcW w:w="901" w:type="dxa"/>
                  <w:tcBorders>
                    <w:top w:val="nil"/>
                    <w:left w:val="nil"/>
                    <w:bottom w:val="nil"/>
                    <w:right w:val="nil"/>
                  </w:tcBorders>
                  <w:shd w:val="clear" w:color="auto" w:fill="auto"/>
                  <w:vAlign w:val="center"/>
                  <w:hideMark/>
                </w:tcPr>
                <w:p w14:paraId="6F624283"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w:t>
                  </w:r>
                </w:p>
              </w:tc>
              <w:tc>
                <w:tcPr>
                  <w:tcW w:w="901" w:type="dxa"/>
                  <w:tcBorders>
                    <w:top w:val="nil"/>
                    <w:left w:val="nil"/>
                    <w:bottom w:val="nil"/>
                    <w:right w:val="nil"/>
                  </w:tcBorders>
                  <w:shd w:val="clear" w:color="auto" w:fill="auto"/>
                  <w:vAlign w:val="center"/>
                  <w:hideMark/>
                </w:tcPr>
                <w:p w14:paraId="279E8E02"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08BAA44B"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15</w:t>
                  </w:r>
                </w:p>
              </w:tc>
              <w:tc>
                <w:tcPr>
                  <w:tcW w:w="901" w:type="dxa"/>
                  <w:tcBorders>
                    <w:top w:val="nil"/>
                    <w:left w:val="nil"/>
                    <w:bottom w:val="nil"/>
                    <w:right w:val="nil"/>
                  </w:tcBorders>
                  <w:shd w:val="clear" w:color="auto" w:fill="auto"/>
                  <w:vAlign w:val="center"/>
                  <w:hideMark/>
                </w:tcPr>
                <w:p w14:paraId="7B3D823F"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15</w:t>
                  </w:r>
                </w:p>
              </w:tc>
            </w:tr>
            <w:tr w:rsidR="003A0696" w:rsidRPr="001228A1" w14:paraId="36F2FA75" w14:textId="77777777" w:rsidTr="003A0696">
              <w:trPr>
                <w:trHeight w:val="223"/>
              </w:trPr>
              <w:tc>
                <w:tcPr>
                  <w:tcW w:w="4668" w:type="dxa"/>
                  <w:tcBorders>
                    <w:top w:val="nil"/>
                    <w:left w:val="nil"/>
                    <w:bottom w:val="nil"/>
                    <w:right w:val="nil"/>
                  </w:tcBorders>
                  <w:shd w:val="clear" w:color="auto" w:fill="auto"/>
                  <w:vAlign w:val="center"/>
                  <w:hideMark/>
                </w:tcPr>
                <w:p w14:paraId="7011B0CF" w14:textId="77777777" w:rsidR="003A0696" w:rsidRPr="001228A1" w:rsidRDefault="003A0696" w:rsidP="003A0696">
                  <w:pPr>
                    <w:spacing w:after="0" w:line="240" w:lineRule="auto"/>
                    <w:jc w:val="lef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Ministerstvo pôdohospodárstva a rozvoja vidieka SR</w:t>
                  </w:r>
                </w:p>
              </w:tc>
              <w:tc>
                <w:tcPr>
                  <w:tcW w:w="901" w:type="dxa"/>
                  <w:tcBorders>
                    <w:top w:val="nil"/>
                    <w:left w:val="nil"/>
                    <w:bottom w:val="nil"/>
                    <w:right w:val="nil"/>
                  </w:tcBorders>
                  <w:shd w:val="clear" w:color="auto" w:fill="auto"/>
                  <w:vAlign w:val="center"/>
                  <w:hideMark/>
                </w:tcPr>
                <w:p w14:paraId="71B8E464"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0</w:t>
                  </w:r>
                </w:p>
              </w:tc>
              <w:tc>
                <w:tcPr>
                  <w:tcW w:w="901" w:type="dxa"/>
                  <w:tcBorders>
                    <w:top w:val="nil"/>
                    <w:left w:val="nil"/>
                    <w:bottom w:val="nil"/>
                    <w:right w:val="nil"/>
                  </w:tcBorders>
                  <w:shd w:val="clear" w:color="auto" w:fill="auto"/>
                  <w:vAlign w:val="center"/>
                  <w:hideMark/>
                </w:tcPr>
                <w:p w14:paraId="5D1ED686"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5 000</w:t>
                  </w:r>
                </w:p>
              </w:tc>
              <w:tc>
                <w:tcPr>
                  <w:tcW w:w="901" w:type="dxa"/>
                  <w:tcBorders>
                    <w:top w:val="nil"/>
                    <w:left w:val="nil"/>
                    <w:bottom w:val="nil"/>
                    <w:right w:val="nil"/>
                  </w:tcBorders>
                  <w:shd w:val="clear" w:color="auto" w:fill="auto"/>
                  <w:vAlign w:val="center"/>
                  <w:hideMark/>
                </w:tcPr>
                <w:p w14:paraId="0318B8D0"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1 500</w:t>
                  </w:r>
                </w:p>
              </w:tc>
              <w:tc>
                <w:tcPr>
                  <w:tcW w:w="901" w:type="dxa"/>
                  <w:tcBorders>
                    <w:top w:val="nil"/>
                    <w:left w:val="nil"/>
                    <w:bottom w:val="nil"/>
                    <w:right w:val="nil"/>
                  </w:tcBorders>
                  <w:shd w:val="clear" w:color="auto" w:fill="auto"/>
                  <w:vAlign w:val="center"/>
                  <w:hideMark/>
                </w:tcPr>
                <w:p w14:paraId="6676A6C7"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5 000</w:t>
                  </w:r>
                </w:p>
              </w:tc>
              <w:tc>
                <w:tcPr>
                  <w:tcW w:w="901" w:type="dxa"/>
                  <w:tcBorders>
                    <w:top w:val="nil"/>
                    <w:left w:val="nil"/>
                    <w:bottom w:val="nil"/>
                    <w:right w:val="nil"/>
                  </w:tcBorders>
                  <w:shd w:val="clear" w:color="auto" w:fill="auto"/>
                  <w:vAlign w:val="center"/>
                  <w:hideMark/>
                </w:tcPr>
                <w:p w14:paraId="70E9085E"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3 500</w:t>
                  </w:r>
                </w:p>
              </w:tc>
            </w:tr>
            <w:tr w:rsidR="003A0696" w:rsidRPr="001228A1" w14:paraId="1357BA37" w14:textId="77777777" w:rsidTr="003A0696">
              <w:trPr>
                <w:trHeight w:val="223"/>
              </w:trPr>
              <w:tc>
                <w:tcPr>
                  <w:tcW w:w="4668" w:type="dxa"/>
                  <w:tcBorders>
                    <w:top w:val="nil"/>
                    <w:left w:val="nil"/>
                    <w:bottom w:val="nil"/>
                    <w:right w:val="nil"/>
                  </w:tcBorders>
                  <w:shd w:val="clear" w:color="auto" w:fill="auto"/>
                  <w:vAlign w:val="center"/>
                  <w:hideMark/>
                </w:tcPr>
                <w:p w14:paraId="227F1B2B"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Slovenský pozemkový fond</w:t>
                  </w:r>
                </w:p>
              </w:tc>
              <w:tc>
                <w:tcPr>
                  <w:tcW w:w="901" w:type="dxa"/>
                  <w:tcBorders>
                    <w:top w:val="nil"/>
                    <w:left w:val="nil"/>
                    <w:bottom w:val="nil"/>
                    <w:right w:val="nil"/>
                  </w:tcBorders>
                  <w:shd w:val="clear" w:color="auto" w:fill="auto"/>
                  <w:vAlign w:val="center"/>
                  <w:hideMark/>
                </w:tcPr>
                <w:p w14:paraId="01421119"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0</w:t>
                  </w:r>
                </w:p>
              </w:tc>
              <w:tc>
                <w:tcPr>
                  <w:tcW w:w="901" w:type="dxa"/>
                  <w:tcBorders>
                    <w:top w:val="nil"/>
                    <w:left w:val="nil"/>
                    <w:bottom w:val="nil"/>
                    <w:right w:val="nil"/>
                  </w:tcBorders>
                  <w:shd w:val="clear" w:color="auto" w:fill="auto"/>
                  <w:vAlign w:val="center"/>
                  <w:hideMark/>
                </w:tcPr>
                <w:p w14:paraId="5E96A2B4"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5 000</w:t>
                  </w:r>
                </w:p>
              </w:tc>
              <w:tc>
                <w:tcPr>
                  <w:tcW w:w="901" w:type="dxa"/>
                  <w:tcBorders>
                    <w:top w:val="nil"/>
                    <w:left w:val="nil"/>
                    <w:bottom w:val="nil"/>
                    <w:right w:val="nil"/>
                  </w:tcBorders>
                  <w:shd w:val="clear" w:color="auto" w:fill="auto"/>
                  <w:vAlign w:val="center"/>
                  <w:hideMark/>
                </w:tcPr>
                <w:p w14:paraId="53ECBD31"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1 500</w:t>
                  </w:r>
                </w:p>
              </w:tc>
              <w:tc>
                <w:tcPr>
                  <w:tcW w:w="901" w:type="dxa"/>
                  <w:tcBorders>
                    <w:top w:val="nil"/>
                    <w:left w:val="nil"/>
                    <w:bottom w:val="nil"/>
                    <w:right w:val="nil"/>
                  </w:tcBorders>
                  <w:shd w:val="clear" w:color="auto" w:fill="auto"/>
                  <w:vAlign w:val="center"/>
                  <w:hideMark/>
                </w:tcPr>
                <w:p w14:paraId="3C22D206"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5 000</w:t>
                  </w:r>
                </w:p>
              </w:tc>
              <w:tc>
                <w:tcPr>
                  <w:tcW w:w="901" w:type="dxa"/>
                  <w:tcBorders>
                    <w:top w:val="nil"/>
                    <w:left w:val="nil"/>
                    <w:bottom w:val="nil"/>
                    <w:right w:val="nil"/>
                  </w:tcBorders>
                  <w:shd w:val="clear" w:color="auto" w:fill="auto"/>
                  <w:vAlign w:val="center"/>
                  <w:hideMark/>
                </w:tcPr>
                <w:p w14:paraId="1EE00620"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3 500</w:t>
                  </w:r>
                </w:p>
              </w:tc>
            </w:tr>
            <w:tr w:rsidR="003A0696" w:rsidRPr="001228A1" w14:paraId="05439C16" w14:textId="77777777" w:rsidTr="003A0696">
              <w:trPr>
                <w:trHeight w:val="223"/>
              </w:trPr>
              <w:tc>
                <w:tcPr>
                  <w:tcW w:w="4668" w:type="dxa"/>
                  <w:tcBorders>
                    <w:top w:val="nil"/>
                    <w:left w:val="nil"/>
                    <w:bottom w:val="nil"/>
                    <w:right w:val="nil"/>
                  </w:tcBorders>
                  <w:shd w:val="clear" w:color="auto" w:fill="auto"/>
                  <w:vAlign w:val="center"/>
                  <w:hideMark/>
                </w:tcPr>
                <w:p w14:paraId="278F997D" w14:textId="77777777" w:rsidR="003A0696" w:rsidRPr="001228A1" w:rsidRDefault="003A0696" w:rsidP="003A0696">
                  <w:pPr>
                    <w:spacing w:after="0" w:line="240" w:lineRule="auto"/>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 xml:space="preserve">     riadne dividendy a odvody zo zisku</w:t>
                  </w:r>
                </w:p>
              </w:tc>
              <w:tc>
                <w:tcPr>
                  <w:tcW w:w="901" w:type="dxa"/>
                  <w:tcBorders>
                    <w:top w:val="nil"/>
                    <w:left w:val="nil"/>
                    <w:bottom w:val="nil"/>
                    <w:right w:val="nil"/>
                  </w:tcBorders>
                  <w:shd w:val="clear" w:color="auto" w:fill="auto"/>
                  <w:vAlign w:val="center"/>
                  <w:hideMark/>
                </w:tcPr>
                <w:p w14:paraId="4B000B27"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0</w:t>
                  </w:r>
                </w:p>
              </w:tc>
              <w:tc>
                <w:tcPr>
                  <w:tcW w:w="901" w:type="dxa"/>
                  <w:tcBorders>
                    <w:top w:val="nil"/>
                    <w:left w:val="nil"/>
                    <w:bottom w:val="nil"/>
                    <w:right w:val="nil"/>
                  </w:tcBorders>
                  <w:shd w:val="clear" w:color="auto" w:fill="auto"/>
                  <w:vAlign w:val="center"/>
                  <w:hideMark/>
                </w:tcPr>
                <w:p w14:paraId="5BB8C097"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5 000</w:t>
                  </w:r>
                </w:p>
              </w:tc>
              <w:tc>
                <w:tcPr>
                  <w:tcW w:w="901" w:type="dxa"/>
                  <w:tcBorders>
                    <w:top w:val="nil"/>
                    <w:left w:val="nil"/>
                    <w:bottom w:val="nil"/>
                    <w:right w:val="nil"/>
                  </w:tcBorders>
                  <w:shd w:val="clear" w:color="auto" w:fill="auto"/>
                  <w:vAlign w:val="center"/>
                  <w:hideMark/>
                </w:tcPr>
                <w:p w14:paraId="59C1507F"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1 500</w:t>
                  </w:r>
                </w:p>
              </w:tc>
              <w:tc>
                <w:tcPr>
                  <w:tcW w:w="901" w:type="dxa"/>
                  <w:tcBorders>
                    <w:top w:val="nil"/>
                    <w:left w:val="nil"/>
                    <w:bottom w:val="nil"/>
                    <w:right w:val="nil"/>
                  </w:tcBorders>
                  <w:shd w:val="clear" w:color="auto" w:fill="auto"/>
                  <w:vAlign w:val="center"/>
                  <w:hideMark/>
                </w:tcPr>
                <w:p w14:paraId="683A0AB3"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5 000</w:t>
                  </w:r>
                </w:p>
              </w:tc>
              <w:tc>
                <w:tcPr>
                  <w:tcW w:w="901" w:type="dxa"/>
                  <w:tcBorders>
                    <w:top w:val="nil"/>
                    <w:left w:val="nil"/>
                    <w:bottom w:val="nil"/>
                    <w:right w:val="nil"/>
                  </w:tcBorders>
                  <w:shd w:val="clear" w:color="auto" w:fill="auto"/>
                  <w:vAlign w:val="center"/>
                  <w:hideMark/>
                </w:tcPr>
                <w:p w14:paraId="15B96AD1" w14:textId="77777777" w:rsidR="003A0696" w:rsidRPr="001228A1" w:rsidRDefault="003A0696" w:rsidP="003A0696">
                  <w:pPr>
                    <w:spacing w:after="0" w:line="240" w:lineRule="auto"/>
                    <w:jc w:val="right"/>
                    <w:rPr>
                      <w:rFonts w:eastAsia="Times New Roman" w:cs="Times New Roman"/>
                      <w:i/>
                      <w:iCs/>
                      <w:color w:val="000000"/>
                      <w:sz w:val="20"/>
                      <w:szCs w:val="20"/>
                      <w:lang w:eastAsia="sk-SK"/>
                    </w:rPr>
                  </w:pPr>
                  <w:r w:rsidRPr="001228A1">
                    <w:rPr>
                      <w:rFonts w:eastAsia="Times New Roman" w:cs="Times New Roman"/>
                      <w:i/>
                      <w:iCs/>
                      <w:color w:val="000000"/>
                      <w:sz w:val="20"/>
                      <w:szCs w:val="20"/>
                      <w:lang w:eastAsia="sk-SK"/>
                    </w:rPr>
                    <w:t>3 500</w:t>
                  </w:r>
                </w:p>
              </w:tc>
            </w:tr>
            <w:tr w:rsidR="003A0696" w:rsidRPr="001228A1" w14:paraId="3EA980A2" w14:textId="77777777" w:rsidTr="003A0696">
              <w:trPr>
                <w:trHeight w:val="223"/>
              </w:trPr>
              <w:tc>
                <w:tcPr>
                  <w:tcW w:w="4668" w:type="dxa"/>
                  <w:tcBorders>
                    <w:top w:val="nil"/>
                    <w:left w:val="nil"/>
                    <w:bottom w:val="nil"/>
                    <w:right w:val="nil"/>
                  </w:tcBorders>
                  <w:shd w:val="clear" w:color="auto" w:fill="auto"/>
                  <w:vAlign w:val="center"/>
                  <w:hideMark/>
                </w:tcPr>
                <w:p w14:paraId="0DC7A866" w14:textId="77777777" w:rsidR="003A0696" w:rsidRPr="001228A1" w:rsidRDefault="003A0696" w:rsidP="003A0696">
                  <w:pPr>
                    <w:spacing w:after="0" w:line="240" w:lineRule="auto"/>
                    <w:jc w:val="lef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Ministerstvo životného prostredia SR</w:t>
                  </w:r>
                </w:p>
              </w:tc>
              <w:tc>
                <w:tcPr>
                  <w:tcW w:w="901" w:type="dxa"/>
                  <w:tcBorders>
                    <w:top w:val="nil"/>
                    <w:left w:val="nil"/>
                    <w:bottom w:val="nil"/>
                    <w:right w:val="nil"/>
                  </w:tcBorders>
                  <w:shd w:val="clear" w:color="auto" w:fill="auto"/>
                  <w:vAlign w:val="center"/>
                  <w:hideMark/>
                </w:tcPr>
                <w:p w14:paraId="3F941191"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200</w:t>
                  </w:r>
                </w:p>
              </w:tc>
              <w:tc>
                <w:tcPr>
                  <w:tcW w:w="901" w:type="dxa"/>
                  <w:tcBorders>
                    <w:top w:val="nil"/>
                    <w:left w:val="nil"/>
                    <w:bottom w:val="nil"/>
                    <w:right w:val="nil"/>
                  </w:tcBorders>
                  <w:shd w:val="clear" w:color="auto" w:fill="auto"/>
                  <w:vAlign w:val="center"/>
                  <w:hideMark/>
                </w:tcPr>
                <w:p w14:paraId="2E72D094"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200</w:t>
                  </w:r>
                </w:p>
              </w:tc>
              <w:tc>
                <w:tcPr>
                  <w:tcW w:w="901" w:type="dxa"/>
                  <w:tcBorders>
                    <w:top w:val="nil"/>
                    <w:left w:val="nil"/>
                    <w:bottom w:val="nil"/>
                    <w:right w:val="nil"/>
                  </w:tcBorders>
                  <w:shd w:val="clear" w:color="auto" w:fill="auto"/>
                  <w:vAlign w:val="center"/>
                  <w:hideMark/>
                </w:tcPr>
                <w:p w14:paraId="05B87CA2"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200</w:t>
                  </w:r>
                </w:p>
              </w:tc>
              <w:tc>
                <w:tcPr>
                  <w:tcW w:w="901" w:type="dxa"/>
                  <w:tcBorders>
                    <w:top w:val="nil"/>
                    <w:left w:val="nil"/>
                    <w:bottom w:val="nil"/>
                    <w:right w:val="nil"/>
                  </w:tcBorders>
                  <w:shd w:val="clear" w:color="auto" w:fill="auto"/>
                  <w:vAlign w:val="center"/>
                  <w:hideMark/>
                </w:tcPr>
                <w:p w14:paraId="1192158A"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2 984</w:t>
                  </w:r>
                </w:p>
              </w:tc>
              <w:tc>
                <w:tcPr>
                  <w:tcW w:w="901" w:type="dxa"/>
                  <w:tcBorders>
                    <w:top w:val="nil"/>
                    <w:left w:val="nil"/>
                    <w:bottom w:val="nil"/>
                    <w:right w:val="nil"/>
                  </w:tcBorders>
                  <w:shd w:val="clear" w:color="auto" w:fill="auto"/>
                  <w:vAlign w:val="center"/>
                  <w:hideMark/>
                </w:tcPr>
                <w:p w14:paraId="2C511BF0" w14:textId="77777777" w:rsidR="003A0696" w:rsidRPr="001228A1" w:rsidRDefault="003A0696" w:rsidP="003A0696">
                  <w:pPr>
                    <w:spacing w:after="0" w:line="240" w:lineRule="auto"/>
                    <w:jc w:val="right"/>
                    <w:rPr>
                      <w:rFonts w:eastAsia="Times New Roman" w:cs="Times New Roman"/>
                      <w:b/>
                      <w:bCs/>
                      <w:color w:val="000000"/>
                      <w:sz w:val="20"/>
                      <w:szCs w:val="20"/>
                      <w:lang w:eastAsia="sk-SK"/>
                    </w:rPr>
                  </w:pPr>
                  <w:r w:rsidRPr="001228A1">
                    <w:rPr>
                      <w:rFonts w:eastAsia="Times New Roman" w:cs="Times New Roman"/>
                      <w:b/>
                      <w:bCs/>
                      <w:color w:val="000000"/>
                      <w:sz w:val="20"/>
                      <w:szCs w:val="20"/>
                      <w:lang w:eastAsia="sk-SK"/>
                    </w:rPr>
                    <w:t>2 784</w:t>
                  </w:r>
                </w:p>
              </w:tc>
            </w:tr>
            <w:tr w:rsidR="003A0696" w:rsidRPr="001228A1" w14:paraId="1E14705A" w14:textId="77777777" w:rsidTr="003A0696">
              <w:trPr>
                <w:trHeight w:val="223"/>
              </w:trPr>
              <w:tc>
                <w:tcPr>
                  <w:tcW w:w="4668" w:type="dxa"/>
                  <w:tcBorders>
                    <w:top w:val="nil"/>
                    <w:left w:val="nil"/>
                    <w:bottom w:val="single" w:sz="4" w:space="0" w:color="auto"/>
                    <w:right w:val="nil"/>
                  </w:tcBorders>
                  <w:shd w:val="clear" w:color="auto" w:fill="auto"/>
                  <w:vAlign w:val="center"/>
                  <w:hideMark/>
                </w:tcPr>
                <w:p w14:paraId="07B89468" w14:textId="77777777" w:rsidR="003A0696" w:rsidRPr="001228A1" w:rsidRDefault="003A0696" w:rsidP="003A0696">
                  <w:pPr>
                    <w:spacing w:after="0" w:line="240" w:lineRule="auto"/>
                    <w:jc w:val="left"/>
                    <w:rPr>
                      <w:rFonts w:eastAsia="Times New Roman" w:cs="Times New Roman"/>
                      <w:color w:val="000000"/>
                      <w:sz w:val="20"/>
                      <w:szCs w:val="20"/>
                      <w:lang w:eastAsia="sk-SK"/>
                    </w:rPr>
                  </w:pPr>
                  <w:r w:rsidRPr="001228A1">
                    <w:rPr>
                      <w:rFonts w:eastAsia="Times New Roman" w:cs="Times New Roman"/>
                      <w:color w:val="000000"/>
                      <w:sz w:val="20"/>
                      <w:szCs w:val="20"/>
                      <w:lang w:eastAsia="sk-SK"/>
                    </w:rPr>
                    <w:t xml:space="preserve">Vodohospodárska výstavba, š. p. Bratislava </w:t>
                  </w:r>
                </w:p>
              </w:tc>
              <w:tc>
                <w:tcPr>
                  <w:tcW w:w="901" w:type="dxa"/>
                  <w:tcBorders>
                    <w:top w:val="nil"/>
                    <w:left w:val="nil"/>
                    <w:bottom w:val="single" w:sz="4" w:space="0" w:color="auto"/>
                    <w:right w:val="nil"/>
                  </w:tcBorders>
                  <w:shd w:val="clear" w:color="auto" w:fill="auto"/>
                  <w:vAlign w:val="center"/>
                  <w:hideMark/>
                </w:tcPr>
                <w:p w14:paraId="4F220D2E"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200</w:t>
                  </w:r>
                </w:p>
              </w:tc>
              <w:tc>
                <w:tcPr>
                  <w:tcW w:w="901" w:type="dxa"/>
                  <w:tcBorders>
                    <w:top w:val="nil"/>
                    <w:left w:val="nil"/>
                    <w:bottom w:val="single" w:sz="4" w:space="0" w:color="auto"/>
                    <w:right w:val="nil"/>
                  </w:tcBorders>
                  <w:shd w:val="clear" w:color="auto" w:fill="auto"/>
                  <w:vAlign w:val="center"/>
                  <w:hideMark/>
                </w:tcPr>
                <w:p w14:paraId="68608EC7"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200</w:t>
                  </w:r>
                </w:p>
              </w:tc>
              <w:tc>
                <w:tcPr>
                  <w:tcW w:w="901" w:type="dxa"/>
                  <w:tcBorders>
                    <w:top w:val="nil"/>
                    <w:left w:val="nil"/>
                    <w:bottom w:val="single" w:sz="4" w:space="0" w:color="auto"/>
                    <w:right w:val="nil"/>
                  </w:tcBorders>
                  <w:shd w:val="clear" w:color="auto" w:fill="auto"/>
                  <w:vAlign w:val="center"/>
                  <w:hideMark/>
                </w:tcPr>
                <w:p w14:paraId="5B5245CD"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200</w:t>
                  </w:r>
                </w:p>
              </w:tc>
              <w:tc>
                <w:tcPr>
                  <w:tcW w:w="901" w:type="dxa"/>
                  <w:tcBorders>
                    <w:top w:val="nil"/>
                    <w:left w:val="nil"/>
                    <w:bottom w:val="single" w:sz="4" w:space="0" w:color="auto"/>
                    <w:right w:val="nil"/>
                  </w:tcBorders>
                  <w:shd w:val="clear" w:color="auto" w:fill="auto"/>
                  <w:vAlign w:val="center"/>
                  <w:hideMark/>
                </w:tcPr>
                <w:p w14:paraId="7E4CBDAF"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2 984</w:t>
                  </w:r>
                </w:p>
              </w:tc>
              <w:tc>
                <w:tcPr>
                  <w:tcW w:w="901" w:type="dxa"/>
                  <w:tcBorders>
                    <w:top w:val="nil"/>
                    <w:left w:val="nil"/>
                    <w:bottom w:val="single" w:sz="4" w:space="0" w:color="auto"/>
                    <w:right w:val="nil"/>
                  </w:tcBorders>
                  <w:shd w:val="clear" w:color="auto" w:fill="auto"/>
                  <w:vAlign w:val="center"/>
                  <w:hideMark/>
                </w:tcPr>
                <w:p w14:paraId="6115D836" w14:textId="77777777" w:rsidR="003A0696" w:rsidRPr="001228A1" w:rsidRDefault="003A0696" w:rsidP="003A0696">
                  <w:pPr>
                    <w:spacing w:after="0" w:line="240" w:lineRule="auto"/>
                    <w:jc w:val="right"/>
                    <w:rPr>
                      <w:rFonts w:eastAsia="Times New Roman" w:cs="Times New Roman"/>
                      <w:color w:val="000000"/>
                      <w:sz w:val="20"/>
                      <w:szCs w:val="20"/>
                      <w:lang w:eastAsia="sk-SK"/>
                    </w:rPr>
                  </w:pPr>
                  <w:r w:rsidRPr="001228A1">
                    <w:rPr>
                      <w:rFonts w:eastAsia="Times New Roman" w:cs="Times New Roman"/>
                      <w:color w:val="000000"/>
                      <w:sz w:val="20"/>
                      <w:szCs w:val="20"/>
                      <w:lang w:eastAsia="sk-SK"/>
                    </w:rPr>
                    <w:t>2 784</w:t>
                  </w:r>
                </w:p>
              </w:tc>
            </w:tr>
          </w:tbl>
          <w:p w14:paraId="1126F348" w14:textId="77777777" w:rsidR="003A0696" w:rsidRPr="00ED73C4" w:rsidRDefault="003A0696" w:rsidP="003A0696">
            <w:pPr>
              <w:spacing w:after="0" w:line="240" w:lineRule="auto"/>
              <w:rPr>
                <w:rFonts w:eastAsia="Times New Roman" w:cs="Times New Roman"/>
                <w:bCs/>
                <w:sz w:val="16"/>
                <w:szCs w:val="16"/>
                <w:lang w:eastAsia="sk-SK"/>
              </w:rPr>
            </w:pPr>
            <w:r>
              <w:rPr>
                <w:rFonts w:eastAsia="Times New Roman" w:cs="Times New Roman"/>
                <w:bCs/>
                <w:sz w:val="18"/>
                <w:szCs w:val="18"/>
                <w:lang w:eastAsia="sk-SK"/>
              </w:rPr>
              <w:t xml:space="preserve">                                                                                                                                                                                     </w:t>
            </w:r>
            <w:r w:rsidRPr="00ED73C4">
              <w:rPr>
                <w:rFonts w:eastAsia="Times New Roman" w:cs="Times New Roman"/>
                <w:bCs/>
                <w:sz w:val="16"/>
                <w:szCs w:val="16"/>
                <w:lang w:eastAsia="sk-SK"/>
              </w:rPr>
              <w:t>Zdroj: MF SR</w:t>
            </w:r>
          </w:p>
          <w:p w14:paraId="1E4FC8AE" w14:textId="0D6A6E78" w:rsidR="003A0696" w:rsidRDefault="003A0696" w:rsidP="008C063C">
            <w:pPr>
              <w:spacing w:after="0" w:line="240" w:lineRule="auto"/>
              <w:jc w:val="left"/>
              <w:rPr>
                <w:rFonts w:eastAsia="Times New Roman" w:cs="Times New Roman"/>
                <w:sz w:val="20"/>
                <w:szCs w:val="20"/>
                <w:highlight w:val="yellow"/>
                <w:lang w:eastAsia="sk-SK"/>
              </w:rPr>
            </w:pPr>
            <w:r w:rsidRPr="001228A1">
              <w:rPr>
                <w:rFonts w:eastAsia="Times New Roman" w:cs="Times New Roman"/>
                <w:bCs/>
                <w:sz w:val="18"/>
                <w:szCs w:val="18"/>
                <w:vertAlign w:val="superscript"/>
                <w:lang w:eastAsia="sk-SK"/>
              </w:rPr>
              <w:t>1)</w:t>
            </w:r>
            <w:r w:rsidRPr="00B973C1">
              <w:rPr>
                <w:rFonts w:eastAsia="Times New Roman" w:cs="Times New Roman"/>
                <w:bCs/>
                <w:sz w:val="18"/>
                <w:szCs w:val="18"/>
                <w:lang w:eastAsia="sk-SK"/>
              </w:rPr>
              <w:t xml:space="preserve"> </w:t>
            </w:r>
            <w:r w:rsidRPr="00972B6D">
              <w:rPr>
                <w:rFonts w:eastAsia="Times New Roman" w:cs="Times New Roman"/>
                <w:bCs/>
                <w:sz w:val="16"/>
                <w:szCs w:val="16"/>
                <w:lang w:eastAsia="sk-SK"/>
              </w:rPr>
              <w:t xml:space="preserve">Suma </w:t>
            </w:r>
            <w:proofErr w:type="spellStart"/>
            <w:r w:rsidRPr="00972B6D">
              <w:rPr>
                <w:rFonts w:eastAsia="Times New Roman" w:cs="Times New Roman"/>
                <w:bCs/>
                <w:sz w:val="16"/>
                <w:szCs w:val="16"/>
                <w:lang w:eastAsia="sk-SK"/>
              </w:rPr>
              <w:t>superdividend</w:t>
            </w:r>
            <w:proofErr w:type="spellEnd"/>
            <w:r w:rsidRPr="00972B6D">
              <w:rPr>
                <w:rFonts w:eastAsia="Times New Roman" w:cs="Times New Roman"/>
                <w:bCs/>
                <w:sz w:val="16"/>
                <w:szCs w:val="16"/>
                <w:lang w:eastAsia="sk-SK"/>
              </w:rPr>
              <w:t xml:space="preserve"> spoločnosti SPP, a. s. za rok 2019 obsahuje aj dary vo výške 7 000 tis. e</w:t>
            </w:r>
            <w:r w:rsidR="008C063C">
              <w:rPr>
                <w:rFonts w:eastAsia="Times New Roman" w:cs="Times New Roman"/>
                <w:bCs/>
                <w:sz w:val="16"/>
                <w:szCs w:val="16"/>
                <w:lang w:eastAsia="sk-SK"/>
              </w:rPr>
              <w:t xml:space="preserve">ur a za rok 2021 </w:t>
            </w:r>
            <w:r w:rsidRPr="00972B6D">
              <w:rPr>
                <w:rFonts w:eastAsia="Times New Roman" w:cs="Times New Roman"/>
                <w:bCs/>
                <w:sz w:val="16"/>
                <w:szCs w:val="16"/>
                <w:lang w:eastAsia="sk-SK"/>
              </w:rPr>
              <w:t>dary vo výške 4 400 tis. eur. V roku 2022 valné zhromaždenie spoločnosti SPP, a. s. schválilo dividendu pre MH SR v sume 220 000 tis. eur s termínom úhrady v roku 2023, v súlade s metodikou ESA2010 je v tejto výške vykázaná pohľadávka štátu voči SPP, a. s.</w:t>
            </w:r>
            <w:r w:rsidRPr="00062FFE">
              <w:rPr>
                <w:rFonts w:eastAsia="Times New Roman" w:cs="Times New Roman"/>
                <w:sz w:val="20"/>
                <w:szCs w:val="20"/>
                <w:highlight w:val="yellow"/>
                <w:lang w:eastAsia="sk-SK"/>
              </w:rPr>
              <w:t xml:space="preserve"> </w:t>
            </w:r>
          </w:p>
          <w:p w14:paraId="75D28589" w14:textId="77777777" w:rsidR="003A0696" w:rsidRPr="00982318" w:rsidRDefault="003A0696" w:rsidP="003A0696">
            <w:pPr>
              <w:spacing w:after="0" w:line="240" w:lineRule="auto"/>
              <w:rPr>
                <w:rFonts w:eastAsia="Times New Roman" w:cs="Times New Roman"/>
                <w:sz w:val="16"/>
                <w:szCs w:val="16"/>
                <w:highlight w:val="yellow"/>
                <w:lang w:eastAsia="sk-SK"/>
              </w:rPr>
            </w:pPr>
            <w:r w:rsidRPr="00982318">
              <w:rPr>
                <w:rFonts w:eastAsia="Times New Roman" w:cs="Times New Roman"/>
                <w:sz w:val="16"/>
                <w:szCs w:val="16"/>
                <w:vertAlign w:val="superscript"/>
                <w:lang w:eastAsia="sk-SK"/>
              </w:rPr>
              <w:t>2)</w:t>
            </w:r>
            <w:r w:rsidRPr="00982318">
              <w:rPr>
                <w:rFonts w:eastAsia="Times New Roman" w:cs="Times New Roman"/>
                <w:sz w:val="16"/>
                <w:szCs w:val="16"/>
                <w:lang w:eastAsia="sk-SK"/>
              </w:rPr>
              <w:t xml:space="preserve"> Pohľadávka MDV SR voči 365.bank, </w:t>
            </w:r>
            <w:proofErr w:type="spellStart"/>
            <w:r w:rsidRPr="00982318">
              <w:rPr>
                <w:rFonts w:eastAsia="Times New Roman" w:cs="Times New Roman"/>
                <w:sz w:val="16"/>
                <w:szCs w:val="16"/>
                <w:lang w:eastAsia="sk-SK"/>
              </w:rPr>
              <w:t>a.s</w:t>
            </w:r>
            <w:proofErr w:type="spellEnd"/>
            <w:r w:rsidRPr="00982318">
              <w:rPr>
                <w:rFonts w:eastAsia="Times New Roman" w:cs="Times New Roman"/>
                <w:sz w:val="16"/>
                <w:szCs w:val="16"/>
                <w:lang w:eastAsia="sk-SK"/>
              </w:rPr>
              <w:t>. zo schválenej dividendy v roku 2022 s termínom úhrady v roku 2023</w:t>
            </w:r>
          </w:p>
        </w:tc>
      </w:tr>
    </w:tbl>
    <w:p w14:paraId="1AF98DCB" w14:textId="77777777" w:rsidR="003A0696" w:rsidRPr="00D62543" w:rsidRDefault="003A0696" w:rsidP="003A0696">
      <w:pPr>
        <w:keepNext/>
        <w:autoSpaceDE w:val="0"/>
        <w:autoSpaceDN w:val="0"/>
        <w:spacing w:before="120" w:line="240" w:lineRule="auto"/>
        <w:rPr>
          <w:rFonts w:cs="Times New Roman"/>
          <w:b/>
          <w:color w:val="5B9BD5" w:themeColor="accent1"/>
          <w:sz w:val="24"/>
          <w:szCs w:val="24"/>
          <w:lang w:eastAsia="sk-SK"/>
        </w:rPr>
      </w:pPr>
      <w:r w:rsidRPr="00D62543">
        <w:rPr>
          <w:rFonts w:cs="Times New Roman"/>
          <w:b/>
          <w:bCs/>
          <w:color w:val="5B9BD5" w:themeColor="accent1"/>
          <w:sz w:val="24"/>
          <w:szCs w:val="24"/>
          <w:lang w:eastAsia="sk-SK"/>
        </w:rPr>
        <w:lastRenderedPageBreak/>
        <w:t>Prenesené výdavky štátneho rozpočtu</w:t>
      </w:r>
    </w:p>
    <w:p w14:paraId="72C152C0" w14:textId="77777777" w:rsidR="003A0696" w:rsidRPr="00981F7A" w:rsidRDefault="003A0696" w:rsidP="003A0696">
      <w:pPr>
        <w:spacing w:line="240" w:lineRule="auto"/>
        <w:rPr>
          <w:sz w:val="24"/>
          <w:szCs w:val="24"/>
        </w:rPr>
      </w:pPr>
      <w:r w:rsidRPr="00981F7A">
        <w:rPr>
          <w:sz w:val="24"/>
          <w:szCs w:val="24"/>
        </w:rPr>
        <w:t>Podľa § 8 ods. 4 zákona o rozpočtových pravidlách je možné výdavky štátneho rozpočtu poskytované formou kapitálových výdavkov a formou bežných výdavkov na úhradu dane z pridanej hodnoty podľa osobitného zákona a na program rozvojovej spolupráce použiť na určený účel aj v nasledujúcich dvoch rozpočtových rokoch po rozpočtovom roku, na ktorý boli rozpočtované. Kapitálové výdavky poskytnuté na účel ustanovený osobitným predpisom (§</w:t>
      </w:r>
      <w:r>
        <w:rPr>
          <w:sz w:val="24"/>
          <w:szCs w:val="24"/>
        </w:rPr>
        <w:t> </w:t>
      </w:r>
      <w:r w:rsidRPr="00981F7A">
        <w:rPr>
          <w:sz w:val="24"/>
          <w:szCs w:val="24"/>
        </w:rPr>
        <w:t xml:space="preserve">2 písm. c) zákona č. 526/2010 Z. z. o poskytovaní dotácií v pôsobnosti Ministerstva vnútra Slovenskej republiky v znení zákona č. 146/2017 Z. z.) možno použiť aj v nasledujúcich piatich rozpočtových rokoch po rozpočtovom roku, na ktorý boli rozpočtované. Prostriedky Európskej únie, prostriedky štátneho rozpočtu určené na financovanie spoločných programov Slovenskej republiky a Európskej únie a prostriedky štátneho rozpočtu určené na financovanie účelov vyplývajúcich z medzinárodných zmlúv o poskytnutí grantu uzatvorených medzi Slovenskou republikou a inými štátmi a bežné výdavky na programy podporujúce medzinárodnú vzdelávaciu mobilitu alebo medzinárodnú vedeckú mobilitu, ak vyplývajú z medzinárodnej zmluvy alebo ak program schválila vláda, a prostriedky štátneho rozpočtu poskytované Agentúrou na podporu výskumu a vývoja možno použiť aj v nasledujúcich rozpočtových rokoch až do ich vyčerpania na určený účel. Podľa § 20b zákona </w:t>
      </w:r>
      <w:r>
        <w:rPr>
          <w:sz w:val="24"/>
          <w:szCs w:val="24"/>
        </w:rPr>
        <w:t>o rozpočtových pravidlách,</w:t>
      </w:r>
      <w:r w:rsidRPr="00981F7A">
        <w:rPr>
          <w:sz w:val="24"/>
          <w:szCs w:val="24"/>
        </w:rPr>
        <w:t xml:space="preserve"> ustanovenia § 8 ods. 6 až 8 týkajúce sa prostriedkov Európskej únie sa uplatnia aj na prostriedky mechanizmu na podporu obnovy a odolnosti.</w:t>
      </w:r>
    </w:p>
    <w:p w14:paraId="7D907DD1" w14:textId="77777777" w:rsidR="003A0696" w:rsidRPr="00981F7A" w:rsidRDefault="003A0696" w:rsidP="003A0696">
      <w:pPr>
        <w:spacing w:line="240" w:lineRule="auto"/>
        <w:rPr>
          <w:sz w:val="24"/>
          <w:szCs w:val="24"/>
        </w:rPr>
      </w:pPr>
      <w:r w:rsidRPr="00981F7A">
        <w:rPr>
          <w:sz w:val="24"/>
          <w:szCs w:val="24"/>
        </w:rPr>
        <w:t>Viazané a prenesené výdavky do ďalšieho rozpočtového roka pôsobia v smere zníženia skutočného salda oproti schválenému rozpočtu v danom rozpočtovom roku, prenesené a zároveň použité výdavky</w:t>
      </w:r>
      <w:r>
        <w:rPr>
          <w:sz w:val="24"/>
          <w:szCs w:val="24"/>
        </w:rPr>
        <w:t xml:space="preserve"> z</w:t>
      </w:r>
      <w:r w:rsidRPr="00981F7A">
        <w:rPr>
          <w:sz w:val="24"/>
          <w:szCs w:val="24"/>
        </w:rPr>
        <w:t xml:space="preserve"> predchádzajúceho rozpočtového roka naopak saldo v danom rozpočtovom roku zvyšujú.</w:t>
      </w:r>
    </w:p>
    <w:p w14:paraId="2B37B4B0" w14:textId="77777777" w:rsidR="003A0696" w:rsidRPr="00981F7A" w:rsidRDefault="003A0696" w:rsidP="003A0696">
      <w:pPr>
        <w:spacing w:line="240" w:lineRule="auto"/>
        <w:rPr>
          <w:sz w:val="24"/>
          <w:szCs w:val="24"/>
        </w:rPr>
      </w:pPr>
      <w:r w:rsidRPr="00981F7A">
        <w:rPr>
          <w:sz w:val="24"/>
          <w:szCs w:val="24"/>
        </w:rPr>
        <w:t>Čistý vplyv na saldo verejnej správy závisí od výsledného efektu presunov. Ak sú prenesené výdavky do ďalšieho rozpočtového roka vyššie ako použité z predchádzajúceho rozpočtového roka, saldo sa oproti schválenému rozpočtu zníži, v opačnom prípade sa zvýši.</w:t>
      </w:r>
    </w:p>
    <w:p w14:paraId="131B7DDC" w14:textId="77777777" w:rsidR="003A0696" w:rsidRPr="00981F7A" w:rsidRDefault="003A0696" w:rsidP="003A0696">
      <w:pPr>
        <w:spacing w:line="240" w:lineRule="auto"/>
        <w:rPr>
          <w:sz w:val="24"/>
          <w:szCs w:val="24"/>
        </w:rPr>
      </w:pPr>
      <w:r w:rsidRPr="00981F7A">
        <w:rPr>
          <w:sz w:val="24"/>
          <w:szCs w:val="24"/>
        </w:rPr>
        <w:t>Pre analytický odhad vplyvu prenášaných výdavkov štátneho rozpočtu na saldo verejnej správy v danom roku sú dôležité len reálne použité výdavky z prenesených prostriedkov predchádzajúcich období a na druhej strane len tá časť prenesených výdavkov do nasledujúcich období, ktorá bola súčasťou rozpočtovaných výdavkov roku 2022.</w:t>
      </w:r>
    </w:p>
    <w:p w14:paraId="20B8240F" w14:textId="77777777" w:rsidR="003A0696" w:rsidRPr="00981F7A" w:rsidRDefault="003A0696" w:rsidP="003A0696">
      <w:pPr>
        <w:spacing w:line="240" w:lineRule="auto"/>
        <w:rPr>
          <w:sz w:val="24"/>
          <w:szCs w:val="24"/>
        </w:rPr>
      </w:pPr>
      <w:r w:rsidRPr="00981F7A">
        <w:rPr>
          <w:sz w:val="24"/>
          <w:szCs w:val="24"/>
        </w:rPr>
        <w:t>Bežné výdavky rozpočtované v rozpočtovom roku 2022 na podporu poskytovanú z výdavkov štátneho rozpočtu z dôvodu kompenzácie zvýšenia cien plynu a elektriny, ktoré neboli z</w:t>
      </w:r>
      <w:r>
        <w:rPr>
          <w:sz w:val="24"/>
          <w:szCs w:val="24"/>
        </w:rPr>
        <w:t> </w:t>
      </w:r>
      <w:r w:rsidRPr="00981F7A">
        <w:rPr>
          <w:sz w:val="24"/>
          <w:szCs w:val="24"/>
        </w:rPr>
        <w:t>výdavkov štátneho rozpočtu poskytnuté do 31. decembra 2022, možno podľa § 37o ods.</w:t>
      </w:r>
      <w:r>
        <w:rPr>
          <w:sz w:val="24"/>
          <w:szCs w:val="24"/>
        </w:rPr>
        <w:t> </w:t>
      </w:r>
      <w:r w:rsidRPr="00981F7A">
        <w:rPr>
          <w:sz w:val="24"/>
          <w:szCs w:val="24"/>
        </w:rPr>
        <w:t xml:space="preserve">1 zákona </w:t>
      </w:r>
      <w:r>
        <w:rPr>
          <w:sz w:val="24"/>
          <w:szCs w:val="24"/>
        </w:rPr>
        <w:t>o rozpočtových pravidlách</w:t>
      </w:r>
      <w:r w:rsidRPr="00981F7A">
        <w:rPr>
          <w:sz w:val="24"/>
          <w:szCs w:val="24"/>
        </w:rPr>
        <w:t xml:space="preserve"> použiť až do 31. decembra 2024.</w:t>
      </w:r>
    </w:p>
    <w:p w14:paraId="534C23B2" w14:textId="77777777" w:rsidR="003A0696" w:rsidRPr="00981F7A" w:rsidRDefault="003A0696" w:rsidP="003A0696">
      <w:pPr>
        <w:spacing w:line="240" w:lineRule="auto"/>
        <w:rPr>
          <w:sz w:val="24"/>
          <w:szCs w:val="24"/>
        </w:rPr>
      </w:pPr>
      <w:r w:rsidRPr="00981F7A">
        <w:rPr>
          <w:sz w:val="24"/>
          <w:szCs w:val="24"/>
        </w:rPr>
        <w:t>Kapitálové výdavky rozpočtované v roku 201</w:t>
      </w:r>
      <w:r>
        <w:rPr>
          <w:sz w:val="24"/>
          <w:szCs w:val="24"/>
        </w:rPr>
        <w:t>8, ktoré neboli</w:t>
      </w:r>
      <w:r w:rsidRPr="00981F7A">
        <w:rPr>
          <w:sz w:val="24"/>
          <w:szCs w:val="24"/>
        </w:rPr>
        <w:t xml:space="preserve"> použité do konca roka 2020 a kapitálové výdavky rozpočtované v roku 2019, ktoré neboli použité do konca roka 2021, bolo možné v súlade s ustanovením § 33a zákona č. 67/2020 Z. z. o niektorých mimoriadnych opatreniach vo finančnej oblasti v súvislosti so šírením nebezpečnej nákazlivej ľudskej choroby COVID-19  v znení neskorších predpisov použiť do 31. decembra 2022.</w:t>
      </w:r>
    </w:p>
    <w:p w14:paraId="2B02521C" w14:textId="77777777" w:rsidR="003A0696" w:rsidRPr="00E9526F" w:rsidRDefault="003A0696" w:rsidP="003A0696">
      <w:pPr>
        <w:spacing w:line="240" w:lineRule="auto"/>
        <w:rPr>
          <w:rFonts w:cs="Times New Roman"/>
          <w:sz w:val="24"/>
          <w:szCs w:val="24"/>
        </w:rPr>
      </w:pPr>
      <w:r w:rsidRPr="00981F7A">
        <w:rPr>
          <w:sz w:val="24"/>
          <w:szCs w:val="24"/>
        </w:rPr>
        <w:t xml:space="preserve">Bežné výdavky rozpočtované v roku 2021 na podporu poskytovanú z výdavkov štátneho rozpočtu na riešenie dôsledkov krízovej situácie mimo času vojny a vojnového stavu, ktoré </w:t>
      </w:r>
      <w:r w:rsidRPr="00E9526F">
        <w:rPr>
          <w:rFonts w:cs="Times New Roman"/>
          <w:sz w:val="24"/>
          <w:szCs w:val="24"/>
        </w:rPr>
        <w:t>neboli z výdavkov štátneho rozpočtu poskytnuté do 31. decembra 2021, bolo možné počas obdobia pandémie v súlade s ustanovením § 33b zákona č. 67/2020 Z. z. použiť do 31. decembra 2022.</w:t>
      </w:r>
    </w:p>
    <w:p w14:paraId="1314CBF9" w14:textId="77777777" w:rsidR="003A0696" w:rsidRPr="00E9526F" w:rsidRDefault="003A0696" w:rsidP="003A0696">
      <w:pPr>
        <w:spacing w:line="240" w:lineRule="auto"/>
        <w:rPr>
          <w:rFonts w:cs="Times New Roman"/>
          <w:sz w:val="24"/>
          <w:szCs w:val="24"/>
        </w:rPr>
      </w:pPr>
      <w:r w:rsidRPr="00E9526F">
        <w:rPr>
          <w:rFonts w:cs="Times New Roman"/>
          <w:sz w:val="24"/>
          <w:szCs w:val="24"/>
        </w:rPr>
        <w:t xml:space="preserve">V roku 2021 sa podľa § 8 zákona </w:t>
      </w:r>
      <w:r>
        <w:rPr>
          <w:rFonts w:cs="Times New Roman"/>
          <w:sz w:val="24"/>
          <w:szCs w:val="24"/>
        </w:rPr>
        <w:t>o rozpočtových pravidlách</w:t>
      </w:r>
      <w:r w:rsidRPr="00E9526F">
        <w:rPr>
          <w:rFonts w:cs="Times New Roman"/>
          <w:sz w:val="24"/>
          <w:szCs w:val="24"/>
        </w:rPr>
        <w:t xml:space="preserve"> a § 33b zákona č. 67/2020 Z. z. zaviazali výdavky v sume 1 920 275 tis. eur (v tom kapitálové výdavky v sume 1 289 029 tis. eur a bežné výdavky v sume 631 246 tis. eur), z toho:</w:t>
      </w:r>
    </w:p>
    <w:p w14:paraId="1FE1D418" w14:textId="77777777" w:rsidR="003A0696" w:rsidRPr="00E9526F" w:rsidRDefault="003A0696" w:rsidP="003A0696">
      <w:pPr>
        <w:pStyle w:val="Odsekzoznamu"/>
        <w:numPr>
          <w:ilvl w:val="1"/>
          <w:numId w:val="10"/>
        </w:numPr>
        <w:jc w:val="both"/>
        <w:rPr>
          <w:rFonts w:ascii="Times New Roman" w:hAnsi="Times New Roman"/>
          <w:sz w:val="24"/>
          <w:szCs w:val="24"/>
        </w:rPr>
      </w:pPr>
      <w:r w:rsidRPr="00E9526F">
        <w:rPr>
          <w:rFonts w:ascii="Times New Roman" w:hAnsi="Times New Roman"/>
          <w:sz w:val="24"/>
          <w:szCs w:val="24"/>
        </w:rPr>
        <w:lastRenderedPageBreak/>
        <w:t xml:space="preserve">zdroj 131I (prostriedky z r. 2018) v sume 23tis.  156 eur, </w:t>
      </w:r>
    </w:p>
    <w:p w14:paraId="35925EE2" w14:textId="77777777" w:rsidR="003A0696" w:rsidRPr="00E9526F" w:rsidRDefault="003A0696" w:rsidP="003A0696">
      <w:pPr>
        <w:pStyle w:val="Odsekzoznamu"/>
        <w:numPr>
          <w:ilvl w:val="1"/>
          <w:numId w:val="10"/>
        </w:numPr>
        <w:jc w:val="both"/>
        <w:rPr>
          <w:rFonts w:ascii="Times New Roman" w:hAnsi="Times New Roman"/>
          <w:sz w:val="24"/>
          <w:szCs w:val="24"/>
        </w:rPr>
      </w:pPr>
      <w:r w:rsidRPr="00E9526F">
        <w:rPr>
          <w:rFonts w:ascii="Times New Roman" w:hAnsi="Times New Roman"/>
          <w:sz w:val="24"/>
          <w:szCs w:val="24"/>
        </w:rPr>
        <w:t xml:space="preserve">zdroj 131J (prostriedky z r. 2019) v sume 91 863 tis. eur, </w:t>
      </w:r>
    </w:p>
    <w:p w14:paraId="4B4EC67D" w14:textId="77777777" w:rsidR="003A0696" w:rsidRPr="00E9526F" w:rsidRDefault="003A0696" w:rsidP="003A0696">
      <w:pPr>
        <w:pStyle w:val="Odsekzoznamu"/>
        <w:numPr>
          <w:ilvl w:val="1"/>
          <w:numId w:val="10"/>
        </w:numPr>
        <w:jc w:val="both"/>
        <w:rPr>
          <w:rFonts w:ascii="Times New Roman" w:hAnsi="Times New Roman"/>
          <w:sz w:val="24"/>
          <w:szCs w:val="24"/>
        </w:rPr>
      </w:pPr>
      <w:r w:rsidRPr="00E9526F">
        <w:rPr>
          <w:rFonts w:ascii="Times New Roman" w:hAnsi="Times New Roman"/>
          <w:sz w:val="24"/>
          <w:szCs w:val="24"/>
        </w:rPr>
        <w:t>zdroj 131K (prostriedky z r. 2020) v sume 537 243 tis. eur (v tom bežné výdavky v sume 1 830 tis. eur),</w:t>
      </w:r>
    </w:p>
    <w:p w14:paraId="282180B4" w14:textId="77777777" w:rsidR="003A0696" w:rsidRPr="00E9526F" w:rsidRDefault="003A0696" w:rsidP="003A0696">
      <w:pPr>
        <w:pStyle w:val="Odsekzoznamu"/>
        <w:numPr>
          <w:ilvl w:val="1"/>
          <w:numId w:val="11"/>
        </w:numPr>
        <w:jc w:val="both"/>
        <w:rPr>
          <w:rFonts w:ascii="Times New Roman" w:hAnsi="Times New Roman"/>
          <w:sz w:val="24"/>
          <w:szCs w:val="24"/>
        </w:rPr>
      </w:pPr>
      <w:r w:rsidRPr="00E9526F">
        <w:rPr>
          <w:rFonts w:ascii="Times New Roman" w:hAnsi="Times New Roman"/>
          <w:sz w:val="24"/>
          <w:szCs w:val="24"/>
        </w:rPr>
        <w:t>zdroj 111 (prostriedky z r. 2021) v sume 1 241 207 tis. eur (v tom bežné výdavky spolu v sume 606 093 tis eur, z toho bežné výdavky podľa §33b zákona č. 67/2020 Z.</w:t>
      </w:r>
      <w:r>
        <w:rPr>
          <w:rFonts w:ascii="Times New Roman" w:hAnsi="Times New Roman"/>
          <w:sz w:val="24"/>
          <w:szCs w:val="24"/>
        </w:rPr>
        <w:t> </w:t>
      </w:r>
      <w:r w:rsidRPr="00E9526F">
        <w:rPr>
          <w:rFonts w:ascii="Times New Roman" w:hAnsi="Times New Roman"/>
          <w:sz w:val="24"/>
          <w:szCs w:val="24"/>
        </w:rPr>
        <w:t>z. v sume 489 797 tis. eur),</w:t>
      </w:r>
    </w:p>
    <w:p w14:paraId="28534452" w14:textId="77777777" w:rsidR="003A0696" w:rsidRPr="00E9526F" w:rsidRDefault="003A0696" w:rsidP="003A0696">
      <w:pPr>
        <w:pStyle w:val="Odsekzoznamu"/>
        <w:numPr>
          <w:ilvl w:val="1"/>
          <w:numId w:val="11"/>
        </w:numPr>
        <w:jc w:val="both"/>
        <w:rPr>
          <w:rFonts w:ascii="Times New Roman" w:hAnsi="Times New Roman"/>
          <w:sz w:val="24"/>
          <w:szCs w:val="24"/>
        </w:rPr>
      </w:pPr>
      <w:r w:rsidRPr="00E9526F">
        <w:rPr>
          <w:rFonts w:ascii="Times New Roman" w:hAnsi="Times New Roman"/>
          <w:sz w:val="24"/>
          <w:szCs w:val="24"/>
        </w:rPr>
        <w:t>zdroj 131Z v sume 26 805 tis. eur (v tom bežné výdavky v sume 23 323 tis. eur).</w:t>
      </w:r>
    </w:p>
    <w:p w14:paraId="1D70C9D8" w14:textId="77777777" w:rsidR="003A0696" w:rsidRPr="00E9526F" w:rsidRDefault="003A0696" w:rsidP="003A0696">
      <w:pPr>
        <w:spacing w:before="120" w:line="240" w:lineRule="auto"/>
        <w:rPr>
          <w:rFonts w:cs="Times New Roman"/>
          <w:sz w:val="24"/>
          <w:szCs w:val="24"/>
        </w:rPr>
      </w:pPr>
      <w:r w:rsidRPr="00E9526F">
        <w:rPr>
          <w:rFonts w:cs="Times New Roman"/>
          <w:sz w:val="24"/>
          <w:szCs w:val="24"/>
        </w:rPr>
        <w:t>V roku 2022 sa z uvedených prostriedkov použilo 1 153 884 tis. eur (v tom kapitálové výdavky v sume 679 046 tis. eur a bežné výdavky v sume 474 838 tis. eur), z toho:</w:t>
      </w:r>
    </w:p>
    <w:p w14:paraId="0AFC24F6" w14:textId="77777777" w:rsidR="003A0696" w:rsidRPr="00E9526F" w:rsidRDefault="003A0696" w:rsidP="003A0696">
      <w:pPr>
        <w:pStyle w:val="Odsekzoznamu"/>
        <w:numPr>
          <w:ilvl w:val="0"/>
          <w:numId w:val="12"/>
        </w:numPr>
        <w:ind w:left="1134" w:hanging="425"/>
        <w:jc w:val="both"/>
        <w:rPr>
          <w:rFonts w:ascii="Times New Roman" w:hAnsi="Times New Roman"/>
          <w:sz w:val="24"/>
          <w:szCs w:val="24"/>
        </w:rPr>
      </w:pPr>
      <w:r w:rsidRPr="00E9526F">
        <w:rPr>
          <w:rFonts w:ascii="Times New Roman" w:hAnsi="Times New Roman"/>
          <w:sz w:val="24"/>
          <w:szCs w:val="24"/>
        </w:rPr>
        <w:t>zdroj 131I (prostriedky z r. 2018) v sume 11 228 tis. eur (v tom bežné výdavky v sume 1 263 tis. eur),</w:t>
      </w:r>
    </w:p>
    <w:p w14:paraId="06229B68" w14:textId="77777777" w:rsidR="003A0696" w:rsidRPr="00E9526F" w:rsidRDefault="003A0696" w:rsidP="003A0696">
      <w:pPr>
        <w:pStyle w:val="Odsekzoznamu"/>
        <w:numPr>
          <w:ilvl w:val="0"/>
          <w:numId w:val="12"/>
        </w:numPr>
        <w:ind w:left="1134" w:hanging="425"/>
        <w:jc w:val="both"/>
        <w:rPr>
          <w:rFonts w:ascii="Times New Roman" w:hAnsi="Times New Roman"/>
          <w:sz w:val="24"/>
          <w:szCs w:val="24"/>
        </w:rPr>
      </w:pPr>
      <w:r w:rsidRPr="00E9526F">
        <w:rPr>
          <w:rFonts w:ascii="Times New Roman" w:hAnsi="Times New Roman"/>
          <w:sz w:val="24"/>
          <w:szCs w:val="24"/>
        </w:rPr>
        <w:t>zdroj 131J (prostriedky z r. 2019) v sume 60 256 tis. eur (v tom bežné výdavky v sume 10 005 tis. eur),</w:t>
      </w:r>
    </w:p>
    <w:p w14:paraId="78B0946F" w14:textId="77777777" w:rsidR="003A0696" w:rsidRPr="00E9526F" w:rsidRDefault="003A0696" w:rsidP="003A0696">
      <w:pPr>
        <w:pStyle w:val="Odsekzoznamu"/>
        <w:numPr>
          <w:ilvl w:val="0"/>
          <w:numId w:val="12"/>
        </w:numPr>
        <w:ind w:left="1134" w:hanging="425"/>
        <w:jc w:val="both"/>
        <w:rPr>
          <w:rFonts w:ascii="Times New Roman" w:hAnsi="Times New Roman"/>
          <w:sz w:val="24"/>
          <w:szCs w:val="24"/>
        </w:rPr>
      </w:pPr>
      <w:r w:rsidRPr="00E9526F">
        <w:rPr>
          <w:rFonts w:ascii="Times New Roman" w:hAnsi="Times New Roman"/>
          <w:sz w:val="24"/>
          <w:szCs w:val="24"/>
        </w:rPr>
        <w:t>zdroj 131K (prostriedky z r. 2020) v sume 440 475 tis. eur (v tom bežné výdavky v sume 34 000 tis. eur),</w:t>
      </w:r>
    </w:p>
    <w:p w14:paraId="293B543F" w14:textId="77777777" w:rsidR="003A0696" w:rsidRPr="00E9526F" w:rsidRDefault="003A0696" w:rsidP="003A0696">
      <w:pPr>
        <w:pStyle w:val="Odsekzoznamu"/>
        <w:numPr>
          <w:ilvl w:val="0"/>
          <w:numId w:val="12"/>
        </w:numPr>
        <w:ind w:left="1134" w:hanging="425"/>
        <w:jc w:val="both"/>
        <w:rPr>
          <w:rFonts w:ascii="Times New Roman" w:hAnsi="Times New Roman"/>
          <w:sz w:val="24"/>
          <w:szCs w:val="24"/>
        </w:rPr>
      </w:pPr>
      <w:r w:rsidRPr="00E9526F">
        <w:rPr>
          <w:rFonts w:ascii="Times New Roman" w:hAnsi="Times New Roman"/>
          <w:sz w:val="24"/>
          <w:szCs w:val="24"/>
        </w:rPr>
        <w:t>zdroj 131L (prostriedky z r. 2021) v sume 548 469 tis. eur (v tom bežné výdavky v sume 336 113 tis. eur),</w:t>
      </w:r>
    </w:p>
    <w:p w14:paraId="641BBA58" w14:textId="77777777" w:rsidR="003A0696" w:rsidRPr="00E9526F" w:rsidRDefault="003A0696" w:rsidP="003A0696">
      <w:pPr>
        <w:pStyle w:val="Odsekzoznamu"/>
        <w:numPr>
          <w:ilvl w:val="0"/>
          <w:numId w:val="12"/>
        </w:numPr>
        <w:ind w:left="1134" w:hanging="425"/>
        <w:jc w:val="both"/>
        <w:rPr>
          <w:rFonts w:ascii="Times New Roman" w:hAnsi="Times New Roman"/>
          <w:sz w:val="24"/>
          <w:szCs w:val="24"/>
        </w:rPr>
      </w:pPr>
      <w:r w:rsidRPr="00E9526F">
        <w:rPr>
          <w:rFonts w:ascii="Times New Roman" w:hAnsi="Times New Roman"/>
          <w:sz w:val="24"/>
          <w:szCs w:val="24"/>
        </w:rPr>
        <w:t>zdroj 131Z v sume 93 456 tis. eur (v tom bežné výdavky v sume 93 456 tis. eur).</w:t>
      </w:r>
    </w:p>
    <w:p w14:paraId="16C8AA6C" w14:textId="77777777" w:rsidR="003A0696" w:rsidRPr="00E9526F" w:rsidRDefault="003A0696" w:rsidP="003A0696">
      <w:pPr>
        <w:spacing w:before="120" w:line="240" w:lineRule="auto"/>
        <w:rPr>
          <w:rFonts w:cs="Times New Roman"/>
          <w:sz w:val="24"/>
          <w:szCs w:val="24"/>
        </w:rPr>
      </w:pPr>
      <w:r w:rsidRPr="00E9526F">
        <w:rPr>
          <w:rFonts w:cs="Times New Roman"/>
          <w:sz w:val="24"/>
          <w:szCs w:val="24"/>
        </w:rPr>
        <w:t xml:space="preserve">V roku 2022 sa podľa § 8 a § 37o zákona </w:t>
      </w:r>
      <w:r>
        <w:rPr>
          <w:rFonts w:cs="Times New Roman"/>
          <w:sz w:val="24"/>
          <w:szCs w:val="24"/>
        </w:rPr>
        <w:t>o rozpočtových pravidlách</w:t>
      </w:r>
      <w:r w:rsidRPr="00E9526F">
        <w:rPr>
          <w:rFonts w:cs="Times New Roman"/>
          <w:sz w:val="24"/>
          <w:szCs w:val="24"/>
        </w:rPr>
        <w:t xml:space="preserve"> zaviazali výdavky rozpočtované v rokoch 2021 a 2022 v sume 2 174</w:t>
      </w:r>
      <w:r>
        <w:rPr>
          <w:rFonts w:cs="Times New Roman"/>
          <w:sz w:val="24"/>
          <w:szCs w:val="24"/>
        </w:rPr>
        <w:t> </w:t>
      </w:r>
      <w:r w:rsidRPr="00E9526F">
        <w:rPr>
          <w:rFonts w:cs="Times New Roman"/>
          <w:sz w:val="24"/>
          <w:szCs w:val="24"/>
        </w:rPr>
        <w:t>783</w:t>
      </w:r>
      <w:r>
        <w:rPr>
          <w:rFonts w:cs="Times New Roman"/>
          <w:sz w:val="24"/>
          <w:szCs w:val="24"/>
        </w:rPr>
        <w:t> tis. </w:t>
      </w:r>
      <w:r w:rsidRPr="00E9526F">
        <w:rPr>
          <w:rFonts w:cs="Times New Roman"/>
          <w:sz w:val="24"/>
          <w:szCs w:val="24"/>
        </w:rPr>
        <w:t xml:space="preserve"> eur (v tom kapitálové výdavky v sume 678 412 tis.  eur a bežné výdavky v sume 1 496 371 tis. eur), z toho:</w:t>
      </w:r>
    </w:p>
    <w:p w14:paraId="2B3EACA7" w14:textId="77777777" w:rsidR="003A0696" w:rsidRPr="00E9526F" w:rsidRDefault="003A0696" w:rsidP="003A0696">
      <w:pPr>
        <w:pStyle w:val="Odsekzoznamu"/>
        <w:numPr>
          <w:ilvl w:val="0"/>
          <w:numId w:val="13"/>
        </w:numPr>
        <w:ind w:left="1134" w:hanging="425"/>
        <w:jc w:val="both"/>
        <w:rPr>
          <w:rFonts w:ascii="Times New Roman" w:hAnsi="Times New Roman"/>
          <w:sz w:val="24"/>
          <w:szCs w:val="24"/>
        </w:rPr>
      </w:pPr>
      <w:r w:rsidRPr="00E9526F">
        <w:rPr>
          <w:rFonts w:ascii="Times New Roman" w:hAnsi="Times New Roman"/>
          <w:sz w:val="24"/>
          <w:szCs w:val="24"/>
        </w:rPr>
        <w:t>zdroj 131L (prostriedky z r. 2021) v sume 417 935 tis. eur (v tom bežné výdavky v sume 1 185 tis. eur),</w:t>
      </w:r>
    </w:p>
    <w:p w14:paraId="1E725E15" w14:textId="77777777" w:rsidR="003A0696" w:rsidRPr="00E9526F" w:rsidRDefault="003A0696" w:rsidP="003A0696">
      <w:pPr>
        <w:pStyle w:val="Odsekzoznamu"/>
        <w:numPr>
          <w:ilvl w:val="0"/>
          <w:numId w:val="13"/>
        </w:numPr>
        <w:ind w:left="1134" w:hanging="425"/>
        <w:jc w:val="both"/>
        <w:rPr>
          <w:rFonts w:ascii="Times New Roman" w:hAnsi="Times New Roman"/>
          <w:sz w:val="24"/>
          <w:szCs w:val="24"/>
        </w:rPr>
      </w:pPr>
      <w:r w:rsidRPr="00545BC2">
        <w:rPr>
          <w:rFonts w:ascii="Times New Roman" w:hAnsi="Times New Roman"/>
          <w:sz w:val="24"/>
          <w:szCs w:val="24"/>
        </w:rPr>
        <w:t>zdroj 111 (prostriedky z r. 2022) v sume 1 685 539 tis. eur (v tom bežné výdavky spolu v sume  1 470 240 tis. eur, z toho bežné výdavky podľa § 37o zákona o rozpočtových pravidlách v sume</w:t>
      </w:r>
      <w:r w:rsidRPr="00E9526F">
        <w:rPr>
          <w:rFonts w:ascii="Times New Roman" w:hAnsi="Times New Roman"/>
          <w:sz w:val="24"/>
          <w:szCs w:val="24"/>
        </w:rPr>
        <w:t xml:space="preserve"> 1 427 002 tis. eur),</w:t>
      </w:r>
    </w:p>
    <w:p w14:paraId="2490162F" w14:textId="77777777" w:rsidR="003A0696" w:rsidRPr="00E9526F" w:rsidRDefault="003A0696" w:rsidP="003A0696">
      <w:pPr>
        <w:pStyle w:val="Odsekzoznamu"/>
        <w:numPr>
          <w:ilvl w:val="0"/>
          <w:numId w:val="13"/>
        </w:numPr>
        <w:ind w:left="1134" w:hanging="425"/>
        <w:jc w:val="both"/>
        <w:rPr>
          <w:rFonts w:ascii="Times New Roman" w:hAnsi="Times New Roman"/>
          <w:sz w:val="24"/>
          <w:szCs w:val="24"/>
        </w:rPr>
      </w:pPr>
      <w:r w:rsidRPr="00E9526F">
        <w:rPr>
          <w:rFonts w:ascii="Times New Roman" w:hAnsi="Times New Roman"/>
          <w:sz w:val="24"/>
          <w:szCs w:val="24"/>
        </w:rPr>
        <w:t>zdroj 11UA (prostriedky z r. 2022) v sume 43 935 tis. eur (v tom bežné výdavky spolu v sume  1 553 tis. eur),</w:t>
      </w:r>
    </w:p>
    <w:p w14:paraId="46AFD8A6" w14:textId="77777777" w:rsidR="003A0696" w:rsidRPr="00E9526F" w:rsidRDefault="003A0696" w:rsidP="003A0696">
      <w:pPr>
        <w:pStyle w:val="Odsekzoznamu"/>
        <w:numPr>
          <w:ilvl w:val="0"/>
          <w:numId w:val="13"/>
        </w:numPr>
        <w:ind w:left="1134" w:hanging="425"/>
        <w:jc w:val="both"/>
        <w:rPr>
          <w:rFonts w:ascii="Times New Roman" w:hAnsi="Times New Roman"/>
          <w:sz w:val="24"/>
          <w:szCs w:val="24"/>
        </w:rPr>
      </w:pPr>
      <w:r w:rsidRPr="00E9526F">
        <w:rPr>
          <w:rFonts w:ascii="Times New Roman" w:hAnsi="Times New Roman"/>
          <w:sz w:val="24"/>
          <w:szCs w:val="24"/>
        </w:rPr>
        <w:t>zdroj 131Z v sume 27 374 tis. eur (v tom bežné výdavky v sume 23 392 tis. eur).</w:t>
      </w:r>
    </w:p>
    <w:p w14:paraId="63172E65" w14:textId="77777777" w:rsidR="003A0696" w:rsidRPr="00E9526F" w:rsidRDefault="003A0696" w:rsidP="003A0696">
      <w:pPr>
        <w:spacing w:before="120" w:line="240" w:lineRule="auto"/>
        <w:rPr>
          <w:rFonts w:cs="Times New Roman"/>
          <w:b/>
          <w:sz w:val="24"/>
          <w:szCs w:val="24"/>
        </w:rPr>
      </w:pPr>
      <w:r w:rsidRPr="00E9526F">
        <w:rPr>
          <w:rFonts w:cs="Times New Roman"/>
          <w:b/>
          <w:sz w:val="24"/>
          <w:szCs w:val="24"/>
        </w:rPr>
        <w:t>Prostriedky z rozpočtu Európskej únie a prostriedky na spolufinancovanie</w:t>
      </w:r>
    </w:p>
    <w:p w14:paraId="0B5BCD95" w14:textId="77777777" w:rsidR="003A0696" w:rsidRPr="00E9526F" w:rsidRDefault="003A0696" w:rsidP="003A0696">
      <w:pPr>
        <w:spacing w:line="240" w:lineRule="auto"/>
        <w:rPr>
          <w:rFonts w:cs="Times New Roman"/>
          <w:sz w:val="24"/>
          <w:szCs w:val="24"/>
        </w:rPr>
      </w:pPr>
      <w:r w:rsidRPr="00E9526F">
        <w:rPr>
          <w:rFonts w:cs="Times New Roman"/>
          <w:sz w:val="24"/>
          <w:szCs w:val="24"/>
        </w:rPr>
        <w:t xml:space="preserve">V roku 2021 sa podľa § 8 zákona </w:t>
      </w:r>
      <w:r>
        <w:rPr>
          <w:rFonts w:cs="Times New Roman"/>
          <w:sz w:val="24"/>
          <w:szCs w:val="24"/>
        </w:rPr>
        <w:t>o rozpočtových pravidlách</w:t>
      </w:r>
      <w:r w:rsidRPr="00E9526F">
        <w:rPr>
          <w:rFonts w:cs="Times New Roman"/>
          <w:sz w:val="24"/>
          <w:szCs w:val="24"/>
        </w:rPr>
        <w:t xml:space="preserve"> zaviazali prostriedky z rozpočtu Európskej únie a prostriedky na spolufinancovanie v sume 3 161 864 tis. eur, z toho:</w:t>
      </w:r>
    </w:p>
    <w:p w14:paraId="5BEA8E64" w14:textId="77777777" w:rsidR="003A0696" w:rsidRPr="00E9526F" w:rsidRDefault="003A0696" w:rsidP="003A0696">
      <w:pPr>
        <w:pStyle w:val="Odsekzoznamu"/>
        <w:numPr>
          <w:ilvl w:val="0"/>
          <w:numId w:val="14"/>
        </w:numPr>
        <w:ind w:left="1134" w:hanging="425"/>
        <w:jc w:val="both"/>
        <w:rPr>
          <w:rFonts w:ascii="Times New Roman" w:hAnsi="Times New Roman"/>
          <w:sz w:val="24"/>
          <w:szCs w:val="24"/>
        </w:rPr>
      </w:pPr>
      <w:r w:rsidRPr="00E9526F">
        <w:rPr>
          <w:rFonts w:ascii="Times New Roman" w:hAnsi="Times New Roman"/>
          <w:sz w:val="24"/>
          <w:szCs w:val="24"/>
        </w:rPr>
        <w:t xml:space="preserve">prostriedky z rozpočtu Európskej únie v sume 2 484 520 tis. eur </w:t>
      </w:r>
    </w:p>
    <w:p w14:paraId="5065742F" w14:textId="77777777" w:rsidR="003A0696" w:rsidRPr="00E9526F" w:rsidRDefault="003A0696" w:rsidP="003A0696">
      <w:pPr>
        <w:pStyle w:val="Odsekzoznamu"/>
        <w:numPr>
          <w:ilvl w:val="0"/>
          <w:numId w:val="14"/>
        </w:numPr>
        <w:ind w:left="1134" w:hanging="425"/>
        <w:jc w:val="both"/>
        <w:rPr>
          <w:rFonts w:ascii="Times New Roman" w:hAnsi="Times New Roman"/>
          <w:sz w:val="24"/>
          <w:szCs w:val="24"/>
        </w:rPr>
      </w:pPr>
      <w:r w:rsidRPr="00E9526F">
        <w:rPr>
          <w:rFonts w:ascii="Times New Roman" w:hAnsi="Times New Roman"/>
          <w:sz w:val="24"/>
          <w:szCs w:val="24"/>
        </w:rPr>
        <w:t xml:space="preserve">prostriedky na spolufinancovanie v sume 677 343 tis. eur, </w:t>
      </w:r>
    </w:p>
    <w:p w14:paraId="5F271174" w14:textId="77777777" w:rsidR="003A0696" w:rsidRPr="00E9526F" w:rsidRDefault="003A0696" w:rsidP="003A0696">
      <w:pPr>
        <w:spacing w:line="240" w:lineRule="auto"/>
        <w:rPr>
          <w:rFonts w:cs="Times New Roman"/>
          <w:sz w:val="24"/>
          <w:szCs w:val="24"/>
        </w:rPr>
      </w:pPr>
      <w:r w:rsidRPr="00E9526F">
        <w:rPr>
          <w:rFonts w:cs="Times New Roman"/>
          <w:sz w:val="24"/>
          <w:szCs w:val="24"/>
        </w:rPr>
        <w:t xml:space="preserve">Z tejto sumy sa v roku 2022 použilo 1 563 544 tis. eur, z toho: </w:t>
      </w:r>
    </w:p>
    <w:p w14:paraId="78D57BEF" w14:textId="77777777" w:rsidR="003A0696" w:rsidRPr="00E9526F" w:rsidRDefault="003A0696" w:rsidP="003A0696">
      <w:pPr>
        <w:pStyle w:val="Odsekzoznamu"/>
        <w:numPr>
          <w:ilvl w:val="0"/>
          <w:numId w:val="15"/>
        </w:numPr>
        <w:ind w:left="1134" w:hanging="425"/>
        <w:jc w:val="both"/>
        <w:rPr>
          <w:rFonts w:ascii="Times New Roman" w:hAnsi="Times New Roman"/>
          <w:sz w:val="24"/>
          <w:szCs w:val="24"/>
        </w:rPr>
      </w:pPr>
      <w:r w:rsidRPr="00E9526F">
        <w:rPr>
          <w:rFonts w:ascii="Times New Roman" w:hAnsi="Times New Roman"/>
          <w:sz w:val="24"/>
          <w:szCs w:val="24"/>
        </w:rPr>
        <w:t xml:space="preserve">prostriedky z rozpočtu Európskej únie v sume 1 300 934 tis. eur </w:t>
      </w:r>
    </w:p>
    <w:p w14:paraId="31007623" w14:textId="77777777" w:rsidR="003A0696" w:rsidRPr="00E9526F" w:rsidRDefault="003A0696" w:rsidP="003A0696">
      <w:pPr>
        <w:pStyle w:val="Odsekzoznamu"/>
        <w:numPr>
          <w:ilvl w:val="0"/>
          <w:numId w:val="15"/>
        </w:numPr>
        <w:ind w:left="1134" w:hanging="425"/>
        <w:jc w:val="both"/>
        <w:rPr>
          <w:rFonts w:ascii="Times New Roman" w:hAnsi="Times New Roman"/>
          <w:sz w:val="24"/>
          <w:szCs w:val="24"/>
        </w:rPr>
      </w:pPr>
      <w:r w:rsidRPr="00E9526F">
        <w:rPr>
          <w:rFonts w:ascii="Times New Roman" w:hAnsi="Times New Roman"/>
          <w:sz w:val="24"/>
          <w:szCs w:val="24"/>
        </w:rPr>
        <w:t>prostriedky na spolufinancovanie v sume 262 610 tis. eur.</w:t>
      </w:r>
    </w:p>
    <w:p w14:paraId="79C0EF5C" w14:textId="77777777" w:rsidR="003A0696" w:rsidRPr="00E9526F" w:rsidRDefault="003A0696" w:rsidP="003A0696">
      <w:pPr>
        <w:spacing w:before="120" w:line="240" w:lineRule="auto"/>
        <w:rPr>
          <w:rFonts w:cs="Times New Roman"/>
          <w:sz w:val="24"/>
          <w:szCs w:val="24"/>
        </w:rPr>
      </w:pPr>
      <w:r w:rsidRPr="00E9526F">
        <w:rPr>
          <w:rFonts w:cs="Times New Roman"/>
          <w:sz w:val="24"/>
          <w:szCs w:val="24"/>
        </w:rPr>
        <w:t xml:space="preserve">V roku 2022 sa podľa § 8 zákona </w:t>
      </w:r>
      <w:r>
        <w:rPr>
          <w:rFonts w:cs="Times New Roman"/>
          <w:sz w:val="24"/>
          <w:szCs w:val="24"/>
        </w:rPr>
        <w:t>o rozpočtových pravidlách</w:t>
      </w:r>
      <w:r w:rsidRPr="00E9526F">
        <w:rPr>
          <w:rFonts w:cs="Times New Roman"/>
          <w:sz w:val="24"/>
          <w:szCs w:val="24"/>
        </w:rPr>
        <w:t xml:space="preserve"> </w:t>
      </w:r>
      <w:r>
        <w:rPr>
          <w:rFonts w:cs="Times New Roman"/>
          <w:sz w:val="24"/>
          <w:szCs w:val="24"/>
        </w:rPr>
        <w:t>zaviazali výdavky v sume</w:t>
      </w:r>
      <w:r>
        <w:rPr>
          <w:rFonts w:cs="Times New Roman"/>
          <w:sz w:val="24"/>
          <w:szCs w:val="24"/>
        </w:rPr>
        <w:br/>
      </w:r>
      <w:r w:rsidRPr="00E9526F">
        <w:rPr>
          <w:rFonts w:cs="Times New Roman"/>
          <w:sz w:val="24"/>
          <w:szCs w:val="24"/>
        </w:rPr>
        <w:t xml:space="preserve">4 549 066 tis eur, z toho: </w:t>
      </w:r>
    </w:p>
    <w:p w14:paraId="79AB83AB" w14:textId="77777777" w:rsidR="003A0696" w:rsidRPr="00E9526F" w:rsidRDefault="003A0696" w:rsidP="003A0696">
      <w:pPr>
        <w:pStyle w:val="Odsekzoznamu"/>
        <w:numPr>
          <w:ilvl w:val="0"/>
          <w:numId w:val="16"/>
        </w:numPr>
        <w:ind w:left="1134" w:hanging="425"/>
        <w:jc w:val="both"/>
        <w:rPr>
          <w:rFonts w:ascii="Times New Roman" w:hAnsi="Times New Roman"/>
          <w:sz w:val="24"/>
          <w:szCs w:val="24"/>
        </w:rPr>
      </w:pPr>
      <w:r w:rsidRPr="00E9526F">
        <w:rPr>
          <w:rFonts w:ascii="Times New Roman" w:hAnsi="Times New Roman"/>
          <w:sz w:val="24"/>
          <w:szCs w:val="24"/>
        </w:rPr>
        <w:t>prostriedky z rozpočtu Európskej únie v sume 3 663 711 tis. eur (v tom kód zdroja 13 v sume 1 226 604 tis. eur a kód zdroja 11 v sume 2 437 107 tis. eur),</w:t>
      </w:r>
    </w:p>
    <w:p w14:paraId="43E74303" w14:textId="77777777" w:rsidR="003A0696" w:rsidRPr="00E9526F" w:rsidRDefault="003A0696" w:rsidP="003A0696">
      <w:pPr>
        <w:pStyle w:val="Odsekzoznamu"/>
        <w:numPr>
          <w:ilvl w:val="0"/>
          <w:numId w:val="16"/>
        </w:numPr>
        <w:ind w:left="1134" w:hanging="425"/>
        <w:jc w:val="both"/>
        <w:rPr>
          <w:rFonts w:ascii="Times New Roman" w:hAnsi="Times New Roman"/>
          <w:sz w:val="24"/>
          <w:szCs w:val="24"/>
        </w:rPr>
      </w:pPr>
      <w:r w:rsidRPr="00E9526F">
        <w:rPr>
          <w:rFonts w:ascii="Times New Roman" w:hAnsi="Times New Roman"/>
          <w:sz w:val="24"/>
          <w:szCs w:val="24"/>
        </w:rPr>
        <w:t>prostriedky na spolufinancovanie v sume 885 355 tis. eur (v tom kód zdroja 13 v</w:t>
      </w:r>
      <w:r>
        <w:rPr>
          <w:rFonts w:ascii="Times New Roman" w:hAnsi="Times New Roman"/>
          <w:sz w:val="24"/>
          <w:szCs w:val="24"/>
        </w:rPr>
        <w:t> </w:t>
      </w:r>
      <w:r w:rsidRPr="00E9526F">
        <w:rPr>
          <w:rFonts w:ascii="Times New Roman" w:hAnsi="Times New Roman"/>
          <w:sz w:val="24"/>
          <w:szCs w:val="24"/>
        </w:rPr>
        <w:t>sume 422 991 tis. eur a kód zdroja 11 v sume 462 364 tis. eur).</w:t>
      </w:r>
    </w:p>
    <w:p w14:paraId="1A02A8BA" w14:textId="77777777" w:rsidR="003A0696" w:rsidRDefault="003A0696" w:rsidP="003A0696">
      <w:pPr>
        <w:spacing w:before="120" w:line="240" w:lineRule="auto"/>
        <w:rPr>
          <w:rFonts w:cs="Times New Roman"/>
          <w:b/>
          <w:sz w:val="24"/>
          <w:szCs w:val="24"/>
        </w:rPr>
      </w:pPr>
    </w:p>
    <w:p w14:paraId="730FAADA" w14:textId="77777777" w:rsidR="003A0696" w:rsidRPr="00E9526F" w:rsidRDefault="003A0696" w:rsidP="003A0696">
      <w:pPr>
        <w:spacing w:before="120" w:line="240" w:lineRule="auto"/>
        <w:rPr>
          <w:rFonts w:cs="Times New Roman"/>
          <w:b/>
          <w:sz w:val="24"/>
          <w:szCs w:val="24"/>
        </w:rPr>
      </w:pPr>
      <w:r w:rsidRPr="00E9526F">
        <w:rPr>
          <w:rFonts w:cs="Times New Roman"/>
          <w:b/>
          <w:sz w:val="24"/>
          <w:szCs w:val="24"/>
        </w:rPr>
        <w:lastRenderedPageBreak/>
        <w:t>Prostriedky z Plánu obnovy a odolnosti a prostriedky na úhradu DPH</w:t>
      </w:r>
    </w:p>
    <w:p w14:paraId="3B1A71BE" w14:textId="77777777" w:rsidR="003A0696" w:rsidRPr="00E9526F" w:rsidRDefault="003A0696" w:rsidP="003A0696">
      <w:pPr>
        <w:spacing w:line="240" w:lineRule="auto"/>
        <w:rPr>
          <w:rFonts w:cs="Times New Roman"/>
          <w:sz w:val="24"/>
          <w:szCs w:val="24"/>
        </w:rPr>
      </w:pPr>
      <w:r w:rsidRPr="00E9526F">
        <w:rPr>
          <w:rFonts w:cs="Times New Roman"/>
          <w:sz w:val="24"/>
          <w:szCs w:val="24"/>
        </w:rPr>
        <w:t xml:space="preserve">V roku 2021 sa podľa § 8 zákona </w:t>
      </w:r>
      <w:r>
        <w:rPr>
          <w:rFonts w:cs="Times New Roman"/>
          <w:sz w:val="24"/>
          <w:szCs w:val="24"/>
        </w:rPr>
        <w:t>o rozpočtových pravidlách</w:t>
      </w:r>
      <w:r w:rsidRPr="00E9526F">
        <w:rPr>
          <w:rFonts w:cs="Times New Roman"/>
          <w:sz w:val="24"/>
          <w:szCs w:val="24"/>
        </w:rPr>
        <w:t xml:space="preserve"> zaviazali prostriedky z Plánu obnovy a odolnosti a prostriedky na úhradu DPH v sume 140 187 tis. eur, z toho:</w:t>
      </w:r>
    </w:p>
    <w:p w14:paraId="008A6C4E" w14:textId="77777777" w:rsidR="003A0696" w:rsidRPr="00E9526F" w:rsidRDefault="003A0696" w:rsidP="003A0696">
      <w:pPr>
        <w:pStyle w:val="Odsekzoznamu"/>
        <w:numPr>
          <w:ilvl w:val="0"/>
          <w:numId w:val="17"/>
        </w:numPr>
        <w:ind w:left="1134" w:hanging="425"/>
        <w:jc w:val="both"/>
        <w:rPr>
          <w:rFonts w:ascii="Times New Roman" w:hAnsi="Times New Roman"/>
          <w:sz w:val="24"/>
          <w:szCs w:val="24"/>
        </w:rPr>
      </w:pPr>
      <w:r w:rsidRPr="00E9526F">
        <w:rPr>
          <w:rFonts w:ascii="Times New Roman" w:hAnsi="Times New Roman"/>
          <w:sz w:val="24"/>
          <w:szCs w:val="24"/>
        </w:rPr>
        <w:t xml:space="preserve">prostriedky z Plánu obnovy a odolnosti v sume 123 676 tis. eur, </w:t>
      </w:r>
    </w:p>
    <w:p w14:paraId="59699D7D" w14:textId="77777777" w:rsidR="003A0696" w:rsidRPr="00E9526F" w:rsidRDefault="003A0696" w:rsidP="003A0696">
      <w:pPr>
        <w:pStyle w:val="Odsekzoznamu"/>
        <w:numPr>
          <w:ilvl w:val="0"/>
          <w:numId w:val="17"/>
        </w:numPr>
        <w:ind w:left="1134" w:hanging="425"/>
        <w:jc w:val="both"/>
        <w:rPr>
          <w:rFonts w:ascii="Times New Roman" w:hAnsi="Times New Roman"/>
          <w:sz w:val="24"/>
          <w:szCs w:val="24"/>
        </w:rPr>
      </w:pPr>
      <w:r w:rsidRPr="00E9526F">
        <w:rPr>
          <w:rFonts w:ascii="Times New Roman" w:hAnsi="Times New Roman"/>
          <w:sz w:val="24"/>
          <w:szCs w:val="24"/>
        </w:rPr>
        <w:t>prostriedky Plánu obnovy a odolnosti – prostriedky na úhradu DPH v</w:t>
      </w:r>
      <w:r>
        <w:rPr>
          <w:rFonts w:ascii="Times New Roman" w:hAnsi="Times New Roman"/>
          <w:sz w:val="24"/>
          <w:szCs w:val="24"/>
        </w:rPr>
        <w:t> </w:t>
      </w:r>
      <w:r w:rsidRPr="00E9526F">
        <w:rPr>
          <w:rFonts w:ascii="Times New Roman" w:hAnsi="Times New Roman"/>
          <w:sz w:val="24"/>
          <w:szCs w:val="24"/>
        </w:rPr>
        <w:t xml:space="preserve">sume 16 511 tis. eur, </w:t>
      </w:r>
    </w:p>
    <w:p w14:paraId="43CBA43F" w14:textId="77777777" w:rsidR="003A0696" w:rsidRPr="00E9526F" w:rsidRDefault="003A0696" w:rsidP="003A0696">
      <w:pPr>
        <w:spacing w:line="240" w:lineRule="auto"/>
        <w:rPr>
          <w:rFonts w:cs="Times New Roman"/>
          <w:sz w:val="24"/>
          <w:szCs w:val="24"/>
        </w:rPr>
      </w:pPr>
      <w:r w:rsidRPr="00E9526F">
        <w:rPr>
          <w:rFonts w:cs="Times New Roman"/>
          <w:sz w:val="24"/>
          <w:szCs w:val="24"/>
        </w:rPr>
        <w:t>z ktorých sa v roku 2022 použilo 12</w:t>
      </w:r>
      <w:r>
        <w:rPr>
          <w:rFonts w:cs="Times New Roman"/>
          <w:sz w:val="24"/>
          <w:szCs w:val="24"/>
        </w:rPr>
        <w:t> </w:t>
      </w:r>
      <w:r w:rsidRPr="00E9526F">
        <w:rPr>
          <w:rFonts w:cs="Times New Roman"/>
          <w:sz w:val="24"/>
          <w:szCs w:val="24"/>
        </w:rPr>
        <w:t>813</w:t>
      </w:r>
      <w:r>
        <w:rPr>
          <w:rFonts w:cs="Times New Roman"/>
          <w:sz w:val="24"/>
          <w:szCs w:val="24"/>
        </w:rPr>
        <w:t xml:space="preserve"> </w:t>
      </w:r>
      <w:r w:rsidRPr="00E9526F">
        <w:rPr>
          <w:rFonts w:cs="Times New Roman"/>
          <w:sz w:val="24"/>
          <w:szCs w:val="24"/>
        </w:rPr>
        <w:t xml:space="preserve">tis. eur, z toho: </w:t>
      </w:r>
    </w:p>
    <w:p w14:paraId="7668D009" w14:textId="77777777" w:rsidR="003A0696" w:rsidRPr="00E9526F" w:rsidRDefault="003A0696" w:rsidP="003A0696">
      <w:pPr>
        <w:pStyle w:val="Odsekzoznamu"/>
        <w:numPr>
          <w:ilvl w:val="0"/>
          <w:numId w:val="18"/>
        </w:numPr>
        <w:ind w:left="1134" w:hanging="425"/>
        <w:jc w:val="both"/>
        <w:rPr>
          <w:rFonts w:ascii="Times New Roman" w:hAnsi="Times New Roman"/>
          <w:sz w:val="24"/>
          <w:szCs w:val="24"/>
        </w:rPr>
      </w:pPr>
      <w:r w:rsidRPr="00E9526F">
        <w:rPr>
          <w:rFonts w:ascii="Times New Roman" w:hAnsi="Times New Roman"/>
          <w:sz w:val="24"/>
          <w:szCs w:val="24"/>
        </w:rPr>
        <w:t>prostriedky z Plánu obnovy a odolnosti v sume 11 965 tis. eur,</w:t>
      </w:r>
    </w:p>
    <w:p w14:paraId="2E01F097" w14:textId="77777777" w:rsidR="003A0696" w:rsidRPr="00E9526F" w:rsidRDefault="003A0696" w:rsidP="003A0696">
      <w:pPr>
        <w:pStyle w:val="Odsekzoznamu"/>
        <w:numPr>
          <w:ilvl w:val="0"/>
          <w:numId w:val="18"/>
        </w:numPr>
        <w:ind w:left="1134" w:hanging="425"/>
        <w:jc w:val="both"/>
        <w:rPr>
          <w:rFonts w:ascii="Times New Roman" w:hAnsi="Times New Roman"/>
          <w:sz w:val="24"/>
          <w:szCs w:val="24"/>
        </w:rPr>
      </w:pPr>
      <w:r w:rsidRPr="00E9526F">
        <w:rPr>
          <w:rFonts w:ascii="Times New Roman" w:hAnsi="Times New Roman"/>
          <w:sz w:val="24"/>
          <w:szCs w:val="24"/>
        </w:rPr>
        <w:t>prostriedky Plánu obnovy a odolnosti – prostriedky na úhradu DPH v</w:t>
      </w:r>
      <w:r>
        <w:rPr>
          <w:rFonts w:ascii="Times New Roman" w:hAnsi="Times New Roman"/>
          <w:sz w:val="24"/>
          <w:szCs w:val="24"/>
        </w:rPr>
        <w:t> </w:t>
      </w:r>
      <w:r w:rsidRPr="00E9526F">
        <w:rPr>
          <w:rFonts w:ascii="Times New Roman" w:hAnsi="Times New Roman"/>
          <w:sz w:val="24"/>
          <w:szCs w:val="24"/>
        </w:rPr>
        <w:t xml:space="preserve">sume 848 tis. eur. </w:t>
      </w:r>
    </w:p>
    <w:p w14:paraId="1B77AC7F" w14:textId="77777777" w:rsidR="003A0696" w:rsidRPr="00E9526F" w:rsidRDefault="003A0696" w:rsidP="003A0696">
      <w:pPr>
        <w:spacing w:line="240" w:lineRule="auto"/>
        <w:rPr>
          <w:rFonts w:cs="Times New Roman"/>
          <w:sz w:val="24"/>
          <w:szCs w:val="24"/>
        </w:rPr>
      </w:pPr>
      <w:r w:rsidRPr="00E9526F">
        <w:rPr>
          <w:rFonts w:cs="Times New Roman"/>
          <w:sz w:val="24"/>
          <w:szCs w:val="24"/>
        </w:rPr>
        <w:t xml:space="preserve">V roku 2022 sa podľa § 8 zákona </w:t>
      </w:r>
      <w:r>
        <w:rPr>
          <w:rFonts w:cs="Times New Roman"/>
          <w:sz w:val="24"/>
          <w:szCs w:val="24"/>
        </w:rPr>
        <w:t>o rozpočtových pravidlách</w:t>
      </w:r>
      <w:r w:rsidRPr="00E9526F">
        <w:rPr>
          <w:rFonts w:cs="Times New Roman"/>
          <w:sz w:val="24"/>
          <w:szCs w:val="24"/>
        </w:rPr>
        <w:t xml:space="preserve"> </w:t>
      </w:r>
      <w:r>
        <w:rPr>
          <w:rFonts w:cs="Times New Roman"/>
          <w:sz w:val="24"/>
          <w:szCs w:val="24"/>
        </w:rPr>
        <w:t>zaviazali výdavky v sume</w:t>
      </w:r>
      <w:r>
        <w:rPr>
          <w:rFonts w:cs="Times New Roman"/>
          <w:sz w:val="24"/>
          <w:szCs w:val="24"/>
        </w:rPr>
        <w:br/>
      </w:r>
      <w:r w:rsidRPr="00E9526F">
        <w:rPr>
          <w:rFonts w:cs="Times New Roman"/>
          <w:sz w:val="24"/>
          <w:szCs w:val="24"/>
        </w:rPr>
        <w:t xml:space="preserve">1 588 383 tis. eur, z toho: </w:t>
      </w:r>
    </w:p>
    <w:p w14:paraId="59213D3B" w14:textId="77777777" w:rsidR="003A0696" w:rsidRPr="00E9526F" w:rsidRDefault="003A0696" w:rsidP="003A0696">
      <w:pPr>
        <w:pStyle w:val="Odsekzoznamu"/>
        <w:numPr>
          <w:ilvl w:val="0"/>
          <w:numId w:val="19"/>
        </w:numPr>
        <w:ind w:left="1134" w:hanging="425"/>
        <w:jc w:val="both"/>
        <w:rPr>
          <w:rFonts w:ascii="Times New Roman" w:hAnsi="Times New Roman"/>
          <w:sz w:val="24"/>
          <w:szCs w:val="24"/>
        </w:rPr>
      </w:pPr>
      <w:r w:rsidRPr="00E9526F">
        <w:rPr>
          <w:rFonts w:ascii="Times New Roman" w:hAnsi="Times New Roman"/>
          <w:sz w:val="24"/>
          <w:szCs w:val="24"/>
        </w:rPr>
        <w:t>prostriedky z Plánu obnovy a odolnosti v sume 1 377 120 tis. eur (v tom kód zdroja 13 v sume 111 709 tis. eur a kód zdroja 11 v sume 1 265 411 tis. eur),</w:t>
      </w:r>
    </w:p>
    <w:p w14:paraId="6B36EA01" w14:textId="77777777" w:rsidR="003A0696" w:rsidRPr="00E9526F" w:rsidRDefault="003A0696" w:rsidP="003A0696">
      <w:pPr>
        <w:pStyle w:val="Odsekzoznamu"/>
        <w:numPr>
          <w:ilvl w:val="0"/>
          <w:numId w:val="19"/>
        </w:numPr>
        <w:ind w:left="1134" w:hanging="425"/>
        <w:jc w:val="both"/>
        <w:rPr>
          <w:rFonts w:ascii="Times New Roman" w:hAnsi="Times New Roman"/>
          <w:sz w:val="24"/>
          <w:szCs w:val="24"/>
        </w:rPr>
      </w:pPr>
      <w:r w:rsidRPr="00E9526F">
        <w:rPr>
          <w:rFonts w:ascii="Times New Roman" w:hAnsi="Times New Roman"/>
          <w:sz w:val="24"/>
          <w:szCs w:val="24"/>
        </w:rPr>
        <w:t>prostriedky Plánu obnovy a odolnosti – prostriedky na úhradu DPH v</w:t>
      </w:r>
      <w:r>
        <w:rPr>
          <w:rFonts w:ascii="Times New Roman" w:hAnsi="Times New Roman"/>
          <w:sz w:val="24"/>
          <w:szCs w:val="24"/>
        </w:rPr>
        <w:t> </w:t>
      </w:r>
      <w:r w:rsidRPr="00E9526F">
        <w:rPr>
          <w:rFonts w:ascii="Times New Roman" w:hAnsi="Times New Roman"/>
          <w:sz w:val="24"/>
          <w:szCs w:val="24"/>
        </w:rPr>
        <w:t>sume 211</w:t>
      </w:r>
      <w:r>
        <w:rPr>
          <w:rFonts w:ascii="Times New Roman" w:hAnsi="Times New Roman"/>
          <w:sz w:val="24"/>
          <w:szCs w:val="24"/>
        </w:rPr>
        <w:t> </w:t>
      </w:r>
      <w:r w:rsidRPr="00E9526F">
        <w:rPr>
          <w:rFonts w:ascii="Times New Roman" w:hAnsi="Times New Roman"/>
          <w:sz w:val="24"/>
          <w:szCs w:val="24"/>
        </w:rPr>
        <w:t>262  tis. eur (v tom kód zdroja 13 v sume 15 657 tis. eur a kód zdroja 11 v</w:t>
      </w:r>
      <w:r>
        <w:rPr>
          <w:rFonts w:ascii="Times New Roman" w:hAnsi="Times New Roman"/>
          <w:sz w:val="24"/>
          <w:szCs w:val="24"/>
        </w:rPr>
        <w:t> </w:t>
      </w:r>
      <w:r w:rsidRPr="00E9526F">
        <w:rPr>
          <w:rFonts w:ascii="Times New Roman" w:hAnsi="Times New Roman"/>
          <w:sz w:val="24"/>
          <w:szCs w:val="24"/>
        </w:rPr>
        <w:t>sume 195 605 tis. eur).</w:t>
      </w:r>
    </w:p>
    <w:p w14:paraId="34BC25F2" w14:textId="77777777" w:rsidR="003A0696" w:rsidRPr="004531DC" w:rsidRDefault="003A0696" w:rsidP="003A0696">
      <w:pPr>
        <w:spacing w:before="120" w:line="240" w:lineRule="auto"/>
        <w:rPr>
          <w:b/>
          <w:color w:val="5B9BD5" w:themeColor="accent1"/>
          <w:sz w:val="24"/>
          <w:szCs w:val="24"/>
        </w:rPr>
      </w:pPr>
      <w:r w:rsidRPr="004531DC">
        <w:rPr>
          <w:b/>
          <w:color w:val="5B9BD5" w:themeColor="accent1"/>
          <w:sz w:val="24"/>
          <w:szCs w:val="24"/>
        </w:rPr>
        <w:t xml:space="preserve">Vzťahy s EÚ </w:t>
      </w:r>
    </w:p>
    <w:p w14:paraId="310878E0" w14:textId="77777777" w:rsidR="003A0696" w:rsidRDefault="003A0696" w:rsidP="003A0696">
      <w:pPr>
        <w:spacing w:line="240" w:lineRule="auto"/>
        <w:rPr>
          <w:sz w:val="24"/>
          <w:szCs w:val="24"/>
        </w:rPr>
      </w:pPr>
      <w:r w:rsidRPr="003F55EE">
        <w:rPr>
          <w:b/>
          <w:sz w:val="24"/>
          <w:szCs w:val="24"/>
        </w:rPr>
        <w:t>Odvody do rozpočtu EÚ</w:t>
      </w:r>
      <w:r w:rsidRPr="003F55EE">
        <w:rPr>
          <w:sz w:val="24"/>
          <w:szCs w:val="24"/>
        </w:rPr>
        <w:t xml:space="preserve"> predstavovali v roku 2022 na hotovostnej báze 1 059 676 tis. eur a boli na hotovostnej báze nižšie oproti rozpočtu o</w:t>
      </w:r>
      <w:r>
        <w:rPr>
          <w:sz w:val="24"/>
          <w:szCs w:val="24"/>
        </w:rPr>
        <w:t> </w:t>
      </w:r>
      <w:r w:rsidRPr="003F55EE">
        <w:rPr>
          <w:sz w:val="24"/>
          <w:szCs w:val="24"/>
        </w:rPr>
        <w:t>47</w:t>
      </w:r>
      <w:r>
        <w:rPr>
          <w:sz w:val="24"/>
          <w:szCs w:val="24"/>
        </w:rPr>
        <w:t> </w:t>
      </w:r>
      <w:r w:rsidRPr="003F55EE">
        <w:rPr>
          <w:sz w:val="24"/>
          <w:szCs w:val="24"/>
        </w:rPr>
        <w:t>642 tis. eur. Zároveň odvody na akruálnej báze boli v roku 202</w:t>
      </w:r>
      <w:r>
        <w:rPr>
          <w:sz w:val="24"/>
          <w:szCs w:val="24"/>
        </w:rPr>
        <w:t>2</w:t>
      </w:r>
      <w:r w:rsidRPr="003F55EE">
        <w:rPr>
          <w:sz w:val="24"/>
          <w:szCs w:val="24"/>
        </w:rPr>
        <w:t xml:space="preserve"> nižšie v porovnaní s hotovostnými odvodmi o</w:t>
      </w:r>
      <w:r>
        <w:rPr>
          <w:sz w:val="24"/>
          <w:szCs w:val="24"/>
        </w:rPr>
        <w:t> 23 732 </w:t>
      </w:r>
      <w:r w:rsidRPr="003F55EE">
        <w:rPr>
          <w:sz w:val="24"/>
          <w:szCs w:val="24"/>
        </w:rPr>
        <w:t>tis.</w:t>
      </w:r>
      <w:r>
        <w:rPr>
          <w:sz w:val="24"/>
          <w:szCs w:val="24"/>
        </w:rPr>
        <w:t> </w:t>
      </w:r>
      <w:r w:rsidRPr="003F55EE">
        <w:rPr>
          <w:sz w:val="24"/>
          <w:szCs w:val="24"/>
        </w:rPr>
        <w:t xml:space="preserve">eur, čo predstavuje rozdiel medzi hotovostným a akruálnym výdavkom príspevkov SR do </w:t>
      </w:r>
      <w:r>
        <w:rPr>
          <w:sz w:val="24"/>
          <w:szCs w:val="24"/>
        </w:rPr>
        <w:t>EU</w:t>
      </w:r>
      <w:r w:rsidRPr="003F55EE">
        <w:rPr>
          <w:sz w:val="24"/>
          <w:szCs w:val="24"/>
        </w:rPr>
        <w:t xml:space="preserve">. </w:t>
      </w:r>
    </w:p>
    <w:p w14:paraId="2D11F98D" w14:textId="77777777" w:rsidR="003A0696" w:rsidRPr="003F55EE" w:rsidRDefault="003A0696" w:rsidP="003A0696">
      <w:pPr>
        <w:spacing w:line="240" w:lineRule="auto"/>
        <w:rPr>
          <w:sz w:val="24"/>
          <w:szCs w:val="24"/>
        </w:rPr>
      </w:pPr>
      <w:r>
        <w:rPr>
          <w:sz w:val="24"/>
          <w:szCs w:val="24"/>
        </w:rPr>
        <w:t xml:space="preserve">Rozdiel medzi hotovostným a akruálnym princípom sa prejavil </w:t>
      </w:r>
      <w:r w:rsidRPr="001F7ABF">
        <w:rPr>
          <w:sz w:val="24"/>
          <w:szCs w:val="24"/>
        </w:rPr>
        <w:t>v dôsledku neskorého prijatia opravného rozpočtu č. 5/2022 koncom roka 2022, sa vplyv tejto úpravy hotovostne prejavil až v</w:t>
      </w:r>
      <w:r>
        <w:rPr>
          <w:sz w:val="24"/>
          <w:szCs w:val="24"/>
        </w:rPr>
        <w:t> </w:t>
      </w:r>
      <w:r w:rsidRPr="001F7ABF">
        <w:rPr>
          <w:sz w:val="24"/>
          <w:szCs w:val="24"/>
        </w:rPr>
        <w:t xml:space="preserve">januárovej platbe v roku 2023 - išlo o  úpravu základne zdroja založeného na HND (list EK BUDG/B03/ADS/JB/AS/1b </w:t>
      </w:r>
      <w:proofErr w:type="spellStart"/>
      <w:r w:rsidRPr="001F7ABF">
        <w:rPr>
          <w:sz w:val="24"/>
          <w:szCs w:val="24"/>
        </w:rPr>
        <w:t>Ares</w:t>
      </w:r>
      <w:proofErr w:type="spellEnd"/>
      <w:r w:rsidRPr="001F7ABF">
        <w:rPr>
          <w:sz w:val="24"/>
          <w:szCs w:val="24"/>
        </w:rPr>
        <w:t xml:space="preserve"> (2022) 8810724). Opravný rozpočet predstavoval pre SR zníženie základne vlastného zdroja založeného na HND o 25 560 tis. EUR vďaka zníženiu platobných rozpočtových prostriedkov rozpočtu EÚ a aktualizácie príjmov do rozpočtu EÚ v</w:t>
      </w:r>
      <w:r>
        <w:rPr>
          <w:sz w:val="24"/>
          <w:szCs w:val="24"/>
        </w:rPr>
        <w:t> </w:t>
      </w:r>
      <w:r w:rsidRPr="001F7ABF">
        <w:rPr>
          <w:sz w:val="24"/>
          <w:szCs w:val="24"/>
        </w:rPr>
        <w:t>súvislosti s nadmerným príjmom z tradičných vlastných zdrojov (clo).</w:t>
      </w:r>
      <w:r>
        <w:rPr>
          <w:sz w:val="24"/>
          <w:szCs w:val="24"/>
        </w:rPr>
        <w:t xml:space="preserve"> Zároveň malo pozitívny vplyv na akruálne výdavky v roku 2022 vo výške 1 828 tis. eur </w:t>
      </w:r>
      <w:r w:rsidRPr="001F7ABF">
        <w:rPr>
          <w:sz w:val="24"/>
          <w:szCs w:val="24"/>
        </w:rPr>
        <w:t>neskoré prijati</w:t>
      </w:r>
      <w:r>
        <w:rPr>
          <w:sz w:val="24"/>
          <w:szCs w:val="24"/>
        </w:rPr>
        <w:t>e</w:t>
      </w:r>
      <w:r w:rsidRPr="001F7ABF">
        <w:rPr>
          <w:sz w:val="24"/>
          <w:szCs w:val="24"/>
        </w:rPr>
        <w:t xml:space="preserve"> novely č. 6/2021 koncom roku 2021, ktorá sa hotovostne prejavila až začiatkom roku 2022 - úprava základne zdroja založeného na nerecyklovanom odpade z plastových obalov (list EK BUDG/B03/ADS/JB/</w:t>
      </w:r>
      <w:proofErr w:type="spellStart"/>
      <w:r w:rsidRPr="001F7ABF">
        <w:rPr>
          <w:sz w:val="24"/>
          <w:szCs w:val="24"/>
        </w:rPr>
        <w:t>lb</w:t>
      </w:r>
      <w:proofErr w:type="spellEnd"/>
      <w:r w:rsidRPr="001F7ABF">
        <w:rPr>
          <w:sz w:val="24"/>
          <w:szCs w:val="24"/>
        </w:rPr>
        <w:t xml:space="preserve"> </w:t>
      </w:r>
      <w:proofErr w:type="spellStart"/>
      <w:r w:rsidRPr="001F7ABF">
        <w:rPr>
          <w:sz w:val="24"/>
          <w:szCs w:val="24"/>
        </w:rPr>
        <w:t>Ares</w:t>
      </w:r>
      <w:proofErr w:type="spellEnd"/>
      <w:r w:rsidRPr="001F7ABF">
        <w:rPr>
          <w:sz w:val="24"/>
          <w:szCs w:val="24"/>
        </w:rPr>
        <w:t xml:space="preserve"> (2021)) a s ňou spojená úprava základne zdroja založeného na HND (táto suma prináležala rozpočtovému roku 2021)</w:t>
      </w:r>
      <w:r>
        <w:rPr>
          <w:sz w:val="24"/>
          <w:szCs w:val="24"/>
        </w:rPr>
        <w:t>.</w:t>
      </w:r>
    </w:p>
    <w:p w14:paraId="259F5756" w14:textId="77777777" w:rsidR="003A0696" w:rsidRPr="00A6138F" w:rsidRDefault="003A0696" w:rsidP="003A0696">
      <w:pPr>
        <w:spacing w:before="120" w:after="0" w:line="240" w:lineRule="auto"/>
        <w:rPr>
          <w:sz w:val="24"/>
          <w:szCs w:val="24"/>
        </w:rPr>
      </w:pPr>
      <w:r w:rsidRPr="00A6138F">
        <w:rPr>
          <w:sz w:val="24"/>
          <w:szCs w:val="24"/>
        </w:rPr>
        <w:t xml:space="preserve">Pod </w:t>
      </w:r>
      <w:r w:rsidRPr="00A6138F">
        <w:rPr>
          <w:b/>
          <w:sz w:val="24"/>
          <w:szCs w:val="24"/>
        </w:rPr>
        <w:t>korekciou k fondom EÚ</w:t>
      </w:r>
      <w:r w:rsidRPr="00A6138F">
        <w:rPr>
          <w:sz w:val="24"/>
          <w:szCs w:val="24"/>
        </w:rPr>
        <w:t xml:space="preserve"> sa rozumie porušenie uplatniteľného práva EÚ alebo vnútroštátneho práva v súvislosti s výdavkami, ktoré boli vykázané Európskej komisii alebo v súvislosti s výdavkami schvaľovanými na národnej úrovni, v dôsledku čoho Slovenskej republike nie sú preplatené výdavky, ktoré potom musí pokryť štátny rozpočet. Negatívny vplyv na saldo verejnej správy v roku 2021 mali finančné korekcie vo výške 143 860 tis. eur (korekcie boli oproti rozpočtovaným korekciám vyššie o tú istú hodnotu, nakoľko boli rozpočtované v hodnote 0), z toho v dôsledku zníženia pohľadávky voči EÚ z dôvodu systémových korekcií</w:t>
      </w:r>
      <w:r w:rsidRPr="00A6138F">
        <w:rPr>
          <w:sz w:val="24"/>
          <w:szCs w:val="24"/>
          <w:vertAlign w:val="superscript"/>
        </w:rPr>
        <w:footnoteReference w:id="18"/>
      </w:r>
      <w:r w:rsidRPr="00A6138F">
        <w:rPr>
          <w:sz w:val="24"/>
          <w:szCs w:val="24"/>
        </w:rPr>
        <w:t xml:space="preserve"> v sume 131</w:t>
      </w:r>
      <w:r>
        <w:rPr>
          <w:sz w:val="24"/>
          <w:szCs w:val="24"/>
        </w:rPr>
        <w:t> </w:t>
      </w:r>
      <w:r w:rsidRPr="00A6138F">
        <w:rPr>
          <w:sz w:val="24"/>
          <w:szCs w:val="24"/>
        </w:rPr>
        <w:t>985 tis. eur a individuálnych korekcií</w:t>
      </w:r>
      <w:r w:rsidRPr="00A6138F">
        <w:rPr>
          <w:sz w:val="24"/>
          <w:szCs w:val="24"/>
          <w:vertAlign w:val="superscript"/>
        </w:rPr>
        <w:footnoteReference w:id="19"/>
      </w:r>
      <w:r w:rsidRPr="00A6138F">
        <w:rPr>
          <w:sz w:val="24"/>
          <w:szCs w:val="24"/>
        </w:rPr>
        <w:t xml:space="preserve"> v sume 11</w:t>
      </w:r>
      <w:r>
        <w:rPr>
          <w:sz w:val="24"/>
          <w:szCs w:val="24"/>
        </w:rPr>
        <w:t> </w:t>
      </w:r>
      <w:r w:rsidRPr="00A6138F">
        <w:rPr>
          <w:sz w:val="24"/>
          <w:szCs w:val="24"/>
        </w:rPr>
        <w:t xml:space="preserve">875 tis. eur. </w:t>
      </w:r>
    </w:p>
    <w:p w14:paraId="6CE65229" w14:textId="77777777" w:rsidR="003A0696" w:rsidRPr="00B21CE9" w:rsidRDefault="003A0696" w:rsidP="003A0696">
      <w:pPr>
        <w:spacing w:before="120" w:after="0" w:line="240" w:lineRule="auto"/>
        <w:rPr>
          <w:sz w:val="24"/>
          <w:szCs w:val="24"/>
        </w:rPr>
      </w:pPr>
      <w:r w:rsidRPr="00B21CE9">
        <w:rPr>
          <w:sz w:val="24"/>
          <w:szCs w:val="24"/>
        </w:rPr>
        <w:lastRenderedPageBreak/>
        <w:t xml:space="preserve">V prípade, ak boli korekcie nahradené novými výdavkami, realizujú sa aj príjmy na príjmovom účte platobných jednotiek a zároveň bola v minulosti zaznamenaná programová (systémová) korekcia podľa požiadaviek </w:t>
      </w:r>
      <w:proofErr w:type="spellStart"/>
      <w:r w:rsidRPr="00B21CE9">
        <w:rPr>
          <w:sz w:val="24"/>
          <w:szCs w:val="24"/>
        </w:rPr>
        <w:t>Eurostatu</w:t>
      </w:r>
      <w:proofErr w:type="spellEnd"/>
      <w:r w:rsidRPr="00B21CE9">
        <w:rPr>
          <w:sz w:val="24"/>
          <w:szCs w:val="24"/>
        </w:rPr>
        <w:t xml:space="preserve"> v čase, keď bolo o nej rozhodnuté, išlo by o duplicitné zaznamenanie zníženia pohľadávky EÚ, jednak prostredníctvom nahlásenia korekcií v roku rozhodnutia a potom aj zmenou stavu pohľadávky vypočítanej ako rozdiel príjmov a výdavkov zo zdroja EÚ na rozpočtovom účte štátnych rozpočtových organizácií. Z tohto dôvodu je duplicitný negatívny vplyv na schodok eliminovaný. Uvedené zohľadnila upravujúca položka očistenie vplyvu príjmov za prostriedky EÚ z dôvodu úhrady korekcií na náklady štátu vo výške 212</w:t>
      </w:r>
      <w:r>
        <w:rPr>
          <w:sz w:val="24"/>
          <w:szCs w:val="24"/>
        </w:rPr>
        <w:t> </w:t>
      </w:r>
      <w:r w:rsidRPr="00B21CE9">
        <w:rPr>
          <w:sz w:val="24"/>
          <w:szCs w:val="24"/>
        </w:rPr>
        <w:t>778</w:t>
      </w:r>
      <w:r>
        <w:rPr>
          <w:sz w:val="24"/>
          <w:szCs w:val="24"/>
        </w:rPr>
        <w:t> </w:t>
      </w:r>
      <w:r w:rsidRPr="00B21CE9">
        <w:rPr>
          <w:sz w:val="24"/>
          <w:szCs w:val="24"/>
        </w:rPr>
        <w:t>tis.</w:t>
      </w:r>
      <w:r>
        <w:rPr>
          <w:sz w:val="24"/>
          <w:szCs w:val="24"/>
        </w:rPr>
        <w:t> </w:t>
      </w:r>
      <w:r w:rsidRPr="00B21CE9">
        <w:rPr>
          <w:sz w:val="24"/>
          <w:szCs w:val="24"/>
        </w:rPr>
        <w:t>eur (v  rozpočte sa táto upravujúca položka nerozpočtovala, preto jej výška kladne ovplyvnila rozdiel skutočného schodku oproti rozpočtovanému).</w:t>
      </w:r>
    </w:p>
    <w:p w14:paraId="5AEAD984" w14:textId="77777777" w:rsidR="003A0696" w:rsidRPr="004531DC" w:rsidRDefault="003A0696" w:rsidP="003A0696">
      <w:pPr>
        <w:spacing w:before="120" w:after="0" w:line="240" w:lineRule="auto"/>
        <w:rPr>
          <w:sz w:val="24"/>
          <w:szCs w:val="24"/>
        </w:rPr>
      </w:pPr>
      <w:r w:rsidRPr="004531DC">
        <w:rPr>
          <w:sz w:val="24"/>
          <w:szCs w:val="24"/>
        </w:rPr>
        <w:t xml:space="preserve">Podľa Rozhodnutia </w:t>
      </w:r>
      <w:proofErr w:type="spellStart"/>
      <w:r w:rsidRPr="004531DC">
        <w:rPr>
          <w:sz w:val="24"/>
          <w:szCs w:val="24"/>
        </w:rPr>
        <w:t>Eurostatu</w:t>
      </w:r>
      <w:proofErr w:type="spellEnd"/>
      <w:r w:rsidRPr="004531DC">
        <w:rPr>
          <w:sz w:val="24"/>
          <w:szCs w:val="24"/>
        </w:rPr>
        <w:t xml:space="preserve"> č. 22/2005 o zaznamenávaní transferov z EÚ do členských krajín má byť celkový vplyv EÚ tokov podľa metodiky ESA 2010 na schodok verejnej správy neutrálny. Upravujúca položka, ktorou sa eliminuje vplyv EÚ fondov na saldo verejnej správy, v skutočnosti dosiahla pozitívnu hodnotu 18</w:t>
      </w:r>
      <w:r>
        <w:rPr>
          <w:sz w:val="24"/>
          <w:szCs w:val="24"/>
        </w:rPr>
        <w:t> </w:t>
      </w:r>
      <w:r w:rsidRPr="004531DC">
        <w:rPr>
          <w:sz w:val="24"/>
          <w:szCs w:val="24"/>
        </w:rPr>
        <w:t xml:space="preserve">705 tis. eur. Upravujúca položka bola v rozpočte rozpočtovaná v nulovej hodnote, preto jej vplyv mal pozitívny dopad na rozdiel medzi rozpočtom a skutočným plnením rozpočtu. </w:t>
      </w:r>
    </w:p>
    <w:p w14:paraId="7EA78912" w14:textId="77777777" w:rsidR="003A0696" w:rsidRPr="00E03AD6" w:rsidRDefault="003A0696" w:rsidP="003A0696">
      <w:pPr>
        <w:spacing w:before="120" w:line="240" w:lineRule="auto"/>
        <w:rPr>
          <w:sz w:val="24"/>
          <w:szCs w:val="24"/>
        </w:rPr>
      </w:pPr>
      <w:r w:rsidRPr="00E03AD6">
        <w:rPr>
          <w:sz w:val="24"/>
          <w:szCs w:val="24"/>
        </w:rPr>
        <w:t>Pre zaznamenávanie výdavkov z Plánu Obnovy a odolnosti hradených z EÚ platia rovnaké pravidlá ako pre zaznamenávanie prostriedkov z klasických EŠIF, teda má sa eliminovať ich vplyv na schodok verejnej správy. Hodnota tejto upravujúcej položky na schodok predstavovala v roku 2022 pozitívnu hodnotu 9</w:t>
      </w:r>
      <w:r>
        <w:rPr>
          <w:sz w:val="24"/>
          <w:szCs w:val="24"/>
        </w:rPr>
        <w:t> </w:t>
      </w:r>
      <w:r w:rsidRPr="00E03AD6">
        <w:rPr>
          <w:sz w:val="24"/>
          <w:szCs w:val="24"/>
        </w:rPr>
        <w:t>394 tis. eur.</w:t>
      </w:r>
    </w:p>
    <w:p w14:paraId="7C427BDC" w14:textId="77777777" w:rsidR="003A0696" w:rsidRPr="001E4A29" w:rsidRDefault="003A0696" w:rsidP="003A0696">
      <w:pPr>
        <w:spacing w:before="120" w:line="240" w:lineRule="auto"/>
        <w:rPr>
          <w:b/>
          <w:color w:val="5B9BD5" w:themeColor="accent1"/>
          <w:sz w:val="24"/>
          <w:szCs w:val="24"/>
        </w:rPr>
      </w:pPr>
      <w:r w:rsidRPr="001E4A29">
        <w:rPr>
          <w:b/>
          <w:color w:val="5B9BD5" w:themeColor="accent1"/>
          <w:sz w:val="24"/>
          <w:szCs w:val="24"/>
        </w:rPr>
        <w:t>Zelená energia</w:t>
      </w:r>
    </w:p>
    <w:p w14:paraId="1D969EBC" w14:textId="77777777" w:rsidR="003A0696" w:rsidRPr="00174454" w:rsidRDefault="003A0696" w:rsidP="003A0696">
      <w:pPr>
        <w:spacing w:after="0" w:line="240" w:lineRule="auto"/>
        <w:rPr>
          <w:sz w:val="24"/>
          <w:szCs w:val="24"/>
        </w:rPr>
      </w:pPr>
      <w:r w:rsidRPr="00174454">
        <w:rPr>
          <w:sz w:val="24"/>
          <w:szCs w:val="24"/>
        </w:rPr>
        <w:t>Podpora obnoviteľných zdrojov energie (OZE) sa realizuje prostredníctvom štátu, ktorý chce podporiť OZE pomocou povinného výkupu energie za vyššiu cenu. Od roku 2020 už túto povinnosť výkupu nemajú distribučné spoločnosti ako v minulosti, ale SPP/OKTE (Organizátor krátkodobého trhu s elektrinou). Pri podpore výroby ide o nekomerčnú aktivitu vykonávanú jednotkami nepatriacimi do sektora verejnej správy, ktoré vykupujú viac za elektrinu z OZE, pretože im to ukladá zákon, teda vykonávajú vládnu politiku v oblasti podpory OZE.</w:t>
      </w:r>
    </w:p>
    <w:p w14:paraId="365456DB" w14:textId="77777777" w:rsidR="003A0696" w:rsidRPr="00174454" w:rsidRDefault="003A0696" w:rsidP="003A0696">
      <w:pPr>
        <w:spacing w:before="120" w:after="0" w:line="240" w:lineRule="auto"/>
        <w:rPr>
          <w:sz w:val="24"/>
          <w:szCs w:val="24"/>
        </w:rPr>
      </w:pPr>
      <w:r w:rsidRPr="00174454">
        <w:rPr>
          <w:sz w:val="24"/>
          <w:szCs w:val="24"/>
        </w:rPr>
        <w:t xml:space="preserve">Z toho dôvodu sa </w:t>
      </w:r>
      <w:proofErr w:type="spellStart"/>
      <w:r w:rsidRPr="00174454">
        <w:rPr>
          <w:sz w:val="24"/>
          <w:szCs w:val="24"/>
        </w:rPr>
        <w:t>presmerovávajú</w:t>
      </w:r>
      <w:proofErr w:type="spellEnd"/>
      <w:r w:rsidRPr="00174454">
        <w:rPr>
          <w:sz w:val="24"/>
          <w:szCs w:val="24"/>
        </w:rPr>
        <w:t xml:space="preserve"> predmetné transakcie cez sektor verejnej správy, kde neverejné jednotky vyberajú dane a zároveň poskytujú subvencie výrobcom energie. Dane platí obyvateľstvo v cenách energie v rámci tarify za prevádzku systému (TPS) a podpora OZE sa realizuje výkupom elektriny za zvýšenú cenu v podobe subvencie.</w:t>
      </w:r>
    </w:p>
    <w:p w14:paraId="5C94F11D" w14:textId="77777777" w:rsidR="003A0696" w:rsidRPr="00062FFE" w:rsidRDefault="003A0696" w:rsidP="003A0696">
      <w:pPr>
        <w:spacing w:before="120" w:after="0" w:line="240" w:lineRule="auto"/>
        <w:rPr>
          <w:sz w:val="24"/>
          <w:szCs w:val="24"/>
          <w:highlight w:val="yellow"/>
        </w:rPr>
      </w:pPr>
      <w:r w:rsidRPr="001E4A29">
        <w:rPr>
          <w:sz w:val="24"/>
          <w:szCs w:val="24"/>
        </w:rPr>
        <w:t>V roku 202</w:t>
      </w:r>
      <w:r>
        <w:rPr>
          <w:sz w:val="24"/>
          <w:szCs w:val="24"/>
        </w:rPr>
        <w:t>2</w:t>
      </w:r>
      <w:r w:rsidRPr="001E4A29">
        <w:rPr>
          <w:sz w:val="24"/>
          <w:szCs w:val="24"/>
        </w:rPr>
        <w:t xml:space="preserve"> boli inkasované daňové príjmy prostredníctvom TPS vo výške 266</w:t>
      </w:r>
      <w:r>
        <w:rPr>
          <w:sz w:val="24"/>
          <w:szCs w:val="24"/>
        </w:rPr>
        <w:t> </w:t>
      </w:r>
      <w:r w:rsidRPr="001E4A29">
        <w:rPr>
          <w:sz w:val="24"/>
          <w:szCs w:val="24"/>
        </w:rPr>
        <w:t>330 tis. eur, čo bolo o</w:t>
      </w:r>
      <w:r>
        <w:rPr>
          <w:sz w:val="24"/>
          <w:szCs w:val="24"/>
        </w:rPr>
        <w:t> </w:t>
      </w:r>
      <w:r w:rsidRPr="001E4A29">
        <w:rPr>
          <w:sz w:val="24"/>
          <w:szCs w:val="24"/>
        </w:rPr>
        <w:t>122</w:t>
      </w:r>
      <w:r>
        <w:rPr>
          <w:sz w:val="24"/>
          <w:szCs w:val="24"/>
        </w:rPr>
        <w:t> </w:t>
      </w:r>
      <w:r w:rsidRPr="001E4A29">
        <w:rPr>
          <w:sz w:val="24"/>
          <w:szCs w:val="24"/>
        </w:rPr>
        <w:t>231 tis. eur menej oproti rozpočtovaným príjmom. Na strane výdavkov na podporu obnoviteľných zdrojov energie a vysoko účinnej kombinovanej výroby energie bol vyplatený objem subvencií vo výške 175</w:t>
      </w:r>
      <w:r>
        <w:rPr>
          <w:sz w:val="24"/>
          <w:szCs w:val="24"/>
        </w:rPr>
        <w:t> </w:t>
      </w:r>
      <w:r w:rsidRPr="001E4A29">
        <w:rPr>
          <w:sz w:val="24"/>
          <w:szCs w:val="24"/>
        </w:rPr>
        <w:t>392 tis. eur, čo bolo menej oproti rozpočtu o</w:t>
      </w:r>
      <w:r>
        <w:rPr>
          <w:sz w:val="24"/>
          <w:szCs w:val="24"/>
        </w:rPr>
        <w:t> </w:t>
      </w:r>
      <w:r w:rsidRPr="001E4A29">
        <w:rPr>
          <w:sz w:val="24"/>
          <w:szCs w:val="24"/>
        </w:rPr>
        <w:t>228</w:t>
      </w:r>
      <w:r>
        <w:rPr>
          <w:sz w:val="24"/>
          <w:szCs w:val="24"/>
        </w:rPr>
        <w:t> </w:t>
      </w:r>
      <w:r w:rsidRPr="001E4A29">
        <w:rPr>
          <w:sz w:val="24"/>
          <w:szCs w:val="24"/>
        </w:rPr>
        <w:t xml:space="preserve">412 tis. eur. </w:t>
      </w:r>
      <w:r w:rsidRPr="001E4A29">
        <w:rPr>
          <w:b/>
          <w:sz w:val="24"/>
          <w:szCs w:val="24"/>
        </w:rPr>
        <w:t>Saldo schémy podpory zelenej energie v roku 2022 dosiahlo prebytok 90</w:t>
      </w:r>
      <w:r>
        <w:rPr>
          <w:b/>
          <w:sz w:val="24"/>
          <w:szCs w:val="24"/>
        </w:rPr>
        <w:t> </w:t>
      </w:r>
      <w:r w:rsidRPr="001E4A29">
        <w:rPr>
          <w:b/>
          <w:sz w:val="24"/>
          <w:szCs w:val="24"/>
        </w:rPr>
        <w:t xml:space="preserve">938 tis. eur, </w:t>
      </w:r>
      <w:r w:rsidRPr="001E4A29">
        <w:rPr>
          <w:sz w:val="24"/>
          <w:szCs w:val="24"/>
        </w:rPr>
        <w:t>ktorý bol spôsobený vzhľadom na vývoj cien nižšou potrebou dotovania výroby obnoviteľných zdrojov energie.</w:t>
      </w:r>
    </w:p>
    <w:p w14:paraId="58F2D268" w14:textId="77777777" w:rsidR="003A0696" w:rsidRDefault="003A0696" w:rsidP="003A0696">
      <w:pPr>
        <w:spacing w:before="120" w:after="0" w:line="240" w:lineRule="auto"/>
        <w:rPr>
          <w:sz w:val="24"/>
          <w:szCs w:val="24"/>
        </w:rPr>
      </w:pPr>
      <w:r w:rsidRPr="00BE495D">
        <w:rPr>
          <w:sz w:val="24"/>
          <w:szCs w:val="24"/>
        </w:rPr>
        <w:t>Nevyplatené úhrady distribučným spoločnostiam za predchádzajúce roky podpory predstavujú maastrichtský dlh verejnej správy, pričom dĺžka a výška splácania bude určovaná Úradom pre reguláciu sieťových odvetví. Tieto úhrady sa podľa metodiky ESA 2010 nepovažujú za výdavok ovplyvňujúci schodok a hotovostný výdavok sa </w:t>
      </w:r>
      <w:proofErr w:type="spellStart"/>
      <w:r w:rsidRPr="00BE495D">
        <w:rPr>
          <w:sz w:val="24"/>
          <w:szCs w:val="24"/>
        </w:rPr>
        <w:t>reklasifikuje</w:t>
      </w:r>
      <w:proofErr w:type="spellEnd"/>
      <w:r w:rsidRPr="00BE495D">
        <w:rPr>
          <w:sz w:val="24"/>
          <w:szCs w:val="24"/>
        </w:rPr>
        <w:t xml:space="preserve"> na splátku dlhu. </w:t>
      </w:r>
      <w:r>
        <w:rPr>
          <w:sz w:val="24"/>
          <w:szCs w:val="24"/>
        </w:rPr>
        <w:t>Výška maastrichtského dlhu z podpory zelenej energie predstavovala v roku 2021 209 938 tis. eur a v </w:t>
      </w:r>
      <w:r w:rsidRPr="005959F7">
        <w:rPr>
          <w:sz w:val="24"/>
          <w:szCs w:val="24"/>
        </w:rPr>
        <w:t>roku 2022 splátky dlhov distribučným spoločnostiam za predchádzajúce roky predstavovali 90</w:t>
      </w:r>
      <w:r>
        <w:rPr>
          <w:sz w:val="24"/>
          <w:szCs w:val="24"/>
        </w:rPr>
        <w:t> </w:t>
      </w:r>
      <w:r w:rsidRPr="005959F7">
        <w:rPr>
          <w:sz w:val="24"/>
          <w:szCs w:val="24"/>
        </w:rPr>
        <w:t>938</w:t>
      </w:r>
      <w:r>
        <w:rPr>
          <w:sz w:val="24"/>
          <w:szCs w:val="24"/>
        </w:rPr>
        <w:t> </w:t>
      </w:r>
      <w:r w:rsidRPr="005959F7">
        <w:rPr>
          <w:sz w:val="24"/>
          <w:szCs w:val="24"/>
        </w:rPr>
        <w:t>tis.</w:t>
      </w:r>
      <w:r>
        <w:rPr>
          <w:sz w:val="24"/>
          <w:szCs w:val="24"/>
        </w:rPr>
        <w:t> </w:t>
      </w:r>
      <w:r w:rsidRPr="005959F7">
        <w:rPr>
          <w:sz w:val="24"/>
          <w:szCs w:val="24"/>
        </w:rPr>
        <w:t>eur, preto sa výška maastrichtského dlhu v roku 2022 znížila na 119</w:t>
      </w:r>
      <w:r>
        <w:rPr>
          <w:sz w:val="24"/>
          <w:szCs w:val="24"/>
        </w:rPr>
        <w:t> </w:t>
      </w:r>
      <w:r w:rsidRPr="005959F7">
        <w:rPr>
          <w:sz w:val="24"/>
          <w:szCs w:val="24"/>
        </w:rPr>
        <w:t>000</w:t>
      </w:r>
      <w:r>
        <w:rPr>
          <w:sz w:val="24"/>
          <w:szCs w:val="24"/>
        </w:rPr>
        <w:t> </w:t>
      </w:r>
      <w:r w:rsidRPr="005959F7">
        <w:rPr>
          <w:sz w:val="24"/>
          <w:szCs w:val="24"/>
        </w:rPr>
        <w:t>tis.</w:t>
      </w:r>
      <w:r>
        <w:rPr>
          <w:sz w:val="24"/>
          <w:szCs w:val="24"/>
        </w:rPr>
        <w:t> </w:t>
      </w:r>
      <w:r w:rsidRPr="005959F7">
        <w:rPr>
          <w:sz w:val="24"/>
          <w:szCs w:val="24"/>
        </w:rPr>
        <w:t>eur.</w:t>
      </w:r>
    </w:p>
    <w:p w14:paraId="767EB6B2" w14:textId="77777777" w:rsidR="003A0696" w:rsidRDefault="003A0696" w:rsidP="003A0696">
      <w:pPr>
        <w:keepNext/>
        <w:spacing w:before="120" w:line="240" w:lineRule="auto"/>
        <w:rPr>
          <w:b/>
          <w:color w:val="5B9BD5" w:themeColor="accent1"/>
          <w:sz w:val="24"/>
          <w:szCs w:val="24"/>
        </w:rPr>
      </w:pPr>
      <w:r>
        <w:rPr>
          <w:b/>
          <w:color w:val="5B9BD5" w:themeColor="accent1"/>
          <w:sz w:val="24"/>
          <w:szCs w:val="24"/>
        </w:rPr>
        <w:lastRenderedPageBreak/>
        <w:t>Výdavky na obstarávanie kapitálových aktív štátneho rozpočtu</w:t>
      </w:r>
    </w:p>
    <w:p w14:paraId="7633BF79" w14:textId="77777777" w:rsidR="003A0696" w:rsidRDefault="003A0696" w:rsidP="003A0696">
      <w:pPr>
        <w:keepNext/>
        <w:spacing w:before="120" w:line="240" w:lineRule="auto"/>
        <w:rPr>
          <w:b/>
          <w:color w:val="5B9BD5" w:themeColor="accent1"/>
          <w:sz w:val="24"/>
          <w:szCs w:val="24"/>
        </w:rPr>
      </w:pPr>
      <w:r>
        <w:rPr>
          <w:rFonts w:cs="Times New Roman"/>
          <w:sz w:val="24"/>
          <w:szCs w:val="24"/>
        </w:rPr>
        <w:t xml:space="preserve">V súlade s princípmi </w:t>
      </w:r>
      <w:proofErr w:type="spellStart"/>
      <w:r>
        <w:rPr>
          <w:rFonts w:cs="Times New Roman"/>
          <w:sz w:val="24"/>
          <w:szCs w:val="24"/>
        </w:rPr>
        <w:t>zero</w:t>
      </w:r>
      <w:proofErr w:type="spellEnd"/>
      <w:r>
        <w:rPr>
          <w:rFonts w:cs="Times New Roman"/>
          <w:sz w:val="24"/>
          <w:szCs w:val="24"/>
        </w:rPr>
        <w:t xml:space="preserve"> </w:t>
      </w:r>
      <w:proofErr w:type="spellStart"/>
      <w:r>
        <w:rPr>
          <w:rFonts w:cs="Times New Roman"/>
          <w:sz w:val="24"/>
          <w:szCs w:val="24"/>
        </w:rPr>
        <w:t>based</w:t>
      </w:r>
      <w:proofErr w:type="spellEnd"/>
      <w:r>
        <w:rPr>
          <w:rFonts w:cs="Times New Roman"/>
          <w:sz w:val="24"/>
          <w:szCs w:val="24"/>
        </w:rPr>
        <w:t xml:space="preserve"> </w:t>
      </w:r>
      <w:proofErr w:type="spellStart"/>
      <w:r>
        <w:rPr>
          <w:rFonts w:cs="Times New Roman"/>
          <w:sz w:val="24"/>
          <w:szCs w:val="24"/>
        </w:rPr>
        <w:t>budgetingu</w:t>
      </w:r>
      <w:proofErr w:type="spellEnd"/>
      <w:r>
        <w:rPr>
          <w:rFonts w:cs="Times New Roman"/>
          <w:sz w:val="24"/>
          <w:szCs w:val="24"/>
        </w:rPr>
        <w:t xml:space="preserve"> väčšina výdavkov na obstaranie kapitálu</w:t>
      </w:r>
      <w:r w:rsidRPr="001E163B">
        <w:rPr>
          <w:rFonts w:cs="Times New Roman"/>
          <w:sz w:val="24"/>
          <w:szCs w:val="24"/>
        </w:rPr>
        <w:t xml:space="preserve"> na rok 2022 </w:t>
      </w:r>
      <w:r>
        <w:rPr>
          <w:rFonts w:cs="Times New Roman"/>
          <w:sz w:val="24"/>
          <w:szCs w:val="24"/>
        </w:rPr>
        <w:t xml:space="preserve">(nové investičné projekty) </w:t>
      </w:r>
      <w:r w:rsidRPr="001E163B">
        <w:rPr>
          <w:rFonts w:cs="Times New Roman"/>
          <w:sz w:val="24"/>
          <w:szCs w:val="24"/>
        </w:rPr>
        <w:t>bol</w:t>
      </w:r>
      <w:r>
        <w:rPr>
          <w:rFonts w:cs="Times New Roman"/>
          <w:sz w:val="24"/>
          <w:szCs w:val="24"/>
        </w:rPr>
        <w:t>o</w:t>
      </w:r>
      <w:r w:rsidRPr="001E163B">
        <w:rPr>
          <w:rFonts w:cs="Times New Roman"/>
          <w:sz w:val="24"/>
          <w:szCs w:val="24"/>
        </w:rPr>
        <w:t xml:space="preserve"> rozpočtovan</w:t>
      </w:r>
      <w:r>
        <w:rPr>
          <w:rFonts w:cs="Times New Roman"/>
          <w:sz w:val="24"/>
          <w:szCs w:val="24"/>
        </w:rPr>
        <w:t>ých</w:t>
      </w:r>
      <w:r w:rsidRPr="001E163B">
        <w:rPr>
          <w:rFonts w:cs="Times New Roman"/>
          <w:sz w:val="24"/>
          <w:szCs w:val="24"/>
        </w:rPr>
        <w:t xml:space="preserve"> v</w:t>
      </w:r>
      <w:r>
        <w:rPr>
          <w:rFonts w:cs="Times New Roman"/>
          <w:sz w:val="24"/>
          <w:szCs w:val="24"/>
        </w:rPr>
        <w:t> </w:t>
      </w:r>
      <w:r w:rsidRPr="001E163B">
        <w:rPr>
          <w:rFonts w:cs="Times New Roman"/>
          <w:sz w:val="24"/>
          <w:szCs w:val="24"/>
        </w:rPr>
        <w:t xml:space="preserve">kapitole Všeobecná pokladničná správa </w:t>
      </w:r>
      <w:r>
        <w:rPr>
          <w:rFonts w:cs="Times New Roman"/>
          <w:sz w:val="24"/>
          <w:szCs w:val="24"/>
        </w:rPr>
        <w:t>podľa požiadaviek jednotlivých kapitol vo výške 1 314 530 tis. eur, pričom celková suma rozpočtovaných výdavkov štátneho rozpočtu bola 2 258 374 tis. eur. Skutočné plnenie bolo nižšie o 1 172 166 tis. eur z dôvodu, že sa realizovalo len za odsúhlasené projekty.</w:t>
      </w:r>
    </w:p>
    <w:p w14:paraId="3A458C0E" w14:textId="77777777" w:rsidR="003A0696" w:rsidRPr="00406B49" w:rsidRDefault="003A0696" w:rsidP="003A0696">
      <w:pPr>
        <w:spacing w:before="120" w:line="240" w:lineRule="auto"/>
        <w:rPr>
          <w:b/>
          <w:bCs/>
          <w:color w:val="5B9BD5" w:themeColor="accent1"/>
          <w:sz w:val="24"/>
          <w:szCs w:val="24"/>
        </w:rPr>
      </w:pPr>
      <w:r w:rsidRPr="00406B49">
        <w:rPr>
          <w:b/>
          <w:color w:val="5B9BD5" w:themeColor="accent1"/>
          <w:sz w:val="24"/>
          <w:szCs w:val="24"/>
        </w:rPr>
        <w:t xml:space="preserve">Vplyv </w:t>
      </w:r>
      <w:r w:rsidRPr="00406B49">
        <w:rPr>
          <w:b/>
          <w:bCs/>
          <w:color w:val="5B9BD5" w:themeColor="accent1"/>
          <w:sz w:val="24"/>
          <w:szCs w:val="24"/>
        </w:rPr>
        <w:t>akruálnych príjmov a výdavkov na obsluhu štátneho dlhu</w:t>
      </w:r>
    </w:p>
    <w:p w14:paraId="191ABBBF" w14:textId="77777777" w:rsidR="003A0696" w:rsidRPr="00406B49" w:rsidRDefault="003A0696" w:rsidP="003A0696">
      <w:pPr>
        <w:spacing w:line="240" w:lineRule="auto"/>
        <w:rPr>
          <w:sz w:val="24"/>
          <w:szCs w:val="24"/>
        </w:rPr>
      </w:pPr>
      <w:r w:rsidRPr="00406B49">
        <w:rPr>
          <w:sz w:val="24"/>
          <w:szCs w:val="24"/>
        </w:rPr>
        <w:t>Bilancia príjmov a výdavkov na obsluhu štátneho dlhu v akruálnom vyjadrení zvýšila saldo verejnej správy o 91</w:t>
      </w:r>
      <w:r>
        <w:rPr>
          <w:sz w:val="24"/>
          <w:szCs w:val="24"/>
        </w:rPr>
        <w:t> </w:t>
      </w:r>
      <w:r w:rsidRPr="00406B49">
        <w:rPr>
          <w:sz w:val="24"/>
          <w:szCs w:val="24"/>
        </w:rPr>
        <w:t>996</w:t>
      </w:r>
      <w:r>
        <w:rPr>
          <w:sz w:val="24"/>
          <w:szCs w:val="24"/>
        </w:rPr>
        <w:t> tis. </w:t>
      </w:r>
      <w:r w:rsidRPr="00406B49">
        <w:rPr>
          <w:sz w:val="24"/>
          <w:szCs w:val="24"/>
        </w:rPr>
        <w:t>eur. Oproti rozpočtovanej úrovni 104 509 ti</w:t>
      </w:r>
      <w:r>
        <w:rPr>
          <w:sz w:val="24"/>
          <w:szCs w:val="24"/>
        </w:rPr>
        <w:t>s. eur sa deficit zvýšil o 12 51</w:t>
      </w:r>
      <w:r w:rsidRPr="00406B49">
        <w:rPr>
          <w:sz w:val="24"/>
          <w:szCs w:val="24"/>
        </w:rPr>
        <w:t>3</w:t>
      </w:r>
      <w:r>
        <w:rPr>
          <w:sz w:val="24"/>
          <w:szCs w:val="24"/>
        </w:rPr>
        <w:t> </w:t>
      </w:r>
      <w:r w:rsidRPr="00406B49">
        <w:rPr>
          <w:sz w:val="24"/>
          <w:szCs w:val="24"/>
        </w:rPr>
        <w:t>tis.</w:t>
      </w:r>
      <w:r>
        <w:rPr>
          <w:sz w:val="24"/>
          <w:szCs w:val="24"/>
        </w:rPr>
        <w:t> </w:t>
      </w:r>
      <w:r w:rsidRPr="00406B49">
        <w:rPr>
          <w:sz w:val="24"/>
          <w:szCs w:val="24"/>
        </w:rPr>
        <w:t>eur. Vplyv na bilanciu príjmov a výdavkov mal takmer výlučne rozdiel v hotovostných a akruálnych výdavkov na obsluhu štátneho dlhu</w:t>
      </w:r>
      <w:r>
        <w:rPr>
          <w:sz w:val="24"/>
          <w:szCs w:val="24"/>
        </w:rPr>
        <w:t>. P</w:t>
      </w:r>
      <w:r w:rsidRPr="00406B49">
        <w:rPr>
          <w:sz w:val="24"/>
          <w:szCs w:val="24"/>
        </w:rPr>
        <w:t>ôvodne boli plánované vyššie akruálne výdavky</w:t>
      </w:r>
      <w:r>
        <w:rPr>
          <w:sz w:val="24"/>
          <w:szCs w:val="24"/>
        </w:rPr>
        <w:t>,</w:t>
      </w:r>
      <w:r w:rsidRPr="00406B49">
        <w:rPr>
          <w:sz w:val="24"/>
          <w:szCs w:val="24"/>
        </w:rPr>
        <w:t xml:space="preserve"> no z dôvodu nižšieho ako plánovaného hotovostného schodku </w:t>
      </w:r>
      <w:r>
        <w:rPr>
          <w:sz w:val="24"/>
          <w:szCs w:val="24"/>
        </w:rPr>
        <w:t>štátneho rozpočtu, bolo emitovaných</w:t>
      </w:r>
      <w:r w:rsidRPr="00406B49">
        <w:rPr>
          <w:sz w:val="24"/>
          <w:szCs w:val="24"/>
        </w:rPr>
        <w:t xml:space="preserve"> menej štátnych dlhopisov, čiže akruálne náklady na úroky boli nižšie ako sme očakávali. </w:t>
      </w:r>
    </w:p>
    <w:p w14:paraId="31A14CE1" w14:textId="77777777" w:rsidR="003A0696" w:rsidRPr="00984A2A" w:rsidRDefault="003A0696" w:rsidP="003A0696">
      <w:pPr>
        <w:spacing w:line="240" w:lineRule="auto"/>
        <w:rPr>
          <w:rFonts w:cs="Times New Roman"/>
          <w:b/>
          <w:color w:val="5B9BD5" w:themeColor="accent1"/>
          <w:sz w:val="24"/>
          <w:szCs w:val="24"/>
        </w:rPr>
      </w:pPr>
      <w:r w:rsidRPr="00984A2A">
        <w:rPr>
          <w:rFonts w:cs="Times New Roman"/>
          <w:b/>
          <w:color w:val="5B9BD5" w:themeColor="accent1"/>
          <w:sz w:val="24"/>
          <w:szCs w:val="24"/>
        </w:rPr>
        <w:t>Hospodárenie vybraných subjektov verejnej správy (na nekonsolidovanej báze)</w:t>
      </w:r>
    </w:p>
    <w:p w14:paraId="140F19F3" w14:textId="77777777" w:rsidR="003A0696" w:rsidRPr="00660C7B" w:rsidRDefault="003A0696" w:rsidP="003A0696">
      <w:pPr>
        <w:spacing w:before="120" w:after="0" w:line="240" w:lineRule="auto"/>
        <w:rPr>
          <w:rFonts w:cs="Times New Roman"/>
          <w:sz w:val="24"/>
          <w:szCs w:val="24"/>
        </w:rPr>
      </w:pPr>
      <w:r w:rsidRPr="00660C7B">
        <w:rPr>
          <w:rFonts w:cs="Times New Roman"/>
          <w:b/>
          <w:sz w:val="24"/>
          <w:szCs w:val="24"/>
        </w:rPr>
        <w:t xml:space="preserve">Sociálna poisťovňa </w:t>
      </w:r>
      <w:r w:rsidRPr="00660C7B">
        <w:rPr>
          <w:rFonts w:cs="Times New Roman"/>
          <w:sz w:val="24"/>
          <w:szCs w:val="24"/>
        </w:rPr>
        <w:t xml:space="preserve">dosiahla hotovostný prebytok vo výške 220 727 tis. eur (oproti rozpočtu je o 271 801 tis. eur vyšší). Pozitívny vplyv na hotovostný prebytok mali vyššie príjmy na poistnom o 507 972 tis. eur, do ktorých patrí aj odplata za pohľadávky z poistného voči zdravotníckym zariadeniam postúpené na štátnu spoločnosť </w:t>
      </w:r>
      <w:proofErr w:type="spellStart"/>
      <w:r w:rsidRPr="00660C7B">
        <w:rPr>
          <w:rFonts w:cs="Times New Roman"/>
          <w:sz w:val="24"/>
          <w:szCs w:val="24"/>
        </w:rPr>
        <w:t>Debitum</w:t>
      </w:r>
      <w:proofErr w:type="spellEnd"/>
      <w:r w:rsidRPr="00660C7B">
        <w:rPr>
          <w:rFonts w:cs="Times New Roman"/>
          <w:sz w:val="24"/>
          <w:szCs w:val="24"/>
        </w:rPr>
        <w:t>, a. s</w:t>
      </w:r>
      <w:r>
        <w:rPr>
          <w:rFonts w:cs="Times New Roman"/>
          <w:sz w:val="24"/>
          <w:szCs w:val="24"/>
        </w:rPr>
        <w:t> </w:t>
      </w:r>
      <w:r w:rsidRPr="00660C7B">
        <w:rPr>
          <w:rFonts w:cs="Times New Roman"/>
          <w:sz w:val="24"/>
          <w:szCs w:val="24"/>
        </w:rPr>
        <w:t xml:space="preserve"> v sume 198 636 tis. eur. Išlo o vplyv druhej etapy oddlžovania</w:t>
      </w:r>
      <w:r w:rsidRPr="00660C7B">
        <w:rPr>
          <w:sz w:val="24"/>
          <w:szCs w:val="24"/>
        </w:rPr>
        <w:t xml:space="preserve"> v súlade s Návrhom finančnej stabilizácie zdravotníckych zariadení schválenej vládou SR v roku 2020</w:t>
      </w:r>
      <w:r w:rsidRPr="00660C7B">
        <w:rPr>
          <w:rStyle w:val="Odkaznapoznmkupodiarou"/>
          <w:sz w:val="24"/>
          <w:szCs w:val="24"/>
        </w:rPr>
        <w:footnoteReference w:id="20"/>
      </w:r>
      <w:r w:rsidRPr="00660C7B">
        <w:rPr>
          <w:sz w:val="24"/>
          <w:szCs w:val="24"/>
        </w:rPr>
        <w:t>. Ďalej sa v rozpočte predpokladali vyššie výdavky poistenia v súvislosti s pandémiou </w:t>
      </w:r>
      <w:r>
        <w:rPr>
          <w:sz w:val="24"/>
          <w:szCs w:val="24"/>
        </w:rPr>
        <w:t xml:space="preserve"> </w:t>
      </w:r>
      <w:r w:rsidRPr="00660C7B">
        <w:rPr>
          <w:sz w:val="24"/>
          <w:szCs w:val="24"/>
        </w:rPr>
        <w:t>(</w:t>
      </w:r>
      <w:proofErr w:type="spellStart"/>
      <w:r w:rsidRPr="00660C7B">
        <w:rPr>
          <w:sz w:val="24"/>
          <w:szCs w:val="24"/>
        </w:rPr>
        <w:t>pandemické</w:t>
      </w:r>
      <w:proofErr w:type="spellEnd"/>
      <w:r w:rsidRPr="00660C7B">
        <w:rPr>
          <w:sz w:val="24"/>
          <w:szCs w:val="24"/>
        </w:rPr>
        <w:t xml:space="preserve"> nemocenské dávky, ošetrovné a dávky v nezamestnanosti). </w:t>
      </w:r>
      <w:r w:rsidRPr="00660C7B">
        <w:rPr>
          <w:rFonts w:cs="Times New Roman"/>
          <w:sz w:val="24"/>
          <w:szCs w:val="24"/>
        </w:rPr>
        <w:t>Výdavky poistenia v roku 2022 prestavovali sumu 9 586 387 tis. eur, čo bolo o 81 574 tis. eur menej ako sa predpokladalo.</w:t>
      </w:r>
    </w:p>
    <w:p w14:paraId="22633A53" w14:textId="77777777" w:rsidR="003A0696" w:rsidRPr="00660C7B" w:rsidRDefault="003A0696" w:rsidP="003A0696">
      <w:pPr>
        <w:spacing w:before="120" w:after="0" w:line="240" w:lineRule="auto"/>
        <w:rPr>
          <w:rFonts w:cs="Times New Roman"/>
          <w:b/>
          <w:sz w:val="24"/>
          <w:szCs w:val="24"/>
        </w:rPr>
      </w:pPr>
      <w:r w:rsidRPr="00660C7B">
        <w:rPr>
          <w:rFonts w:cs="Times New Roman"/>
          <w:sz w:val="24"/>
          <w:szCs w:val="24"/>
        </w:rPr>
        <w:t xml:space="preserve">Sociálna poisťovňa dosiahla ESA prebytok vo výške 136 679 tis. eur (oproti rozpočtu je o 182 224 tis. eur vyšší). Na zlepšenie hospodárenia oproti hotovostnému prebytku vplývala najmä </w:t>
      </w:r>
      <w:proofErr w:type="spellStart"/>
      <w:r w:rsidRPr="00660C7B">
        <w:rPr>
          <w:rFonts w:cs="Times New Roman"/>
          <w:sz w:val="24"/>
          <w:szCs w:val="24"/>
        </w:rPr>
        <w:t>imputácia</w:t>
      </w:r>
      <w:proofErr w:type="spellEnd"/>
      <w:r w:rsidRPr="00660C7B">
        <w:rPr>
          <w:rFonts w:cs="Times New Roman"/>
          <w:sz w:val="24"/>
          <w:szCs w:val="24"/>
        </w:rPr>
        <w:t xml:space="preserve"> pohľadávok na poistnom voči zdravotníckym zariadeniam vo výške 104 266</w:t>
      </w:r>
      <w:r w:rsidRPr="00660C7B">
        <w:rPr>
          <w:sz w:val="24"/>
          <w:szCs w:val="24"/>
        </w:rPr>
        <w:t> tis</w:t>
      </w:r>
      <w:r w:rsidRPr="00660C7B">
        <w:rPr>
          <w:rFonts w:cs="Times New Roman"/>
          <w:sz w:val="24"/>
          <w:szCs w:val="24"/>
        </w:rPr>
        <w:t xml:space="preserve">. eur a </w:t>
      </w:r>
      <w:proofErr w:type="spellStart"/>
      <w:r w:rsidRPr="00660C7B">
        <w:rPr>
          <w:rFonts w:cs="Times New Roman"/>
          <w:sz w:val="24"/>
          <w:szCs w:val="24"/>
        </w:rPr>
        <w:t>akrualizáca</w:t>
      </w:r>
      <w:proofErr w:type="spellEnd"/>
      <w:r w:rsidRPr="00660C7B">
        <w:rPr>
          <w:rFonts w:cs="Times New Roman"/>
          <w:sz w:val="24"/>
          <w:szCs w:val="24"/>
        </w:rPr>
        <w:t xml:space="preserve"> poistného vo výške 6 302 tis. eur (o 18 392 tis. eur menej ako sa predpokladalo)</w:t>
      </w:r>
      <w:r w:rsidRPr="00660C7B">
        <w:rPr>
          <w:rFonts w:cs="Times New Roman"/>
          <w:sz w:val="24"/>
          <w:szCs w:val="24"/>
          <w:vertAlign w:val="superscript"/>
        </w:rPr>
        <w:footnoteReference w:id="21"/>
      </w:r>
      <w:r w:rsidRPr="00660C7B">
        <w:rPr>
          <w:rFonts w:cs="Times New Roman"/>
          <w:sz w:val="24"/>
          <w:szCs w:val="24"/>
        </w:rPr>
        <w:t xml:space="preserve"> Ďalším pozitívnym vplyvom bola </w:t>
      </w:r>
      <w:proofErr w:type="spellStart"/>
      <w:r w:rsidRPr="00660C7B">
        <w:rPr>
          <w:rFonts w:cs="Times New Roman"/>
          <w:sz w:val="24"/>
          <w:szCs w:val="24"/>
        </w:rPr>
        <w:t>akrualizácia</w:t>
      </w:r>
      <w:proofErr w:type="spellEnd"/>
      <w:r w:rsidRPr="00660C7B">
        <w:rPr>
          <w:rFonts w:cs="Times New Roman"/>
          <w:sz w:val="24"/>
          <w:szCs w:val="24"/>
        </w:rPr>
        <w:t xml:space="preserve"> hotovostného výdavku z dôchodkových dávok</w:t>
      </w:r>
      <w:r w:rsidRPr="00660C7B">
        <w:rPr>
          <w:rFonts w:cs="Times New Roman"/>
          <w:sz w:val="24"/>
          <w:szCs w:val="24"/>
          <w:vertAlign w:val="superscript"/>
        </w:rPr>
        <w:footnoteReference w:id="22"/>
      </w:r>
      <w:r w:rsidRPr="00660C7B">
        <w:rPr>
          <w:rFonts w:cs="Times New Roman"/>
          <w:sz w:val="24"/>
          <w:szCs w:val="24"/>
        </w:rPr>
        <w:t xml:space="preserve"> o 4 008 tis. eur a pokles záväzkov vo výške 3 922 tis. eur (najmä zo záväzkov z poistných vzťahov). Negatívny vplyv predstavoval pokles pohľadávok na poistnom voči zdravotníckym zariadeniam v súvislosti s oddlžením vo výške 202 119 tis. eur (z toho istina 201 583 tis. eur a penále 536 tis. eur).</w:t>
      </w:r>
    </w:p>
    <w:p w14:paraId="53C13AB9" w14:textId="77777777" w:rsidR="003A0696" w:rsidRPr="00660C7B" w:rsidRDefault="003A0696" w:rsidP="003A0696">
      <w:pPr>
        <w:spacing w:before="120" w:after="0" w:line="240" w:lineRule="auto"/>
        <w:rPr>
          <w:rFonts w:cs="Times New Roman"/>
          <w:sz w:val="24"/>
          <w:szCs w:val="24"/>
        </w:rPr>
      </w:pPr>
      <w:r w:rsidRPr="00660C7B">
        <w:rPr>
          <w:rFonts w:cs="Times New Roman"/>
          <w:b/>
          <w:sz w:val="24"/>
          <w:szCs w:val="24"/>
        </w:rPr>
        <w:t>Zdravotné poisťovne</w:t>
      </w:r>
      <w:r w:rsidRPr="00660C7B">
        <w:rPr>
          <w:rFonts w:cs="Times New Roman"/>
          <w:sz w:val="24"/>
          <w:szCs w:val="24"/>
        </w:rPr>
        <w:t xml:space="preserve"> dosiahli </w:t>
      </w:r>
      <w:r>
        <w:rPr>
          <w:rFonts w:cs="Times New Roman"/>
          <w:sz w:val="24"/>
          <w:szCs w:val="24"/>
        </w:rPr>
        <w:t>takmer vyrovnané hospodárenie</w:t>
      </w:r>
      <w:r w:rsidRPr="00660C7B">
        <w:rPr>
          <w:rFonts w:cs="Times New Roman"/>
          <w:sz w:val="24"/>
          <w:szCs w:val="24"/>
        </w:rPr>
        <w:t xml:space="preserve"> (</w:t>
      </w:r>
      <w:r>
        <w:rPr>
          <w:rFonts w:cs="Times New Roman"/>
          <w:sz w:val="24"/>
          <w:szCs w:val="24"/>
        </w:rPr>
        <w:t xml:space="preserve">prebytok 2 tis. eur, čo je </w:t>
      </w:r>
      <w:r w:rsidRPr="00660C7B">
        <w:rPr>
          <w:rFonts w:cs="Times New Roman"/>
          <w:sz w:val="24"/>
          <w:szCs w:val="24"/>
        </w:rPr>
        <w:t xml:space="preserve">oproti rozpočtu o 22 010 tis. eur </w:t>
      </w:r>
      <w:r>
        <w:rPr>
          <w:rFonts w:cs="Times New Roman"/>
          <w:sz w:val="24"/>
          <w:szCs w:val="24"/>
        </w:rPr>
        <w:t>menej</w:t>
      </w:r>
      <w:r w:rsidRPr="00660C7B">
        <w:rPr>
          <w:rFonts w:cs="Times New Roman"/>
          <w:sz w:val="24"/>
          <w:szCs w:val="24"/>
        </w:rPr>
        <w:t xml:space="preserve"> ako sa plánovalo). Najväčší pozitívny vplyv predstavoval transfer Všeobecnej zdravotnej poisťovni, a. s. poskytnutý zo štátnych finančných aktív formou vkladu do základného imania vo výške 160 000 tis. eur. Na základe vecného účelu použitia týchto prostriedkov bola finančná operácia preklasifikovaná na kapitálový transfer.</w:t>
      </w:r>
    </w:p>
    <w:p w14:paraId="36F6AA5E" w14:textId="77777777" w:rsidR="003A0696" w:rsidRPr="00660C7B" w:rsidRDefault="003A0696" w:rsidP="003A0696">
      <w:pPr>
        <w:spacing w:before="120" w:after="0" w:line="240" w:lineRule="auto"/>
        <w:rPr>
          <w:rFonts w:cs="Times New Roman"/>
          <w:sz w:val="24"/>
          <w:szCs w:val="24"/>
        </w:rPr>
      </w:pPr>
      <w:r w:rsidRPr="00660C7B">
        <w:rPr>
          <w:rFonts w:cs="Times New Roman"/>
          <w:sz w:val="24"/>
          <w:szCs w:val="24"/>
        </w:rPr>
        <w:lastRenderedPageBreak/>
        <w:t>Pozitívny vplyv predstavoval aj medziročný nárast pohľadávok o 17 327 tis. eur (išlo najmä o pohľadávky voči poskytovateľom zdravotnej starostlivosti o 7 714 tis. eur, voči štátnemu rozpočtu o 6 126 tis. eur, pohľadávky z daní o 2 437 tis. eur a pohľadávky voči Úradu pre dohľad nad zdravotnou starostlivosťou o 1 188 tis. eur).</w:t>
      </w:r>
    </w:p>
    <w:p w14:paraId="2FF2A5DA" w14:textId="77777777" w:rsidR="003A0696" w:rsidRPr="00660C7B" w:rsidRDefault="003A0696" w:rsidP="003A0696">
      <w:pPr>
        <w:spacing w:before="120" w:after="0" w:line="240" w:lineRule="auto"/>
        <w:rPr>
          <w:rFonts w:cs="Times New Roman"/>
          <w:sz w:val="24"/>
          <w:szCs w:val="24"/>
        </w:rPr>
      </w:pPr>
      <w:r w:rsidRPr="00660C7B">
        <w:rPr>
          <w:rFonts w:cs="Times New Roman"/>
          <w:sz w:val="24"/>
          <w:szCs w:val="24"/>
        </w:rPr>
        <w:t xml:space="preserve">Medziročný nárast záväzkov zhoršil hospodárenie zdravotných poisťovní o 54 108 tis. eur (išlo predovšetkým o nárast záväzkov voči poskytovateľom zdravotnej starostlivosti o 24 861 tis. eur, voči lekárňam o 15 376 tis. eur, záväzky voči Úradu pre dohľad nad zdravotnou starostlivosťou o 9 700 tis. eur a ostatné záväzky o 4 394 tis. eur). </w:t>
      </w:r>
    </w:p>
    <w:p w14:paraId="0AD15D89" w14:textId="77777777" w:rsidR="003A0696" w:rsidRPr="00660C7B" w:rsidRDefault="003A0696" w:rsidP="003A0696">
      <w:pPr>
        <w:spacing w:before="120" w:line="240" w:lineRule="auto"/>
        <w:rPr>
          <w:rFonts w:cs="Times New Roman"/>
          <w:sz w:val="24"/>
          <w:szCs w:val="24"/>
        </w:rPr>
      </w:pPr>
      <w:proofErr w:type="spellStart"/>
      <w:r w:rsidRPr="00660C7B">
        <w:rPr>
          <w:rFonts w:cs="Times New Roman"/>
          <w:sz w:val="24"/>
          <w:szCs w:val="24"/>
        </w:rPr>
        <w:t>Imputácia</w:t>
      </w:r>
      <w:proofErr w:type="spellEnd"/>
      <w:r w:rsidRPr="00660C7B">
        <w:rPr>
          <w:rFonts w:cs="Times New Roman"/>
          <w:sz w:val="24"/>
          <w:szCs w:val="24"/>
        </w:rPr>
        <w:t xml:space="preserve"> </w:t>
      </w:r>
      <w:proofErr w:type="spellStart"/>
      <w:r w:rsidRPr="00660C7B">
        <w:rPr>
          <w:rFonts w:cs="Times New Roman"/>
          <w:sz w:val="24"/>
          <w:szCs w:val="24"/>
        </w:rPr>
        <w:t>akrualizácie</w:t>
      </w:r>
      <w:proofErr w:type="spellEnd"/>
      <w:r w:rsidRPr="00660C7B">
        <w:rPr>
          <w:rFonts w:cs="Times New Roman"/>
          <w:sz w:val="24"/>
          <w:szCs w:val="24"/>
        </w:rPr>
        <w:t xml:space="preserve"> poistného predstavovala pozitívny vplyv na hospodárenie vo výške 19 936 tis. eur (o 2 076 tis. eur menej ako sa predpokladalo). Na hospodárenie negatívne vplýval výdavkový transfer z verejnej časti zdravotného poistenia do súkromnej časti zdravotných poisťovní vo výške 5 180 tis. eur (išlo o splátku istiny úveru zdravotnej poisťovne Dôvera, a. s. v sume 280 tis. eur a výplata dividend akcionárom </w:t>
      </w:r>
      <w:proofErr w:type="spellStart"/>
      <w:r w:rsidRPr="00660C7B">
        <w:rPr>
          <w:rFonts w:cs="Times New Roman"/>
          <w:sz w:val="24"/>
          <w:szCs w:val="24"/>
        </w:rPr>
        <w:t>Union</w:t>
      </w:r>
      <w:proofErr w:type="spellEnd"/>
      <w:r w:rsidRPr="00660C7B">
        <w:rPr>
          <w:rFonts w:cs="Times New Roman"/>
          <w:sz w:val="24"/>
          <w:szCs w:val="24"/>
        </w:rPr>
        <w:t xml:space="preserve">, </w:t>
      </w:r>
      <w:proofErr w:type="spellStart"/>
      <w:r w:rsidRPr="00660C7B">
        <w:rPr>
          <w:rFonts w:cs="Times New Roman"/>
          <w:sz w:val="24"/>
          <w:szCs w:val="24"/>
        </w:rPr>
        <w:t>a.s</w:t>
      </w:r>
      <w:proofErr w:type="spellEnd"/>
      <w:r w:rsidRPr="00660C7B">
        <w:rPr>
          <w:rFonts w:cs="Times New Roman"/>
          <w:sz w:val="24"/>
          <w:szCs w:val="24"/>
        </w:rPr>
        <w:t xml:space="preserve">. v sume 4 900 tis. eur) a platba za správu verejného zdravotného poistenia spolu vo výške 83 785 tis. eur (tieto výdavky nie sú rozpočtované).  </w:t>
      </w:r>
    </w:p>
    <w:p w14:paraId="1CFE133C" w14:textId="77777777" w:rsidR="003A0696" w:rsidRPr="00062FFE" w:rsidRDefault="003A0696" w:rsidP="003A0696">
      <w:pPr>
        <w:spacing w:line="240" w:lineRule="auto"/>
        <w:rPr>
          <w:sz w:val="24"/>
          <w:szCs w:val="24"/>
          <w:highlight w:val="yellow"/>
        </w:rPr>
      </w:pPr>
      <w:r w:rsidRPr="00660C7B">
        <w:rPr>
          <w:rFonts w:eastAsia="Times New Roman" w:cs="Times New Roman"/>
          <w:b/>
          <w:color w:val="000000"/>
          <w:sz w:val="24"/>
          <w:szCs w:val="24"/>
          <w:lang w:eastAsia="sk-SK"/>
        </w:rPr>
        <w:t>Výdavky verejného zdravotného poistenia</w:t>
      </w:r>
      <w:r w:rsidRPr="00660C7B">
        <w:rPr>
          <w:rFonts w:eastAsia="Times New Roman" w:cs="Times New Roman"/>
          <w:color w:val="000000"/>
          <w:sz w:val="24"/>
          <w:szCs w:val="24"/>
          <w:lang w:eastAsia="sk-SK"/>
        </w:rPr>
        <w:t xml:space="preserve"> na zdravotnú starostlivosť poskytnutú zdravotníckym zariadeniam </w:t>
      </w:r>
      <w:r w:rsidRPr="00660C7B">
        <w:rPr>
          <w:sz w:val="24"/>
          <w:szCs w:val="24"/>
        </w:rPr>
        <w:t xml:space="preserve">boli rozpočtované v sume 5 422 162 tis. eur, skutočnosť bola o 508 264 tis. eur vyššia. </w:t>
      </w:r>
      <w:r w:rsidRPr="001169E7">
        <w:rPr>
          <w:sz w:val="24"/>
          <w:szCs w:val="24"/>
        </w:rPr>
        <w:t>Vyššie čerpanie výdavkov na zdravotnú starostlivosť v roku 2022 bolo ovplyvnené najmä vyššou infláciou a rastom cien energií. Časť zvýšených výdavkov je spôsobená obnovením poskytovania zdravotnej starostlivosti po pandémii COVID-19. Zároveň boli len v nízkej miere splnené úsporné opatrenia revízie výdavkov na zdravotníctvo identifikované najmä v oblasti liekov a diagnostických vyšetrení vrátane cien PCR testov.</w:t>
      </w:r>
    </w:p>
    <w:p w14:paraId="5A349CB1" w14:textId="21ECD8EE" w:rsidR="003A0696" w:rsidRPr="00245108" w:rsidRDefault="003A0696" w:rsidP="003A0696">
      <w:pPr>
        <w:spacing w:line="240" w:lineRule="auto"/>
        <w:rPr>
          <w:rFonts w:eastAsia="Times New Roman" w:cs="Times New Roman"/>
          <w:color w:val="000000"/>
          <w:sz w:val="24"/>
          <w:szCs w:val="24"/>
          <w:lang w:eastAsia="sk-SK"/>
        </w:rPr>
      </w:pPr>
      <w:proofErr w:type="spellStart"/>
      <w:r w:rsidRPr="00245108">
        <w:rPr>
          <w:rFonts w:cs="Times New Roman"/>
          <w:b/>
          <w:sz w:val="24"/>
          <w:szCs w:val="24"/>
        </w:rPr>
        <w:t>Exportno</w:t>
      </w:r>
      <w:proofErr w:type="spellEnd"/>
      <w:r w:rsidRPr="00245108">
        <w:rPr>
          <w:rFonts w:cs="Times New Roman"/>
          <w:b/>
          <w:sz w:val="24"/>
          <w:szCs w:val="24"/>
        </w:rPr>
        <w:t xml:space="preserve"> – importná banka SR (EXIMBANKA) </w:t>
      </w:r>
      <w:r w:rsidRPr="00245108">
        <w:rPr>
          <w:rFonts w:eastAsia="Times New Roman" w:cs="Times New Roman"/>
          <w:color w:val="000000"/>
          <w:sz w:val="24"/>
          <w:szCs w:val="24"/>
          <w:lang w:eastAsia="sk-SK"/>
        </w:rPr>
        <w:t xml:space="preserve">dosiahla v roku 2022 hotovostný prebytok vo výške 7 658 tis. eur, čo predstavovalo nárast oproti rozpočtu o 3 808 tis. eur. Rozpočet  v príjmoch aj výdavkoch bol zostavovaný na základe odhadu vývoja v poskytovaní úverov   v predchádzajúcich rokoch s predpokladom mierneho rastu. </w:t>
      </w:r>
    </w:p>
    <w:p w14:paraId="2F6C1F79" w14:textId="77777777" w:rsidR="003A0696" w:rsidRPr="00245108" w:rsidRDefault="003A0696" w:rsidP="003A0696">
      <w:pPr>
        <w:spacing w:line="240" w:lineRule="auto"/>
        <w:rPr>
          <w:rFonts w:eastAsia="Times New Roman" w:cs="Times New Roman"/>
          <w:color w:val="000000"/>
          <w:sz w:val="24"/>
          <w:szCs w:val="24"/>
          <w:lang w:eastAsia="sk-SK"/>
        </w:rPr>
      </w:pPr>
      <w:r w:rsidRPr="00245108">
        <w:rPr>
          <w:rFonts w:eastAsia="Times New Roman" w:cs="Times New Roman"/>
          <w:color w:val="000000"/>
          <w:sz w:val="24"/>
          <w:szCs w:val="24"/>
          <w:lang w:eastAsia="sk-SK"/>
        </w:rPr>
        <w:t>K vyšším nedaňovým príjmom oproti rozpočtu prispel nárast na  príjmoch z úrokov z</w:t>
      </w:r>
      <w:r>
        <w:rPr>
          <w:rFonts w:eastAsia="Times New Roman" w:cs="Times New Roman"/>
          <w:color w:val="000000"/>
          <w:sz w:val="24"/>
          <w:szCs w:val="24"/>
          <w:lang w:eastAsia="sk-SK"/>
        </w:rPr>
        <w:t> </w:t>
      </w:r>
      <w:r w:rsidRPr="00245108">
        <w:rPr>
          <w:rFonts w:eastAsia="Times New Roman" w:cs="Times New Roman"/>
          <w:color w:val="000000"/>
          <w:sz w:val="24"/>
          <w:szCs w:val="24"/>
          <w:lang w:eastAsia="sk-SK"/>
        </w:rPr>
        <w:t xml:space="preserve">financovania vývozných a dovozných úverov, z postúpených pohľadávok a termínovaných vkladov o 2 657 tis. eur eliminovaný poklesom príjmov z poplatkov za poskytnuté úvery a vystavené záruky a prijatého poistného z poistenia obchodovateľných a neobchodovateľných rizík o 1 059 tis. eur. Pozitívny vplyv na hospodárenie mal pokles </w:t>
      </w:r>
      <w:r>
        <w:rPr>
          <w:rFonts w:eastAsia="Times New Roman" w:cs="Times New Roman"/>
          <w:color w:val="000000"/>
          <w:sz w:val="24"/>
          <w:szCs w:val="24"/>
          <w:lang w:eastAsia="sk-SK"/>
        </w:rPr>
        <w:t>výdavkov</w:t>
      </w:r>
      <w:r w:rsidRPr="00245108">
        <w:rPr>
          <w:rFonts w:eastAsia="Times New Roman" w:cs="Times New Roman"/>
          <w:color w:val="000000"/>
          <w:sz w:val="24"/>
          <w:szCs w:val="24"/>
          <w:lang w:eastAsia="sk-SK"/>
        </w:rPr>
        <w:t xml:space="preserve"> o </w:t>
      </w:r>
      <w:r>
        <w:rPr>
          <w:rFonts w:eastAsia="Times New Roman" w:cs="Times New Roman"/>
          <w:color w:val="000000"/>
          <w:sz w:val="24"/>
          <w:szCs w:val="24"/>
          <w:lang w:eastAsia="sk-SK"/>
        </w:rPr>
        <w:t>2</w:t>
      </w:r>
      <w:r w:rsidRPr="00245108">
        <w:rPr>
          <w:rFonts w:eastAsia="Times New Roman" w:cs="Times New Roman"/>
          <w:color w:val="000000"/>
          <w:sz w:val="24"/>
          <w:szCs w:val="24"/>
          <w:lang w:eastAsia="sk-SK"/>
        </w:rPr>
        <w:t> </w:t>
      </w:r>
      <w:r>
        <w:rPr>
          <w:rFonts w:eastAsia="Times New Roman" w:cs="Times New Roman"/>
          <w:color w:val="000000"/>
          <w:sz w:val="24"/>
          <w:szCs w:val="24"/>
          <w:lang w:eastAsia="sk-SK"/>
        </w:rPr>
        <w:t>139</w:t>
      </w:r>
      <w:r w:rsidRPr="00245108">
        <w:rPr>
          <w:rFonts w:eastAsia="Times New Roman" w:cs="Times New Roman"/>
          <w:color w:val="000000"/>
          <w:sz w:val="24"/>
          <w:szCs w:val="24"/>
          <w:lang w:eastAsia="sk-SK"/>
        </w:rPr>
        <w:t xml:space="preserve"> tis. eur najmä v súvislosti s nižšími platbami za poistné plnenia z poistenia, s realizáciou vystavených záruk, s platbami prémií z úverov a tiež úhrad splátok úrokov za cudzie zdroje. </w:t>
      </w:r>
      <w:r>
        <w:rPr>
          <w:rFonts w:eastAsia="Times New Roman" w:cs="Times New Roman"/>
          <w:color w:val="000000"/>
          <w:sz w:val="24"/>
          <w:szCs w:val="24"/>
          <w:lang w:eastAsia="sk-SK"/>
        </w:rPr>
        <w:t xml:space="preserve">Medziročný  nárast záväzkov z technických rezerv v súvislosti s tvorbou škodových rezerv na vyrovnávanie mimoriadnych rizík </w:t>
      </w:r>
      <w:r w:rsidRPr="00245108">
        <w:rPr>
          <w:rFonts w:eastAsia="Times New Roman" w:cs="Times New Roman"/>
          <w:color w:val="000000"/>
          <w:sz w:val="24"/>
          <w:szCs w:val="24"/>
          <w:lang w:eastAsia="sk-SK"/>
        </w:rPr>
        <w:t xml:space="preserve">o 5 144 tis. eur negatívne ovplyvnil hospodárenie a EXIMBANKA SR dosiahla </w:t>
      </w:r>
      <w:r>
        <w:rPr>
          <w:rFonts w:eastAsia="Times New Roman" w:cs="Times New Roman"/>
          <w:color w:val="000000"/>
          <w:sz w:val="24"/>
          <w:szCs w:val="24"/>
          <w:lang w:eastAsia="sk-SK"/>
        </w:rPr>
        <w:t>ESA</w:t>
      </w:r>
      <w:r w:rsidRPr="00245108">
        <w:rPr>
          <w:rFonts w:eastAsia="Times New Roman" w:cs="Times New Roman"/>
          <w:color w:val="000000"/>
          <w:sz w:val="24"/>
          <w:szCs w:val="24"/>
          <w:lang w:eastAsia="sk-SK"/>
        </w:rPr>
        <w:t xml:space="preserve"> prebytok vo výške 2 963 tis. eur.</w:t>
      </w:r>
    </w:p>
    <w:p w14:paraId="62003162" w14:textId="77777777" w:rsidR="003A0696" w:rsidRPr="0025206C" w:rsidRDefault="003A0696" w:rsidP="003A0696">
      <w:pPr>
        <w:spacing w:before="120" w:after="0" w:line="240" w:lineRule="auto"/>
        <w:rPr>
          <w:sz w:val="24"/>
          <w:szCs w:val="24"/>
        </w:rPr>
      </w:pPr>
      <w:r w:rsidRPr="0025206C">
        <w:rPr>
          <w:b/>
          <w:sz w:val="24"/>
          <w:szCs w:val="24"/>
        </w:rPr>
        <w:t>Obchodné spoločnosti ústrednej správy</w:t>
      </w:r>
      <w:r w:rsidRPr="0025206C">
        <w:rPr>
          <w:sz w:val="24"/>
          <w:szCs w:val="24"/>
        </w:rPr>
        <w:t xml:space="preserve"> dosiahli zlepšenie hospodárenia o 85 283 tis. eur oproti plánu, úhrnom bol dosiahnutý prebytok 56 449 tis. eur, pričom v rozpočte sa očakával schodok 28 834 tis. eur. V rámci tejto zložky verejnej správy je vykazované hospodárenie celkovo za 9 subjektov, pričom v rozhodujúcej miere sa na výsledku podieľajú najmä spoločnosti Národná diaľničná spoločnosť, a. s., Železnič</w:t>
      </w:r>
      <w:r>
        <w:rPr>
          <w:sz w:val="24"/>
          <w:szCs w:val="24"/>
        </w:rPr>
        <w:t xml:space="preserve">ná spoločnosť Slovensko, a. s. a </w:t>
      </w:r>
      <w:r w:rsidRPr="0025206C">
        <w:rPr>
          <w:sz w:val="24"/>
          <w:szCs w:val="24"/>
        </w:rPr>
        <w:t>Železnice Slovenskej republiky š. p.</w:t>
      </w:r>
    </w:p>
    <w:p w14:paraId="3C7360EE" w14:textId="77777777" w:rsidR="003A0696" w:rsidRPr="001E163B" w:rsidRDefault="003A0696" w:rsidP="003A0696">
      <w:pPr>
        <w:spacing w:before="120" w:after="0" w:line="240" w:lineRule="auto"/>
        <w:rPr>
          <w:rFonts w:eastAsia="Times New Roman" w:cs="Times New Roman"/>
          <w:sz w:val="24"/>
          <w:szCs w:val="24"/>
          <w:highlight w:val="yellow"/>
          <w:lang w:eastAsia="sk-SK"/>
        </w:rPr>
      </w:pPr>
      <w:r w:rsidRPr="001E163B">
        <w:rPr>
          <w:rFonts w:cs="Times New Roman"/>
          <w:b/>
          <w:sz w:val="24"/>
          <w:szCs w:val="24"/>
        </w:rPr>
        <w:t>Národná diaľničná spoločnosť, a. s.</w:t>
      </w:r>
      <w:r w:rsidRPr="001E163B">
        <w:rPr>
          <w:rFonts w:cs="Times New Roman"/>
          <w:sz w:val="24"/>
          <w:szCs w:val="24"/>
        </w:rPr>
        <w:t xml:space="preserve"> dosiahla v roku 2022 hotovostný </w:t>
      </w:r>
      <w:r>
        <w:rPr>
          <w:rFonts w:cs="Times New Roman"/>
          <w:sz w:val="24"/>
          <w:szCs w:val="24"/>
        </w:rPr>
        <w:t>schodok</w:t>
      </w:r>
      <w:r w:rsidRPr="001E163B">
        <w:rPr>
          <w:rFonts w:cs="Times New Roman"/>
          <w:sz w:val="24"/>
          <w:szCs w:val="24"/>
        </w:rPr>
        <w:t xml:space="preserve"> vo výške 21 239 tis. eur, čo predstavuje zhoršenie </w:t>
      </w:r>
      <w:r>
        <w:rPr>
          <w:rFonts w:cs="Times New Roman"/>
          <w:sz w:val="24"/>
          <w:szCs w:val="24"/>
        </w:rPr>
        <w:t xml:space="preserve">oproti rozpočtovanému prebytku </w:t>
      </w:r>
      <w:r w:rsidRPr="001E163B">
        <w:rPr>
          <w:rFonts w:cs="Times New Roman"/>
          <w:sz w:val="24"/>
          <w:szCs w:val="24"/>
        </w:rPr>
        <w:t>o 64 741 </w:t>
      </w:r>
      <w:r>
        <w:rPr>
          <w:rFonts w:cs="Times New Roman"/>
          <w:sz w:val="24"/>
          <w:szCs w:val="24"/>
        </w:rPr>
        <w:t xml:space="preserve">tis. eur. Rozpočtovaný prebytok bol v sume 43 502 tis. eur. </w:t>
      </w:r>
      <w:r w:rsidRPr="001E163B">
        <w:rPr>
          <w:rFonts w:cs="Times New Roman"/>
          <w:sz w:val="24"/>
          <w:szCs w:val="24"/>
        </w:rPr>
        <w:t>Na zhoršenie hospodárenia spoločnosti oproti rozpočtu mal vplyv vyšší nárast výdavkov ako nárast príjmov.</w:t>
      </w:r>
    </w:p>
    <w:p w14:paraId="315A6C9E" w14:textId="77777777" w:rsidR="003A0696" w:rsidRDefault="003A0696" w:rsidP="003A0696">
      <w:pPr>
        <w:spacing w:before="120" w:line="240" w:lineRule="auto"/>
        <w:rPr>
          <w:rFonts w:eastAsia="Times New Roman" w:cs="Times New Roman"/>
          <w:sz w:val="24"/>
          <w:szCs w:val="24"/>
          <w:lang w:eastAsia="sk-SK"/>
        </w:rPr>
      </w:pPr>
      <w:r w:rsidRPr="001E163B">
        <w:rPr>
          <w:rFonts w:eastAsia="Times New Roman" w:cs="Times New Roman"/>
          <w:sz w:val="24"/>
          <w:szCs w:val="24"/>
          <w:lang w:eastAsia="sk-SK"/>
        </w:rPr>
        <w:lastRenderedPageBreak/>
        <w:t xml:space="preserve">Celkové príjmy v porovnaní s rozpočtom </w:t>
      </w:r>
      <w:r>
        <w:rPr>
          <w:rFonts w:eastAsia="Times New Roman" w:cs="Times New Roman"/>
          <w:sz w:val="24"/>
          <w:szCs w:val="24"/>
          <w:lang w:eastAsia="sk-SK"/>
        </w:rPr>
        <w:t xml:space="preserve">vzrástli </w:t>
      </w:r>
      <w:r w:rsidRPr="001E163B">
        <w:rPr>
          <w:rFonts w:eastAsia="Times New Roman" w:cs="Times New Roman"/>
          <w:sz w:val="24"/>
          <w:szCs w:val="24"/>
          <w:lang w:eastAsia="sk-SK"/>
        </w:rPr>
        <w:t>o 42 237 tis. eur</w:t>
      </w:r>
      <w:r>
        <w:rPr>
          <w:rFonts w:eastAsia="Times New Roman" w:cs="Times New Roman"/>
          <w:sz w:val="24"/>
          <w:szCs w:val="24"/>
          <w:lang w:eastAsia="sk-SK"/>
        </w:rPr>
        <w:t>, i keď ne</w:t>
      </w:r>
      <w:r>
        <w:rPr>
          <w:rFonts w:cs="Times New Roman"/>
          <w:sz w:val="24"/>
          <w:szCs w:val="24"/>
        </w:rPr>
        <w:t>daňové príjmy zaznamenali pokles</w:t>
      </w:r>
      <w:r w:rsidRPr="001E163B">
        <w:rPr>
          <w:rFonts w:cs="Times New Roman"/>
          <w:sz w:val="24"/>
          <w:szCs w:val="24"/>
        </w:rPr>
        <w:t xml:space="preserve"> o 22 067 tis. eur</w:t>
      </w:r>
      <w:r>
        <w:rPr>
          <w:rFonts w:cs="Times New Roman"/>
          <w:sz w:val="24"/>
          <w:szCs w:val="24"/>
        </w:rPr>
        <w:t>. Pokles nedaňových príjmov bol</w:t>
      </w:r>
      <w:r w:rsidRPr="001E163B">
        <w:rPr>
          <w:rFonts w:cs="Times New Roman"/>
          <w:sz w:val="24"/>
          <w:szCs w:val="24"/>
        </w:rPr>
        <w:t xml:space="preserve"> </w:t>
      </w:r>
      <w:r w:rsidRPr="005054FB">
        <w:rPr>
          <w:rFonts w:cs="Times New Roman"/>
          <w:sz w:val="24"/>
          <w:szCs w:val="24"/>
        </w:rPr>
        <w:t>spôsobený nižšími</w:t>
      </w:r>
      <w:r>
        <w:rPr>
          <w:rFonts w:cs="Times New Roman"/>
          <w:sz w:val="24"/>
          <w:szCs w:val="24"/>
        </w:rPr>
        <w:t xml:space="preserve"> príjmami z administratívnych a iných poplatkov v súvislosti s predajom služieb PPP D4/R7 (o </w:t>
      </w:r>
      <w:r w:rsidRPr="005054FB">
        <w:rPr>
          <w:rFonts w:cs="Times New Roman"/>
          <w:sz w:val="24"/>
          <w:szCs w:val="24"/>
        </w:rPr>
        <w:t>24</w:t>
      </w:r>
      <w:r>
        <w:rPr>
          <w:rFonts w:cs="Times New Roman"/>
          <w:sz w:val="24"/>
          <w:szCs w:val="24"/>
        </w:rPr>
        <w:t> 386 </w:t>
      </w:r>
      <w:r w:rsidRPr="005054FB">
        <w:rPr>
          <w:rFonts w:cs="Times New Roman"/>
          <w:sz w:val="24"/>
          <w:szCs w:val="24"/>
        </w:rPr>
        <w:t>tis.</w:t>
      </w:r>
      <w:r>
        <w:rPr>
          <w:rFonts w:cs="Times New Roman"/>
          <w:sz w:val="24"/>
          <w:szCs w:val="24"/>
        </w:rPr>
        <w:t> eur</w:t>
      </w:r>
      <w:r w:rsidRPr="005054FB">
        <w:rPr>
          <w:rFonts w:cs="Times New Roman"/>
          <w:sz w:val="24"/>
          <w:szCs w:val="24"/>
        </w:rPr>
        <w:t>) z dôvodu posunov pri uzatváraní zmlúv</w:t>
      </w:r>
      <w:r>
        <w:rPr>
          <w:rFonts w:cs="Times New Roman"/>
          <w:sz w:val="24"/>
          <w:szCs w:val="24"/>
        </w:rPr>
        <w:t xml:space="preserve"> a nižšími </w:t>
      </w:r>
      <w:r w:rsidRPr="005054FB">
        <w:rPr>
          <w:rFonts w:cs="Times New Roman"/>
          <w:sz w:val="24"/>
          <w:szCs w:val="24"/>
        </w:rPr>
        <w:t>príjmami z elektronického</w:t>
      </w:r>
      <w:r w:rsidRPr="001E163B">
        <w:rPr>
          <w:rFonts w:cs="Times New Roman"/>
          <w:sz w:val="24"/>
          <w:szCs w:val="24"/>
        </w:rPr>
        <w:t xml:space="preserve"> výberu mýta</w:t>
      </w:r>
      <w:r>
        <w:rPr>
          <w:rFonts w:cs="Times New Roman"/>
          <w:sz w:val="24"/>
          <w:szCs w:val="24"/>
        </w:rPr>
        <w:t xml:space="preserve"> (</w:t>
      </w:r>
      <w:r w:rsidRPr="001E163B">
        <w:rPr>
          <w:rFonts w:cs="Times New Roman"/>
          <w:sz w:val="24"/>
          <w:szCs w:val="24"/>
        </w:rPr>
        <w:t>o 9 168 tis. eur</w:t>
      </w:r>
      <w:r>
        <w:rPr>
          <w:rFonts w:cs="Times New Roman"/>
          <w:sz w:val="24"/>
          <w:szCs w:val="24"/>
        </w:rPr>
        <w:t>)</w:t>
      </w:r>
      <w:r w:rsidRPr="001E163B">
        <w:rPr>
          <w:rFonts w:cs="Times New Roman"/>
          <w:sz w:val="24"/>
          <w:szCs w:val="24"/>
        </w:rPr>
        <w:t xml:space="preserve"> z dôvodu odlišného vývoja skutočných dopravných intenzít od predpokladaných pri tvorbe rozpočtu</w:t>
      </w:r>
      <w:r>
        <w:rPr>
          <w:rFonts w:cs="Times New Roman"/>
          <w:sz w:val="24"/>
          <w:szCs w:val="24"/>
        </w:rPr>
        <w:t>, čo však bolo čiastočne</w:t>
      </w:r>
      <w:r w:rsidRPr="001E163B">
        <w:rPr>
          <w:rFonts w:cs="Times New Roman"/>
          <w:sz w:val="24"/>
          <w:szCs w:val="24"/>
        </w:rPr>
        <w:t xml:space="preserve"> eliminované vyššími príjmami z</w:t>
      </w:r>
      <w:r>
        <w:rPr>
          <w:rFonts w:cs="Times New Roman"/>
          <w:sz w:val="24"/>
          <w:szCs w:val="24"/>
        </w:rPr>
        <w:t> </w:t>
      </w:r>
      <w:r w:rsidRPr="001E163B">
        <w:rPr>
          <w:rFonts w:cs="Times New Roman"/>
          <w:sz w:val="24"/>
          <w:szCs w:val="24"/>
        </w:rPr>
        <w:t xml:space="preserve">predaja elektronických diaľničných známok </w:t>
      </w:r>
      <w:r>
        <w:rPr>
          <w:rFonts w:cs="Times New Roman"/>
          <w:sz w:val="24"/>
          <w:szCs w:val="24"/>
        </w:rPr>
        <w:t>(</w:t>
      </w:r>
      <w:r w:rsidRPr="001E163B">
        <w:rPr>
          <w:rFonts w:cs="Times New Roman"/>
          <w:sz w:val="24"/>
          <w:szCs w:val="24"/>
        </w:rPr>
        <w:t>o 9 247 tis. eur</w:t>
      </w:r>
      <w:r>
        <w:rPr>
          <w:rFonts w:cs="Times New Roman"/>
          <w:sz w:val="24"/>
          <w:szCs w:val="24"/>
        </w:rPr>
        <w:t>)</w:t>
      </w:r>
      <w:r w:rsidRPr="001E163B">
        <w:rPr>
          <w:rFonts w:cs="Times New Roman"/>
          <w:sz w:val="24"/>
          <w:szCs w:val="24"/>
        </w:rPr>
        <w:t xml:space="preserve"> z dôvodu vyššieho záujmu o</w:t>
      </w:r>
      <w:r>
        <w:rPr>
          <w:rFonts w:cs="Times New Roman"/>
          <w:sz w:val="24"/>
          <w:szCs w:val="24"/>
        </w:rPr>
        <w:t> </w:t>
      </w:r>
      <w:r w:rsidRPr="001E163B">
        <w:rPr>
          <w:rFonts w:cs="Times New Roman"/>
          <w:sz w:val="24"/>
          <w:szCs w:val="24"/>
        </w:rPr>
        <w:t xml:space="preserve">kúpu </w:t>
      </w:r>
      <w:proofErr w:type="spellStart"/>
      <w:r w:rsidRPr="001E163B">
        <w:rPr>
          <w:rFonts w:cs="Times New Roman"/>
          <w:sz w:val="24"/>
          <w:szCs w:val="24"/>
        </w:rPr>
        <w:t>eDZ</w:t>
      </w:r>
      <w:proofErr w:type="spellEnd"/>
      <w:r w:rsidRPr="001E163B">
        <w:rPr>
          <w:rFonts w:cs="Times New Roman"/>
          <w:sz w:val="24"/>
          <w:szCs w:val="24"/>
        </w:rPr>
        <w:t xml:space="preserve"> ako sa plánovalo, najmä na konci roka, kedy došlo k zvýšeniu cien diaľničných známok o 20 % od januára 2023.</w:t>
      </w:r>
      <w:r w:rsidRPr="001E163B">
        <w:rPr>
          <w:rFonts w:eastAsia="Times New Roman" w:cs="Times New Roman"/>
          <w:sz w:val="24"/>
          <w:szCs w:val="24"/>
          <w:lang w:eastAsia="sk-SK"/>
        </w:rPr>
        <w:t xml:space="preserve"> </w:t>
      </w:r>
    </w:p>
    <w:p w14:paraId="7505C149" w14:textId="77777777" w:rsidR="003A0696" w:rsidRPr="001E163B" w:rsidRDefault="003A0696" w:rsidP="003A0696">
      <w:pPr>
        <w:spacing w:before="120" w:line="240" w:lineRule="auto"/>
        <w:rPr>
          <w:rFonts w:cs="Times New Roman"/>
          <w:sz w:val="24"/>
          <w:szCs w:val="24"/>
        </w:rPr>
      </w:pPr>
      <w:r w:rsidRPr="001E163B">
        <w:rPr>
          <w:rFonts w:cs="Times New Roman"/>
          <w:sz w:val="24"/>
          <w:szCs w:val="24"/>
        </w:rPr>
        <w:t xml:space="preserve">Príjmy z grantov a transferov </w:t>
      </w:r>
      <w:r>
        <w:rPr>
          <w:rFonts w:cs="Times New Roman"/>
          <w:sz w:val="24"/>
          <w:szCs w:val="24"/>
        </w:rPr>
        <w:t>zaznamenali celkový nárast</w:t>
      </w:r>
      <w:r w:rsidRPr="001E163B">
        <w:rPr>
          <w:rFonts w:cs="Times New Roman"/>
          <w:sz w:val="24"/>
          <w:szCs w:val="24"/>
        </w:rPr>
        <w:t xml:space="preserve"> o 64 304 tis. eur</w:t>
      </w:r>
      <w:r>
        <w:rPr>
          <w:rFonts w:cs="Times New Roman"/>
          <w:sz w:val="24"/>
          <w:szCs w:val="24"/>
        </w:rPr>
        <w:t xml:space="preserve"> oproti rozpočtu. K</w:t>
      </w:r>
      <w:r w:rsidRPr="001E163B">
        <w:rPr>
          <w:rFonts w:cs="Times New Roman"/>
          <w:sz w:val="24"/>
          <w:szCs w:val="24"/>
        </w:rPr>
        <w:t xml:space="preserve">ým bežné transfery zaznamenali nárast o 82 tis. eur a kapitálové transfery o 79 084 tis. eur, </w:t>
      </w:r>
      <w:r w:rsidRPr="001E163B">
        <w:rPr>
          <w:rFonts w:eastAsia="Times New Roman" w:cs="Times New Roman"/>
          <w:sz w:val="24"/>
          <w:szCs w:val="24"/>
          <w:lang w:eastAsia="sk-SK"/>
        </w:rPr>
        <w:t xml:space="preserve">prijaté </w:t>
      </w:r>
      <w:r>
        <w:rPr>
          <w:rFonts w:eastAsia="Times New Roman" w:cs="Times New Roman"/>
          <w:sz w:val="24"/>
          <w:szCs w:val="24"/>
          <w:lang w:eastAsia="sk-SK"/>
        </w:rPr>
        <w:t xml:space="preserve">zahraničné </w:t>
      </w:r>
      <w:r w:rsidRPr="001E163B">
        <w:rPr>
          <w:rFonts w:eastAsia="Times New Roman" w:cs="Times New Roman"/>
          <w:sz w:val="24"/>
          <w:szCs w:val="24"/>
          <w:lang w:eastAsia="sk-SK"/>
        </w:rPr>
        <w:t xml:space="preserve">granty z nástroja EÚ na prepájanie Európy (CEF) </w:t>
      </w:r>
      <w:r w:rsidRPr="001E163B">
        <w:rPr>
          <w:rFonts w:cs="Times New Roman"/>
          <w:sz w:val="24"/>
          <w:szCs w:val="24"/>
        </w:rPr>
        <w:t>boli nižšie o 14 863 tis. eur.</w:t>
      </w:r>
      <w:r>
        <w:rPr>
          <w:rFonts w:cs="Times New Roman"/>
          <w:sz w:val="24"/>
          <w:szCs w:val="24"/>
        </w:rPr>
        <w:t xml:space="preserve"> </w:t>
      </w:r>
      <w:r w:rsidRPr="001E163B">
        <w:rPr>
          <w:rFonts w:cs="Times New Roman"/>
          <w:sz w:val="24"/>
          <w:szCs w:val="24"/>
        </w:rPr>
        <w:t>Kapitálové transfery zo zdrojov štátneho rozpočtu boli vyššie o 276 711 tis. eur z dôvodu uvoľnených finančných prostriedkov, ktoré boli viazané v predchádzajúcom roku na použitie výdavkov do nasledujúcich rokov v</w:t>
      </w:r>
      <w:r>
        <w:rPr>
          <w:rFonts w:cs="Times New Roman"/>
          <w:sz w:val="24"/>
          <w:szCs w:val="24"/>
        </w:rPr>
        <w:t> </w:t>
      </w:r>
      <w:r w:rsidRPr="001E163B">
        <w:rPr>
          <w:rFonts w:cs="Times New Roman"/>
          <w:sz w:val="24"/>
          <w:szCs w:val="24"/>
        </w:rPr>
        <w:t xml:space="preserve">nadväznosti na časový posun realizácie investičných projektov do nasledujúceho obdobia, ako aj z dôvodu presunu výdavkov z VPS v súvislosti so zavedením tzv. </w:t>
      </w:r>
      <w:proofErr w:type="spellStart"/>
      <w:r w:rsidRPr="001E163B">
        <w:rPr>
          <w:rFonts w:cs="Times New Roman"/>
          <w:sz w:val="24"/>
          <w:szCs w:val="24"/>
        </w:rPr>
        <w:t>zero</w:t>
      </w:r>
      <w:proofErr w:type="spellEnd"/>
      <w:r w:rsidRPr="001E163B">
        <w:rPr>
          <w:rFonts w:cs="Times New Roman"/>
          <w:sz w:val="24"/>
          <w:szCs w:val="24"/>
        </w:rPr>
        <w:t xml:space="preserve"> </w:t>
      </w:r>
      <w:proofErr w:type="spellStart"/>
      <w:r w:rsidRPr="001E163B">
        <w:rPr>
          <w:rFonts w:cs="Times New Roman"/>
          <w:sz w:val="24"/>
          <w:szCs w:val="24"/>
        </w:rPr>
        <w:t>based</w:t>
      </w:r>
      <w:proofErr w:type="spellEnd"/>
      <w:r w:rsidRPr="001E163B">
        <w:rPr>
          <w:rFonts w:cs="Times New Roman"/>
          <w:sz w:val="24"/>
          <w:szCs w:val="24"/>
        </w:rPr>
        <w:t xml:space="preserve"> </w:t>
      </w:r>
      <w:proofErr w:type="spellStart"/>
      <w:r w:rsidRPr="001E163B">
        <w:rPr>
          <w:rFonts w:cs="Times New Roman"/>
          <w:sz w:val="24"/>
          <w:szCs w:val="24"/>
        </w:rPr>
        <w:t>budgetingu</w:t>
      </w:r>
      <w:proofErr w:type="spellEnd"/>
      <w:r w:rsidRPr="001E163B">
        <w:rPr>
          <w:rFonts w:cs="Times New Roman"/>
          <w:sz w:val="24"/>
          <w:szCs w:val="24"/>
        </w:rPr>
        <w:t xml:space="preserve"> v</w:t>
      </w:r>
      <w:r>
        <w:rPr>
          <w:rFonts w:cs="Times New Roman"/>
          <w:sz w:val="24"/>
          <w:szCs w:val="24"/>
        </w:rPr>
        <w:t> </w:t>
      </w:r>
      <w:r w:rsidRPr="001E163B">
        <w:rPr>
          <w:rFonts w:cs="Times New Roman"/>
          <w:sz w:val="24"/>
          <w:szCs w:val="24"/>
        </w:rPr>
        <w:t>oblasti kapitálových výdavkov, kedy kapitálové výdavky na rok 2022 boli rozpočtované v</w:t>
      </w:r>
      <w:r>
        <w:rPr>
          <w:rFonts w:cs="Times New Roman"/>
          <w:sz w:val="24"/>
          <w:szCs w:val="24"/>
        </w:rPr>
        <w:t> </w:t>
      </w:r>
      <w:r w:rsidRPr="001E163B">
        <w:rPr>
          <w:rFonts w:cs="Times New Roman"/>
          <w:sz w:val="24"/>
          <w:szCs w:val="24"/>
        </w:rPr>
        <w:t xml:space="preserve">kapitole Všeobecná pokladničná správa a až po ich posúdení investičnou autoritou nastalo ich reálne čerpanie v zmysle schváleného Harmonogramu prípravy a výstavby projektov cestnej infraštruktúry. </w:t>
      </w:r>
      <w:r>
        <w:rPr>
          <w:rFonts w:cs="Times New Roman"/>
          <w:sz w:val="24"/>
          <w:szCs w:val="24"/>
        </w:rPr>
        <w:t>Nárast kapitálových transferov zo štátneho rozpočtu bol eliminovaný poklesom</w:t>
      </w:r>
      <w:r w:rsidRPr="001E163B">
        <w:rPr>
          <w:rFonts w:cs="Times New Roman"/>
          <w:sz w:val="24"/>
          <w:szCs w:val="24"/>
        </w:rPr>
        <w:t xml:space="preserve"> </w:t>
      </w:r>
      <w:r>
        <w:rPr>
          <w:rFonts w:cs="Times New Roman"/>
          <w:sz w:val="24"/>
          <w:szCs w:val="24"/>
        </w:rPr>
        <w:t>kapitálových grantov</w:t>
      </w:r>
      <w:r w:rsidRPr="001E163B">
        <w:rPr>
          <w:rFonts w:cs="Times New Roman"/>
          <w:sz w:val="24"/>
          <w:szCs w:val="24"/>
        </w:rPr>
        <w:t xml:space="preserve"> zo zdrojov EÚ o 168 889 tis. eur a zo zdrojov spolufinancovania zo štátneho rozpočtu o 28 738 tis. eur </w:t>
      </w:r>
      <w:r w:rsidRPr="001E163B">
        <w:rPr>
          <w:rFonts w:eastAsia="Times New Roman" w:cs="Times New Roman"/>
          <w:sz w:val="24"/>
          <w:szCs w:val="24"/>
          <w:lang w:eastAsia="sk-SK"/>
        </w:rPr>
        <w:t xml:space="preserve">v nadväznosti </w:t>
      </w:r>
      <w:r w:rsidRPr="001E163B">
        <w:rPr>
          <w:rFonts w:cs="Times New Roman"/>
          <w:sz w:val="24"/>
          <w:szCs w:val="24"/>
        </w:rPr>
        <w:t>na časový posun realizácie investičných projektov.</w:t>
      </w:r>
    </w:p>
    <w:p w14:paraId="78D51031" w14:textId="77777777" w:rsidR="003A0696" w:rsidRDefault="003A0696" w:rsidP="003A0696">
      <w:pPr>
        <w:spacing w:before="120" w:after="0" w:line="240" w:lineRule="auto"/>
        <w:rPr>
          <w:rFonts w:eastAsia="Times New Roman" w:cs="Times New Roman"/>
          <w:sz w:val="24"/>
          <w:szCs w:val="24"/>
          <w:highlight w:val="yellow"/>
          <w:lang w:eastAsia="sk-SK"/>
        </w:rPr>
      </w:pPr>
      <w:r w:rsidRPr="006E7F3F">
        <w:rPr>
          <w:rFonts w:eastAsia="Times New Roman" w:cs="Times New Roman"/>
          <w:sz w:val="24"/>
          <w:szCs w:val="24"/>
          <w:lang w:eastAsia="sk-SK"/>
        </w:rPr>
        <w:t xml:space="preserve">Celkové výdavky spoločnosti vzrástli </w:t>
      </w:r>
      <w:r w:rsidRPr="006E7F3F">
        <w:rPr>
          <w:rFonts w:cs="Times New Roman"/>
          <w:sz w:val="24"/>
          <w:szCs w:val="24"/>
        </w:rPr>
        <w:t xml:space="preserve">o 106 978 tis. eur oproti rozpočtu. </w:t>
      </w:r>
      <w:r w:rsidRPr="006E7F3F">
        <w:rPr>
          <w:rFonts w:eastAsia="Times New Roman" w:cs="Times New Roman"/>
          <w:sz w:val="24"/>
          <w:szCs w:val="24"/>
          <w:lang w:eastAsia="sk-SK"/>
        </w:rPr>
        <w:t xml:space="preserve">Bežné výdavky </w:t>
      </w:r>
      <w:r>
        <w:rPr>
          <w:rFonts w:eastAsia="Times New Roman" w:cs="Times New Roman"/>
          <w:sz w:val="24"/>
          <w:szCs w:val="24"/>
          <w:lang w:eastAsia="sk-SK"/>
        </w:rPr>
        <w:t>sa zvýšili</w:t>
      </w:r>
      <w:r w:rsidRPr="006E7F3F">
        <w:rPr>
          <w:rFonts w:eastAsia="Times New Roman" w:cs="Times New Roman"/>
          <w:sz w:val="24"/>
          <w:szCs w:val="24"/>
          <w:lang w:eastAsia="sk-SK"/>
        </w:rPr>
        <w:t xml:space="preserve"> o 112 244 tis. eur</w:t>
      </w:r>
      <w:r w:rsidRPr="006E7F3F">
        <w:rPr>
          <w:rFonts w:cs="Times New Roman"/>
        </w:rPr>
        <w:t xml:space="preserve"> </w:t>
      </w:r>
      <w:r w:rsidRPr="006E7F3F">
        <w:rPr>
          <w:rFonts w:cs="Times New Roman"/>
          <w:sz w:val="24"/>
          <w:szCs w:val="24"/>
        </w:rPr>
        <w:t>v dôsledku zvýšenia osobných výdavkov v nadväznosti na skutočné podmienky kolek</w:t>
      </w:r>
      <w:r>
        <w:rPr>
          <w:rFonts w:cs="Times New Roman"/>
          <w:sz w:val="24"/>
          <w:szCs w:val="24"/>
        </w:rPr>
        <w:t>tívnej zmluvy a personálny plán a</w:t>
      </w:r>
      <w:r w:rsidRPr="006E7F3F">
        <w:rPr>
          <w:rFonts w:cs="Times New Roman"/>
          <w:sz w:val="24"/>
          <w:szCs w:val="24"/>
        </w:rPr>
        <w:t xml:space="preserve"> zvýšenia výdavkov na tovary a služby</w:t>
      </w:r>
      <w:r w:rsidRPr="006E7F3F">
        <w:rPr>
          <w:rFonts w:eastAsia="Times New Roman" w:cs="Times New Roman"/>
          <w:sz w:val="24"/>
          <w:szCs w:val="24"/>
          <w:lang w:eastAsia="sk-SK"/>
        </w:rPr>
        <w:t>. Zásadný podiel na raste</w:t>
      </w:r>
      <w:r>
        <w:rPr>
          <w:rFonts w:eastAsia="Times New Roman" w:cs="Times New Roman"/>
          <w:sz w:val="24"/>
          <w:szCs w:val="24"/>
          <w:lang w:eastAsia="sk-SK"/>
        </w:rPr>
        <w:t xml:space="preserve"> výdavkov na tovary a služby</w:t>
      </w:r>
      <w:r w:rsidRPr="006E7F3F">
        <w:rPr>
          <w:rFonts w:eastAsia="Times New Roman" w:cs="Times New Roman"/>
          <w:sz w:val="24"/>
          <w:szCs w:val="24"/>
          <w:lang w:eastAsia="sk-SK"/>
        </w:rPr>
        <w:t xml:space="preserve"> mali nezrovnalosti a iné </w:t>
      </w:r>
      <w:proofErr w:type="spellStart"/>
      <w:r w:rsidRPr="006E7F3F">
        <w:rPr>
          <w:rFonts w:eastAsia="Times New Roman" w:cs="Times New Roman"/>
          <w:sz w:val="24"/>
          <w:szCs w:val="24"/>
          <w:lang w:eastAsia="sk-SK"/>
        </w:rPr>
        <w:t>vratky</w:t>
      </w:r>
      <w:proofErr w:type="spellEnd"/>
      <w:r w:rsidRPr="006E7F3F">
        <w:rPr>
          <w:rFonts w:eastAsia="Times New Roman" w:cs="Times New Roman"/>
          <w:sz w:val="24"/>
          <w:szCs w:val="24"/>
          <w:lang w:eastAsia="sk-SK"/>
        </w:rPr>
        <w:t xml:space="preserve"> za prostriedky EÚ </w:t>
      </w:r>
      <w:r>
        <w:rPr>
          <w:rFonts w:eastAsia="Times New Roman" w:cs="Times New Roman"/>
          <w:sz w:val="24"/>
          <w:szCs w:val="24"/>
          <w:lang w:eastAsia="sk-SK"/>
        </w:rPr>
        <w:t>(nárast o </w:t>
      </w:r>
      <w:r w:rsidRPr="006E7F3F">
        <w:rPr>
          <w:rFonts w:eastAsia="Times New Roman" w:cs="Times New Roman"/>
          <w:sz w:val="24"/>
          <w:szCs w:val="24"/>
          <w:lang w:eastAsia="sk-SK"/>
        </w:rPr>
        <w:t>146 406 tis. eur</w:t>
      </w:r>
      <w:r>
        <w:rPr>
          <w:rFonts w:eastAsia="Times New Roman" w:cs="Times New Roman"/>
          <w:sz w:val="24"/>
          <w:szCs w:val="24"/>
          <w:lang w:eastAsia="sk-SK"/>
        </w:rPr>
        <w:t>)</w:t>
      </w:r>
      <w:r w:rsidRPr="006E7F3F">
        <w:rPr>
          <w:rFonts w:eastAsia="Times New Roman" w:cs="Times New Roman"/>
          <w:sz w:val="24"/>
          <w:szCs w:val="24"/>
          <w:lang w:eastAsia="sk-SK"/>
        </w:rPr>
        <w:t xml:space="preserve">. Tento negatívny vplyv bol eliminovaný poklesom výdavkov za nájom budov a objektov </w:t>
      </w:r>
      <w:r>
        <w:rPr>
          <w:rFonts w:eastAsia="Times New Roman" w:cs="Times New Roman"/>
          <w:sz w:val="24"/>
          <w:szCs w:val="24"/>
          <w:lang w:eastAsia="sk-SK"/>
        </w:rPr>
        <w:t>(</w:t>
      </w:r>
      <w:r w:rsidRPr="006E7F3F">
        <w:rPr>
          <w:rFonts w:eastAsia="Times New Roman" w:cs="Times New Roman"/>
          <w:sz w:val="24"/>
          <w:szCs w:val="24"/>
          <w:lang w:eastAsia="sk-SK"/>
        </w:rPr>
        <w:t>o 17 604</w:t>
      </w:r>
      <w:r>
        <w:rPr>
          <w:rFonts w:eastAsia="Times New Roman" w:cs="Times New Roman"/>
          <w:sz w:val="24"/>
          <w:szCs w:val="24"/>
          <w:lang w:eastAsia="sk-SK"/>
        </w:rPr>
        <w:t> tis. eur)</w:t>
      </w:r>
      <w:r w:rsidRPr="006E7F3F">
        <w:rPr>
          <w:rFonts w:eastAsia="Times New Roman" w:cs="Times New Roman"/>
          <w:sz w:val="24"/>
          <w:szCs w:val="24"/>
          <w:lang w:eastAsia="sk-SK"/>
        </w:rPr>
        <w:t xml:space="preserve"> a poklesom výdavkov na rutinnú a štandardnú údržbu budov, objektov a ich častí </w:t>
      </w:r>
      <w:r>
        <w:rPr>
          <w:rFonts w:eastAsia="Times New Roman" w:cs="Times New Roman"/>
          <w:sz w:val="24"/>
          <w:szCs w:val="24"/>
          <w:lang w:eastAsia="sk-SK"/>
        </w:rPr>
        <w:t>(</w:t>
      </w:r>
      <w:r w:rsidRPr="006E7F3F">
        <w:rPr>
          <w:rFonts w:eastAsia="Times New Roman" w:cs="Times New Roman"/>
          <w:sz w:val="24"/>
          <w:szCs w:val="24"/>
          <w:lang w:eastAsia="sk-SK"/>
        </w:rPr>
        <w:t>o 15 650 tis. eur</w:t>
      </w:r>
      <w:r>
        <w:rPr>
          <w:rFonts w:eastAsia="Times New Roman" w:cs="Times New Roman"/>
          <w:sz w:val="24"/>
          <w:szCs w:val="24"/>
          <w:lang w:eastAsia="sk-SK"/>
        </w:rPr>
        <w:t>)</w:t>
      </w:r>
      <w:r w:rsidRPr="006E7F3F">
        <w:rPr>
          <w:rFonts w:eastAsia="Times New Roman" w:cs="Times New Roman"/>
          <w:sz w:val="24"/>
          <w:szCs w:val="24"/>
          <w:lang w:eastAsia="sk-SK"/>
        </w:rPr>
        <w:t xml:space="preserve"> z dôvodu posunu činností do ďalšieho obdobia</w:t>
      </w:r>
      <w:r>
        <w:rPr>
          <w:rFonts w:eastAsia="Times New Roman" w:cs="Times New Roman"/>
          <w:sz w:val="24"/>
          <w:szCs w:val="24"/>
          <w:lang w:eastAsia="sk-SK"/>
        </w:rPr>
        <w:t xml:space="preserve"> (opravy a údržby vozoviek a mostov</w:t>
      </w:r>
      <w:r w:rsidRPr="000F3DE8">
        <w:rPr>
          <w:rFonts w:eastAsia="Times New Roman" w:cs="Times New Roman"/>
          <w:sz w:val="24"/>
          <w:szCs w:val="24"/>
          <w:lang w:eastAsia="sk-SK"/>
        </w:rPr>
        <w:t>). Výdavky na obstaranie kapitálových aktív dosiahli výšku 430 4</w:t>
      </w:r>
      <w:r>
        <w:rPr>
          <w:rFonts w:eastAsia="Times New Roman" w:cs="Times New Roman"/>
          <w:sz w:val="24"/>
          <w:szCs w:val="24"/>
          <w:lang w:eastAsia="sk-SK"/>
        </w:rPr>
        <w:t>65 tis. eur, čo predstavuje p</w:t>
      </w:r>
      <w:r w:rsidRPr="000F3DE8">
        <w:rPr>
          <w:rFonts w:eastAsia="Times New Roman" w:cs="Times New Roman"/>
          <w:sz w:val="24"/>
          <w:szCs w:val="24"/>
          <w:lang w:eastAsia="sk-SK"/>
        </w:rPr>
        <w:t>okles oproti rozpočtu o 5 266 tis. eur</w:t>
      </w:r>
      <w:r>
        <w:rPr>
          <w:rFonts w:eastAsia="Times New Roman" w:cs="Times New Roman"/>
          <w:sz w:val="24"/>
          <w:szCs w:val="24"/>
          <w:lang w:eastAsia="sk-SK"/>
        </w:rPr>
        <w:t>.</w:t>
      </w:r>
    </w:p>
    <w:p w14:paraId="20DB1F9D" w14:textId="77777777" w:rsidR="003A0696" w:rsidRPr="001E07C7" w:rsidRDefault="003A0696" w:rsidP="003A0696">
      <w:pPr>
        <w:spacing w:before="120" w:after="0" w:line="240" w:lineRule="auto"/>
        <w:rPr>
          <w:rFonts w:eastAsia="Times New Roman" w:cs="Times New Roman"/>
          <w:sz w:val="24"/>
          <w:szCs w:val="24"/>
          <w:lang w:eastAsia="sk-SK"/>
        </w:rPr>
      </w:pPr>
      <w:r w:rsidRPr="001E07C7">
        <w:rPr>
          <w:rFonts w:eastAsia="Times New Roman" w:cs="Times New Roman"/>
          <w:sz w:val="24"/>
          <w:szCs w:val="24"/>
          <w:lang w:eastAsia="sk-SK"/>
        </w:rPr>
        <w:t>Najvyššie investície v roku 2022 boli vynaložené na stavby diaľnic a rýchlostných ciest D1/2037 Lietavská Lúčka - </w:t>
      </w:r>
      <w:proofErr w:type="spellStart"/>
      <w:r w:rsidRPr="001E07C7">
        <w:rPr>
          <w:rFonts w:eastAsia="Times New Roman" w:cs="Times New Roman"/>
          <w:sz w:val="24"/>
          <w:szCs w:val="24"/>
          <w:lang w:eastAsia="sk-SK"/>
        </w:rPr>
        <w:t>Dubná</w:t>
      </w:r>
      <w:proofErr w:type="spellEnd"/>
      <w:r w:rsidRPr="001E07C7">
        <w:rPr>
          <w:rFonts w:eastAsia="Times New Roman" w:cs="Times New Roman"/>
          <w:sz w:val="24"/>
          <w:szCs w:val="24"/>
          <w:lang w:eastAsia="sk-SK"/>
        </w:rPr>
        <w:t xml:space="preserve"> Skala vrátane tunela Višňové (78 135 tis. eur), D1</w:t>
      </w:r>
      <w:r>
        <w:rPr>
          <w:rFonts w:eastAsia="Times New Roman" w:cs="Times New Roman"/>
          <w:sz w:val="24"/>
          <w:szCs w:val="24"/>
          <w:lang w:eastAsia="sk-SK"/>
        </w:rPr>
        <w:t> </w:t>
      </w:r>
      <w:r w:rsidRPr="001E07C7">
        <w:rPr>
          <w:rFonts w:eastAsia="Times New Roman" w:cs="Times New Roman"/>
          <w:sz w:val="24"/>
          <w:szCs w:val="24"/>
          <w:lang w:eastAsia="sk-SK"/>
        </w:rPr>
        <w:t xml:space="preserve">Hubová – Ivachnová (70 913 tis. eur), </w:t>
      </w:r>
      <w:r>
        <w:rPr>
          <w:rFonts w:eastAsia="Times New Roman" w:cs="Times New Roman"/>
          <w:sz w:val="24"/>
          <w:szCs w:val="24"/>
          <w:lang w:eastAsia="sk-SK"/>
        </w:rPr>
        <w:t>R2/1979 Kriváň </w:t>
      </w:r>
      <w:r w:rsidRPr="001E07C7">
        <w:rPr>
          <w:rFonts w:eastAsia="Times New Roman" w:cs="Times New Roman"/>
          <w:sz w:val="24"/>
          <w:szCs w:val="24"/>
          <w:lang w:eastAsia="sk-SK"/>
        </w:rPr>
        <w:t>-</w:t>
      </w:r>
      <w:r>
        <w:rPr>
          <w:rFonts w:eastAsia="Times New Roman" w:cs="Times New Roman"/>
          <w:sz w:val="24"/>
          <w:szCs w:val="24"/>
          <w:lang w:eastAsia="sk-SK"/>
        </w:rPr>
        <w:t> </w:t>
      </w:r>
      <w:r w:rsidRPr="001E07C7">
        <w:rPr>
          <w:rFonts w:eastAsia="Times New Roman" w:cs="Times New Roman"/>
          <w:sz w:val="24"/>
          <w:szCs w:val="24"/>
          <w:lang w:eastAsia="sk-SK"/>
        </w:rPr>
        <w:t>Lovinobaňa (55 090 tis. eur) a R4 Prešov – severný obchvat I. etapa (42 027 tis. eur).</w:t>
      </w:r>
    </w:p>
    <w:p w14:paraId="11588E99" w14:textId="77777777" w:rsidR="003A0696" w:rsidRPr="003C52B3" w:rsidRDefault="003A0696" w:rsidP="003A0696">
      <w:pPr>
        <w:spacing w:before="120" w:line="240" w:lineRule="auto"/>
        <w:rPr>
          <w:rFonts w:eastAsia="Times New Roman" w:cs="Times New Roman"/>
          <w:sz w:val="24"/>
          <w:szCs w:val="24"/>
          <w:lang w:eastAsia="sk-SK"/>
        </w:rPr>
      </w:pPr>
      <w:r w:rsidRPr="003C52B3">
        <w:rPr>
          <w:rFonts w:eastAsia="Times New Roman" w:cs="Times New Roman"/>
          <w:sz w:val="24"/>
          <w:szCs w:val="24"/>
          <w:lang w:eastAsia="sk-SK"/>
        </w:rPr>
        <w:t>Na ESA schodok vo výške 44 957 tis. eur negatívne vplýval medziročný pokles pohľadávok o 19 628 tis. eur a</w:t>
      </w:r>
      <w:r>
        <w:rPr>
          <w:rFonts w:eastAsia="Times New Roman" w:cs="Times New Roman"/>
          <w:sz w:val="24"/>
          <w:szCs w:val="24"/>
          <w:lang w:eastAsia="sk-SK"/>
        </w:rPr>
        <w:t xml:space="preserve"> tiež </w:t>
      </w:r>
      <w:r w:rsidRPr="003C52B3">
        <w:rPr>
          <w:rFonts w:eastAsia="Times New Roman" w:cs="Times New Roman"/>
          <w:sz w:val="24"/>
          <w:szCs w:val="24"/>
          <w:lang w:eastAsia="sk-SK"/>
        </w:rPr>
        <w:t xml:space="preserve">nárast záväzkov o 4 090 tis. eur. Pohľadávky súvisiace s realizáciou elektronického mýta sa znížili o 22 757 tis. eur, naopak pohľadávky voči odberateľom vzrástli o 3 073 tis. eur (odberateľské faktúry vystavené koncom roka so splatnosťou v januári 2023). </w:t>
      </w:r>
    </w:p>
    <w:p w14:paraId="0D633EC7" w14:textId="77777777" w:rsidR="003A0696" w:rsidRDefault="003A0696" w:rsidP="003A0696">
      <w:pPr>
        <w:spacing w:line="240" w:lineRule="auto"/>
        <w:rPr>
          <w:rFonts w:eastAsia="Times New Roman" w:cs="Times New Roman"/>
          <w:sz w:val="24"/>
          <w:szCs w:val="24"/>
          <w:lang w:eastAsia="sk-SK"/>
        </w:rPr>
      </w:pPr>
      <w:r w:rsidRPr="006406AA">
        <w:rPr>
          <w:rFonts w:cs="Times New Roman"/>
          <w:b/>
          <w:sz w:val="24"/>
          <w:szCs w:val="24"/>
        </w:rPr>
        <w:t>Železnice Slovenskej republiky š. p.</w:t>
      </w:r>
      <w:r w:rsidRPr="006406AA">
        <w:rPr>
          <w:rFonts w:cs="Times New Roman"/>
          <w:sz w:val="24"/>
          <w:szCs w:val="24"/>
        </w:rPr>
        <w:t xml:space="preserve"> </w:t>
      </w:r>
      <w:r w:rsidRPr="006406AA">
        <w:rPr>
          <w:rFonts w:cs="Times New Roman"/>
          <w:b/>
          <w:sz w:val="24"/>
          <w:szCs w:val="24"/>
        </w:rPr>
        <w:t>(ŽSR)</w:t>
      </w:r>
      <w:r w:rsidRPr="006406AA">
        <w:rPr>
          <w:rFonts w:cs="Times New Roman"/>
          <w:sz w:val="24"/>
          <w:szCs w:val="24"/>
        </w:rPr>
        <w:t xml:space="preserve"> dosiahli hotovostný prebytok vo výške 77 424 tis. </w:t>
      </w:r>
      <w:r w:rsidRPr="006406AA">
        <w:rPr>
          <w:rFonts w:eastAsia="Times New Roman" w:cs="Times New Roman"/>
          <w:sz w:val="24"/>
          <w:szCs w:val="24"/>
          <w:lang w:eastAsia="sk-SK"/>
        </w:rPr>
        <w:t xml:space="preserve">eur, čo predstavuje zlepšenie o 101 034 tis. eur oproti rozpočtovanému schodku. </w:t>
      </w:r>
    </w:p>
    <w:p w14:paraId="336C1ECD" w14:textId="77777777" w:rsidR="003A0696" w:rsidRDefault="003A0696" w:rsidP="003A0696">
      <w:pPr>
        <w:spacing w:line="240" w:lineRule="auto"/>
        <w:rPr>
          <w:rFonts w:eastAsia="Times New Roman" w:cs="Times New Roman"/>
          <w:sz w:val="24"/>
          <w:szCs w:val="24"/>
          <w:lang w:eastAsia="sk-SK"/>
        </w:rPr>
      </w:pPr>
      <w:r w:rsidRPr="00E8377D">
        <w:rPr>
          <w:rFonts w:eastAsia="Times New Roman" w:cs="Times New Roman"/>
          <w:sz w:val="24"/>
          <w:szCs w:val="24"/>
          <w:lang w:eastAsia="sk-SK"/>
        </w:rPr>
        <w:t xml:space="preserve">Skutočné príjmy v porovnaní s rozpočtom vzrástli o 383 295 tis. eur a to i napriek pokračujúcej pandémii </w:t>
      </w:r>
      <w:proofErr w:type="spellStart"/>
      <w:r w:rsidRPr="00E8377D">
        <w:rPr>
          <w:rFonts w:eastAsia="Times New Roman" w:cs="Times New Roman"/>
          <w:sz w:val="24"/>
          <w:szCs w:val="24"/>
          <w:lang w:eastAsia="sk-SK"/>
        </w:rPr>
        <w:t>koronavírusu</w:t>
      </w:r>
      <w:proofErr w:type="spellEnd"/>
      <w:r w:rsidRPr="00E8377D">
        <w:rPr>
          <w:rFonts w:eastAsia="Times New Roman" w:cs="Times New Roman"/>
          <w:sz w:val="24"/>
          <w:szCs w:val="24"/>
          <w:lang w:eastAsia="sk-SK"/>
        </w:rPr>
        <w:t>, následnému ozbrojenému vojenskému konfliktu na Ukrajine, ktorý vyvolal potrebu zavedenia mimoriadnych opatrení v železničnej doprave.  Na vývoj tržieb v roku 2022 mala vplyv aj situácia v súvislosti s energetickou krízou, ktorá zaznamenala výrazný nárast cien energií a enormný nárast inflácie, čo spôsobilo zvýšenie cien služieb, tovaru a práce. Zvýšené príjmy od dopravcov za prístup na železničnú infraštruktúru</w:t>
      </w:r>
      <w:r>
        <w:rPr>
          <w:rFonts w:eastAsia="Times New Roman" w:cs="Times New Roman"/>
          <w:sz w:val="24"/>
          <w:szCs w:val="24"/>
          <w:lang w:eastAsia="sk-SK"/>
        </w:rPr>
        <w:t xml:space="preserve"> a predaj trakčnej energie</w:t>
      </w:r>
      <w:r w:rsidRPr="00E8377D">
        <w:rPr>
          <w:rFonts w:eastAsia="Times New Roman" w:cs="Times New Roman"/>
          <w:sz w:val="24"/>
          <w:szCs w:val="24"/>
          <w:lang w:eastAsia="sk-SK"/>
        </w:rPr>
        <w:t xml:space="preserve">, </w:t>
      </w:r>
      <w:r w:rsidRPr="00E8377D">
        <w:rPr>
          <w:rFonts w:eastAsia="Times New Roman" w:cs="Times New Roman"/>
          <w:sz w:val="24"/>
          <w:szCs w:val="24"/>
          <w:lang w:eastAsia="sk-SK"/>
        </w:rPr>
        <w:lastRenderedPageBreak/>
        <w:t xml:space="preserve">prijaté  plnenia za poškodenie majetku ŽSR, vyššie prijaté zálohy za predaj nehnuteľností a prijatý nadmerný odpočet DPH za predchádzajúce obdobie mali za následok iba mierny nárast oproti pôvodne plánovaným príjmom. </w:t>
      </w:r>
    </w:p>
    <w:p w14:paraId="55E67563" w14:textId="77777777" w:rsidR="003A0696" w:rsidRPr="00E41D35" w:rsidRDefault="003A0696" w:rsidP="003A0696">
      <w:pPr>
        <w:spacing w:line="240" w:lineRule="auto"/>
        <w:rPr>
          <w:rFonts w:eastAsia="Times New Roman" w:cs="Times New Roman"/>
          <w:sz w:val="24"/>
          <w:szCs w:val="24"/>
          <w:lang w:eastAsia="sk-SK"/>
        </w:rPr>
      </w:pPr>
      <w:r>
        <w:rPr>
          <w:rFonts w:eastAsia="Times New Roman" w:cs="Times New Roman"/>
          <w:sz w:val="24"/>
          <w:szCs w:val="24"/>
          <w:lang w:eastAsia="sk-SK"/>
        </w:rPr>
        <w:t xml:space="preserve">Podstatný vplyv na hospodárenie mali príjmy z grantov a transferov, ktoré narástli oproti rozpočtu o 376 583 tis. eur. </w:t>
      </w:r>
      <w:r w:rsidRPr="00E8377D">
        <w:rPr>
          <w:rFonts w:eastAsia="Times New Roman" w:cs="Times New Roman"/>
          <w:sz w:val="24"/>
          <w:szCs w:val="24"/>
          <w:lang w:eastAsia="sk-SK"/>
        </w:rPr>
        <w:t xml:space="preserve">Pôvodne schválená dotácia vo výške 239 100 tis. eur na prevádzkovanie železničnej infraštruktúry s prihliadnutím na nárasty cien energie, služieb, tovaru a práce bola navýšená o 35 000 tis. eur  na dofinancovanie prevádzky a následne o 7 000 tis. eur na dofinancovanie odloženej údržby a 73 500 tis. eur na zabezpečenie vyrovnaného hospodárenia zo Zmluvy o prevádzkovaní železničnej </w:t>
      </w:r>
      <w:r w:rsidRPr="00871FC7">
        <w:rPr>
          <w:rFonts w:eastAsia="Times New Roman" w:cs="Times New Roman"/>
          <w:sz w:val="24"/>
          <w:szCs w:val="24"/>
          <w:lang w:eastAsia="sk-SK"/>
        </w:rPr>
        <w:t>infraštruktúry</w:t>
      </w:r>
      <w:r>
        <w:rPr>
          <w:rFonts w:eastAsia="Times New Roman" w:cs="Times New Roman"/>
          <w:sz w:val="24"/>
          <w:szCs w:val="24"/>
          <w:lang w:eastAsia="sk-SK"/>
        </w:rPr>
        <w:t>.</w:t>
      </w:r>
      <w:r w:rsidRPr="00871FC7">
        <w:rPr>
          <w:rFonts w:eastAsia="Times New Roman" w:cs="Times New Roman"/>
          <w:sz w:val="24"/>
          <w:szCs w:val="24"/>
          <w:lang w:eastAsia="sk-SK"/>
        </w:rPr>
        <w:t xml:space="preserve"> Bežné transfery vzrástli aj vďaka navýšeniu prevádzkovej dotácie o 114 079</w:t>
      </w:r>
      <w:r>
        <w:rPr>
          <w:rFonts w:eastAsia="Times New Roman" w:cs="Times New Roman"/>
          <w:sz w:val="24"/>
          <w:szCs w:val="24"/>
          <w:lang w:eastAsia="sk-SK"/>
        </w:rPr>
        <w:t> tis. eur z MD</w:t>
      </w:r>
      <w:r w:rsidRPr="00871FC7">
        <w:rPr>
          <w:rFonts w:eastAsia="Times New Roman" w:cs="Times New Roman"/>
          <w:sz w:val="24"/>
          <w:szCs w:val="24"/>
          <w:lang w:eastAsia="sk-SK"/>
        </w:rPr>
        <w:t xml:space="preserve"> SR na prevádzkovanie železničnej infraštruktúry</w:t>
      </w:r>
      <w:r>
        <w:rPr>
          <w:rFonts w:eastAsia="Times New Roman" w:cs="Times New Roman"/>
          <w:sz w:val="24"/>
          <w:szCs w:val="24"/>
          <w:lang w:eastAsia="sk-SK"/>
        </w:rPr>
        <w:t xml:space="preserve">. Kapitálové transfery neboli v roku 2022 rozpočtované, napriek tomu ŽSR dostala investičné dotácie v celkovej výške 195 484 tis. eur, z toho z rozpočtovej kapitoly MD SR sumu 95 702 tis. eur a z Operačného programu integrované infraštruktúra (OPII) dotáciu vo výške 99 782 tis. eur na zabezpečenie financovanie investičných akcií. Prijaté zahraničné </w:t>
      </w:r>
      <w:r w:rsidRPr="001E163B">
        <w:rPr>
          <w:rFonts w:eastAsia="Times New Roman" w:cs="Times New Roman"/>
          <w:sz w:val="24"/>
          <w:szCs w:val="24"/>
          <w:lang w:eastAsia="sk-SK"/>
        </w:rPr>
        <w:t>grant</w:t>
      </w:r>
      <w:r>
        <w:rPr>
          <w:rFonts w:eastAsia="Times New Roman" w:cs="Times New Roman"/>
          <w:sz w:val="24"/>
          <w:szCs w:val="24"/>
          <w:lang w:eastAsia="sk-SK"/>
        </w:rPr>
        <w:t>y</w:t>
      </w:r>
      <w:r w:rsidRPr="001E163B">
        <w:rPr>
          <w:rFonts w:eastAsia="Times New Roman" w:cs="Times New Roman"/>
          <w:sz w:val="24"/>
          <w:szCs w:val="24"/>
          <w:lang w:eastAsia="sk-SK"/>
        </w:rPr>
        <w:t xml:space="preserve"> z nástroja EÚ na prepájanie Európy (CEF) </w:t>
      </w:r>
      <w:r w:rsidRPr="001E163B">
        <w:rPr>
          <w:rFonts w:cs="Times New Roman"/>
          <w:sz w:val="24"/>
          <w:szCs w:val="24"/>
        </w:rPr>
        <w:t xml:space="preserve">boli </w:t>
      </w:r>
      <w:r>
        <w:rPr>
          <w:rFonts w:cs="Times New Roman"/>
          <w:sz w:val="24"/>
          <w:szCs w:val="24"/>
        </w:rPr>
        <w:t>vyššie o 67</w:t>
      </w:r>
      <w:r w:rsidRPr="001E163B">
        <w:rPr>
          <w:rFonts w:cs="Times New Roman"/>
          <w:sz w:val="24"/>
          <w:szCs w:val="24"/>
        </w:rPr>
        <w:t> </w:t>
      </w:r>
      <w:r>
        <w:rPr>
          <w:rFonts w:cs="Times New Roman"/>
          <w:sz w:val="24"/>
          <w:szCs w:val="24"/>
        </w:rPr>
        <w:t>019</w:t>
      </w:r>
      <w:r w:rsidRPr="001E163B">
        <w:rPr>
          <w:rFonts w:cs="Times New Roman"/>
          <w:sz w:val="24"/>
          <w:szCs w:val="24"/>
        </w:rPr>
        <w:t> tis. eur</w:t>
      </w:r>
      <w:r>
        <w:rPr>
          <w:rFonts w:cs="Times New Roman"/>
          <w:sz w:val="24"/>
          <w:szCs w:val="24"/>
        </w:rPr>
        <w:t xml:space="preserve">. Značná časť prijatých zálohových platieb a dotácií bola </w:t>
      </w:r>
      <w:r w:rsidRPr="00871FC7">
        <w:rPr>
          <w:rFonts w:eastAsia="Times New Roman" w:cs="Times New Roman"/>
          <w:sz w:val="24"/>
          <w:szCs w:val="24"/>
          <w:lang w:eastAsia="sk-SK"/>
        </w:rPr>
        <w:t xml:space="preserve">presunutá do nasledujúceho obdobia v nadväznosti na časový posun realizácie investičných </w:t>
      </w:r>
      <w:r w:rsidRPr="00E41D35">
        <w:rPr>
          <w:rFonts w:eastAsia="Times New Roman" w:cs="Times New Roman"/>
          <w:sz w:val="24"/>
          <w:szCs w:val="24"/>
          <w:lang w:eastAsia="sk-SK"/>
        </w:rPr>
        <w:t>projektov do ďalších rokov.</w:t>
      </w:r>
    </w:p>
    <w:p w14:paraId="05324BC8" w14:textId="77777777" w:rsidR="003A0696" w:rsidRDefault="003A0696" w:rsidP="003A0696">
      <w:pPr>
        <w:spacing w:before="120" w:after="0" w:line="240" w:lineRule="auto"/>
        <w:rPr>
          <w:rFonts w:eastAsia="Times New Roman" w:cs="Times New Roman"/>
          <w:sz w:val="24"/>
          <w:szCs w:val="24"/>
          <w:lang w:eastAsia="sk-SK"/>
        </w:rPr>
      </w:pPr>
      <w:r w:rsidRPr="00E41D35">
        <w:rPr>
          <w:rFonts w:eastAsia="Times New Roman" w:cs="Times New Roman"/>
          <w:sz w:val="24"/>
          <w:szCs w:val="24"/>
          <w:lang w:eastAsia="sk-SK"/>
        </w:rPr>
        <w:t>Tak ako aj v prechádzajúcom období rozdiel skutočných a rozpočtovaných výdavkov ovplyvnilo zavedenie princípu nulového štartovacieho rozpočtu</w:t>
      </w:r>
      <w:r>
        <w:rPr>
          <w:rFonts w:eastAsia="Times New Roman" w:cs="Times New Roman"/>
          <w:sz w:val="24"/>
          <w:szCs w:val="24"/>
          <w:lang w:eastAsia="sk-SK"/>
        </w:rPr>
        <w:t xml:space="preserve">. </w:t>
      </w:r>
      <w:r w:rsidRPr="00E41D35">
        <w:rPr>
          <w:rFonts w:eastAsia="Times New Roman" w:cs="Times New Roman"/>
          <w:sz w:val="24"/>
          <w:szCs w:val="24"/>
          <w:lang w:eastAsia="sk-SK"/>
        </w:rPr>
        <w:t xml:space="preserve">Celkové výdavky v porovnaní s rozpočtom vzrástli o 282 261 tis. eur. </w:t>
      </w:r>
      <w:r>
        <w:rPr>
          <w:rFonts w:eastAsia="Times New Roman" w:cs="Times New Roman"/>
          <w:sz w:val="24"/>
          <w:szCs w:val="24"/>
          <w:lang w:eastAsia="sk-SK"/>
        </w:rPr>
        <w:t xml:space="preserve">Bežné výdavky sa zvýšili o 130 489 tis. eur v dôsledku </w:t>
      </w:r>
      <w:r w:rsidRPr="00E41D35">
        <w:rPr>
          <w:rFonts w:eastAsia="Times New Roman" w:cs="Times New Roman"/>
          <w:sz w:val="24"/>
          <w:szCs w:val="24"/>
          <w:lang w:eastAsia="sk-SK"/>
        </w:rPr>
        <w:t>zvýšenej ceny nákupu elektrickej energie, zvýšených výdavkov</w:t>
      </w:r>
      <w:r>
        <w:rPr>
          <w:rFonts w:eastAsia="Times New Roman" w:cs="Times New Roman"/>
          <w:sz w:val="24"/>
          <w:szCs w:val="24"/>
          <w:lang w:eastAsia="sk-SK"/>
        </w:rPr>
        <w:t xml:space="preserve"> na materiál, mzdy a mzdové benefity, opravy a odstraňovanie porúch, revízie, z dodatočných výdavkov na výkon správy a údržby železničnej infraštruktúry, </w:t>
      </w:r>
      <w:r w:rsidRPr="00E41D35">
        <w:rPr>
          <w:rFonts w:eastAsia="Times New Roman" w:cs="Times New Roman"/>
          <w:sz w:val="24"/>
          <w:szCs w:val="24"/>
          <w:lang w:eastAsia="sk-SK"/>
        </w:rPr>
        <w:t>nárastu stravného, cestovného,</w:t>
      </w:r>
      <w:r>
        <w:rPr>
          <w:rFonts w:eastAsia="Times New Roman" w:cs="Times New Roman"/>
          <w:sz w:val="24"/>
          <w:szCs w:val="24"/>
          <w:lang w:eastAsia="sk-SK"/>
        </w:rPr>
        <w:t xml:space="preserve"> náborové a motivačné príplatky. Na zmiernenie dopadov inflácie bol v zmysle Kolektívnej zmluvy ŽSR vyplatený jednorazový inflačný príspevok v sume 500 eur na zamestnanca, čo predstavovalo hodnotu 6 540 tis. eur. Významný podiel na výdavkoch mali aj nezrovnalosti a </w:t>
      </w:r>
      <w:proofErr w:type="spellStart"/>
      <w:r>
        <w:rPr>
          <w:rFonts w:eastAsia="Times New Roman" w:cs="Times New Roman"/>
          <w:sz w:val="24"/>
          <w:szCs w:val="24"/>
          <w:lang w:eastAsia="sk-SK"/>
        </w:rPr>
        <w:t>vratky</w:t>
      </w:r>
      <w:proofErr w:type="spellEnd"/>
      <w:r>
        <w:rPr>
          <w:rFonts w:eastAsia="Times New Roman" w:cs="Times New Roman"/>
          <w:sz w:val="24"/>
          <w:szCs w:val="24"/>
          <w:lang w:eastAsia="sk-SK"/>
        </w:rPr>
        <w:t xml:space="preserve"> za prostriedky EÚ (OPII) v sume 35 559 tis. eur.</w:t>
      </w:r>
    </w:p>
    <w:p w14:paraId="7591F1F3" w14:textId="77777777" w:rsidR="003A0696" w:rsidRDefault="003A0696" w:rsidP="003A0696">
      <w:pPr>
        <w:spacing w:before="120" w:after="0" w:line="240" w:lineRule="auto"/>
        <w:rPr>
          <w:rFonts w:eastAsia="Times New Roman" w:cs="Times New Roman"/>
          <w:sz w:val="24"/>
          <w:szCs w:val="24"/>
          <w:lang w:eastAsia="sk-SK"/>
        </w:rPr>
      </w:pPr>
      <w:r w:rsidRPr="00BA1DF2">
        <w:rPr>
          <w:rFonts w:eastAsia="Times New Roman" w:cs="Times New Roman"/>
          <w:sz w:val="24"/>
          <w:szCs w:val="24"/>
          <w:lang w:eastAsia="sk-SK"/>
        </w:rPr>
        <w:t xml:space="preserve">V nadväznosti na výšku prijatých grantov a transferov boli čerpané vyššie výdavky na obstaranie kapitálových aktív aj z dôvodu uvoľnených finančných prostriedkov, ktoré boli v zmysle §8 </w:t>
      </w:r>
      <w:r>
        <w:rPr>
          <w:rFonts w:eastAsia="Times New Roman" w:cs="Times New Roman"/>
          <w:sz w:val="24"/>
          <w:szCs w:val="24"/>
          <w:lang w:eastAsia="sk-SK"/>
        </w:rPr>
        <w:t xml:space="preserve">zákona o rozpočtových pravidlách </w:t>
      </w:r>
      <w:r w:rsidRPr="00BA1DF2">
        <w:rPr>
          <w:rFonts w:eastAsia="Times New Roman" w:cs="Times New Roman"/>
          <w:sz w:val="24"/>
          <w:szCs w:val="24"/>
          <w:lang w:eastAsia="sk-SK"/>
        </w:rPr>
        <w:t>viazané v predchádzajúcom roku na použitie výdavkov do nasledujúcich rokov v nadväznosti na časový posun realizácie investičných projektov</w:t>
      </w:r>
      <w:r>
        <w:rPr>
          <w:rFonts w:eastAsia="Times New Roman" w:cs="Times New Roman"/>
          <w:sz w:val="24"/>
          <w:szCs w:val="24"/>
          <w:lang w:eastAsia="sk-SK"/>
        </w:rPr>
        <w:t xml:space="preserve">. </w:t>
      </w:r>
    </w:p>
    <w:p w14:paraId="7AFBDD40" w14:textId="77777777" w:rsidR="003A0696" w:rsidRPr="004E7160" w:rsidRDefault="003A0696" w:rsidP="003A0696">
      <w:pPr>
        <w:spacing w:before="120" w:after="0" w:line="240" w:lineRule="auto"/>
        <w:rPr>
          <w:rFonts w:eastAsia="Times New Roman" w:cs="Times New Roman"/>
          <w:sz w:val="24"/>
          <w:szCs w:val="24"/>
          <w:lang w:eastAsia="sk-SK"/>
        </w:rPr>
      </w:pPr>
      <w:r w:rsidRPr="004E7160">
        <w:rPr>
          <w:rFonts w:eastAsia="Times New Roman" w:cs="Times New Roman"/>
          <w:sz w:val="24"/>
          <w:szCs w:val="24"/>
          <w:lang w:eastAsia="sk-SK"/>
        </w:rPr>
        <w:t xml:space="preserve">Výdavky na obstaranie kapitálových aktív dosiahli výšku 245 517 tis. eur, čo prestavovalo nárast o 151 772 tis. eur oproti rozpočtu. Spoločnosť v roku 2022 </w:t>
      </w:r>
      <w:r w:rsidRPr="004E7160">
        <w:rPr>
          <w:sz w:val="24"/>
          <w:szCs w:val="24"/>
        </w:rPr>
        <w:t xml:space="preserve">pokračovala v realizácii významných stavieb hradených z prostriedkov EÚ </w:t>
      </w:r>
      <w:r w:rsidRPr="004E7160">
        <w:rPr>
          <w:rFonts w:eastAsia="Times New Roman" w:cs="Times New Roman"/>
          <w:sz w:val="24"/>
          <w:szCs w:val="24"/>
          <w:lang w:eastAsia="sk-SK"/>
        </w:rPr>
        <w:t>(v tom z programu CEF 33 799 tis. eur)</w:t>
      </w:r>
      <w:r w:rsidRPr="004E7160">
        <w:rPr>
          <w:sz w:val="24"/>
          <w:szCs w:val="24"/>
        </w:rPr>
        <w:t xml:space="preserve">. Podarilo sa </w:t>
      </w:r>
      <w:r w:rsidRPr="004E7160">
        <w:rPr>
          <w:rFonts w:eastAsia="Times New Roman" w:cs="Times New Roman"/>
          <w:sz w:val="24"/>
          <w:szCs w:val="24"/>
          <w:lang w:eastAsia="sk-SK"/>
        </w:rPr>
        <w:t>jej ukončiť jeden z najväčších projektov, čo sa týka rozsahovej, ale aj finančnej stránky, a to modernizáciu trate Púchov – Žilina, I. etapa Púchov – Považská Teplá s dvoma tunelmi, mostami a estakádou (23 691 tis. eur). V rámci jednotlivých projektov boli najvýznamnejšie výdavky alokované do investičných akcií dostavba zriaďovacej stanice Žilina-Teplička a nadväzujúcej železničnej infraštruktúry v uzle Žilina - realizácia, I. etapa (61 984 tis. eur) a na elektrifikáciu trate Haniska pri Košiciach - Moldava nad Bodvou, realizácia (9 138 tis. eur). Medzi ďalšie významné investičné akcie financované v roku 2022 boli aj ŽST Dvory nad Žitavou, modernizácia výhybiek č. 14-20 a Boleráz - Smolenice, modernizácia železničného zvršku koľaje č. 1. Z projektov z programu CEF boli výdavky alokované najmä do projektov Modernizácia železničnej trate Váh - Varín - Strečno a do trate Žilina - Košice, úsek Liptovský Mikuláš - Poprad Tatry (mimo), 1.etapa (Poprad - Lučivná).</w:t>
      </w:r>
    </w:p>
    <w:p w14:paraId="2B63E8B2" w14:textId="77777777" w:rsidR="003A0696" w:rsidRDefault="003A0696" w:rsidP="003A0696">
      <w:pPr>
        <w:spacing w:before="120" w:after="0" w:line="240" w:lineRule="auto"/>
        <w:rPr>
          <w:rFonts w:cs="Times New Roman"/>
          <w:sz w:val="24"/>
          <w:szCs w:val="24"/>
        </w:rPr>
      </w:pPr>
      <w:r>
        <w:rPr>
          <w:rFonts w:cs="Times New Roman"/>
          <w:sz w:val="24"/>
          <w:szCs w:val="24"/>
        </w:rPr>
        <w:t>N</w:t>
      </w:r>
      <w:r w:rsidRPr="0095091E">
        <w:rPr>
          <w:rFonts w:cs="Times New Roman"/>
          <w:sz w:val="24"/>
          <w:szCs w:val="24"/>
        </w:rPr>
        <w:t>a</w:t>
      </w:r>
      <w:r>
        <w:rPr>
          <w:rFonts w:cs="Times New Roman"/>
          <w:sz w:val="24"/>
          <w:szCs w:val="24"/>
        </w:rPr>
        <w:t xml:space="preserve"> dosiahnutý</w:t>
      </w:r>
      <w:r w:rsidRPr="0095091E">
        <w:rPr>
          <w:rFonts w:cs="Times New Roman"/>
          <w:sz w:val="24"/>
          <w:szCs w:val="24"/>
        </w:rPr>
        <w:t xml:space="preserve"> ESA </w:t>
      </w:r>
      <w:r>
        <w:rPr>
          <w:rFonts w:cs="Times New Roman"/>
          <w:sz w:val="24"/>
          <w:szCs w:val="24"/>
        </w:rPr>
        <w:t>prebytok</w:t>
      </w:r>
      <w:r w:rsidRPr="0095091E">
        <w:rPr>
          <w:rFonts w:cs="Times New Roman"/>
          <w:sz w:val="24"/>
          <w:szCs w:val="24"/>
        </w:rPr>
        <w:t xml:space="preserve"> </w:t>
      </w:r>
      <w:r>
        <w:rPr>
          <w:rFonts w:cs="Times New Roman"/>
          <w:sz w:val="24"/>
          <w:szCs w:val="24"/>
        </w:rPr>
        <w:t>vo výške 88 571 tis. eur mal pozitívny vplyv</w:t>
      </w:r>
      <w:r w:rsidRPr="0095091E">
        <w:rPr>
          <w:rFonts w:cs="Times New Roman"/>
          <w:sz w:val="24"/>
          <w:szCs w:val="24"/>
        </w:rPr>
        <w:t xml:space="preserve"> nárast pohľadávok o 4 403 tis. eur a pokles záväzkov o 6 744 tis. eur. Dlhodobé pohľadávky </w:t>
      </w:r>
      <w:r>
        <w:rPr>
          <w:rFonts w:cs="Times New Roman"/>
          <w:sz w:val="24"/>
          <w:szCs w:val="24"/>
        </w:rPr>
        <w:t xml:space="preserve">sa </w:t>
      </w:r>
      <w:r w:rsidRPr="0095091E">
        <w:rPr>
          <w:rFonts w:cs="Times New Roman"/>
          <w:sz w:val="24"/>
          <w:szCs w:val="24"/>
        </w:rPr>
        <w:t>zvýš</w:t>
      </w:r>
      <w:r>
        <w:rPr>
          <w:rFonts w:cs="Times New Roman"/>
          <w:sz w:val="24"/>
          <w:szCs w:val="24"/>
        </w:rPr>
        <w:t>ili</w:t>
      </w:r>
      <w:r w:rsidRPr="0095091E">
        <w:rPr>
          <w:rFonts w:cs="Times New Roman"/>
          <w:sz w:val="24"/>
          <w:szCs w:val="24"/>
        </w:rPr>
        <w:t xml:space="preserve"> z dôvodu </w:t>
      </w:r>
      <w:r w:rsidRPr="0095091E">
        <w:rPr>
          <w:rFonts w:cs="Times New Roman"/>
          <w:sz w:val="24"/>
          <w:szCs w:val="24"/>
        </w:rPr>
        <w:lastRenderedPageBreak/>
        <w:t>nárastu poskytnutých preddavkov za pripojovacie poplatky na realizovaných investíciách</w:t>
      </w:r>
      <w:r>
        <w:rPr>
          <w:rFonts w:cs="Times New Roman"/>
          <w:sz w:val="24"/>
          <w:szCs w:val="24"/>
        </w:rPr>
        <w:t xml:space="preserve"> a daňové pohľadávky narástli z dôvodu predpisu nadmerného odpočtu DPH za obdobie október až december 2022. Tento priaznivý vývoj čiastočne eliminoval pokles </w:t>
      </w:r>
      <w:r w:rsidRPr="005530D3">
        <w:rPr>
          <w:rFonts w:cs="Times New Roman"/>
          <w:sz w:val="24"/>
          <w:szCs w:val="24"/>
        </w:rPr>
        <w:t>ostatných pohľadávok  spôsobený vyplatením pohľadávok za škody na majetku ŽSR zo strany poisťovne.</w:t>
      </w:r>
      <w:r>
        <w:rPr>
          <w:rFonts w:cs="Times New Roman"/>
          <w:sz w:val="24"/>
          <w:szCs w:val="24"/>
        </w:rPr>
        <w:t xml:space="preserve"> </w:t>
      </w:r>
    </w:p>
    <w:p w14:paraId="32E2C5AA" w14:textId="77777777" w:rsidR="003A0696" w:rsidRPr="0095091E" w:rsidRDefault="003A0696" w:rsidP="003A0696">
      <w:pPr>
        <w:spacing w:before="120" w:after="0" w:line="240" w:lineRule="auto"/>
        <w:rPr>
          <w:rFonts w:cs="Times New Roman"/>
          <w:sz w:val="24"/>
          <w:szCs w:val="24"/>
        </w:rPr>
      </w:pPr>
      <w:r w:rsidRPr="00E41A66">
        <w:rPr>
          <w:rFonts w:cs="Times New Roman"/>
          <w:sz w:val="24"/>
          <w:szCs w:val="24"/>
        </w:rPr>
        <w:t xml:space="preserve">Významný vplyv na medziročné zníženie záväzkov z obchodného styku/dodávatelia malo uhradenie zádržného vo výške 18 000 tis. eur na projekte OPII -  Trať Púchov - Žilina, I. etapa, úsek Púchov - Považská Teplá. Túto celkovú pozitívnu medziročnú zmenu záväzkov spoločnosti negatívne ovplyvnil nárast záväzkov z dôvodu prijatia zálohových platieb za odpredaj majetku (pozemky a stavby) v sume 1 520 tis. eur, ktoré ešte neprešli zápisom v katastri nehnuteľností a nárast </w:t>
      </w:r>
      <w:r w:rsidRPr="00E41A66">
        <w:rPr>
          <w:rFonts w:cs="Times New Roman"/>
          <w:bCs/>
          <w:sz w:val="24"/>
          <w:szCs w:val="24"/>
        </w:rPr>
        <w:t>mzdových a odvodových záväzkov v nadväznosti na l</w:t>
      </w:r>
      <w:r w:rsidRPr="00E41A66">
        <w:rPr>
          <w:rFonts w:cs="Times New Roman"/>
          <w:sz w:val="24"/>
          <w:szCs w:val="24"/>
        </w:rPr>
        <w:t xml:space="preserve">egislatívny balíček o raste minimálnej mzdy a výsledku kolektívneho vyjednávania vo výške 4 220 tis. eur. </w:t>
      </w:r>
    </w:p>
    <w:p w14:paraId="40C5CBCC" w14:textId="77777777" w:rsidR="003A0696" w:rsidRPr="008C76F9" w:rsidRDefault="003A0696" w:rsidP="003A0696">
      <w:pPr>
        <w:spacing w:before="120" w:line="240" w:lineRule="auto"/>
        <w:rPr>
          <w:rFonts w:cs="Times New Roman"/>
          <w:sz w:val="24"/>
          <w:szCs w:val="24"/>
        </w:rPr>
      </w:pPr>
      <w:r w:rsidRPr="0019537A">
        <w:rPr>
          <w:rFonts w:cs="Times New Roman"/>
          <w:b/>
          <w:sz w:val="24"/>
          <w:szCs w:val="24"/>
        </w:rPr>
        <w:t>Železničná spoločnosť Slovensko, a. s. (ZSSK)</w:t>
      </w:r>
      <w:r w:rsidRPr="0019537A">
        <w:rPr>
          <w:rFonts w:cs="Times New Roman"/>
          <w:sz w:val="24"/>
          <w:szCs w:val="24"/>
        </w:rPr>
        <w:t xml:space="preserve"> v roku 2022 dosiahla hotovostný schodok vo výške 1 321 tis. eur, čo predstavuje zhoršenie o </w:t>
      </w:r>
      <w:r>
        <w:rPr>
          <w:rFonts w:cs="Times New Roman"/>
          <w:sz w:val="24"/>
          <w:szCs w:val="24"/>
        </w:rPr>
        <w:t>2</w:t>
      </w:r>
      <w:r w:rsidRPr="0019537A">
        <w:rPr>
          <w:rFonts w:cs="Times New Roman"/>
          <w:sz w:val="24"/>
          <w:szCs w:val="24"/>
        </w:rPr>
        <w:t> </w:t>
      </w:r>
      <w:r>
        <w:rPr>
          <w:rFonts w:cs="Times New Roman"/>
          <w:sz w:val="24"/>
          <w:szCs w:val="24"/>
        </w:rPr>
        <w:t>184</w:t>
      </w:r>
      <w:r w:rsidRPr="0019537A">
        <w:rPr>
          <w:rFonts w:cs="Times New Roman"/>
          <w:sz w:val="24"/>
          <w:szCs w:val="24"/>
        </w:rPr>
        <w:t xml:space="preserve"> tis. eur oproti rozpočtovanému prebytku. Významný vplyv na zhoršenie oproti rozpočtu mal nárast výdavkov a nenaplnenie príjmov. </w:t>
      </w:r>
      <w:r>
        <w:rPr>
          <w:rFonts w:cs="Times New Roman"/>
          <w:sz w:val="24"/>
          <w:szCs w:val="24"/>
        </w:rPr>
        <w:t xml:space="preserve">Prvé mesiace roku 2022 boli ešte ovplyvnené </w:t>
      </w:r>
      <w:proofErr w:type="spellStart"/>
      <w:r>
        <w:rPr>
          <w:rFonts w:cs="Times New Roman"/>
          <w:sz w:val="24"/>
          <w:szCs w:val="24"/>
        </w:rPr>
        <w:t>protipandemickými</w:t>
      </w:r>
      <w:proofErr w:type="spellEnd"/>
      <w:r>
        <w:rPr>
          <w:rFonts w:cs="Times New Roman"/>
          <w:sz w:val="24"/>
          <w:szCs w:val="24"/>
        </w:rPr>
        <w:t xml:space="preserve"> opatreniami, ale spoločnosť sa postupne začala vracať do </w:t>
      </w:r>
      <w:proofErr w:type="spellStart"/>
      <w:r>
        <w:rPr>
          <w:rFonts w:cs="Times New Roman"/>
          <w:sz w:val="24"/>
          <w:szCs w:val="24"/>
        </w:rPr>
        <w:t>predkoronovej</w:t>
      </w:r>
      <w:proofErr w:type="spellEnd"/>
      <w:r>
        <w:rPr>
          <w:rFonts w:cs="Times New Roman"/>
          <w:sz w:val="24"/>
          <w:szCs w:val="24"/>
        </w:rPr>
        <w:t xml:space="preserve"> úrovne prepravených cestujúcich, </w:t>
      </w:r>
      <w:r w:rsidRPr="008C76F9">
        <w:rPr>
          <w:rFonts w:cs="Times New Roman"/>
          <w:sz w:val="24"/>
          <w:szCs w:val="24"/>
        </w:rPr>
        <w:t>zvýšili sa príjmy z cestovného nielen z prepravy osôb, ale aj v oblasti prepravy domácich zvierat a osobných prepravných prostriedkov.</w:t>
      </w:r>
      <w:r>
        <w:rPr>
          <w:rFonts w:cs="Times New Roman"/>
          <w:sz w:val="24"/>
          <w:szCs w:val="24"/>
        </w:rPr>
        <w:t xml:space="preserve"> </w:t>
      </w:r>
    </w:p>
    <w:p w14:paraId="7F281E0F" w14:textId="77777777" w:rsidR="003A0696" w:rsidRDefault="003A0696" w:rsidP="003A0696">
      <w:pPr>
        <w:spacing w:before="120" w:line="240" w:lineRule="auto"/>
        <w:rPr>
          <w:rFonts w:cs="Times New Roman"/>
          <w:sz w:val="24"/>
          <w:szCs w:val="24"/>
        </w:rPr>
      </w:pPr>
      <w:r>
        <w:rPr>
          <w:rFonts w:cs="Times New Roman"/>
          <w:sz w:val="24"/>
          <w:szCs w:val="24"/>
        </w:rPr>
        <w:t>Napriek ozdraveniu hospodárenia ZSSK poklesli c</w:t>
      </w:r>
      <w:r w:rsidRPr="00260D64">
        <w:rPr>
          <w:rFonts w:cs="Times New Roman"/>
          <w:sz w:val="24"/>
          <w:szCs w:val="24"/>
        </w:rPr>
        <w:t>elkové príjmy  o 2 081 tis. eur, z toho najviac príjmy z grantov a transferov o</w:t>
      </w:r>
      <w:r>
        <w:rPr>
          <w:rFonts w:cs="Times New Roman"/>
          <w:sz w:val="24"/>
          <w:szCs w:val="24"/>
        </w:rPr>
        <w:t> </w:t>
      </w:r>
      <w:r w:rsidRPr="00260D64">
        <w:rPr>
          <w:rFonts w:cs="Times New Roman"/>
          <w:sz w:val="24"/>
          <w:szCs w:val="24"/>
        </w:rPr>
        <w:t>5 305 tis. eur</w:t>
      </w:r>
      <w:r>
        <w:rPr>
          <w:rFonts w:cs="Times New Roman"/>
          <w:sz w:val="24"/>
          <w:szCs w:val="24"/>
        </w:rPr>
        <w:t>, a tým negovali nárast tržieb</w:t>
      </w:r>
      <w:r w:rsidRPr="00260D64">
        <w:rPr>
          <w:rFonts w:cs="Times New Roman"/>
          <w:sz w:val="24"/>
          <w:szCs w:val="24"/>
        </w:rPr>
        <w:t xml:space="preserve">. Bežné transfery </w:t>
      </w:r>
      <w:r>
        <w:rPr>
          <w:rFonts w:cs="Times New Roman"/>
          <w:sz w:val="24"/>
          <w:szCs w:val="24"/>
        </w:rPr>
        <w:t xml:space="preserve">zo štátneho rozpočtu </w:t>
      </w:r>
      <w:r w:rsidRPr="00260D64">
        <w:rPr>
          <w:rFonts w:cs="Times New Roman"/>
          <w:sz w:val="24"/>
          <w:szCs w:val="24"/>
        </w:rPr>
        <w:t>na financovanie</w:t>
      </w:r>
      <w:r>
        <w:rPr>
          <w:rFonts w:cs="Times New Roman"/>
          <w:sz w:val="24"/>
          <w:szCs w:val="24"/>
        </w:rPr>
        <w:t xml:space="preserve"> </w:t>
      </w:r>
      <w:r w:rsidRPr="00D03374">
        <w:rPr>
          <w:rFonts w:cs="Times New Roman"/>
          <w:sz w:val="24"/>
          <w:szCs w:val="24"/>
        </w:rPr>
        <w:t>výkonov zo Zmlúv o dopravných službách vo verejnom záujme, na humanitárnu pomoc poskytovanú odídencom z</w:t>
      </w:r>
      <w:r>
        <w:rPr>
          <w:rFonts w:cs="Times New Roman"/>
          <w:sz w:val="24"/>
          <w:szCs w:val="24"/>
        </w:rPr>
        <w:t> </w:t>
      </w:r>
      <w:r w:rsidRPr="00D03374">
        <w:rPr>
          <w:rFonts w:cs="Times New Roman"/>
          <w:sz w:val="24"/>
          <w:szCs w:val="24"/>
        </w:rPr>
        <w:t>Ukrajiny, na hospodársku mobilizáciu, ako aj na náhradu nákladov za testovanie zamestnancov</w:t>
      </w:r>
      <w:r w:rsidRPr="00260D64">
        <w:rPr>
          <w:rFonts w:cs="Times New Roman"/>
          <w:sz w:val="24"/>
          <w:szCs w:val="24"/>
        </w:rPr>
        <w:t xml:space="preserve"> na COVID-19 sa zvýšili o</w:t>
      </w:r>
      <w:r>
        <w:rPr>
          <w:rFonts w:cs="Times New Roman"/>
          <w:sz w:val="24"/>
          <w:szCs w:val="24"/>
        </w:rPr>
        <w:t> 49 865</w:t>
      </w:r>
      <w:r w:rsidRPr="00260D64">
        <w:rPr>
          <w:rFonts w:cs="Times New Roman"/>
          <w:sz w:val="24"/>
          <w:szCs w:val="24"/>
        </w:rPr>
        <w:t> tis. eur</w:t>
      </w:r>
      <w:r w:rsidRPr="00EA0216">
        <w:rPr>
          <w:rFonts w:cs="Times New Roman"/>
          <w:sz w:val="24"/>
          <w:szCs w:val="24"/>
        </w:rPr>
        <w:t>. Na zvýšenie bežného transferu vplýva aj úhrada Trnavského samosprávneho kraja za vypravené mimoriadne vlaky vo výške 146 tis. eur. Skutočne prijaté kapitálové transfery</w:t>
      </w:r>
      <w:r>
        <w:rPr>
          <w:rFonts w:cs="Times New Roman"/>
          <w:sz w:val="24"/>
          <w:szCs w:val="24"/>
        </w:rPr>
        <w:t xml:space="preserve"> zo štrukturálnych fondov EÚ</w:t>
      </w:r>
      <w:r w:rsidRPr="00EA0216">
        <w:rPr>
          <w:rFonts w:cs="Times New Roman"/>
          <w:sz w:val="24"/>
          <w:szCs w:val="24"/>
        </w:rPr>
        <w:t xml:space="preserve"> v sume 87 354 tis. eur boli nižšie oproti plánovaným o 58 986 tis. eur</w:t>
      </w:r>
      <w:r>
        <w:rPr>
          <w:rFonts w:cs="Times New Roman"/>
          <w:sz w:val="24"/>
          <w:szCs w:val="24"/>
        </w:rPr>
        <w:t xml:space="preserve"> najmä</w:t>
      </w:r>
      <w:r w:rsidRPr="00EA0216">
        <w:rPr>
          <w:rFonts w:cs="Times New Roman"/>
          <w:sz w:val="24"/>
          <w:szCs w:val="24"/>
        </w:rPr>
        <w:t xml:space="preserve"> z dôvodu viazania finančných prostriedkov v</w:t>
      </w:r>
      <w:r>
        <w:rPr>
          <w:rFonts w:cs="Times New Roman"/>
          <w:sz w:val="24"/>
          <w:szCs w:val="24"/>
        </w:rPr>
        <w:t> </w:t>
      </w:r>
      <w:r w:rsidRPr="00EA0216">
        <w:rPr>
          <w:rFonts w:cs="Times New Roman"/>
          <w:sz w:val="24"/>
          <w:szCs w:val="24"/>
        </w:rPr>
        <w:t>zmysle §8</w:t>
      </w:r>
      <w:r>
        <w:rPr>
          <w:rFonts w:cs="Times New Roman"/>
          <w:sz w:val="24"/>
          <w:szCs w:val="24"/>
        </w:rPr>
        <w:t xml:space="preserve"> zákona o rozpočtových pravidlách</w:t>
      </w:r>
      <w:r w:rsidRPr="00EA0216">
        <w:rPr>
          <w:rFonts w:cs="Times New Roman"/>
          <w:sz w:val="24"/>
          <w:szCs w:val="24"/>
        </w:rPr>
        <w:t xml:space="preserve"> na použitie výdavkov do nasledujúceho obdobia v nadväznosti na časový posun realizácie investičných projektov</w:t>
      </w:r>
      <w:r>
        <w:rPr>
          <w:rFonts w:cs="Times New Roman"/>
          <w:sz w:val="24"/>
          <w:szCs w:val="24"/>
        </w:rPr>
        <w:t xml:space="preserve">. ZSSK v porovnaní s plánom </w:t>
      </w:r>
      <w:r w:rsidRPr="008C76F9">
        <w:rPr>
          <w:rFonts w:cs="Times New Roman"/>
          <w:sz w:val="24"/>
          <w:szCs w:val="24"/>
        </w:rPr>
        <w:t>zaznamenala najväčší sklz v realizácii EU projektu č. 3 Technicko-hygienická údržba železničných koľajových vozidiel (THU ŽKV) Nové Zámky, Humenné a Zvolen.</w:t>
      </w:r>
      <w:r>
        <w:rPr>
          <w:rFonts w:cs="Times New Roman"/>
          <w:sz w:val="24"/>
          <w:szCs w:val="24"/>
        </w:rPr>
        <w:t xml:space="preserve"> </w:t>
      </w:r>
    </w:p>
    <w:p w14:paraId="41161432" w14:textId="77777777" w:rsidR="003A0696" w:rsidRDefault="003A0696" w:rsidP="003A0696">
      <w:pPr>
        <w:spacing w:before="120" w:line="240" w:lineRule="auto"/>
        <w:rPr>
          <w:rFonts w:cs="Times New Roman"/>
          <w:sz w:val="24"/>
          <w:szCs w:val="24"/>
        </w:rPr>
      </w:pPr>
      <w:r w:rsidRPr="00D03374">
        <w:rPr>
          <w:rFonts w:cs="Times New Roman"/>
          <w:sz w:val="24"/>
          <w:szCs w:val="24"/>
        </w:rPr>
        <w:t>Príjmy zo zahraničných grantov sú vyššie o</w:t>
      </w:r>
      <w:r>
        <w:rPr>
          <w:rFonts w:cs="Times New Roman"/>
          <w:sz w:val="24"/>
          <w:szCs w:val="24"/>
        </w:rPr>
        <w:t> </w:t>
      </w:r>
      <w:r w:rsidRPr="00D03374">
        <w:rPr>
          <w:rFonts w:cs="Times New Roman"/>
          <w:sz w:val="24"/>
          <w:szCs w:val="24"/>
        </w:rPr>
        <w:t>3</w:t>
      </w:r>
      <w:r>
        <w:rPr>
          <w:rFonts w:cs="Times New Roman"/>
          <w:sz w:val="24"/>
          <w:szCs w:val="24"/>
        </w:rPr>
        <w:t> </w:t>
      </w:r>
      <w:r w:rsidRPr="00D03374">
        <w:rPr>
          <w:rFonts w:cs="Times New Roman"/>
          <w:sz w:val="24"/>
          <w:szCs w:val="24"/>
        </w:rPr>
        <w:t>670</w:t>
      </w:r>
      <w:r>
        <w:rPr>
          <w:rFonts w:cs="Times New Roman"/>
          <w:sz w:val="24"/>
          <w:szCs w:val="24"/>
        </w:rPr>
        <w:t> </w:t>
      </w:r>
      <w:r w:rsidRPr="00D03374">
        <w:rPr>
          <w:rFonts w:cs="Times New Roman"/>
          <w:sz w:val="24"/>
          <w:szCs w:val="24"/>
        </w:rPr>
        <w:t>tis.</w:t>
      </w:r>
      <w:r>
        <w:rPr>
          <w:rFonts w:cs="Times New Roman"/>
          <w:sz w:val="24"/>
          <w:szCs w:val="24"/>
        </w:rPr>
        <w:t> </w:t>
      </w:r>
      <w:r w:rsidRPr="00D03374">
        <w:rPr>
          <w:rFonts w:cs="Times New Roman"/>
          <w:sz w:val="24"/>
          <w:szCs w:val="24"/>
        </w:rPr>
        <w:t>eur</w:t>
      </w:r>
      <w:r>
        <w:rPr>
          <w:rFonts w:cs="Times New Roman"/>
          <w:sz w:val="24"/>
          <w:szCs w:val="24"/>
        </w:rPr>
        <w:t xml:space="preserve"> na financovanie projektu Obstaranie ETCS (</w:t>
      </w:r>
      <w:proofErr w:type="spellStart"/>
      <w:r>
        <w:rPr>
          <w:rFonts w:cs="Times New Roman"/>
          <w:sz w:val="24"/>
          <w:szCs w:val="24"/>
        </w:rPr>
        <w:t>european</w:t>
      </w:r>
      <w:proofErr w:type="spellEnd"/>
      <w:r>
        <w:rPr>
          <w:rFonts w:cs="Times New Roman"/>
          <w:sz w:val="24"/>
          <w:szCs w:val="24"/>
        </w:rPr>
        <w:t xml:space="preserve"> </w:t>
      </w:r>
      <w:proofErr w:type="spellStart"/>
      <w:r>
        <w:rPr>
          <w:rFonts w:cs="Times New Roman"/>
          <w:sz w:val="24"/>
          <w:szCs w:val="24"/>
        </w:rPr>
        <w:t>train</w:t>
      </w:r>
      <w:proofErr w:type="spellEnd"/>
      <w:r>
        <w:rPr>
          <w:rFonts w:cs="Times New Roman"/>
          <w:sz w:val="24"/>
          <w:szCs w:val="24"/>
        </w:rPr>
        <w:t xml:space="preserve"> </w:t>
      </w:r>
      <w:proofErr w:type="spellStart"/>
      <w:r>
        <w:rPr>
          <w:rFonts w:cs="Times New Roman"/>
          <w:sz w:val="24"/>
          <w:szCs w:val="24"/>
        </w:rPr>
        <w:t>control</w:t>
      </w:r>
      <w:proofErr w:type="spellEnd"/>
      <w:r>
        <w:rPr>
          <w:rFonts w:cs="Times New Roman"/>
          <w:sz w:val="24"/>
          <w:szCs w:val="24"/>
        </w:rPr>
        <w:t xml:space="preserve"> </w:t>
      </w:r>
      <w:proofErr w:type="spellStart"/>
      <w:r>
        <w:rPr>
          <w:rFonts w:cs="Times New Roman"/>
          <w:sz w:val="24"/>
          <w:szCs w:val="24"/>
        </w:rPr>
        <w:t>system</w:t>
      </w:r>
      <w:proofErr w:type="spellEnd"/>
      <w:r>
        <w:rPr>
          <w:rFonts w:cs="Times New Roman"/>
          <w:sz w:val="24"/>
          <w:szCs w:val="24"/>
        </w:rPr>
        <w:t>) do hnacích koľajových vozidiel.</w:t>
      </w:r>
    </w:p>
    <w:p w14:paraId="071187A0" w14:textId="77777777" w:rsidR="003A0696" w:rsidRPr="00EA0216" w:rsidRDefault="003A0696" w:rsidP="003A0696">
      <w:pPr>
        <w:spacing w:before="120" w:line="240" w:lineRule="auto"/>
        <w:rPr>
          <w:rFonts w:cs="Times New Roman"/>
          <w:sz w:val="24"/>
          <w:szCs w:val="24"/>
        </w:rPr>
      </w:pPr>
      <w:r>
        <w:rPr>
          <w:rFonts w:cs="Times New Roman"/>
          <w:sz w:val="24"/>
          <w:szCs w:val="24"/>
        </w:rPr>
        <w:t>Celkové skutočné výdavky boli na porovnateľnej úrovni s rozpočtovanými. Kým bežné výdavky sa zvýšili o 35 828 tis. eur, výdavky na obstaranie kapitálových aktív zaznamenali pokles  o 35 725 tis. eur oproti plánovaným.</w:t>
      </w:r>
    </w:p>
    <w:p w14:paraId="468CC736" w14:textId="77777777" w:rsidR="003A0696" w:rsidRPr="00601C74" w:rsidRDefault="003A0696" w:rsidP="003A0696">
      <w:pPr>
        <w:spacing w:before="120" w:line="240" w:lineRule="auto"/>
        <w:rPr>
          <w:rFonts w:cs="Times New Roman"/>
          <w:sz w:val="24"/>
          <w:szCs w:val="24"/>
        </w:rPr>
      </w:pPr>
      <w:r w:rsidRPr="00601C74">
        <w:rPr>
          <w:rFonts w:cs="Times New Roman"/>
          <w:sz w:val="24"/>
          <w:szCs w:val="24"/>
        </w:rPr>
        <w:t>Inflácia a vysoké ceny energií sa hospodárenia Železničnej spoločnosti Slovensko dotkli veľmi výrazne. Predovšetkým v oblasti nakupovaných trakčných zdrojov, teda trakčnej elektrickej energie a trakčnej nafty, ale aj v prípade cien ostatných energií.</w:t>
      </w:r>
      <w:r>
        <w:rPr>
          <w:rFonts w:cs="Times New Roman"/>
          <w:sz w:val="24"/>
          <w:szCs w:val="24"/>
        </w:rPr>
        <w:t xml:space="preserve"> Výdavky na tovary a služby, ktoré sa čerpali vo výške 314 614 tis. eur boli </w:t>
      </w:r>
      <w:r w:rsidRPr="00BB64F7">
        <w:rPr>
          <w:rFonts w:cs="Times New Roman"/>
          <w:sz w:val="24"/>
          <w:szCs w:val="24"/>
        </w:rPr>
        <w:t>ovplyvnené rastom cien materiálu a náhradných dielov a objemom interných a externých opráv železničných koľajových vozidiel</w:t>
      </w:r>
      <w:r>
        <w:rPr>
          <w:rFonts w:cs="Times New Roman"/>
          <w:sz w:val="24"/>
          <w:szCs w:val="24"/>
        </w:rPr>
        <w:t>, neplánované</w:t>
      </w:r>
      <w:r w:rsidRPr="00BB64F7">
        <w:rPr>
          <w:rFonts w:cs="Times New Roman"/>
          <w:sz w:val="24"/>
          <w:szCs w:val="24"/>
        </w:rPr>
        <w:t xml:space="preserve"> výdavky súvisiace s prevádzkou mimoriadnych a sezónnych vlakov</w:t>
      </w:r>
      <w:r>
        <w:rPr>
          <w:rFonts w:cs="Times New Roman"/>
          <w:sz w:val="24"/>
          <w:szCs w:val="24"/>
        </w:rPr>
        <w:t>.</w:t>
      </w:r>
      <w:r w:rsidRPr="00BB64F7">
        <w:rPr>
          <w:rFonts w:cs="Times New Roman"/>
          <w:sz w:val="24"/>
          <w:szCs w:val="24"/>
        </w:rPr>
        <w:t xml:space="preserve"> V tejto položke je vykázané aj finančné vysporiadanie </w:t>
      </w:r>
      <w:proofErr w:type="spellStart"/>
      <w:r w:rsidRPr="00BB64F7">
        <w:rPr>
          <w:rFonts w:cs="Times New Roman"/>
          <w:sz w:val="24"/>
          <w:szCs w:val="24"/>
        </w:rPr>
        <w:t>nadkompenzácie</w:t>
      </w:r>
      <w:proofErr w:type="spellEnd"/>
      <w:r w:rsidRPr="00BB64F7">
        <w:rPr>
          <w:rFonts w:cs="Times New Roman"/>
          <w:sz w:val="24"/>
          <w:szCs w:val="24"/>
        </w:rPr>
        <w:t xml:space="preserve"> z Čiastkovej zmluvy pre rok 2021 v znení neskorších dodatkov, ktorú uhradila ZSSK vo výške 10 073 tis. eur.</w:t>
      </w:r>
      <w:r>
        <w:rPr>
          <w:rFonts w:cs="Times New Roman"/>
          <w:sz w:val="24"/>
          <w:szCs w:val="24"/>
        </w:rPr>
        <w:t xml:space="preserve"> </w:t>
      </w:r>
      <w:r w:rsidRPr="00C70C6C">
        <w:rPr>
          <w:rFonts w:cs="Times New Roman"/>
          <w:sz w:val="24"/>
          <w:szCs w:val="24"/>
        </w:rPr>
        <w:t>Legislatívny balíček o raste minimálnej mzdy a výsledok kolektívneho vyjednávania spôsobil navýšenie niektorých druhov mzdového zvýhodnenia a tým aj nárast výdavkov na mzdy a</w:t>
      </w:r>
      <w:r>
        <w:rPr>
          <w:rFonts w:cs="Times New Roman"/>
          <w:sz w:val="24"/>
          <w:szCs w:val="24"/>
        </w:rPr>
        <w:t> </w:t>
      </w:r>
      <w:r w:rsidRPr="00C70C6C">
        <w:rPr>
          <w:rFonts w:cs="Times New Roman"/>
          <w:sz w:val="24"/>
          <w:szCs w:val="24"/>
        </w:rPr>
        <w:t>poistné</w:t>
      </w:r>
      <w:r>
        <w:rPr>
          <w:rFonts w:cs="Times New Roman"/>
          <w:sz w:val="24"/>
          <w:szCs w:val="24"/>
        </w:rPr>
        <w:t>.</w:t>
      </w:r>
    </w:p>
    <w:p w14:paraId="21C34467" w14:textId="77777777" w:rsidR="003A0696" w:rsidRPr="00BD37AF" w:rsidRDefault="003A0696" w:rsidP="003A0696">
      <w:pPr>
        <w:pStyle w:val="Default0"/>
        <w:jc w:val="both"/>
        <w:rPr>
          <w:rFonts w:eastAsia="Times New Roman" w:cs="Times New Roman"/>
          <w:lang w:eastAsia="sk-SK"/>
        </w:rPr>
      </w:pPr>
      <w:r w:rsidRPr="00C70C6C">
        <w:rPr>
          <w:rFonts w:eastAsia="Times New Roman" w:cs="Times New Roman"/>
          <w:lang w:eastAsia="sk-SK"/>
        </w:rPr>
        <w:lastRenderedPageBreak/>
        <w:t>Výdavky na obstaranie kapitálových aktív</w:t>
      </w:r>
      <w:r>
        <w:rPr>
          <w:rFonts w:eastAsia="Times New Roman" w:cs="Times New Roman"/>
          <w:lang w:eastAsia="sk-SK"/>
        </w:rPr>
        <w:t xml:space="preserve"> zo zdroja ŠR a EÚ</w:t>
      </w:r>
      <w:r w:rsidRPr="00C70C6C">
        <w:rPr>
          <w:rFonts w:eastAsia="Times New Roman" w:cs="Times New Roman"/>
          <w:lang w:eastAsia="sk-SK"/>
        </w:rPr>
        <w:t xml:space="preserve"> sa znížili oproti rozpočtu o 35 725 tis. eur a dosiahli výšku 120 432 tis. eur</w:t>
      </w:r>
      <w:r>
        <w:rPr>
          <w:rFonts w:eastAsia="Times New Roman" w:cs="Times New Roman"/>
          <w:lang w:eastAsia="sk-SK"/>
        </w:rPr>
        <w:t xml:space="preserve"> najmä </w:t>
      </w:r>
      <w:r>
        <w:rPr>
          <w:rFonts w:ascii="Times New Roman" w:hAnsi="Times New Roman" w:cs="Times New Roman"/>
        </w:rPr>
        <w:t xml:space="preserve">vo vzťahu k zníženým kapitálovým transferom z EÚ zdrojov </w:t>
      </w:r>
      <w:r>
        <w:rPr>
          <w:rFonts w:cs="Times New Roman"/>
        </w:rPr>
        <w:t>a spolufinancovania a tiež z</w:t>
      </w:r>
      <w:r>
        <w:rPr>
          <w:rFonts w:eastAsia="Times New Roman" w:cs="Times New Roman"/>
          <w:lang w:eastAsia="sk-SK"/>
        </w:rPr>
        <w:t xml:space="preserve"> dôvodu posunu</w:t>
      </w:r>
      <w:r w:rsidRPr="00C70C6C">
        <w:rPr>
          <w:rFonts w:eastAsia="Times New Roman" w:cs="Times New Roman"/>
          <w:lang w:eastAsia="sk-SK"/>
        </w:rPr>
        <w:t xml:space="preserve"> EU projektu č.</w:t>
      </w:r>
      <w:r>
        <w:rPr>
          <w:rFonts w:eastAsia="Times New Roman" w:cs="Times New Roman"/>
          <w:lang w:eastAsia="sk-SK"/>
        </w:rPr>
        <w:t> </w:t>
      </w:r>
      <w:r w:rsidRPr="00C70C6C">
        <w:rPr>
          <w:rFonts w:eastAsia="Times New Roman" w:cs="Times New Roman"/>
          <w:lang w:eastAsia="sk-SK"/>
        </w:rPr>
        <w:t>3 Technicko-hygienická údržba železničných koľajových vozidiel (THU ŽKV) Nové Zámky, Humenné a</w:t>
      </w:r>
      <w:r>
        <w:rPr>
          <w:rFonts w:eastAsia="Times New Roman" w:cs="Times New Roman"/>
          <w:lang w:eastAsia="sk-SK"/>
        </w:rPr>
        <w:t> </w:t>
      </w:r>
      <w:r w:rsidRPr="00C70C6C">
        <w:rPr>
          <w:rFonts w:eastAsia="Times New Roman" w:cs="Times New Roman"/>
          <w:lang w:eastAsia="sk-SK"/>
        </w:rPr>
        <w:t>Zvolen</w:t>
      </w:r>
      <w:r>
        <w:rPr>
          <w:rFonts w:eastAsia="Times New Roman" w:cs="Times New Roman"/>
          <w:lang w:eastAsia="sk-SK"/>
        </w:rPr>
        <w:t xml:space="preserve"> do ďalšieho obdobia</w:t>
      </w:r>
      <w:r w:rsidRPr="00C70C6C">
        <w:rPr>
          <w:rFonts w:eastAsia="Times New Roman" w:cs="Times New Roman"/>
          <w:lang w:eastAsia="sk-SK"/>
        </w:rPr>
        <w:t>. ZSSK zároveň plánovala vyššie kapitálové výdavky na obstaranie investícií zo zdrojov ZSSK, ktoré sa ale z dôvodu udelenia súhlasu s načerpaním dlhodobého investičného úveru MF SR v septembri 202</w:t>
      </w:r>
      <w:r>
        <w:rPr>
          <w:rFonts w:eastAsia="Times New Roman" w:cs="Times New Roman"/>
          <w:lang w:eastAsia="sk-SK"/>
        </w:rPr>
        <w:t>2</w:t>
      </w:r>
      <w:r w:rsidRPr="00C70C6C">
        <w:rPr>
          <w:rFonts w:eastAsia="Times New Roman" w:cs="Times New Roman"/>
          <w:lang w:eastAsia="sk-SK"/>
        </w:rPr>
        <w:t xml:space="preserve">, nepodarilo zrealizovať v celkovom plánovanom </w:t>
      </w:r>
      <w:r w:rsidRPr="00C70C6C">
        <w:rPr>
          <w:rFonts w:eastAsia="Times New Roman" w:cs="Times New Roman"/>
          <w:color w:val="auto"/>
          <w:lang w:eastAsia="sk-SK"/>
        </w:rPr>
        <w:t xml:space="preserve">objeme (najväčší sklz vznikol v nižšej realizácii a posune projektov v okruhu </w:t>
      </w:r>
      <w:r w:rsidRPr="00BD37AF">
        <w:rPr>
          <w:rFonts w:eastAsia="Times New Roman" w:cs="Times New Roman"/>
          <w:color w:val="auto"/>
          <w:lang w:eastAsia="sk-SK"/>
        </w:rPr>
        <w:t xml:space="preserve">stavieb a IT investícií). </w:t>
      </w:r>
      <w:r w:rsidRPr="00BD37AF">
        <w:rPr>
          <w:rFonts w:eastAsia="Times New Roman" w:cs="Times New Roman"/>
          <w:lang w:eastAsia="sk-SK"/>
        </w:rPr>
        <w:t xml:space="preserve">Finančné prostriedky boli alokované v rámci realizácie projektov na obstaranie </w:t>
      </w:r>
      <w:proofErr w:type="spellStart"/>
      <w:r w:rsidRPr="00BD37AF">
        <w:rPr>
          <w:rFonts w:eastAsia="Times New Roman" w:cs="Times New Roman"/>
          <w:lang w:eastAsia="sk-SK"/>
        </w:rPr>
        <w:t>dieslových</w:t>
      </w:r>
      <w:proofErr w:type="spellEnd"/>
      <w:r w:rsidRPr="00BD37AF">
        <w:rPr>
          <w:rFonts w:eastAsia="Times New Roman" w:cs="Times New Roman"/>
          <w:lang w:eastAsia="sk-SK"/>
        </w:rPr>
        <w:t xml:space="preserve"> motorových jednotiek, elektrických jednotiek, na modernizáciu železničných koľajových vozidiel a osobných vozňov</w:t>
      </w:r>
      <w:r w:rsidRPr="00BD37AF">
        <w:rPr>
          <w:rFonts w:cs="Times New Roman"/>
        </w:rPr>
        <w:t xml:space="preserve"> </w:t>
      </w:r>
      <w:r>
        <w:rPr>
          <w:rFonts w:cs="Times New Roman"/>
        </w:rPr>
        <w:t>(</w:t>
      </w:r>
      <w:r w:rsidRPr="00BD37AF">
        <w:rPr>
          <w:rFonts w:eastAsia="Times New Roman" w:cs="Times New Roman"/>
          <w:lang w:eastAsia="sk-SK"/>
        </w:rPr>
        <w:t xml:space="preserve">projekt </w:t>
      </w:r>
      <w:r w:rsidRPr="00BD37AF">
        <w:rPr>
          <w:rFonts w:ascii="Times New Roman" w:eastAsia="Times New Roman" w:hAnsi="Times New Roman" w:cs="Times New Roman"/>
          <w:color w:val="auto"/>
          <w:lang w:eastAsia="sk-SK"/>
        </w:rPr>
        <w:t>„Modernizácie vozidlového parku</w:t>
      </w:r>
      <w:r>
        <w:rPr>
          <w:rFonts w:eastAsia="Times New Roman" w:cs="Times New Roman"/>
          <w:lang w:eastAsia="sk-SK"/>
        </w:rPr>
        <w:t xml:space="preserve"> ŽKV v rámci OPII – 3. časť“ v sume 26 205 tis. eur, projekt „</w:t>
      </w:r>
      <w:r w:rsidRPr="00BD37AF">
        <w:rPr>
          <w:rFonts w:eastAsia="Times New Roman" w:cs="Times New Roman"/>
          <w:lang w:eastAsia="sk-SK"/>
        </w:rPr>
        <w:t>Obstaranie elektrických jednotiek pre Ozubnicovú aj</w:t>
      </w:r>
      <w:r>
        <w:rPr>
          <w:rFonts w:eastAsia="Times New Roman" w:cs="Times New Roman"/>
          <w:lang w:eastAsia="sk-SK"/>
        </w:rPr>
        <w:t xml:space="preserve"> Tatranskú elektrickú železnicu“ v sume 3 344 tis. eur).</w:t>
      </w:r>
    </w:p>
    <w:p w14:paraId="5B23D877" w14:textId="77777777" w:rsidR="003A0696" w:rsidRDefault="003A0696" w:rsidP="003A0696">
      <w:pPr>
        <w:spacing w:before="120" w:line="240" w:lineRule="auto"/>
        <w:rPr>
          <w:rFonts w:cs="Times New Roman"/>
          <w:sz w:val="24"/>
          <w:szCs w:val="24"/>
        </w:rPr>
      </w:pPr>
      <w:r w:rsidRPr="00C858A2">
        <w:rPr>
          <w:rFonts w:eastAsia="Times New Roman" w:cs="Times New Roman"/>
          <w:sz w:val="24"/>
          <w:szCs w:val="24"/>
          <w:lang w:eastAsia="sk-SK"/>
        </w:rPr>
        <w:t>Na ESA prebytok vo výške 10 207 tis. eur (nárast oproti rozpočtovanému prebytku o 9 344 tis. eur) pozitívne vplýval medziročný nárast pohľadávok o 24 101 tis. eur z väčšej časti  eliminovaný nárastom záväzkov o 12 573 tis. eur.</w:t>
      </w:r>
      <w:r w:rsidRPr="00C858A2">
        <w:rPr>
          <w:rFonts w:cs="Times New Roman"/>
          <w:color w:val="FF0000"/>
          <w:sz w:val="24"/>
          <w:szCs w:val="24"/>
        </w:rPr>
        <w:t xml:space="preserve"> </w:t>
      </w:r>
      <w:r w:rsidRPr="00C858A2">
        <w:rPr>
          <w:rFonts w:cs="Times New Roman"/>
          <w:sz w:val="24"/>
          <w:szCs w:val="24"/>
        </w:rPr>
        <w:t>Medziročne došlo k nárastu</w:t>
      </w:r>
      <w:r w:rsidRPr="00601C74">
        <w:rPr>
          <w:rFonts w:cs="Times New Roman"/>
          <w:sz w:val="24"/>
          <w:szCs w:val="24"/>
        </w:rPr>
        <w:t xml:space="preserve"> na účtoch pohľadávok - vyššie poskytnuté preddavky na dlhodobý </w:t>
      </w:r>
      <w:r>
        <w:rPr>
          <w:rFonts w:cs="Times New Roman"/>
          <w:sz w:val="24"/>
          <w:szCs w:val="24"/>
        </w:rPr>
        <w:t>majetok – elektrických jednotiek v hodnote 26 900 tis. eur</w:t>
      </w:r>
      <w:r w:rsidRPr="00601C74">
        <w:rPr>
          <w:rFonts w:cs="Times New Roman"/>
          <w:sz w:val="24"/>
          <w:szCs w:val="24"/>
        </w:rPr>
        <w:t>, nárast pohľadávok z medzinárodnej prepravy za trakčné výkony</w:t>
      </w:r>
      <w:r>
        <w:rPr>
          <w:rFonts w:cs="Times New Roman"/>
          <w:sz w:val="24"/>
          <w:szCs w:val="24"/>
        </w:rPr>
        <w:t xml:space="preserve"> v hodnote 2 500 tis. eur a nárast daňových pohľadávok - </w:t>
      </w:r>
      <w:r w:rsidRPr="00601C74">
        <w:rPr>
          <w:rFonts w:cs="Times New Roman"/>
          <w:sz w:val="24"/>
          <w:szCs w:val="24"/>
        </w:rPr>
        <w:t>vyššia DPH na vstupe v súvislosti s väčším objemom nákupov</w:t>
      </w:r>
      <w:r>
        <w:rPr>
          <w:rFonts w:cs="Times New Roman"/>
          <w:sz w:val="24"/>
          <w:szCs w:val="24"/>
        </w:rPr>
        <w:t xml:space="preserve"> počas roku 2022. </w:t>
      </w:r>
    </w:p>
    <w:p w14:paraId="09343E27" w14:textId="77777777" w:rsidR="003A0696" w:rsidRDefault="003A0696" w:rsidP="003A0696">
      <w:pPr>
        <w:spacing w:before="120" w:line="240" w:lineRule="auto"/>
        <w:rPr>
          <w:rFonts w:eastAsia="Times New Roman" w:cs="Times New Roman"/>
          <w:sz w:val="24"/>
          <w:szCs w:val="24"/>
          <w:lang w:eastAsia="sk-SK"/>
        </w:rPr>
      </w:pPr>
      <w:r>
        <w:rPr>
          <w:rFonts w:cs="Times New Roman"/>
          <w:sz w:val="24"/>
          <w:szCs w:val="24"/>
        </w:rPr>
        <w:t>Negatívny vplyv na hospodárenie podľa metodiky ESA 2010 výrazne ovplyvnil medziročný</w:t>
      </w:r>
      <w:r>
        <w:rPr>
          <w:rFonts w:eastAsia="Times New Roman" w:cs="Times New Roman"/>
          <w:sz w:val="24"/>
          <w:szCs w:val="24"/>
          <w:lang w:eastAsia="sk-SK"/>
        </w:rPr>
        <w:t xml:space="preserve"> nárast</w:t>
      </w:r>
      <w:r w:rsidRPr="00273201">
        <w:rPr>
          <w:rFonts w:eastAsia="Times New Roman" w:cs="Times New Roman"/>
          <w:sz w:val="24"/>
          <w:szCs w:val="24"/>
          <w:lang w:eastAsia="sk-SK"/>
        </w:rPr>
        <w:t xml:space="preserve"> </w:t>
      </w:r>
      <w:r>
        <w:rPr>
          <w:rFonts w:eastAsia="Times New Roman" w:cs="Times New Roman"/>
          <w:sz w:val="24"/>
          <w:szCs w:val="24"/>
          <w:lang w:eastAsia="sk-SK"/>
        </w:rPr>
        <w:t>záväzkov na účtoch dodávateľov</w:t>
      </w:r>
      <w:r w:rsidRPr="00273201">
        <w:rPr>
          <w:rFonts w:eastAsia="Times New Roman" w:cs="Times New Roman"/>
          <w:sz w:val="24"/>
          <w:szCs w:val="24"/>
          <w:lang w:eastAsia="sk-SK"/>
        </w:rPr>
        <w:t xml:space="preserve"> a</w:t>
      </w:r>
      <w:r>
        <w:rPr>
          <w:rFonts w:eastAsia="Times New Roman" w:cs="Times New Roman"/>
          <w:sz w:val="24"/>
          <w:szCs w:val="24"/>
          <w:lang w:eastAsia="sk-SK"/>
        </w:rPr>
        <w:t> </w:t>
      </w:r>
      <w:r w:rsidRPr="00273201">
        <w:rPr>
          <w:rFonts w:eastAsia="Times New Roman" w:cs="Times New Roman"/>
          <w:sz w:val="24"/>
          <w:szCs w:val="24"/>
          <w:lang w:eastAsia="sk-SK"/>
        </w:rPr>
        <w:t>nevyfakt</w:t>
      </w:r>
      <w:r>
        <w:rPr>
          <w:rFonts w:eastAsia="Times New Roman" w:cs="Times New Roman"/>
          <w:sz w:val="24"/>
          <w:szCs w:val="24"/>
          <w:lang w:eastAsia="sk-SK"/>
        </w:rPr>
        <w:t>urovaných dodávok o 10 250 tis. </w:t>
      </w:r>
      <w:r w:rsidRPr="00273201">
        <w:rPr>
          <w:rFonts w:eastAsia="Times New Roman" w:cs="Times New Roman"/>
          <w:sz w:val="24"/>
          <w:szCs w:val="24"/>
          <w:lang w:eastAsia="sk-SK"/>
        </w:rPr>
        <w:t>eur</w:t>
      </w:r>
      <w:r>
        <w:rPr>
          <w:rFonts w:eastAsia="Times New Roman" w:cs="Times New Roman"/>
          <w:sz w:val="24"/>
          <w:szCs w:val="24"/>
          <w:lang w:eastAsia="sk-SK"/>
        </w:rPr>
        <w:t xml:space="preserve"> </w:t>
      </w:r>
      <w:r w:rsidRPr="00273201">
        <w:rPr>
          <w:rFonts w:eastAsia="Times New Roman" w:cs="Times New Roman"/>
          <w:sz w:val="24"/>
          <w:szCs w:val="24"/>
          <w:lang w:eastAsia="sk-SK"/>
        </w:rPr>
        <w:t xml:space="preserve">za stavebné práce pre EU projekt </w:t>
      </w:r>
      <w:r>
        <w:rPr>
          <w:rFonts w:eastAsia="Times New Roman" w:cs="Times New Roman"/>
          <w:sz w:val="24"/>
          <w:szCs w:val="24"/>
          <w:lang w:eastAsia="sk-SK"/>
        </w:rPr>
        <w:t>(</w:t>
      </w:r>
      <w:r w:rsidRPr="00273201">
        <w:rPr>
          <w:rFonts w:eastAsia="Times New Roman" w:cs="Times New Roman"/>
          <w:sz w:val="24"/>
          <w:szCs w:val="24"/>
          <w:lang w:eastAsia="sk-SK"/>
        </w:rPr>
        <w:t>vybudovanie infraštruktúry na kontrolu a prípravu vozového parku železničnej osobnej dopravy -Humenné, Nové Zámky a</w:t>
      </w:r>
      <w:r>
        <w:rPr>
          <w:rFonts w:eastAsia="Times New Roman" w:cs="Times New Roman"/>
          <w:sz w:val="24"/>
          <w:szCs w:val="24"/>
          <w:lang w:eastAsia="sk-SK"/>
        </w:rPr>
        <w:t> </w:t>
      </w:r>
      <w:r w:rsidRPr="00273201">
        <w:rPr>
          <w:rFonts w:eastAsia="Times New Roman" w:cs="Times New Roman"/>
          <w:sz w:val="24"/>
          <w:szCs w:val="24"/>
          <w:lang w:eastAsia="sk-SK"/>
        </w:rPr>
        <w:t>Zvolen</w:t>
      </w:r>
      <w:r>
        <w:rPr>
          <w:rFonts w:eastAsia="Times New Roman" w:cs="Times New Roman"/>
          <w:sz w:val="24"/>
          <w:szCs w:val="24"/>
          <w:lang w:eastAsia="sk-SK"/>
        </w:rPr>
        <w:t>)</w:t>
      </w:r>
      <w:r w:rsidRPr="00273201">
        <w:rPr>
          <w:rFonts w:eastAsia="Times New Roman" w:cs="Times New Roman"/>
          <w:sz w:val="24"/>
          <w:szCs w:val="24"/>
          <w:lang w:eastAsia="sk-SK"/>
        </w:rPr>
        <w:t xml:space="preserve">. </w:t>
      </w:r>
    </w:p>
    <w:p w14:paraId="34410761" w14:textId="77777777" w:rsidR="003A0696" w:rsidRPr="00863D1C" w:rsidRDefault="003A0696" w:rsidP="003A0696">
      <w:pPr>
        <w:spacing w:before="120" w:line="240" w:lineRule="auto"/>
        <w:rPr>
          <w:rFonts w:cs="Times New Roman"/>
          <w:sz w:val="24"/>
          <w:szCs w:val="24"/>
        </w:rPr>
      </w:pPr>
      <w:r>
        <w:rPr>
          <w:rFonts w:cs="Times New Roman"/>
          <w:sz w:val="24"/>
          <w:szCs w:val="24"/>
        </w:rPr>
        <w:t>H</w:t>
      </w:r>
      <w:r w:rsidRPr="00863D1C">
        <w:rPr>
          <w:rFonts w:cs="Times New Roman"/>
          <w:sz w:val="24"/>
          <w:szCs w:val="24"/>
        </w:rPr>
        <w:t xml:space="preserve">otovostný schodok </w:t>
      </w:r>
      <w:r w:rsidRPr="00863D1C">
        <w:rPr>
          <w:rFonts w:cs="Times New Roman"/>
          <w:b/>
          <w:sz w:val="24"/>
          <w:szCs w:val="24"/>
        </w:rPr>
        <w:t>Jadrovej a vyraďovacej spoločnosti, a. s.</w:t>
      </w:r>
      <w:r w:rsidRPr="00863D1C">
        <w:rPr>
          <w:rFonts w:cs="Times New Roman"/>
          <w:sz w:val="24"/>
          <w:szCs w:val="24"/>
        </w:rPr>
        <w:t xml:space="preserve"> (JAVYS) bol</w:t>
      </w:r>
      <w:r>
        <w:rPr>
          <w:rFonts w:cs="Times New Roman"/>
          <w:sz w:val="24"/>
          <w:szCs w:val="24"/>
        </w:rPr>
        <w:t xml:space="preserve"> rozpočtovaný</w:t>
      </w:r>
      <w:r w:rsidRPr="00863D1C">
        <w:rPr>
          <w:rFonts w:cs="Times New Roman"/>
          <w:sz w:val="24"/>
          <w:szCs w:val="24"/>
        </w:rPr>
        <w:t xml:space="preserve"> vo výške 15 539 tis. eur, v skutočnosti spoločnosť dosiahla hotovostný schodok 17 445 tis. eur. Na zhoršenie hospodárenia o 1 906 tis. eur oproti rozpočtu vplýval pokles </w:t>
      </w:r>
      <w:r>
        <w:rPr>
          <w:rFonts w:cs="Times New Roman"/>
          <w:sz w:val="24"/>
          <w:szCs w:val="24"/>
        </w:rPr>
        <w:t xml:space="preserve">celkových </w:t>
      </w:r>
      <w:r w:rsidRPr="00863D1C">
        <w:rPr>
          <w:rFonts w:cs="Times New Roman"/>
          <w:sz w:val="24"/>
          <w:szCs w:val="24"/>
        </w:rPr>
        <w:t>príjmov o 32 674 tis. eur, eliminovaný vplyvom poklesu výdavkov o 30 768 tis. eur.</w:t>
      </w:r>
    </w:p>
    <w:p w14:paraId="3DC4EA55" w14:textId="77777777" w:rsidR="003A0696" w:rsidRDefault="003A0696" w:rsidP="003A0696">
      <w:pPr>
        <w:spacing w:before="120" w:line="240" w:lineRule="auto"/>
        <w:rPr>
          <w:rFonts w:cs="Times New Roman"/>
          <w:sz w:val="24"/>
          <w:szCs w:val="24"/>
        </w:rPr>
      </w:pPr>
      <w:r>
        <w:rPr>
          <w:rFonts w:cs="Times New Roman"/>
          <w:sz w:val="24"/>
          <w:szCs w:val="24"/>
        </w:rPr>
        <w:t xml:space="preserve">Celkové príjmy boli </w:t>
      </w:r>
      <w:r w:rsidRPr="00964EAD">
        <w:rPr>
          <w:rFonts w:cs="Times New Roman"/>
          <w:sz w:val="24"/>
          <w:szCs w:val="24"/>
        </w:rPr>
        <w:t xml:space="preserve">v porovnaní </w:t>
      </w:r>
      <w:r>
        <w:rPr>
          <w:rFonts w:cs="Times New Roman"/>
          <w:sz w:val="24"/>
          <w:szCs w:val="24"/>
        </w:rPr>
        <w:t xml:space="preserve">s </w:t>
      </w:r>
      <w:r w:rsidRPr="00964EAD">
        <w:rPr>
          <w:rFonts w:cs="Times New Roman"/>
          <w:sz w:val="24"/>
          <w:szCs w:val="24"/>
        </w:rPr>
        <w:t>rozpočtom na rok 2022 nižšie najmä z dôvodu znížených príjmov z bežného a kapitálového transferu z</w:t>
      </w:r>
      <w:r>
        <w:rPr>
          <w:rFonts w:cs="Times New Roman"/>
          <w:sz w:val="24"/>
          <w:szCs w:val="24"/>
        </w:rPr>
        <w:t xml:space="preserve"> Národného jadrového fondu o 22 </w:t>
      </w:r>
      <w:r w:rsidRPr="00964EAD">
        <w:rPr>
          <w:rFonts w:cs="Times New Roman"/>
          <w:sz w:val="24"/>
          <w:szCs w:val="24"/>
        </w:rPr>
        <w:t>846</w:t>
      </w:r>
      <w:r>
        <w:rPr>
          <w:rFonts w:cs="Times New Roman"/>
          <w:sz w:val="24"/>
          <w:szCs w:val="24"/>
        </w:rPr>
        <w:t> tis. </w:t>
      </w:r>
      <w:r w:rsidRPr="00964EAD">
        <w:rPr>
          <w:rFonts w:cs="Times New Roman"/>
          <w:sz w:val="24"/>
          <w:szCs w:val="24"/>
        </w:rPr>
        <w:t>eur (v</w:t>
      </w:r>
      <w:r>
        <w:rPr>
          <w:rFonts w:cs="Times New Roman"/>
          <w:sz w:val="24"/>
          <w:szCs w:val="24"/>
        </w:rPr>
        <w:t> </w:t>
      </w:r>
      <w:r w:rsidRPr="00964EAD">
        <w:rPr>
          <w:rFonts w:cs="Times New Roman"/>
          <w:sz w:val="24"/>
          <w:szCs w:val="24"/>
        </w:rPr>
        <w:t>súvislosti s aktualizovaným harmonogramom vyraďovania, resp. nižšími žiadosťami o</w:t>
      </w:r>
      <w:r>
        <w:rPr>
          <w:rFonts w:cs="Times New Roman"/>
          <w:sz w:val="24"/>
          <w:szCs w:val="24"/>
        </w:rPr>
        <w:t> </w:t>
      </w:r>
      <w:r w:rsidRPr="00964EAD">
        <w:rPr>
          <w:rFonts w:cs="Times New Roman"/>
          <w:sz w:val="24"/>
          <w:szCs w:val="24"/>
        </w:rPr>
        <w:t>prostriedky na vyraďovanie na dané obd</w:t>
      </w:r>
      <w:r>
        <w:rPr>
          <w:rFonts w:cs="Times New Roman"/>
          <w:sz w:val="24"/>
          <w:szCs w:val="24"/>
        </w:rPr>
        <w:t xml:space="preserve">obie), </w:t>
      </w:r>
      <w:r w:rsidRPr="00964EAD">
        <w:rPr>
          <w:rFonts w:cs="Times New Roman"/>
          <w:sz w:val="24"/>
          <w:szCs w:val="24"/>
        </w:rPr>
        <w:t>nižších príjmov zo zahraničných grantov o</w:t>
      </w:r>
      <w:r>
        <w:rPr>
          <w:rFonts w:cs="Times New Roman"/>
          <w:sz w:val="24"/>
          <w:szCs w:val="24"/>
        </w:rPr>
        <w:t> </w:t>
      </w:r>
      <w:r w:rsidRPr="00964EAD">
        <w:rPr>
          <w:rFonts w:cs="Times New Roman"/>
          <w:sz w:val="24"/>
          <w:szCs w:val="24"/>
        </w:rPr>
        <w:t>4</w:t>
      </w:r>
      <w:r>
        <w:rPr>
          <w:rFonts w:cs="Times New Roman"/>
          <w:sz w:val="24"/>
          <w:szCs w:val="24"/>
        </w:rPr>
        <w:t> </w:t>
      </w:r>
      <w:r w:rsidRPr="00964EAD">
        <w:rPr>
          <w:rFonts w:cs="Times New Roman"/>
          <w:sz w:val="24"/>
          <w:szCs w:val="24"/>
        </w:rPr>
        <w:t>288</w:t>
      </w:r>
      <w:r>
        <w:rPr>
          <w:rFonts w:cs="Times New Roman"/>
          <w:sz w:val="24"/>
          <w:szCs w:val="24"/>
        </w:rPr>
        <w:t> </w:t>
      </w:r>
      <w:r w:rsidRPr="00964EAD">
        <w:rPr>
          <w:rFonts w:cs="Times New Roman"/>
          <w:sz w:val="24"/>
          <w:szCs w:val="24"/>
        </w:rPr>
        <w:t>tis.</w:t>
      </w:r>
      <w:r>
        <w:rPr>
          <w:rFonts w:cs="Times New Roman"/>
          <w:sz w:val="24"/>
          <w:szCs w:val="24"/>
        </w:rPr>
        <w:t> </w:t>
      </w:r>
      <w:r w:rsidRPr="00964EAD">
        <w:rPr>
          <w:rFonts w:cs="Times New Roman"/>
          <w:sz w:val="24"/>
          <w:szCs w:val="24"/>
        </w:rPr>
        <w:t xml:space="preserve">eur (v súvislosti s posunom projektov vyraďovania, resp. platieb do ďalších období) </w:t>
      </w:r>
      <w:r>
        <w:rPr>
          <w:rFonts w:cs="Times New Roman"/>
          <w:sz w:val="24"/>
          <w:szCs w:val="24"/>
        </w:rPr>
        <w:t xml:space="preserve">a </w:t>
      </w:r>
      <w:r w:rsidRPr="00964EAD">
        <w:rPr>
          <w:rFonts w:cs="Times New Roman"/>
          <w:sz w:val="24"/>
          <w:szCs w:val="24"/>
        </w:rPr>
        <w:t>nižších nedaňových príjmov o</w:t>
      </w:r>
      <w:r>
        <w:rPr>
          <w:rFonts w:cs="Times New Roman"/>
          <w:sz w:val="24"/>
          <w:szCs w:val="24"/>
        </w:rPr>
        <w:t> </w:t>
      </w:r>
      <w:r w:rsidRPr="00964EAD">
        <w:rPr>
          <w:rFonts w:cs="Times New Roman"/>
          <w:sz w:val="24"/>
          <w:szCs w:val="24"/>
        </w:rPr>
        <w:t>5</w:t>
      </w:r>
      <w:r>
        <w:rPr>
          <w:rFonts w:cs="Times New Roman"/>
          <w:sz w:val="24"/>
          <w:szCs w:val="24"/>
        </w:rPr>
        <w:t> 539 tis. eur (v súvislosti s odkladom úhrady za vykonané jadrové služby pre Slovenské elektrárne, a. s. do nasledujúceho roka)</w:t>
      </w:r>
      <w:r w:rsidRPr="00964EAD">
        <w:rPr>
          <w:rFonts w:cs="Times New Roman"/>
          <w:sz w:val="24"/>
          <w:szCs w:val="24"/>
        </w:rPr>
        <w:t xml:space="preserve">. </w:t>
      </w:r>
    </w:p>
    <w:p w14:paraId="465E8D67" w14:textId="77777777" w:rsidR="003A0696" w:rsidRPr="00062FFE" w:rsidRDefault="003A0696" w:rsidP="003A0696">
      <w:pPr>
        <w:spacing w:before="120" w:line="240" w:lineRule="auto"/>
        <w:rPr>
          <w:rFonts w:cs="Times New Roman"/>
          <w:sz w:val="24"/>
          <w:szCs w:val="24"/>
          <w:highlight w:val="yellow"/>
        </w:rPr>
      </w:pPr>
      <w:r w:rsidRPr="003941CE">
        <w:rPr>
          <w:rFonts w:cs="Times New Roman"/>
          <w:sz w:val="24"/>
          <w:szCs w:val="24"/>
        </w:rPr>
        <w:t>Celkové výdavky boli v porovnaní s rozpočtom nižšie najmä z dôvodu nižšieho čerpania výdavkov na tovary a služby o 20 143 tis. eu</w:t>
      </w:r>
      <w:r>
        <w:rPr>
          <w:rFonts w:cs="Times New Roman"/>
          <w:sz w:val="24"/>
          <w:szCs w:val="24"/>
        </w:rPr>
        <w:t>r</w:t>
      </w:r>
      <w:r w:rsidRPr="003941CE">
        <w:rPr>
          <w:rFonts w:cs="Times New Roman"/>
          <w:sz w:val="24"/>
          <w:szCs w:val="24"/>
        </w:rPr>
        <w:t xml:space="preserve">, a to </w:t>
      </w:r>
      <w:r>
        <w:rPr>
          <w:rFonts w:cs="Times New Roman"/>
          <w:sz w:val="24"/>
          <w:szCs w:val="24"/>
        </w:rPr>
        <w:t>výdavkov</w:t>
      </w:r>
      <w:r w:rsidRPr="003941CE">
        <w:rPr>
          <w:rFonts w:cs="Times New Roman"/>
          <w:sz w:val="24"/>
          <w:szCs w:val="24"/>
        </w:rPr>
        <w:t xml:space="preserve"> na všeobecné služby (o 4 841 tis. eur) z dôvodu predĺženia obstarávania podprojektu „Dekontaminácia a demolácia objektov JE V1 a uvedenie areálu do pôvodného stavu“, </w:t>
      </w:r>
      <w:r>
        <w:rPr>
          <w:rFonts w:cs="Times New Roman"/>
          <w:sz w:val="24"/>
          <w:szCs w:val="24"/>
        </w:rPr>
        <w:t>výdavkov</w:t>
      </w:r>
      <w:r w:rsidRPr="003941CE">
        <w:rPr>
          <w:rFonts w:cs="Times New Roman"/>
          <w:sz w:val="24"/>
          <w:szCs w:val="24"/>
        </w:rPr>
        <w:t xml:space="preserve"> na špeciálne služby (o 4 122 tis. eur) a </w:t>
      </w:r>
      <w:r>
        <w:rPr>
          <w:rFonts w:cs="Times New Roman"/>
          <w:sz w:val="24"/>
          <w:szCs w:val="24"/>
        </w:rPr>
        <w:t>výdavkov</w:t>
      </w:r>
      <w:r w:rsidRPr="003941CE">
        <w:rPr>
          <w:rFonts w:cs="Times New Roman"/>
          <w:sz w:val="24"/>
          <w:szCs w:val="24"/>
        </w:rPr>
        <w:t xml:space="preserve"> na energie, vodu a komunikácie (o 2 </w:t>
      </w:r>
      <w:r>
        <w:rPr>
          <w:rFonts w:cs="Times New Roman"/>
          <w:sz w:val="24"/>
          <w:szCs w:val="24"/>
        </w:rPr>
        <w:t>6</w:t>
      </w:r>
      <w:r w:rsidRPr="003941CE">
        <w:rPr>
          <w:rFonts w:cs="Times New Roman"/>
          <w:sz w:val="24"/>
          <w:szCs w:val="24"/>
        </w:rPr>
        <w:t>57 tis. eur).</w:t>
      </w:r>
      <w:r>
        <w:rPr>
          <w:rFonts w:cs="Times New Roman"/>
          <w:sz w:val="24"/>
          <w:szCs w:val="24"/>
        </w:rPr>
        <w:t xml:space="preserve"> </w:t>
      </w:r>
      <w:r w:rsidRPr="003941CE">
        <w:rPr>
          <w:rFonts w:cs="Times New Roman"/>
          <w:sz w:val="24"/>
          <w:szCs w:val="24"/>
        </w:rPr>
        <w:t xml:space="preserve">Výdavky na obstaranie kapitálový aktív dosiahli úroveň 29 296 tis. eur, čo je oproti rozpočtu menej o 11 416 tis. eur. Nižšie čerpanie bolo zaznamenané hlavne z dôvodu posunu realizácie projektov spojených s vyraďovaním jadrových zariadení, resp. záverečnou časťou jadrovej energetiky do budúcich období. </w:t>
      </w:r>
    </w:p>
    <w:p w14:paraId="3463900B" w14:textId="77777777" w:rsidR="003A0696" w:rsidRPr="00DA46A7" w:rsidRDefault="003A0696" w:rsidP="003A0696">
      <w:pPr>
        <w:spacing w:before="120" w:line="240" w:lineRule="auto"/>
        <w:rPr>
          <w:rFonts w:cs="Times New Roman"/>
          <w:sz w:val="24"/>
          <w:szCs w:val="24"/>
        </w:rPr>
      </w:pPr>
      <w:r w:rsidRPr="00DA46A7">
        <w:rPr>
          <w:rFonts w:cs="Times New Roman"/>
          <w:sz w:val="24"/>
          <w:szCs w:val="24"/>
        </w:rPr>
        <w:t>Oproti rozpočtovanému ESA schodku dosiahla spoločnosť zlepšenie o 43 941 tis. eur, keď hospodárila s ESA prebytk</w:t>
      </w:r>
      <w:r>
        <w:rPr>
          <w:rFonts w:cs="Times New Roman"/>
          <w:sz w:val="24"/>
          <w:szCs w:val="24"/>
        </w:rPr>
        <w:t>om</w:t>
      </w:r>
      <w:r w:rsidRPr="00DA46A7">
        <w:rPr>
          <w:rFonts w:cs="Times New Roman"/>
          <w:sz w:val="24"/>
          <w:szCs w:val="24"/>
        </w:rPr>
        <w:t xml:space="preserve"> vo výške 1 741 tis. eur. Na dosiahnuté zlepšenie pozitívne vplývali úpravy v súlade s metodikou ESA, ako medziročný nárast pohľadávok o 13 055 tis. eur (z obchodných vzťahov a daňových pohľadávok), úprava v sume 3 000 tis. eur vylučujúca </w:t>
      </w:r>
      <w:r w:rsidRPr="00DA46A7">
        <w:rPr>
          <w:rFonts w:cs="Times New Roman"/>
          <w:sz w:val="24"/>
          <w:szCs w:val="24"/>
        </w:rPr>
        <w:lastRenderedPageBreak/>
        <w:t xml:space="preserve">z výdavkov </w:t>
      </w:r>
      <w:proofErr w:type="spellStart"/>
      <w:r w:rsidRPr="00DA46A7">
        <w:rPr>
          <w:rFonts w:cs="Times New Roman"/>
          <w:sz w:val="24"/>
          <w:szCs w:val="24"/>
        </w:rPr>
        <w:t>superdividendu</w:t>
      </w:r>
      <w:proofErr w:type="spellEnd"/>
      <w:r w:rsidRPr="00DA46A7">
        <w:rPr>
          <w:rFonts w:cs="Times New Roman"/>
          <w:sz w:val="24"/>
          <w:szCs w:val="24"/>
        </w:rPr>
        <w:t xml:space="preserve"> vyplatenú Ministerstvu hospodárstva SR a  úprava v sume 4 322 tis. eur vylučujúca z ESA výdavkov 99 % z povinných platieb uhradených Národnému jadrovému fondu (NJF). Tento výdavok predstavuje šetrenie na budúce vyraďovanie rádioaktívnych zariadení, ktoré prevádzkuje JAVYS, pričom má na tieto prostriedky v budúcnosti nárok. Z uvedeného dôvodu položka predstavuje finančnú operáciu. 1 % z povinných platieb si môže ponechať NJF na svoju správu, a teda zostáva výdavkom JAVYS - u. Negatívne na ESA prebytok vplýval nárast záväzkov o 1 191 tis. eur. </w:t>
      </w:r>
    </w:p>
    <w:p w14:paraId="6A99D7DA" w14:textId="77777777" w:rsidR="003A0696" w:rsidRPr="002C24E0" w:rsidRDefault="003A0696" w:rsidP="003A0696">
      <w:pPr>
        <w:spacing w:before="120" w:line="240" w:lineRule="auto"/>
        <w:rPr>
          <w:rFonts w:cs="Times New Roman"/>
          <w:sz w:val="24"/>
          <w:szCs w:val="24"/>
        </w:rPr>
      </w:pPr>
      <w:r w:rsidRPr="002C24E0">
        <w:rPr>
          <w:b/>
          <w:sz w:val="24"/>
          <w:szCs w:val="24"/>
        </w:rPr>
        <w:t>Zdravotnícke zariadenia v ústrednej správe</w:t>
      </w:r>
      <w:r w:rsidRPr="002C24E0">
        <w:rPr>
          <w:sz w:val="24"/>
          <w:szCs w:val="24"/>
        </w:rPr>
        <w:t xml:space="preserve"> dosiahli hotovostný schodok na úrovni 47 138 tis. eur, čo bolo o 34 930 tis. eur viac ako sa predpokladalo v rozpočte. Pozitívny vplyv predstavovali vyššie príjmy najmä z administratívnych a iných poplatkov o 115 928 tis. eur (najmä za lekárske výkony a poskytnutú zdravotnú starostlivosť) a zároveň pozitívny vplyv mali vyššie príjmy o 349 967 tis. eur v kategórii granty a transfery (z toho zdravotnícke zariadenia prijali z Minis</w:t>
      </w:r>
      <w:r>
        <w:rPr>
          <w:sz w:val="24"/>
          <w:szCs w:val="24"/>
        </w:rPr>
        <w:t>terstva zdravotnícka SR 101 687 </w:t>
      </w:r>
      <w:r w:rsidRPr="002C24E0">
        <w:rPr>
          <w:sz w:val="24"/>
          <w:szCs w:val="24"/>
        </w:rPr>
        <w:t>tis.</w:t>
      </w:r>
      <w:r>
        <w:rPr>
          <w:sz w:val="24"/>
          <w:szCs w:val="24"/>
        </w:rPr>
        <w:t> </w:t>
      </w:r>
      <w:r w:rsidRPr="002C24E0">
        <w:rPr>
          <w:sz w:val="24"/>
          <w:szCs w:val="24"/>
        </w:rPr>
        <w:t>eur na vyplatenie stabilizačného príspevku zdravotníckym pr</w:t>
      </w:r>
      <w:r>
        <w:rPr>
          <w:sz w:val="24"/>
          <w:szCs w:val="24"/>
        </w:rPr>
        <w:t>acovníkom). V rámci výdavkov na </w:t>
      </w:r>
      <w:r w:rsidRPr="002C24E0">
        <w:rPr>
          <w:sz w:val="24"/>
          <w:szCs w:val="24"/>
        </w:rPr>
        <w:t>tovary a služby sa však pri novele rozpočtu počítalo s nižšími výdavkami najmä na obstaranie zdravotníckeho a špeciálneho materiálu</w:t>
      </w:r>
      <w:r>
        <w:rPr>
          <w:sz w:val="24"/>
          <w:szCs w:val="24"/>
        </w:rPr>
        <w:t>, ale skutočnosť bola o 236 873 tis. </w:t>
      </w:r>
      <w:r w:rsidRPr="002C24E0">
        <w:rPr>
          <w:sz w:val="24"/>
          <w:szCs w:val="24"/>
        </w:rPr>
        <w:t xml:space="preserve">eur vyššia ako sa plánovalo. Vyššie čerpanie výdavkov </w:t>
      </w:r>
      <w:r>
        <w:rPr>
          <w:sz w:val="24"/>
          <w:szCs w:val="24"/>
        </w:rPr>
        <w:t xml:space="preserve">na obstaranie kapitálových aktív </w:t>
      </w:r>
      <w:r w:rsidRPr="002C24E0">
        <w:rPr>
          <w:sz w:val="24"/>
          <w:szCs w:val="24"/>
        </w:rPr>
        <w:t>zhoršilo hospodárenie o 55 </w:t>
      </w:r>
      <w:r>
        <w:rPr>
          <w:sz w:val="24"/>
          <w:szCs w:val="24"/>
        </w:rPr>
        <w:t>867</w:t>
      </w:r>
      <w:r w:rsidRPr="002C24E0">
        <w:rPr>
          <w:sz w:val="24"/>
          <w:szCs w:val="24"/>
        </w:rPr>
        <w:t> tis. eur oproti rozpočtu.</w:t>
      </w:r>
      <w:r w:rsidRPr="002C24E0">
        <w:t xml:space="preserve"> </w:t>
      </w:r>
      <w:r w:rsidRPr="002C24E0">
        <w:rPr>
          <w:sz w:val="24"/>
          <w:szCs w:val="24"/>
        </w:rPr>
        <w:t>Išlo predovšetkým o výdavky na obstaranie nového prístrojového vybavenia zdravotníckych zariadení, na rekonštrukciu, stavebné úpravy a m</w:t>
      </w:r>
      <w:r>
        <w:rPr>
          <w:sz w:val="24"/>
          <w:szCs w:val="24"/>
        </w:rPr>
        <w:t xml:space="preserve">odernizáciu priestorov a budov </w:t>
      </w:r>
      <w:r w:rsidRPr="002C24E0">
        <w:rPr>
          <w:sz w:val="24"/>
          <w:szCs w:val="24"/>
        </w:rPr>
        <w:t xml:space="preserve">zdravotníckych zariadení. </w:t>
      </w:r>
    </w:p>
    <w:p w14:paraId="2AFAA894" w14:textId="77777777" w:rsidR="003A0696" w:rsidRPr="002C24E0" w:rsidRDefault="003A0696" w:rsidP="003A0696">
      <w:pPr>
        <w:spacing w:line="240" w:lineRule="auto"/>
        <w:rPr>
          <w:sz w:val="24"/>
          <w:szCs w:val="24"/>
        </w:rPr>
      </w:pPr>
      <w:r w:rsidRPr="002C24E0">
        <w:rPr>
          <w:sz w:val="24"/>
          <w:szCs w:val="24"/>
        </w:rPr>
        <w:t xml:space="preserve">V metodike ESA však zdravotnícke zariadenia dosiahli prebytok vo výške 250 920 tis. eur, zatiaľ čo rozpočtovaný bol schodok vo výške 12 208 tis. eur. Hotovostný schodok bol ovplyvnený </w:t>
      </w:r>
      <w:proofErr w:type="spellStart"/>
      <w:r w:rsidRPr="002C24E0">
        <w:rPr>
          <w:sz w:val="24"/>
          <w:szCs w:val="24"/>
        </w:rPr>
        <w:t>akrualizáciou</w:t>
      </w:r>
      <w:proofErr w:type="spellEnd"/>
      <w:r w:rsidRPr="002C24E0">
        <w:rPr>
          <w:sz w:val="24"/>
          <w:szCs w:val="24"/>
        </w:rPr>
        <w:t xml:space="preserve"> pohľadávok a záväzkov, ktorá je v prípade zdravotníckych zariadení významnejšia ako pri iných subjektoch verejnej správy. Najväčší vplyv na zlepšenie hospodárenia oproti hotovostnému schodku predstavoval významný pokles celkových záväzkov o 155 104 tis. eur. V príspevkových organizáciách, ktoré tvoria najväčšiu skupinu zdravotníckych zariadení z pohľadu právnej formy, došlo medziročne k poklesu záväzkov o 162 074 tis. eur. Išlo predovšetkým o vplyv oddlžovania</w:t>
      </w:r>
      <w:r>
        <w:rPr>
          <w:sz w:val="24"/>
          <w:szCs w:val="24"/>
        </w:rPr>
        <w:t>,</w:t>
      </w:r>
      <w:r w:rsidRPr="002C24E0">
        <w:rPr>
          <w:sz w:val="24"/>
          <w:szCs w:val="24"/>
        </w:rPr>
        <w:t xml:space="preserve"> a to voči Sociálnej p</w:t>
      </w:r>
      <w:r>
        <w:rPr>
          <w:sz w:val="24"/>
          <w:szCs w:val="24"/>
        </w:rPr>
        <w:t xml:space="preserve">oisťovni </w:t>
      </w:r>
      <w:r w:rsidRPr="002C24E0">
        <w:rPr>
          <w:sz w:val="24"/>
          <w:szCs w:val="24"/>
        </w:rPr>
        <w:t xml:space="preserve">o 186 186 tis. eur a voči ostatným veriteľom </w:t>
      </w:r>
      <w:r>
        <w:rPr>
          <w:sz w:val="24"/>
          <w:szCs w:val="24"/>
        </w:rPr>
        <w:t xml:space="preserve">o </w:t>
      </w:r>
      <w:r w:rsidRPr="002C24E0">
        <w:rPr>
          <w:sz w:val="24"/>
          <w:szCs w:val="24"/>
        </w:rPr>
        <w:t>112 072 tis. eur. Tento pozitívny vplyv bol eliminovaný najmä nárastom daňových záväzkov a záväzkov voči zamestnancom.</w:t>
      </w:r>
    </w:p>
    <w:p w14:paraId="6D21FC32" w14:textId="77777777" w:rsidR="003A0696" w:rsidRPr="002C24E0" w:rsidRDefault="003A0696" w:rsidP="003A0696">
      <w:pPr>
        <w:spacing w:line="240" w:lineRule="auto"/>
        <w:rPr>
          <w:sz w:val="24"/>
          <w:szCs w:val="24"/>
        </w:rPr>
      </w:pPr>
      <w:r w:rsidRPr="002C24E0">
        <w:rPr>
          <w:sz w:val="24"/>
          <w:szCs w:val="24"/>
        </w:rPr>
        <w:t>Vo všetkých právnych formách v prípade nárastu záväzkov voči zamestnancom a daňových záväzkov išlo najmä o</w:t>
      </w:r>
      <w:r>
        <w:rPr>
          <w:sz w:val="24"/>
          <w:szCs w:val="24"/>
        </w:rPr>
        <w:t xml:space="preserve"> záväzky súvisiace s </w:t>
      </w:r>
      <w:r w:rsidRPr="002C24E0">
        <w:rPr>
          <w:sz w:val="24"/>
          <w:szCs w:val="24"/>
        </w:rPr>
        <w:t xml:space="preserve">vyplatením </w:t>
      </w:r>
      <w:r>
        <w:rPr>
          <w:sz w:val="24"/>
          <w:szCs w:val="24"/>
        </w:rPr>
        <w:t xml:space="preserve">druhej polovice </w:t>
      </w:r>
      <w:r w:rsidRPr="002C24E0">
        <w:rPr>
          <w:sz w:val="24"/>
          <w:szCs w:val="24"/>
        </w:rPr>
        <w:t>stabiliz</w:t>
      </w:r>
      <w:r>
        <w:rPr>
          <w:sz w:val="24"/>
          <w:szCs w:val="24"/>
        </w:rPr>
        <w:t>ačného príspevku v </w:t>
      </w:r>
      <w:r w:rsidRPr="002C24E0">
        <w:rPr>
          <w:sz w:val="24"/>
          <w:szCs w:val="24"/>
        </w:rPr>
        <w:t>decembrových mzdách s výplatným termínom v januári 2023.</w:t>
      </w:r>
    </w:p>
    <w:p w14:paraId="4BD5007A" w14:textId="77777777" w:rsidR="003A0696" w:rsidRDefault="003A0696" w:rsidP="003A0696">
      <w:pPr>
        <w:spacing w:line="240" w:lineRule="auto"/>
        <w:rPr>
          <w:sz w:val="24"/>
          <w:szCs w:val="24"/>
        </w:rPr>
      </w:pPr>
      <w:r w:rsidRPr="00F16202">
        <w:rPr>
          <w:sz w:val="24"/>
          <w:szCs w:val="24"/>
        </w:rPr>
        <w:t xml:space="preserve">Pozitívny vplyv na celkové hospodárenie podľa ESA malo akruálne zaznamenanie výdavkov na stabilizačný príspevok, ktoré sa v zmysle ESA metodiky majú </w:t>
      </w:r>
      <w:r>
        <w:rPr>
          <w:sz w:val="24"/>
          <w:szCs w:val="24"/>
        </w:rPr>
        <w:t>zaznamenať do obdobia</w:t>
      </w:r>
      <w:r w:rsidRPr="00F16202">
        <w:rPr>
          <w:sz w:val="24"/>
          <w:szCs w:val="24"/>
        </w:rPr>
        <w:t>, s ktorými vecne a časovo súvisia. V zmysle dohody o poskytnutí stabilizačného príspevku sa zamestnanec zaviazal, že zotrvá v pracovnom pomere nepretržite počas troch rokov, preto výdavok zdravotníckych zariadení v sektore verejnej správy bude rozložený na obdobie rokov 2023, 2024 a 2025 v pomernej časti.</w:t>
      </w:r>
      <w:r>
        <w:rPr>
          <w:sz w:val="24"/>
          <w:szCs w:val="24"/>
        </w:rPr>
        <w:t xml:space="preserve"> </w:t>
      </w:r>
    </w:p>
    <w:p w14:paraId="45801AF7" w14:textId="77777777" w:rsidR="003A0696" w:rsidRDefault="003A0696" w:rsidP="003A0696">
      <w:pPr>
        <w:spacing w:line="240" w:lineRule="auto"/>
        <w:rPr>
          <w:sz w:val="24"/>
          <w:szCs w:val="24"/>
          <w:highlight w:val="green"/>
        </w:rPr>
      </w:pPr>
      <w:r w:rsidRPr="002C24E0">
        <w:rPr>
          <w:sz w:val="24"/>
          <w:szCs w:val="24"/>
        </w:rPr>
        <w:t>Pozitívny vplyv predstavoval nárast pohľadávok o 34 597 tis. eur (išlo najmä pohľadávky voči zdravotným poisťovniam za poskytnutú zdravotnú starostlivosť), prijatá pôžička Kúpeľov Sliač, a. s. (od MH Manažmentu, a. s.) vo výške 1 500 tis. eur, ktorá bola preklasifikovaná na kapitálový transfer a taktiež aj preklasifikovaný prijatý vklad do základného imania UN sv.</w:t>
      </w:r>
      <w:r>
        <w:rPr>
          <w:sz w:val="24"/>
          <w:szCs w:val="24"/>
        </w:rPr>
        <w:t> </w:t>
      </w:r>
      <w:r w:rsidRPr="002C24E0">
        <w:rPr>
          <w:sz w:val="24"/>
          <w:szCs w:val="24"/>
        </w:rPr>
        <w:t>Michala (zo ŠFA) na kap</w:t>
      </w:r>
      <w:r>
        <w:rPr>
          <w:sz w:val="24"/>
          <w:szCs w:val="24"/>
        </w:rPr>
        <w:t>itálový transfer vo výške 5 000 </w:t>
      </w:r>
      <w:r w:rsidRPr="002C24E0">
        <w:rPr>
          <w:sz w:val="24"/>
          <w:szCs w:val="24"/>
        </w:rPr>
        <w:t>tis. eur.</w:t>
      </w:r>
    </w:p>
    <w:p w14:paraId="5E975CFB" w14:textId="77777777" w:rsidR="003A0696" w:rsidRPr="00406B49" w:rsidRDefault="003A0696" w:rsidP="003A0696">
      <w:pPr>
        <w:spacing w:before="120" w:line="240" w:lineRule="auto"/>
        <w:rPr>
          <w:sz w:val="24"/>
          <w:szCs w:val="24"/>
        </w:rPr>
      </w:pPr>
      <w:r w:rsidRPr="00406B49">
        <w:rPr>
          <w:b/>
          <w:sz w:val="24"/>
          <w:szCs w:val="24"/>
        </w:rPr>
        <w:t>Príspevkové organizácie ústrednej správy</w:t>
      </w:r>
      <w:r w:rsidRPr="00406B49">
        <w:rPr>
          <w:sz w:val="24"/>
          <w:szCs w:val="24"/>
        </w:rPr>
        <w:t xml:space="preserve"> dosiahli </w:t>
      </w:r>
      <w:r w:rsidRPr="00406B49">
        <w:rPr>
          <w:rFonts w:eastAsia="Times New Roman" w:cs="Times New Roman"/>
          <w:sz w:val="24"/>
          <w:szCs w:val="24"/>
          <w:lang w:eastAsia="sk-SK"/>
        </w:rPr>
        <w:t xml:space="preserve">ESA prebytok vo výške 43 992 tis. eur, čo predstavuje zlepšenie oproti rozpočtu o 47 362 tis. eur. Podstatnou mierou k tomu prispel </w:t>
      </w:r>
      <w:r w:rsidRPr="00406B49">
        <w:rPr>
          <w:sz w:val="24"/>
          <w:szCs w:val="24"/>
        </w:rPr>
        <w:t xml:space="preserve">hotovostný prebytok vo výške 39 315 tis. eur, čo predstavuje zlepšenie o 42 685 tis. eur oproti rozpočtu. Na zlepšenie hospodárenia oproti rozpočtu vplývali vyššie príjmy na položke granty </w:t>
      </w:r>
      <w:r w:rsidRPr="00406B49">
        <w:rPr>
          <w:sz w:val="24"/>
          <w:szCs w:val="24"/>
        </w:rPr>
        <w:lastRenderedPageBreak/>
        <w:t>a transfery o 297 671 tis. eur, ide najmä o bežné a kapitálové transfery zo štátneho rozpočtu, naopak tieto boli čiastočne eliminované vyššími výdavkami oproti rozpočtu na položke bežné transfery vo výške 101 571 tis.</w:t>
      </w:r>
      <w:r>
        <w:rPr>
          <w:sz w:val="24"/>
          <w:szCs w:val="24"/>
        </w:rPr>
        <w:t> </w:t>
      </w:r>
      <w:r w:rsidRPr="00406B49">
        <w:rPr>
          <w:sz w:val="24"/>
          <w:szCs w:val="24"/>
        </w:rPr>
        <w:t>eur. a vyššími výdavkami na položke tovary a služby oproti rozpočtu o 95 124 tis. eur.</w:t>
      </w:r>
    </w:p>
    <w:p w14:paraId="6FD6EE8F" w14:textId="77777777" w:rsidR="003A0696" w:rsidRDefault="003A0696" w:rsidP="003A0696">
      <w:pPr>
        <w:spacing w:before="120" w:line="240" w:lineRule="auto"/>
        <w:rPr>
          <w:rFonts w:eastAsia="Times New Roman" w:cs="Times New Roman"/>
          <w:sz w:val="24"/>
          <w:szCs w:val="24"/>
          <w:lang w:eastAsia="sk-SK"/>
        </w:rPr>
      </w:pPr>
      <w:r w:rsidRPr="00FA25D7">
        <w:rPr>
          <w:rFonts w:eastAsia="Times New Roman" w:cs="Times New Roman"/>
          <w:sz w:val="24"/>
          <w:szCs w:val="24"/>
          <w:lang w:eastAsia="sk-SK"/>
        </w:rPr>
        <w:t xml:space="preserve">Prebytok </w:t>
      </w:r>
      <w:r w:rsidRPr="00FA25D7">
        <w:rPr>
          <w:rFonts w:eastAsia="Times New Roman" w:cs="Times New Roman"/>
          <w:b/>
          <w:sz w:val="24"/>
          <w:szCs w:val="24"/>
          <w:lang w:eastAsia="sk-SK"/>
        </w:rPr>
        <w:t>verejných vysokých škôl</w:t>
      </w:r>
      <w:r w:rsidRPr="00FA25D7">
        <w:rPr>
          <w:rFonts w:eastAsia="Times New Roman" w:cs="Times New Roman"/>
          <w:sz w:val="24"/>
          <w:szCs w:val="24"/>
          <w:lang w:eastAsia="sk-SK"/>
        </w:rPr>
        <w:t xml:space="preserve"> podľa metodiky ESA bol v porovnaní s rozpočtom vyšší o </w:t>
      </w:r>
      <w:r>
        <w:rPr>
          <w:rFonts w:eastAsia="Times New Roman" w:cs="Times New Roman"/>
          <w:sz w:val="24"/>
          <w:szCs w:val="24"/>
          <w:lang w:eastAsia="sk-SK"/>
        </w:rPr>
        <w:t>994</w:t>
      </w:r>
      <w:r w:rsidRPr="00FA25D7">
        <w:rPr>
          <w:rFonts w:eastAsia="Times New Roman" w:cs="Times New Roman"/>
          <w:sz w:val="24"/>
          <w:szCs w:val="24"/>
          <w:lang w:eastAsia="sk-SK"/>
        </w:rPr>
        <w:t> tis. eur</w:t>
      </w:r>
      <w:r>
        <w:rPr>
          <w:rFonts w:eastAsia="Times New Roman" w:cs="Times New Roman"/>
          <w:sz w:val="24"/>
          <w:szCs w:val="24"/>
          <w:lang w:eastAsia="sk-SK"/>
        </w:rPr>
        <w:t xml:space="preserve"> a dosiahol výšku 1 200 tis. eur</w:t>
      </w:r>
      <w:r w:rsidRPr="00FA25D7">
        <w:rPr>
          <w:rFonts w:eastAsia="Times New Roman" w:cs="Times New Roman"/>
          <w:sz w:val="24"/>
          <w:szCs w:val="24"/>
          <w:lang w:eastAsia="sk-SK"/>
        </w:rPr>
        <w:t>.</w:t>
      </w:r>
      <w:r>
        <w:rPr>
          <w:rFonts w:eastAsia="Times New Roman" w:cs="Times New Roman"/>
          <w:sz w:val="24"/>
          <w:szCs w:val="24"/>
          <w:lang w:eastAsia="sk-SK"/>
        </w:rPr>
        <w:t xml:space="preserve"> Na jeho zvýšení</w:t>
      </w:r>
      <w:r w:rsidRPr="00D53E76">
        <w:t xml:space="preserve"> </w:t>
      </w:r>
      <w:r w:rsidRPr="00D53E76">
        <w:rPr>
          <w:rFonts w:eastAsia="Times New Roman" w:cs="Times New Roman"/>
          <w:sz w:val="24"/>
          <w:szCs w:val="24"/>
          <w:lang w:eastAsia="sk-SK"/>
        </w:rPr>
        <w:t>oproti hotovostnému prebytku</w:t>
      </w:r>
      <w:r>
        <w:rPr>
          <w:rFonts w:eastAsia="Times New Roman" w:cs="Times New Roman"/>
          <w:sz w:val="24"/>
          <w:szCs w:val="24"/>
          <w:lang w:eastAsia="sk-SK"/>
        </w:rPr>
        <w:t xml:space="preserve"> (19 tis. eur)</w:t>
      </w:r>
      <w:r w:rsidRPr="00D53E76">
        <w:rPr>
          <w:rFonts w:eastAsia="Times New Roman" w:cs="Times New Roman"/>
          <w:sz w:val="24"/>
          <w:szCs w:val="24"/>
          <w:lang w:eastAsia="sk-SK"/>
        </w:rPr>
        <w:t xml:space="preserve"> má vplyv medziročná zmena</w:t>
      </w:r>
      <w:r>
        <w:rPr>
          <w:rFonts w:eastAsia="Times New Roman" w:cs="Times New Roman"/>
          <w:sz w:val="24"/>
          <w:szCs w:val="24"/>
          <w:lang w:eastAsia="sk-SK"/>
        </w:rPr>
        <w:t xml:space="preserve"> stavu</w:t>
      </w:r>
      <w:r w:rsidRPr="00D53E76">
        <w:rPr>
          <w:rFonts w:eastAsia="Times New Roman" w:cs="Times New Roman"/>
          <w:sz w:val="24"/>
          <w:szCs w:val="24"/>
          <w:lang w:eastAsia="sk-SK"/>
        </w:rPr>
        <w:t xml:space="preserve"> pohľadávok a záväzkov spolu o</w:t>
      </w:r>
      <w:r>
        <w:rPr>
          <w:rFonts w:eastAsia="Times New Roman" w:cs="Times New Roman"/>
          <w:sz w:val="24"/>
          <w:szCs w:val="24"/>
          <w:lang w:eastAsia="sk-SK"/>
        </w:rPr>
        <w:t> 1 187 tis. </w:t>
      </w:r>
      <w:r w:rsidRPr="00D53E76">
        <w:rPr>
          <w:rFonts w:eastAsia="Times New Roman" w:cs="Times New Roman"/>
          <w:sz w:val="24"/>
          <w:szCs w:val="24"/>
          <w:lang w:eastAsia="sk-SK"/>
        </w:rPr>
        <w:t>eur.</w:t>
      </w:r>
      <w:r>
        <w:rPr>
          <w:rFonts w:eastAsia="Times New Roman" w:cs="Times New Roman"/>
          <w:sz w:val="24"/>
          <w:szCs w:val="24"/>
          <w:lang w:eastAsia="sk-SK"/>
        </w:rPr>
        <w:br/>
      </w:r>
      <w:r>
        <w:rPr>
          <w:rFonts w:eastAsia="Times New Roman" w:cs="Times New Roman"/>
          <w:sz w:val="24"/>
          <w:szCs w:val="24"/>
          <w:lang w:eastAsia="sk-SK"/>
        </w:rPr>
        <w:br/>
        <w:t xml:space="preserve">Dňa 1.1.2022 došlo k zmene formy hospodárenia organizácii SAV na </w:t>
      </w:r>
      <w:r w:rsidRPr="00233C6F">
        <w:rPr>
          <w:rFonts w:eastAsia="Times New Roman" w:cs="Times New Roman"/>
          <w:b/>
          <w:sz w:val="24"/>
          <w:szCs w:val="24"/>
          <w:lang w:eastAsia="sk-SK"/>
        </w:rPr>
        <w:t>verejné výskumné inštitúcie</w:t>
      </w:r>
      <w:r>
        <w:rPr>
          <w:rFonts w:eastAsia="Times New Roman" w:cs="Times New Roman"/>
          <w:sz w:val="24"/>
          <w:szCs w:val="24"/>
          <w:lang w:eastAsia="sk-SK"/>
        </w:rPr>
        <w:t xml:space="preserve"> v zmysle zákona č. 243/2017 Z. z. </w:t>
      </w:r>
      <w:r w:rsidRPr="00233C6F">
        <w:rPr>
          <w:rFonts w:eastAsia="Times New Roman" w:cs="Times New Roman"/>
          <w:sz w:val="24"/>
          <w:szCs w:val="24"/>
          <w:lang w:eastAsia="sk-SK"/>
        </w:rPr>
        <w:t>o verejnej výskumnej inštitúc</w:t>
      </w:r>
      <w:r w:rsidRPr="009A3F3C">
        <w:rPr>
          <w:rFonts w:eastAsia="Times New Roman" w:cs="Times New Roman"/>
          <w:sz w:val="24"/>
          <w:szCs w:val="24"/>
          <w:lang w:eastAsia="sk-SK"/>
        </w:rPr>
        <w:t>ii a o zmene a doplnení niektorých zákonov.</w:t>
      </w:r>
      <w:r>
        <w:rPr>
          <w:rFonts w:eastAsia="Times New Roman" w:cs="Times New Roman"/>
          <w:sz w:val="24"/>
          <w:szCs w:val="24"/>
          <w:lang w:eastAsia="sk-SK"/>
        </w:rPr>
        <w:t xml:space="preserve"> Tieto inštitúcie dosiahli hotovostný prebytok 6 683 tis. eur. ESA prebytok dosiahol úroveň  2 181 tis. eur a bol o 4 502 tis. eur nižší oproti hotovostnému prebytku z dôvodu negatívneho vplyvu medziročnej zmeny stavu pohľadávok a záväzkov. Verejné výskumné inštitúcie neboli v roku 2022 rozpočtované. </w:t>
      </w:r>
    </w:p>
    <w:p w14:paraId="238ADAF0" w14:textId="77777777" w:rsidR="003A0696" w:rsidRPr="001E051A" w:rsidRDefault="003A0696" w:rsidP="003A0696">
      <w:pPr>
        <w:spacing w:before="120" w:line="240" w:lineRule="auto"/>
        <w:rPr>
          <w:rFonts w:eastAsia="Times New Roman" w:cs="Times New Roman"/>
          <w:sz w:val="24"/>
          <w:szCs w:val="24"/>
          <w:lang w:eastAsia="sk-SK"/>
        </w:rPr>
      </w:pPr>
      <w:r w:rsidRPr="001E051A">
        <w:rPr>
          <w:rFonts w:eastAsia="Times New Roman" w:cs="Times New Roman"/>
          <w:b/>
          <w:sz w:val="24"/>
          <w:szCs w:val="24"/>
          <w:lang w:eastAsia="sk-SK"/>
        </w:rPr>
        <w:t>Štátne fondy</w:t>
      </w:r>
      <w:r w:rsidRPr="001E051A">
        <w:rPr>
          <w:rFonts w:eastAsia="Times New Roman" w:cs="Times New Roman"/>
          <w:sz w:val="24"/>
          <w:szCs w:val="24"/>
          <w:lang w:eastAsia="sk-SK"/>
        </w:rPr>
        <w:t xml:space="preserve"> v roku 2022 hospodárili s ESA úhrnným prebytkom 239 386 tis. eur, čo je o 39 914 tis. eur viac oproti rozpočtu, ktorý bol na úrovni 199 472 tis. eur. Najväčší vplyv na dosiahnutý výsledok mal </w:t>
      </w:r>
      <w:r w:rsidRPr="001E051A">
        <w:rPr>
          <w:rFonts w:eastAsia="Times New Roman" w:cs="Times New Roman"/>
          <w:b/>
          <w:sz w:val="24"/>
          <w:szCs w:val="24"/>
          <w:lang w:eastAsia="sk-SK"/>
        </w:rPr>
        <w:t>Environmentálny fond</w:t>
      </w:r>
      <w:r w:rsidRPr="001E051A">
        <w:rPr>
          <w:rFonts w:eastAsia="Times New Roman" w:cs="Times New Roman"/>
          <w:sz w:val="24"/>
          <w:szCs w:val="24"/>
          <w:lang w:eastAsia="sk-SK"/>
        </w:rPr>
        <w:t>, ktorý hospodáril s hotovostným prebytkom 285 636 tis. eur, čo je o 83 891 tis. eur viac v porovnaní s rozpočtom. P</w:t>
      </w:r>
      <w:r>
        <w:rPr>
          <w:rFonts w:eastAsia="Times New Roman" w:cs="Times New Roman"/>
          <w:sz w:val="24"/>
          <w:szCs w:val="24"/>
          <w:lang w:eastAsia="sk-SK"/>
        </w:rPr>
        <w:t>ozitívny vplyv vo výške 100 256 tis. </w:t>
      </w:r>
      <w:r w:rsidRPr="001E051A">
        <w:rPr>
          <w:rFonts w:eastAsia="Times New Roman" w:cs="Times New Roman"/>
          <w:sz w:val="24"/>
          <w:szCs w:val="24"/>
          <w:lang w:eastAsia="sk-SK"/>
        </w:rPr>
        <w:t>eur bol spôsobený najmä vyšším plnením príjmov z predaja emisných kvót o 88 954 tis. eur a vyššími inými nedaňovými</w:t>
      </w:r>
      <w:r>
        <w:rPr>
          <w:rFonts w:eastAsia="Times New Roman" w:cs="Times New Roman"/>
          <w:sz w:val="24"/>
          <w:szCs w:val="24"/>
          <w:lang w:eastAsia="sk-SK"/>
        </w:rPr>
        <w:t xml:space="preserve"> príjmami (</w:t>
      </w:r>
      <w:proofErr w:type="spellStart"/>
      <w:r>
        <w:rPr>
          <w:rFonts w:eastAsia="Times New Roman" w:cs="Times New Roman"/>
          <w:sz w:val="24"/>
          <w:szCs w:val="24"/>
          <w:lang w:eastAsia="sk-SK"/>
        </w:rPr>
        <w:t>vratky</w:t>
      </w:r>
      <w:proofErr w:type="spellEnd"/>
      <w:r>
        <w:rPr>
          <w:rFonts w:eastAsia="Times New Roman" w:cs="Times New Roman"/>
          <w:sz w:val="24"/>
          <w:szCs w:val="24"/>
          <w:lang w:eastAsia="sk-SK"/>
        </w:rPr>
        <w:t>) o 9 101 tis. </w:t>
      </w:r>
      <w:r w:rsidRPr="001E051A">
        <w:rPr>
          <w:rFonts w:eastAsia="Times New Roman" w:cs="Times New Roman"/>
          <w:sz w:val="24"/>
          <w:szCs w:val="24"/>
          <w:lang w:eastAsia="sk-SK"/>
        </w:rPr>
        <w:t xml:space="preserve">eur. ESA prebytok fondu dosiahol výšku 219 048 tis. eur, čo je o 58 617 tis. eur viac oproti rozpočtovanému ESA prebytku. Rozdiel medzi hotovostným a ESA </w:t>
      </w:r>
      <w:r>
        <w:rPr>
          <w:rFonts w:eastAsia="Times New Roman" w:cs="Times New Roman"/>
          <w:sz w:val="24"/>
          <w:szCs w:val="24"/>
          <w:lang w:eastAsia="sk-SK"/>
        </w:rPr>
        <w:t>prebytkom v hodnote 66 588 tis. </w:t>
      </w:r>
      <w:r w:rsidRPr="001E051A">
        <w:rPr>
          <w:rFonts w:eastAsia="Times New Roman" w:cs="Times New Roman"/>
          <w:sz w:val="24"/>
          <w:szCs w:val="24"/>
          <w:lang w:eastAsia="sk-SK"/>
        </w:rPr>
        <w:t xml:space="preserve">eur je spôsobený predovšetkým metodickou úpravou, ktorá zaznamenáva príjem z emisných kvót metódou časového posunu o jeden rok. Dochádza k vylúčeniu príjmu z predaja </w:t>
      </w:r>
      <w:proofErr w:type="spellStart"/>
      <w:r w:rsidRPr="001E051A">
        <w:rPr>
          <w:rFonts w:eastAsia="Times New Roman" w:cs="Times New Roman"/>
          <w:sz w:val="24"/>
          <w:szCs w:val="24"/>
          <w:lang w:eastAsia="sk-SK"/>
        </w:rPr>
        <w:t>aukcionovaných</w:t>
      </w:r>
      <w:proofErr w:type="spellEnd"/>
      <w:r w:rsidRPr="001E051A">
        <w:rPr>
          <w:rFonts w:eastAsia="Times New Roman" w:cs="Times New Roman"/>
          <w:sz w:val="24"/>
          <w:szCs w:val="24"/>
          <w:lang w:eastAsia="sk-SK"/>
        </w:rPr>
        <w:t xml:space="preserve"> kvót v roku t a následnej </w:t>
      </w:r>
      <w:proofErr w:type="spellStart"/>
      <w:r w:rsidRPr="001E051A">
        <w:rPr>
          <w:rFonts w:eastAsia="Times New Roman" w:cs="Times New Roman"/>
          <w:sz w:val="24"/>
          <w:szCs w:val="24"/>
          <w:lang w:eastAsia="sk-SK"/>
        </w:rPr>
        <w:t>imputácii</w:t>
      </w:r>
      <w:proofErr w:type="spellEnd"/>
      <w:r w:rsidRPr="001E051A">
        <w:rPr>
          <w:rFonts w:eastAsia="Times New Roman" w:cs="Times New Roman"/>
          <w:sz w:val="24"/>
          <w:szCs w:val="24"/>
          <w:lang w:eastAsia="sk-SK"/>
        </w:rPr>
        <w:t xml:space="preserve"> príjmu z predaja kvót z roku t-1. Táto metodická úprava spôsobila pokles ESA prebytku v porovnaní s</w:t>
      </w:r>
      <w:r>
        <w:rPr>
          <w:rFonts w:eastAsia="Times New Roman" w:cs="Times New Roman"/>
          <w:sz w:val="24"/>
          <w:szCs w:val="24"/>
          <w:lang w:eastAsia="sk-SK"/>
        </w:rPr>
        <w:t> hotovostným prebytkom o 66 633 tis. </w:t>
      </w:r>
      <w:r w:rsidRPr="001E051A">
        <w:rPr>
          <w:rFonts w:eastAsia="Times New Roman" w:cs="Times New Roman"/>
          <w:sz w:val="24"/>
          <w:szCs w:val="24"/>
          <w:lang w:eastAsia="sk-SK"/>
        </w:rPr>
        <w:t>eur, rozpočet však predpokladal, že táto úprava spôs</w:t>
      </w:r>
      <w:r>
        <w:rPr>
          <w:rFonts w:eastAsia="Times New Roman" w:cs="Times New Roman"/>
          <w:sz w:val="24"/>
          <w:szCs w:val="24"/>
          <w:lang w:eastAsia="sk-SK"/>
        </w:rPr>
        <w:t>obí pokles len na úrovni 41 314 tis. </w:t>
      </w:r>
      <w:r w:rsidRPr="001E051A">
        <w:rPr>
          <w:rFonts w:eastAsia="Times New Roman" w:cs="Times New Roman"/>
          <w:sz w:val="24"/>
          <w:szCs w:val="24"/>
          <w:lang w:eastAsia="sk-SK"/>
        </w:rPr>
        <w:t xml:space="preserve">eur. </w:t>
      </w:r>
    </w:p>
    <w:p w14:paraId="20FDEDC0" w14:textId="77777777" w:rsidR="003A0696" w:rsidRPr="00EB4F45" w:rsidRDefault="003A0696" w:rsidP="003A0696">
      <w:pPr>
        <w:spacing w:before="120" w:line="240" w:lineRule="auto"/>
        <w:rPr>
          <w:rFonts w:eastAsia="Times New Roman" w:cs="Times New Roman"/>
          <w:sz w:val="24"/>
          <w:szCs w:val="24"/>
          <w:lang w:eastAsia="sk-SK"/>
        </w:rPr>
      </w:pPr>
      <w:r w:rsidRPr="00EB4F45">
        <w:rPr>
          <w:rFonts w:eastAsia="Times New Roman" w:cs="Times New Roman"/>
          <w:b/>
          <w:sz w:val="24"/>
          <w:szCs w:val="24"/>
          <w:lang w:eastAsia="sk-SK"/>
        </w:rPr>
        <w:t>Štátny fond rozvoja bývania</w:t>
      </w:r>
      <w:r w:rsidRPr="00EB4F45">
        <w:rPr>
          <w:rFonts w:eastAsia="Times New Roman" w:cs="Times New Roman"/>
          <w:sz w:val="24"/>
          <w:szCs w:val="24"/>
          <w:lang w:eastAsia="sk-SK"/>
        </w:rPr>
        <w:t xml:space="preserve"> hospodáril s hotovostným prebytkom </w:t>
      </w:r>
      <w:r>
        <w:rPr>
          <w:rFonts w:eastAsia="Times New Roman" w:cs="Times New Roman"/>
          <w:sz w:val="24"/>
          <w:szCs w:val="24"/>
          <w:lang w:eastAsia="sk-SK"/>
        </w:rPr>
        <w:t>100 265 </w:t>
      </w:r>
      <w:r w:rsidRPr="00EB4F45">
        <w:rPr>
          <w:rFonts w:eastAsia="Times New Roman" w:cs="Times New Roman"/>
          <w:sz w:val="24"/>
          <w:szCs w:val="24"/>
          <w:lang w:eastAsia="sk-SK"/>
        </w:rPr>
        <w:t>tis. eur, čo je o</w:t>
      </w:r>
      <w:r>
        <w:rPr>
          <w:rFonts w:eastAsia="Times New Roman" w:cs="Times New Roman"/>
          <w:sz w:val="24"/>
          <w:szCs w:val="24"/>
          <w:lang w:eastAsia="sk-SK"/>
        </w:rPr>
        <w:t> 65 649 </w:t>
      </w:r>
      <w:r w:rsidRPr="00EB4F45">
        <w:rPr>
          <w:rFonts w:eastAsia="Times New Roman" w:cs="Times New Roman"/>
          <w:sz w:val="24"/>
          <w:szCs w:val="24"/>
          <w:lang w:eastAsia="sk-SK"/>
        </w:rPr>
        <w:t xml:space="preserve">tis. eur viac oproti hotovostnému rozpočtu. Najväčší pozitívny vplyv na skutočné hotovostné hospodárenie mal prijatý transfer z EÚ pre program IROP REACT v sume </w:t>
      </w:r>
      <w:r>
        <w:rPr>
          <w:rFonts w:eastAsia="Times New Roman" w:cs="Times New Roman"/>
          <w:sz w:val="24"/>
          <w:szCs w:val="24"/>
          <w:lang w:eastAsia="sk-SK"/>
        </w:rPr>
        <w:t>61 056 </w:t>
      </w:r>
      <w:r w:rsidRPr="00EB4F45">
        <w:rPr>
          <w:rFonts w:eastAsia="Times New Roman" w:cs="Times New Roman"/>
          <w:sz w:val="24"/>
          <w:szCs w:val="24"/>
          <w:lang w:eastAsia="sk-SK"/>
        </w:rPr>
        <w:t xml:space="preserve">tis. eur. </w:t>
      </w:r>
      <w:r w:rsidRPr="00EB4F45">
        <w:rPr>
          <w:rFonts w:eastAsia="Times New Roman" w:cs="Times New Roman"/>
          <w:sz w:val="24"/>
          <w:szCs w:val="24"/>
          <w:lang w:eastAsia="sk-SK"/>
        </w:rPr>
        <w:tab/>
        <w:t xml:space="preserve">V súlade s metodikou ESA nemajú mať tieto EÚ prostriedky vplyv na akruálne saldo fondu. Na základe preklasifikovania týchto príjmov na finančnú operáciu sa ESA prebytok znížil v porovnaní s hotovostným prebytkom na hodnotu </w:t>
      </w:r>
      <w:r>
        <w:rPr>
          <w:rFonts w:eastAsia="Times New Roman" w:cs="Times New Roman"/>
          <w:sz w:val="24"/>
          <w:szCs w:val="24"/>
          <w:lang w:eastAsia="sk-SK"/>
        </w:rPr>
        <w:t>37 846 </w:t>
      </w:r>
      <w:r w:rsidRPr="00EB4F45">
        <w:rPr>
          <w:rFonts w:eastAsia="Times New Roman" w:cs="Times New Roman"/>
          <w:sz w:val="24"/>
          <w:szCs w:val="24"/>
          <w:lang w:eastAsia="sk-SK"/>
        </w:rPr>
        <w:t xml:space="preserve">tis. eur. Skutočný ESA prebytok ŠFRB bol </w:t>
      </w:r>
      <w:r>
        <w:rPr>
          <w:rFonts w:eastAsia="Times New Roman" w:cs="Times New Roman"/>
          <w:sz w:val="24"/>
          <w:szCs w:val="24"/>
          <w:lang w:eastAsia="sk-SK"/>
        </w:rPr>
        <w:t>vyšší</w:t>
      </w:r>
      <w:r w:rsidRPr="00EB4F45">
        <w:rPr>
          <w:rFonts w:eastAsia="Times New Roman" w:cs="Times New Roman"/>
          <w:sz w:val="24"/>
          <w:szCs w:val="24"/>
          <w:lang w:eastAsia="sk-SK"/>
        </w:rPr>
        <w:t xml:space="preserve"> oproti rozpočtu o</w:t>
      </w:r>
      <w:r>
        <w:rPr>
          <w:rFonts w:eastAsia="Times New Roman" w:cs="Times New Roman"/>
          <w:sz w:val="24"/>
          <w:szCs w:val="24"/>
          <w:lang w:eastAsia="sk-SK"/>
        </w:rPr>
        <w:t> 3 230 </w:t>
      </w:r>
      <w:r w:rsidRPr="00EB4F45">
        <w:rPr>
          <w:rFonts w:eastAsia="Times New Roman" w:cs="Times New Roman"/>
          <w:sz w:val="24"/>
          <w:szCs w:val="24"/>
          <w:lang w:eastAsia="sk-SK"/>
        </w:rPr>
        <w:t>tis. eur.</w:t>
      </w:r>
    </w:p>
    <w:p w14:paraId="489699F1" w14:textId="77777777" w:rsidR="003A0696" w:rsidRDefault="003A0696" w:rsidP="003A0696">
      <w:pPr>
        <w:spacing w:before="120" w:line="240" w:lineRule="auto"/>
        <w:rPr>
          <w:rFonts w:cs="Times New Roman"/>
          <w:color w:val="000000" w:themeColor="text1"/>
          <w:sz w:val="24"/>
          <w:szCs w:val="24"/>
        </w:rPr>
      </w:pPr>
      <w:r>
        <w:rPr>
          <w:rFonts w:eastAsia="Times New Roman" w:cs="Times New Roman"/>
          <w:sz w:val="24"/>
          <w:szCs w:val="24"/>
          <w:lang w:eastAsia="sk-SK"/>
        </w:rPr>
        <w:t>V roku 2022</w:t>
      </w:r>
      <w:r w:rsidRPr="00EB4F45">
        <w:rPr>
          <w:rFonts w:eastAsia="Times New Roman" w:cs="Times New Roman"/>
          <w:sz w:val="24"/>
          <w:szCs w:val="24"/>
          <w:lang w:eastAsia="sk-SK"/>
        </w:rPr>
        <w:t xml:space="preserve"> ho</w:t>
      </w:r>
      <w:r>
        <w:rPr>
          <w:rFonts w:eastAsia="Times New Roman" w:cs="Times New Roman"/>
          <w:sz w:val="24"/>
          <w:szCs w:val="24"/>
          <w:lang w:eastAsia="sk-SK"/>
        </w:rPr>
        <w:t xml:space="preserve">ršie hospodáril oproti rozpočtu </w:t>
      </w:r>
      <w:r w:rsidRPr="00EB4F45">
        <w:rPr>
          <w:rFonts w:eastAsia="Times New Roman" w:cs="Times New Roman"/>
          <w:b/>
          <w:sz w:val="24"/>
          <w:szCs w:val="24"/>
          <w:lang w:eastAsia="sk-SK"/>
        </w:rPr>
        <w:t>Národný jadrový fond</w:t>
      </w:r>
      <w:r w:rsidRPr="00EB4F45">
        <w:rPr>
          <w:rFonts w:eastAsia="Times New Roman" w:cs="Times New Roman"/>
          <w:sz w:val="24"/>
          <w:szCs w:val="24"/>
          <w:lang w:eastAsia="sk-SK"/>
        </w:rPr>
        <w:t xml:space="preserve">, ktorý vykázal hotovostný prebytok vo výške </w:t>
      </w:r>
      <w:r>
        <w:rPr>
          <w:rFonts w:eastAsia="Times New Roman" w:cs="Times New Roman"/>
          <w:sz w:val="24"/>
          <w:szCs w:val="24"/>
          <w:lang w:eastAsia="sk-SK"/>
        </w:rPr>
        <w:t>15 086 </w:t>
      </w:r>
      <w:r w:rsidRPr="00EB4F45">
        <w:rPr>
          <w:rFonts w:eastAsia="Times New Roman" w:cs="Times New Roman"/>
          <w:sz w:val="24"/>
          <w:szCs w:val="24"/>
          <w:lang w:eastAsia="sk-SK"/>
        </w:rPr>
        <w:t>tis. eur, čo je o</w:t>
      </w:r>
      <w:r>
        <w:rPr>
          <w:rFonts w:eastAsia="Times New Roman" w:cs="Times New Roman"/>
          <w:sz w:val="24"/>
          <w:szCs w:val="24"/>
          <w:lang w:eastAsia="sk-SK"/>
        </w:rPr>
        <w:t> 71 259 </w:t>
      </w:r>
      <w:r w:rsidRPr="00EB4F45">
        <w:rPr>
          <w:rFonts w:eastAsia="Times New Roman" w:cs="Times New Roman"/>
          <w:sz w:val="24"/>
          <w:szCs w:val="24"/>
          <w:lang w:eastAsia="sk-SK"/>
        </w:rPr>
        <w:t xml:space="preserve">tis. eur menej ako rozpočtovaný prebytok. Horší hospodársky výsledok oproti rozpočtu na strane príjmov </w:t>
      </w:r>
      <w:r>
        <w:rPr>
          <w:rFonts w:eastAsia="Times New Roman" w:cs="Times New Roman"/>
          <w:sz w:val="24"/>
          <w:szCs w:val="24"/>
          <w:lang w:eastAsia="sk-SK"/>
        </w:rPr>
        <w:t xml:space="preserve">je spôsobený tým, že v roku 2022 nebol vyplatený povinný príspevok </w:t>
      </w:r>
      <w:r w:rsidRPr="009D13EA">
        <w:rPr>
          <w:rFonts w:eastAsia="Times New Roman" w:cs="Times New Roman"/>
          <w:sz w:val="24"/>
          <w:szCs w:val="24"/>
          <w:lang w:eastAsia="sk-SK"/>
        </w:rPr>
        <w:t xml:space="preserve">od </w:t>
      </w:r>
      <w:r>
        <w:rPr>
          <w:rFonts w:eastAsia="Times New Roman" w:cs="Times New Roman"/>
          <w:sz w:val="24"/>
          <w:szCs w:val="24"/>
          <w:lang w:eastAsia="sk-SK"/>
        </w:rPr>
        <w:t xml:space="preserve">Slovenských elektrárni </w:t>
      </w:r>
      <w:r w:rsidRPr="009D13EA">
        <w:rPr>
          <w:rFonts w:eastAsia="Times New Roman" w:cs="Times New Roman"/>
          <w:sz w:val="24"/>
          <w:szCs w:val="24"/>
          <w:lang w:eastAsia="sk-SK"/>
        </w:rPr>
        <w:t>za J</w:t>
      </w:r>
      <w:r>
        <w:rPr>
          <w:rFonts w:eastAsia="Times New Roman" w:cs="Times New Roman"/>
          <w:sz w:val="24"/>
          <w:szCs w:val="24"/>
          <w:lang w:eastAsia="sk-SK"/>
        </w:rPr>
        <w:t>E V2 a JE EMO1,2 v sume 65 928 tis. </w:t>
      </w:r>
      <w:r w:rsidRPr="009D13EA">
        <w:rPr>
          <w:rFonts w:eastAsia="Times New Roman" w:cs="Times New Roman"/>
          <w:sz w:val="24"/>
          <w:szCs w:val="24"/>
          <w:lang w:eastAsia="sk-SK"/>
        </w:rPr>
        <w:t>eur</w:t>
      </w:r>
      <w:r>
        <w:rPr>
          <w:rFonts w:eastAsia="Times New Roman" w:cs="Times New Roman"/>
          <w:sz w:val="24"/>
          <w:szCs w:val="24"/>
          <w:lang w:eastAsia="sk-SK"/>
        </w:rPr>
        <w:t>. S</w:t>
      </w:r>
      <w:r w:rsidRPr="009D13EA">
        <w:rPr>
          <w:rFonts w:eastAsia="Times New Roman" w:cs="Times New Roman"/>
          <w:sz w:val="24"/>
          <w:szCs w:val="24"/>
          <w:lang w:eastAsia="sk-SK"/>
        </w:rPr>
        <w:t>poločnosť požiadala o odklad platby a zrealizovala túto platbu až v januári 2023</w:t>
      </w:r>
      <w:r>
        <w:rPr>
          <w:rFonts w:eastAsia="Times New Roman" w:cs="Times New Roman"/>
          <w:sz w:val="24"/>
          <w:szCs w:val="24"/>
          <w:lang w:eastAsia="sk-SK"/>
        </w:rPr>
        <w:t>, čím vznikla fondu pohľadávka (príjem budúcich období). N</w:t>
      </w:r>
      <w:r w:rsidRPr="00EB4F45">
        <w:rPr>
          <w:rFonts w:eastAsia="Times New Roman" w:cs="Times New Roman"/>
          <w:sz w:val="24"/>
          <w:szCs w:val="24"/>
          <w:lang w:eastAsia="sk-SK"/>
        </w:rPr>
        <w:t>a strane príjmov</w:t>
      </w:r>
      <w:r w:rsidRPr="00B95693">
        <w:rPr>
          <w:rFonts w:eastAsia="Times New Roman" w:cs="Times New Roman"/>
          <w:sz w:val="24"/>
          <w:szCs w:val="24"/>
          <w:lang w:eastAsia="sk-SK"/>
        </w:rPr>
        <w:t xml:space="preserve"> </w:t>
      </w:r>
      <w:r>
        <w:rPr>
          <w:rFonts w:eastAsia="Times New Roman" w:cs="Times New Roman"/>
          <w:sz w:val="24"/>
          <w:szCs w:val="24"/>
          <w:lang w:eastAsia="sk-SK"/>
        </w:rPr>
        <w:t>sa taktiež</w:t>
      </w:r>
      <w:r w:rsidRPr="00EB4F45">
        <w:rPr>
          <w:rFonts w:eastAsia="Times New Roman" w:cs="Times New Roman"/>
          <w:sz w:val="24"/>
          <w:szCs w:val="24"/>
          <w:lang w:eastAsia="sk-SK"/>
        </w:rPr>
        <w:t xml:space="preserve"> rozpočtoval aj príspevok od Slovenských elektrární za bloky 3 a 4 jadrovej elektrárne Mochovce v sume 27 2</w:t>
      </w:r>
      <w:r>
        <w:rPr>
          <w:rFonts w:eastAsia="Times New Roman" w:cs="Times New Roman"/>
          <w:sz w:val="24"/>
          <w:szCs w:val="24"/>
          <w:lang w:eastAsia="sk-SK"/>
        </w:rPr>
        <w:t>51 tis. eur. Tieto bloky však ne</w:t>
      </w:r>
      <w:r w:rsidRPr="00EB4F45">
        <w:rPr>
          <w:rFonts w:eastAsia="Times New Roman" w:cs="Times New Roman"/>
          <w:sz w:val="24"/>
          <w:szCs w:val="24"/>
          <w:lang w:eastAsia="sk-SK"/>
        </w:rPr>
        <w:t xml:space="preserve">boli </w:t>
      </w:r>
      <w:r>
        <w:rPr>
          <w:rFonts w:eastAsia="Times New Roman" w:cs="Times New Roman"/>
          <w:sz w:val="24"/>
          <w:szCs w:val="24"/>
          <w:lang w:eastAsia="sk-SK"/>
        </w:rPr>
        <w:t>v roku 2022</w:t>
      </w:r>
      <w:r w:rsidRPr="00EB4F45">
        <w:rPr>
          <w:rFonts w:eastAsia="Times New Roman" w:cs="Times New Roman"/>
          <w:sz w:val="24"/>
          <w:szCs w:val="24"/>
          <w:lang w:eastAsia="sk-SK"/>
        </w:rPr>
        <w:t xml:space="preserve"> uvedené do prevádzky, preto príspevok od Slovenských elektrární nebol zrealizovaný. </w:t>
      </w:r>
      <w:r w:rsidRPr="00EB4F45">
        <w:rPr>
          <w:rFonts w:cs="Times New Roman"/>
          <w:sz w:val="24"/>
          <w:szCs w:val="24"/>
        </w:rPr>
        <w:t xml:space="preserve">Pozitívny vplyv na hospodárenie fondu mali </w:t>
      </w:r>
      <w:r w:rsidRPr="00EB4F45">
        <w:rPr>
          <w:rFonts w:cs="Times New Roman"/>
          <w:color w:val="000000" w:themeColor="text1"/>
          <w:sz w:val="24"/>
          <w:szCs w:val="24"/>
        </w:rPr>
        <w:t>nižšie celkové výdavky oproti rozpočtovaným o</w:t>
      </w:r>
      <w:r>
        <w:rPr>
          <w:rFonts w:cs="Times New Roman"/>
          <w:color w:val="000000" w:themeColor="text1"/>
          <w:sz w:val="24"/>
          <w:szCs w:val="24"/>
        </w:rPr>
        <w:t> 23 065 </w:t>
      </w:r>
      <w:r w:rsidRPr="00EB4F45">
        <w:rPr>
          <w:rFonts w:cs="Times New Roman"/>
          <w:color w:val="000000" w:themeColor="text1"/>
          <w:sz w:val="24"/>
          <w:szCs w:val="24"/>
        </w:rPr>
        <w:t>tis. eur,  k čomu prispeli nižšie skutočné bežné a kapitálové transfery o</w:t>
      </w:r>
      <w:r>
        <w:rPr>
          <w:rFonts w:cs="Times New Roman"/>
          <w:color w:val="000000" w:themeColor="text1"/>
          <w:sz w:val="24"/>
          <w:szCs w:val="24"/>
        </w:rPr>
        <w:t> 22 914 tis. </w:t>
      </w:r>
      <w:r w:rsidRPr="00EB4F45">
        <w:rPr>
          <w:rFonts w:cs="Times New Roman"/>
          <w:color w:val="000000" w:themeColor="text1"/>
          <w:sz w:val="24"/>
          <w:szCs w:val="24"/>
        </w:rPr>
        <w:t xml:space="preserve">eur z dôvodu nižšieho plnenia naplánovaných výkonov u spoločnosti JAVYS, a. s.. Na základe ESA metodiky zaznamenávania príspevkov od prevádzkovateľov jadrových zariadení sa do príjmov NJF zaznamenáva len 1 % z príspevkov od prevádzkovateľov jadrových zariadení a 1 % z úrokov, </w:t>
      </w:r>
      <w:r w:rsidRPr="00EB4F45">
        <w:rPr>
          <w:rFonts w:cs="Times New Roman"/>
          <w:color w:val="000000" w:themeColor="text1"/>
          <w:sz w:val="24"/>
          <w:szCs w:val="24"/>
        </w:rPr>
        <w:lastRenderedPageBreak/>
        <w:t xml:space="preserve">ktoré jadrový fond získava za správu naakumulovaných prostriedkov prevádzkovateľov jadrových zariadení a zvyšných 99 % z príspevkov sa zaznamenáva ako záväzok voči týmto prevádzkovateľom určený na budúce vyraďovanie jadrových zariadení. Touto </w:t>
      </w:r>
      <w:r>
        <w:rPr>
          <w:rFonts w:cs="Times New Roman"/>
          <w:color w:val="000000" w:themeColor="text1"/>
          <w:sz w:val="24"/>
          <w:szCs w:val="24"/>
        </w:rPr>
        <w:t xml:space="preserve">ESA </w:t>
      </w:r>
      <w:r w:rsidRPr="00EB4F45">
        <w:rPr>
          <w:rFonts w:cs="Times New Roman"/>
          <w:color w:val="000000" w:themeColor="text1"/>
          <w:sz w:val="24"/>
          <w:szCs w:val="24"/>
        </w:rPr>
        <w:t xml:space="preserve">úpravou sa vylúčilo </w:t>
      </w:r>
      <w:r>
        <w:rPr>
          <w:rFonts w:cs="Times New Roman"/>
          <w:color w:val="000000" w:themeColor="text1"/>
          <w:sz w:val="24"/>
          <w:szCs w:val="24"/>
        </w:rPr>
        <w:t>85 159 </w:t>
      </w:r>
      <w:r w:rsidRPr="00EB4F45">
        <w:rPr>
          <w:rFonts w:cs="Times New Roman"/>
          <w:color w:val="000000" w:themeColor="text1"/>
          <w:sz w:val="24"/>
          <w:szCs w:val="24"/>
        </w:rPr>
        <w:t>tis. eur z ESA príjmov</w:t>
      </w:r>
      <w:r>
        <w:rPr>
          <w:rFonts w:cs="Times New Roman"/>
          <w:color w:val="000000" w:themeColor="text1"/>
          <w:sz w:val="24"/>
          <w:szCs w:val="24"/>
        </w:rPr>
        <w:t>. Po zapracovaní tejto zmeny a vylúčení  sumy 69 590 tis. eur z pohľadávok vidíme medziročný pokles zmeny stavu pohľadávok o 12 947 tis. eur.  Je to spôsobené</w:t>
      </w:r>
      <w:r w:rsidRPr="00043FF6">
        <w:rPr>
          <w:rFonts w:cs="Times New Roman"/>
          <w:color w:val="000000" w:themeColor="text1"/>
          <w:sz w:val="24"/>
          <w:szCs w:val="24"/>
        </w:rPr>
        <w:t xml:space="preserve"> </w:t>
      </w:r>
      <w:r>
        <w:rPr>
          <w:rFonts w:cs="Times New Roman"/>
          <w:color w:val="000000" w:themeColor="text1"/>
          <w:sz w:val="24"/>
          <w:szCs w:val="24"/>
        </w:rPr>
        <w:t xml:space="preserve">zmenou účtovania </w:t>
      </w:r>
      <w:r w:rsidRPr="00052535">
        <w:rPr>
          <w:rFonts w:cs="Times New Roman"/>
          <w:color w:val="000000" w:themeColor="text1"/>
          <w:sz w:val="24"/>
          <w:szCs w:val="24"/>
        </w:rPr>
        <w:t>príspevkov od prevádzkovateľov distribučných sietí a prenosovej sústavy. Do roku 2022 boli účtované príspevky od</w:t>
      </w:r>
      <w:r>
        <w:rPr>
          <w:rFonts w:cs="Times New Roman"/>
          <w:color w:val="000000" w:themeColor="text1"/>
          <w:sz w:val="24"/>
          <w:szCs w:val="24"/>
        </w:rPr>
        <w:t> prevádzkovateľov</w:t>
      </w:r>
      <w:r w:rsidRPr="00052535">
        <w:rPr>
          <w:rFonts w:cs="Times New Roman"/>
          <w:color w:val="000000" w:themeColor="text1"/>
          <w:sz w:val="24"/>
          <w:szCs w:val="24"/>
        </w:rPr>
        <w:t xml:space="preserve"> DS a PS za november a december v príslušnom roku, ale k úhrade došlo až nasledujúci rok. V roku 2022 došlo k úhrade už v danom roku, čím </w:t>
      </w:r>
      <w:r>
        <w:rPr>
          <w:rFonts w:cs="Times New Roman"/>
          <w:color w:val="000000" w:themeColor="text1"/>
          <w:sz w:val="24"/>
          <w:szCs w:val="24"/>
        </w:rPr>
        <w:t>medziročne klesli</w:t>
      </w:r>
      <w:r w:rsidRPr="00052535">
        <w:rPr>
          <w:rFonts w:cs="Times New Roman"/>
          <w:color w:val="000000" w:themeColor="text1"/>
          <w:sz w:val="24"/>
          <w:szCs w:val="24"/>
        </w:rPr>
        <w:t xml:space="preserve"> pohľadávky (príjmy budúcich období)</w:t>
      </w:r>
      <w:r>
        <w:rPr>
          <w:rFonts w:cs="Times New Roman"/>
          <w:color w:val="000000" w:themeColor="text1"/>
          <w:sz w:val="24"/>
          <w:szCs w:val="24"/>
        </w:rPr>
        <w:t xml:space="preserve">. </w:t>
      </w:r>
      <w:r w:rsidRPr="00EB4F45">
        <w:rPr>
          <w:rFonts w:cs="Times New Roman"/>
          <w:color w:val="000000" w:themeColor="text1"/>
          <w:sz w:val="24"/>
          <w:szCs w:val="24"/>
        </w:rPr>
        <w:t xml:space="preserve">Národný jadrový fond hospodáril s ESA </w:t>
      </w:r>
      <w:r>
        <w:rPr>
          <w:rFonts w:cs="Times New Roman"/>
          <w:color w:val="000000" w:themeColor="text1"/>
          <w:sz w:val="24"/>
          <w:szCs w:val="24"/>
        </w:rPr>
        <w:t>schodkom</w:t>
      </w:r>
      <w:r w:rsidRPr="00EB4F45">
        <w:rPr>
          <w:rFonts w:cs="Times New Roman"/>
          <w:color w:val="000000" w:themeColor="text1"/>
          <w:sz w:val="24"/>
          <w:szCs w:val="24"/>
        </w:rPr>
        <w:t xml:space="preserve"> </w:t>
      </w:r>
      <w:r>
        <w:rPr>
          <w:rFonts w:cs="Times New Roman"/>
          <w:color w:val="000000" w:themeColor="text1"/>
          <w:sz w:val="24"/>
          <w:szCs w:val="24"/>
        </w:rPr>
        <w:t>17 508 </w:t>
      </w:r>
      <w:r w:rsidRPr="00EB4F45">
        <w:rPr>
          <w:rFonts w:cs="Times New Roman"/>
          <w:color w:val="000000" w:themeColor="text1"/>
          <w:sz w:val="24"/>
          <w:szCs w:val="24"/>
        </w:rPr>
        <w:t>tis. eur,</w:t>
      </w:r>
      <w:r>
        <w:rPr>
          <w:rFonts w:cs="Times New Roman"/>
          <w:color w:val="000000" w:themeColor="text1"/>
          <w:sz w:val="24"/>
          <w:szCs w:val="24"/>
        </w:rPr>
        <w:t xml:space="preserve"> čo je</w:t>
      </w:r>
      <w:r w:rsidRPr="00EB4F45">
        <w:rPr>
          <w:rFonts w:cs="Times New Roman"/>
          <w:color w:val="000000" w:themeColor="text1"/>
          <w:sz w:val="24"/>
          <w:szCs w:val="24"/>
        </w:rPr>
        <w:t xml:space="preserve"> o</w:t>
      </w:r>
      <w:r>
        <w:rPr>
          <w:rFonts w:cs="Times New Roman"/>
          <w:color w:val="000000" w:themeColor="text1"/>
          <w:sz w:val="24"/>
          <w:szCs w:val="24"/>
        </w:rPr>
        <w:t> 21 933 </w:t>
      </w:r>
      <w:r w:rsidRPr="00EB4F45">
        <w:rPr>
          <w:rFonts w:cs="Times New Roman"/>
          <w:color w:val="000000" w:themeColor="text1"/>
          <w:sz w:val="24"/>
          <w:szCs w:val="24"/>
        </w:rPr>
        <w:t>tis. eur menej oproti rozpočtu</w:t>
      </w:r>
      <w:r>
        <w:rPr>
          <w:rFonts w:cs="Times New Roman"/>
          <w:color w:val="000000" w:themeColor="text1"/>
          <w:sz w:val="24"/>
          <w:szCs w:val="24"/>
        </w:rPr>
        <w:t xml:space="preserve">, keďže rozpočet počítal s prebytkom na úrovni 4 425 tis. eur. </w:t>
      </w:r>
    </w:p>
    <w:p w14:paraId="549C9F6C" w14:textId="77777777" w:rsidR="003A0696" w:rsidRPr="00A677CB" w:rsidRDefault="003A0696" w:rsidP="003A0696">
      <w:pPr>
        <w:spacing w:before="120" w:line="240" w:lineRule="auto"/>
        <w:rPr>
          <w:sz w:val="24"/>
          <w:szCs w:val="24"/>
        </w:rPr>
      </w:pPr>
      <w:r w:rsidRPr="00A677CB">
        <w:rPr>
          <w:b/>
          <w:sz w:val="24"/>
          <w:szCs w:val="24"/>
        </w:rPr>
        <w:t xml:space="preserve">Ostatné subjekty ústrednej správy </w:t>
      </w:r>
      <w:r w:rsidRPr="00A677CB">
        <w:rPr>
          <w:sz w:val="24"/>
          <w:szCs w:val="24"/>
        </w:rPr>
        <w:t>(v tom Rozhlas a televízia Slovenska, Slovenský pozemkový fond, Agentúra pre núdzové zásoby ropy a ropných výrobkov, neziskové organizácie štátu a ostatné podniky ústrednej správy)</w:t>
      </w:r>
      <w:r w:rsidRPr="00A677CB">
        <w:rPr>
          <w:b/>
          <w:sz w:val="24"/>
          <w:szCs w:val="24"/>
        </w:rPr>
        <w:t xml:space="preserve"> </w:t>
      </w:r>
      <w:r w:rsidRPr="00A677CB">
        <w:rPr>
          <w:sz w:val="24"/>
          <w:szCs w:val="24"/>
        </w:rPr>
        <w:t xml:space="preserve">spolu dosiahli prebytok v hodnote 268 225 tis. eur a zlepšili tak svoje hospodárenie o 212 806 tis. eur oproti rozpočtu </w:t>
      </w:r>
      <w:r w:rsidRPr="00A677CB">
        <w:rPr>
          <w:rFonts w:eastAsia="Times New Roman"/>
          <w:sz w:val="24"/>
          <w:szCs w:val="24"/>
        </w:rPr>
        <w:t>na rok 2022</w:t>
      </w:r>
      <w:r w:rsidRPr="00A677CB">
        <w:rPr>
          <w:sz w:val="24"/>
          <w:szCs w:val="24"/>
        </w:rPr>
        <w:t xml:space="preserve">. </w:t>
      </w:r>
    </w:p>
    <w:p w14:paraId="179CC927" w14:textId="77777777" w:rsidR="003A0696" w:rsidRDefault="003A0696" w:rsidP="003A0696">
      <w:pPr>
        <w:spacing w:before="120" w:line="240" w:lineRule="auto"/>
        <w:rPr>
          <w:rFonts w:cs="Times New Roman"/>
          <w:sz w:val="24"/>
          <w:szCs w:val="24"/>
        </w:rPr>
      </w:pPr>
      <w:r w:rsidRPr="00F40360">
        <w:rPr>
          <w:sz w:val="24"/>
          <w:szCs w:val="24"/>
        </w:rPr>
        <w:t>N</w:t>
      </w:r>
      <w:r w:rsidRPr="00F40360">
        <w:rPr>
          <w:rFonts w:cs="Times New Roman"/>
          <w:sz w:val="24"/>
          <w:szCs w:val="24"/>
        </w:rPr>
        <w:t xml:space="preserve">a tomto výsledku sa výrazne podieľala skupina </w:t>
      </w:r>
      <w:r w:rsidRPr="00C23769">
        <w:rPr>
          <w:rFonts w:cs="Times New Roman"/>
          <w:b/>
          <w:sz w:val="24"/>
          <w:szCs w:val="24"/>
        </w:rPr>
        <w:t>ostatných podnikov ústrednej správy</w:t>
      </w:r>
      <w:r w:rsidRPr="00F40360">
        <w:rPr>
          <w:rFonts w:cs="Times New Roman"/>
          <w:sz w:val="24"/>
          <w:szCs w:val="24"/>
        </w:rPr>
        <w:t xml:space="preserve"> svojím prebytkom 131 273 tis. eur (tieto subjekty sa nerozpočtujú). Prebytkové hospodárenie dosiahli v súvislosti s vkladom Ministerstva hospodárstva SR do</w:t>
      </w:r>
      <w:r>
        <w:rPr>
          <w:rFonts w:cs="Times New Roman"/>
          <w:sz w:val="24"/>
          <w:szCs w:val="24"/>
        </w:rPr>
        <w:t xml:space="preserve"> ZI</w:t>
      </w:r>
      <w:r w:rsidRPr="00F40360">
        <w:rPr>
          <w:rFonts w:cs="Times New Roman"/>
          <w:sz w:val="24"/>
          <w:szCs w:val="24"/>
        </w:rPr>
        <w:t xml:space="preserve"> spoločnosti Valaliky Industrial Park, s. r. o., na financovanie významnej investície</w:t>
      </w:r>
      <w:r>
        <w:rPr>
          <w:rFonts w:cs="Times New Roman"/>
          <w:sz w:val="24"/>
          <w:szCs w:val="24"/>
        </w:rPr>
        <w:t xml:space="preserve"> </w:t>
      </w:r>
      <w:r w:rsidRPr="00F40360">
        <w:rPr>
          <w:rFonts w:cs="Times New Roman"/>
          <w:sz w:val="24"/>
          <w:szCs w:val="24"/>
        </w:rPr>
        <w:t>“Strategické územie Valaliky“</w:t>
      </w:r>
      <w:r>
        <w:rPr>
          <w:rFonts w:cs="Times New Roman"/>
          <w:sz w:val="24"/>
          <w:szCs w:val="24"/>
        </w:rPr>
        <w:t xml:space="preserve"> v celkovej sume 214 118 tis. eur</w:t>
      </w:r>
      <w:r w:rsidRPr="00F40360">
        <w:rPr>
          <w:rFonts w:cs="Times New Roman"/>
          <w:sz w:val="24"/>
          <w:szCs w:val="24"/>
        </w:rPr>
        <w:t>.</w:t>
      </w:r>
      <w:r>
        <w:rPr>
          <w:rFonts w:cs="Times New Roman"/>
          <w:sz w:val="24"/>
          <w:szCs w:val="24"/>
        </w:rPr>
        <w:t xml:space="preserve"> V súlade s metodikou ESA2010 sa tento vklad považuje za kapitálový transfer a na úrovni celej verejnej správy sa konsoliduje na strane príjmov ako aj výdavkov, a teda nemá vplyv na saldo verejnej správy. Pozitívny vplyv bol čiastočne redukovaný nárastom výdavkov na obstaranie kapitálových aktív v sume 74 324 tis. eur, z toho investičné výdavky spoločnosti Valaliky Industrial park v sume 54 515 tis. eur boli</w:t>
      </w:r>
      <w:r w:rsidRPr="0004323E">
        <w:rPr>
          <w:rFonts w:cs="Times New Roman"/>
          <w:sz w:val="24"/>
          <w:szCs w:val="24"/>
        </w:rPr>
        <w:t xml:space="preserve"> spojené s</w:t>
      </w:r>
      <w:r>
        <w:rPr>
          <w:rFonts w:cs="Times New Roman"/>
          <w:sz w:val="24"/>
          <w:szCs w:val="24"/>
        </w:rPr>
        <w:t> </w:t>
      </w:r>
      <w:r w:rsidRPr="0004323E">
        <w:rPr>
          <w:rFonts w:cs="Times New Roman"/>
          <w:sz w:val="24"/>
          <w:szCs w:val="24"/>
        </w:rPr>
        <w:t>majetkovo právnym vysporiadaním pozemkov a úpravu terénu pre budúcu vý</w:t>
      </w:r>
      <w:r>
        <w:rPr>
          <w:rFonts w:cs="Times New Roman"/>
          <w:sz w:val="24"/>
          <w:szCs w:val="24"/>
        </w:rPr>
        <w:t>stavbu.</w:t>
      </w:r>
    </w:p>
    <w:p w14:paraId="74DDAB9D" w14:textId="77777777" w:rsidR="003A0696" w:rsidRDefault="003A0696" w:rsidP="003A0696">
      <w:pPr>
        <w:spacing w:line="240" w:lineRule="auto"/>
        <w:rPr>
          <w:rFonts w:cs="Times New Roman"/>
          <w:sz w:val="24"/>
          <w:szCs w:val="24"/>
        </w:rPr>
      </w:pPr>
      <w:r w:rsidRPr="00900316">
        <w:rPr>
          <w:rFonts w:cs="Times New Roman"/>
          <w:b/>
          <w:sz w:val="24"/>
          <w:szCs w:val="24"/>
        </w:rPr>
        <w:t>Agentúra pre núdzové zásoby ropy a ropných výdavkov (EOSA)</w:t>
      </w:r>
      <w:r w:rsidRPr="00900316">
        <w:rPr>
          <w:rFonts w:cs="Times New Roman"/>
          <w:sz w:val="24"/>
          <w:szCs w:val="24"/>
        </w:rPr>
        <w:t xml:space="preserve"> </w:t>
      </w:r>
      <w:r w:rsidRPr="003177BF">
        <w:rPr>
          <w:rFonts w:cs="Times New Roman"/>
          <w:sz w:val="24"/>
          <w:szCs w:val="24"/>
        </w:rPr>
        <w:t>zaznamenala</w:t>
      </w:r>
      <w:r>
        <w:rPr>
          <w:rFonts w:cs="Times New Roman"/>
          <w:sz w:val="24"/>
          <w:szCs w:val="24"/>
        </w:rPr>
        <w:t xml:space="preserve"> zlepšenie hospodárenia v porovnaní s rozpočtom o 36 225 tis. eur, keď dosiahla prebytok v sume 86 532 tis. eur. </w:t>
      </w:r>
      <w:r w:rsidRPr="00900316">
        <w:rPr>
          <w:rFonts w:cs="Times New Roman"/>
          <w:sz w:val="24"/>
          <w:szCs w:val="24"/>
        </w:rPr>
        <w:t>Hlavným zdrojom príjmov sú príjmy z povinného poplatku za udržiavanie núdzových zásob ropy a ropných výrobkov, ktoré dosiahli hodnotu 96 153</w:t>
      </w:r>
      <w:r>
        <w:rPr>
          <w:rFonts w:cs="Times New Roman"/>
          <w:sz w:val="24"/>
          <w:szCs w:val="24"/>
        </w:rPr>
        <w:t> tis. eur. P</w:t>
      </w:r>
      <w:r w:rsidRPr="00900316">
        <w:rPr>
          <w:rFonts w:cs="Times New Roman"/>
          <w:sz w:val="24"/>
          <w:szCs w:val="24"/>
        </w:rPr>
        <w:t xml:space="preserve">okles o 1 031 tis. eur </w:t>
      </w:r>
      <w:r>
        <w:rPr>
          <w:rFonts w:cs="Times New Roman"/>
          <w:sz w:val="24"/>
          <w:szCs w:val="24"/>
        </w:rPr>
        <w:t>oproti rozpočtu súvisel s</w:t>
      </w:r>
      <w:r w:rsidRPr="00900316">
        <w:rPr>
          <w:rFonts w:cs="Times New Roman"/>
          <w:sz w:val="24"/>
          <w:szCs w:val="24"/>
        </w:rPr>
        <w:t xml:space="preserve"> v</w:t>
      </w:r>
      <w:r>
        <w:rPr>
          <w:rFonts w:cs="Times New Roman"/>
          <w:sz w:val="24"/>
          <w:szCs w:val="24"/>
        </w:rPr>
        <w:t>yšším</w:t>
      </w:r>
      <w:r w:rsidRPr="00900316">
        <w:rPr>
          <w:rFonts w:cs="Times New Roman"/>
          <w:sz w:val="24"/>
          <w:szCs w:val="24"/>
        </w:rPr>
        <w:t xml:space="preserve"> predpokladan</w:t>
      </w:r>
      <w:r>
        <w:rPr>
          <w:rFonts w:cs="Times New Roman"/>
          <w:sz w:val="24"/>
          <w:szCs w:val="24"/>
        </w:rPr>
        <w:t>ým objemom</w:t>
      </w:r>
      <w:r w:rsidRPr="00900316">
        <w:rPr>
          <w:rFonts w:cs="Times New Roman"/>
          <w:sz w:val="24"/>
          <w:szCs w:val="24"/>
        </w:rPr>
        <w:t xml:space="preserve"> dovezených ropných výrobkov pri tvorbe rozpočtu na rok 2022</w:t>
      </w:r>
      <w:r>
        <w:rPr>
          <w:rFonts w:cs="Times New Roman"/>
          <w:sz w:val="24"/>
          <w:szCs w:val="24"/>
        </w:rPr>
        <w:t>.</w:t>
      </w:r>
      <w:r w:rsidRPr="00900316">
        <w:rPr>
          <w:rFonts w:cs="Times New Roman"/>
          <w:sz w:val="24"/>
          <w:szCs w:val="24"/>
        </w:rPr>
        <w:t xml:space="preserve"> </w:t>
      </w:r>
    </w:p>
    <w:p w14:paraId="770DAD0E" w14:textId="77777777" w:rsidR="003A0696" w:rsidRPr="0093411B" w:rsidRDefault="003A0696" w:rsidP="003A0696">
      <w:pPr>
        <w:spacing w:line="240" w:lineRule="auto"/>
        <w:rPr>
          <w:rFonts w:cs="Times New Roman"/>
          <w:sz w:val="24"/>
          <w:szCs w:val="24"/>
        </w:rPr>
      </w:pPr>
      <w:r>
        <w:rPr>
          <w:rFonts w:cs="Times New Roman"/>
          <w:sz w:val="24"/>
          <w:szCs w:val="24"/>
        </w:rPr>
        <w:t xml:space="preserve">Nárast pohľadávok v </w:t>
      </w:r>
      <w:r w:rsidRPr="00C0235C">
        <w:rPr>
          <w:rFonts w:cs="Times New Roman"/>
          <w:sz w:val="24"/>
          <w:szCs w:val="24"/>
        </w:rPr>
        <w:t>sume 3</w:t>
      </w:r>
      <w:r w:rsidRPr="00331260">
        <w:rPr>
          <w:rFonts w:cs="Times New Roman"/>
          <w:sz w:val="24"/>
          <w:szCs w:val="24"/>
        </w:rPr>
        <w:t xml:space="preserve">0 870 tis. eur </w:t>
      </w:r>
      <w:r>
        <w:rPr>
          <w:rFonts w:cs="Times New Roman"/>
          <w:sz w:val="24"/>
          <w:szCs w:val="24"/>
        </w:rPr>
        <w:t>súvisel</w:t>
      </w:r>
      <w:r w:rsidRPr="00331260">
        <w:rPr>
          <w:rFonts w:cs="Times New Roman"/>
          <w:sz w:val="24"/>
          <w:szCs w:val="24"/>
        </w:rPr>
        <w:t xml:space="preserve"> so zapožičaním núdzových zásob</w:t>
      </w:r>
      <w:r>
        <w:rPr>
          <w:rFonts w:cs="Times New Roman"/>
          <w:sz w:val="24"/>
          <w:szCs w:val="24"/>
        </w:rPr>
        <w:t xml:space="preserve"> motorovej nafty a automobilového benzínu spoločnosti OMV Slovensko, s. r. o. </w:t>
      </w:r>
      <w:r w:rsidRPr="0093411B">
        <w:rPr>
          <w:rFonts w:cs="Times New Roman"/>
          <w:sz w:val="24"/>
          <w:szCs w:val="24"/>
        </w:rPr>
        <w:t>podľa zákona č.</w:t>
      </w:r>
      <w:r>
        <w:rPr>
          <w:rFonts w:cs="Times New Roman"/>
          <w:sz w:val="24"/>
          <w:szCs w:val="24"/>
        </w:rPr>
        <w:t> </w:t>
      </w:r>
      <w:r w:rsidRPr="0093411B">
        <w:rPr>
          <w:rFonts w:cs="Times New Roman"/>
          <w:sz w:val="24"/>
          <w:szCs w:val="24"/>
        </w:rPr>
        <w:t>218/2013  Z.</w:t>
      </w:r>
      <w:r>
        <w:rPr>
          <w:rFonts w:cs="Times New Roman"/>
          <w:sz w:val="24"/>
          <w:szCs w:val="24"/>
        </w:rPr>
        <w:t> </w:t>
      </w:r>
      <w:r w:rsidRPr="0093411B">
        <w:rPr>
          <w:rFonts w:cs="Times New Roman"/>
          <w:sz w:val="24"/>
          <w:szCs w:val="24"/>
        </w:rPr>
        <w:t>z. o núdzových zásobách ropy a ropných výrobkov a o riešení stavu ropnej núdze</w:t>
      </w:r>
      <w:r>
        <w:rPr>
          <w:rFonts w:cs="Times New Roman"/>
          <w:sz w:val="24"/>
          <w:szCs w:val="24"/>
        </w:rPr>
        <w:t>, a</w:t>
      </w:r>
      <w:r w:rsidRPr="0093411B">
        <w:rPr>
          <w:rFonts w:cs="Times New Roman"/>
          <w:sz w:val="24"/>
          <w:szCs w:val="24"/>
        </w:rPr>
        <w:t xml:space="preserve"> to z dôvodu vážnej poruchy destilačnej jednotky v</w:t>
      </w:r>
      <w:r>
        <w:rPr>
          <w:rFonts w:cs="Times New Roman"/>
          <w:sz w:val="24"/>
          <w:szCs w:val="24"/>
        </w:rPr>
        <w:t> </w:t>
      </w:r>
      <w:r w:rsidRPr="0093411B">
        <w:rPr>
          <w:rFonts w:cs="Times New Roman"/>
          <w:sz w:val="24"/>
          <w:szCs w:val="24"/>
        </w:rPr>
        <w:t>rafinérii</w:t>
      </w:r>
      <w:r>
        <w:rPr>
          <w:rFonts w:cs="Times New Roman"/>
          <w:sz w:val="24"/>
          <w:szCs w:val="24"/>
        </w:rPr>
        <w:t xml:space="preserve"> OMV</w:t>
      </w:r>
      <w:r w:rsidRPr="0093411B">
        <w:rPr>
          <w:rFonts w:cs="Times New Roman"/>
          <w:sz w:val="24"/>
          <w:szCs w:val="24"/>
        </w:rPr>
        <w:t xml:space="preserve"> vo </w:t>
      </w:r>
      <w:proofErr w:type="spellStart"/>
      <w:r w:rsidRPr="0093411B">
        <w:rPr>
          <w:rFonts w:cs="Times New Roman"/>
          <w:sz w:val="24"/>
          <w:szCs w:val="24"/>
        </w:rPr>
        <w:t>Schwechate</w:t>
      </w:r>
      <w:proofErr w:type="spellEnd"/>
      <w:r w:rsidRPr="0093411B">
        <w:rPr>
          <w:rFonts w:cs="Times New Roman"/>
          <w:sz w:val="24"/>
          <w:szCs w:val="24"/>
        </w:rPr>
        <w:t xml:space="preserve"> a tým aj ohrozenia zásobovania ropných výrobkov na slovenskom trhu.</w:t>
      </w:r>
    </w:p>
    <w:p w14:paraId="62B4D836" w14:textId="77777777" w:rsidR="003A0696" w:rsidRPr="00612219" w:rsidRDefault="003A0696" w:rsidP="003A0696">
      <w:pPr>
        <w:spacing w:before="120" w:line="240" w:lineRule="auto"/>
        <w:rPr>
          <w:rFonts w:cs="Times New Roman"/>
          <w:sz w:val="24"/>
          <w:szCs w:val="24"/>
        </w:rPr>
      </w:pPr>
      <w:r w:rsidRPr="00372D66">
        <w:rPr>
          <w:b/>
          <w:sz w:val="24"/>
          <w:szCs w:val="24"/>
        </w:rPr>
        <w:t>Š</w:t>
      </w:r>
      <w:r w:rsidRPr="00612219">
        <w:rPr>
          <w:rFonts w:cs="Times New Roman"/>
          <w:b/>
          <w:sz w:val="24"/>
          <w:szCs w:val="24"/>
        </w:rPr>
        <w:t>tátne neziskové organizácie</w:t>
      </w:r>
      <w:r w:rsidRPr="00612219">
        <w:rPr>
          <w:rFonts w:cs="Times New Roman"/>
          <w:sz w:val="24"/>
          <w:szCs w:val="24"/>
        </w:rPr>
        <w:t xml:space="preserve"> hospodárili o 33 814 tis. eur lepšie oproti rozpočtu a dosiahli ESA prebytok 37 091 tis. eur. </w:t>
      </w:r>
      <w:r w:rsidRPr="00612219">
        <w:rPr>
          <w:rFonts w:eastAsia="Times New Roman" w:cs="Times New Roman"/>
          <w:sz w:val="24"/>
          <w:szCs w:val="24"/>
          <w:lang w:eastAsia="sk-SK"/>
        </w:rPr>
        <w:t xml:space="preserve">Najväčší vplyv na tomto hospodárskom výsledku mal </w:t>
      </w:r>
      <w:r w:rsidRPr="00612219">
        <w:rPr>
          <w:rFonts w:cs="Times New Roman"/>
          <w:sz w:val="24"/>
          <w:szCs w:val="24"/>
          <w:u w:val="single"/>
        </w:rPr>
        <w:t>Fond pre ochranu vkladov</w:t>
      </w:r>
      <w:r w:rsidRPr="00612219">
        <w:rPr>
          <w:rFonts w:cs="Times New Roman"/>
          <w:sz w:val="24"/>
          <w:szCs w:val="24"/>
        </w:rPr>
        <w:t xml:space="preserve">, ktorý hospodáril s ESA prebytkom 32 724 tis. eur, jeho hospodárenie sa však nerozpočtuje. </w:t>
      </w:r>
      <w:r>
        <w:rPr>
          <w:rFonts w:cs="Times New Roman"/>
          <w:sz w:val="24"/>
          <w:szCs w:val="24"/>
        </w:rPr>
        <w:t xml:space="preserve">Pozitívny vplyv na jeho hospodárenie mali predovšetkým povinné príspevky od finančných inštitúcii v sume 32 223 tis. eur. </w:t>
      </w:r>
    </w:p>
    <w:p w14:paraId="4ED77FA2" w14:textId="77777777" w:rsidR="003A0696" w:rsidRPr="00A77FFA" w:rsidRDefault="003A0696" w:rsidP="003A0696">
      <w:pPr>
        <w:spacing w:line="240" w:lineRule="auto"/>
        <w:rPr>
          <w:rFonts w:cs="Times New Roman"/>
          <w:sz w:val="24"/>
          <w:szCs w:val="24"/>
        </w:rPr>
      </w:pPr>
      <w:r w:rsidRPr="00A814CB">
        <w:rPr>
          <w:rFonts w:cs="Times New Roman"/>
          <w:b/>
          <w:sz w:val="24"/>
          <w:szCs w:val="24"/>
        </w:rPr>
        <w:t>Rozhlas a televízia Slovenska</w:t>
      </w:r>
      <w:r w:rsidRPr="00AD7EB6">
        <w:rPr>
          <w:rFonts w:cs="Times New Roman"/>
          <w:sz w:val="24"/>
          <w:szCs w:val="24"/>
        </w:rPr>
        <w:t xml:space="preserve"> </w:t>
      </w:r>
      <w:r w:rsidRPr="00A814CB">
        <w:rPr>
          <w:rFonts w:cs="Times New Roman"/>
          <w:sz w:val="24"/>
          <w:szCs w:val="24"/>
        </w:rPr>
        <w:t xml:space="preserve">dosiahli </w:t>
      </w:r>
      <w:r>
        <w:rPr>
          <w:rFonts w:cs="Times New Roman"/>
          <w:sz w:val="24"/>
          <w:szCs w:val="24"/>
        </w:rPr>
        <w:t>hotovostný</w:t>
      </w:r>
      <w:r w:rsidRPr="00A814CB">
        <w:rPr>
          <w:rFonts w:cs="Times New Roman"/>
          <w:sz w:val="24"/>
          <w:szCs w:val="24"/>
        </w:rPr>
        <w:t xml:space="preserve"> </w:t>
      </w:r>
      <w:r>
        <w:rPr>
          <w:rFonts w:cs="Times New Roman"/>
          <w:sz w:val="24"/>
          <w:szCs w:val="24"/>
        </w:rPr>
        <w:t>schodok</w:t>
      </w:r>
      <w:r w:rsidRPr="00A814CB">
        <w:rPr>
          <w:rFonts w:cs="Times New Roman"/>
          <w:sz w:val="24"/>
          <w:szCs w:val="24"/>
        </w:rPr>
        <w:t xml:space="preserve"> </w:t>
      </w:r>
      <w:r>
        <w:rPr>
          <w:rFonts w:cs="Times New Roman"/>
          <w:sz w:val="24"/>
          <w:szCs w:val="24"/>
        </w:rPr>
        <w:t>2 899 </w:t>
      </w:r>
      <w:r w:rsidRPr="00A814CB">
        <w:rPr>
          <w:rFonts w:cs="Times New Roman"/>
          <w:sz w:val="24"/>
          <w:szCs w:val="24"/>
        </w:rPr>
        <w:t xml:space="preserve">tis. eur, </w:t>
      </w:r>
      <w:r>
        <w:rPr>
          <w:rFonts w:cs="Times New Roman"/>
          <w:sz w:val="24"/>
          <w:szCs w:val="24"/>
        </w:rPr>
        <w:t>čo</w:t>
      </w:r>
      <w:r w:rsidRPr="00A814CB">
        <w:rPr>
          <w:rFonts w:cs="Times New Roman"/>
          <w:sz w:val="24"/>
          <w:szCs w:val="24"/>
        </w:rPr>
        <w:t xml:space="preserve"> je o</w:t>
      </w:r>
      <w:r>
        <w:rPr>
          <w:rFonts w:cs="Times New Roman"/>
          <w:sz w:val="24"/>
          <w:szCs w:val="24"/>
        </w:rPr>
        <w:t> 5 655 </w:t>
      </w:r>
      <w:r w:rsidRPr="00A814CB">
        <w:rPr>
          <w:rFonts w:cs="Times New Roman"/>
          <w:sz w:val="24"/>
          <w:szCs w:val="24"/>
        </w:rPr>
        <w:t xml:space="preserve">tis. eur </w:t>
      </w:r>
      <w:r>
        <w:rPr>
          <w:rFonts w:cs="Times New Roman"/>
          <w:sz w:val="24"/>
          <w:szCs w:val="24"/>
        </w:rPr>
        <w:t>horší hospodársky výsledok v porovnaní s rozpočtom</w:t>
      </w:r>
      <w:r w:rsidRPr="00A814CB">
        <w:rPr>
          <w:rFonts w:cs="Times New Roman"/>
          <w:sz w:val="24"/>
          <w:szCs w:val="24"/>
        </w:rPr>
        <w:t xml:space="preserve">. </w:t>
      </w:r>
      <w:r>
        <w:rPr>
          <w:rFonts w:cs="Times New Roman"/>
          <w:sz w:val="24"/>
          <w:szCs w:val="24"/>
        </w:rPr>
        <w:t xml:space="preserve">Je to z dôvodu nárastu výdavkov na tovary a služby o 18 287 tis. eur, čo súvisí predovšetkým s nárastom výroby. Realizovalo sa aj vyššie čerpanie kapitálových výdavkov o 4 573 tis. eur určených najmä na modernizáciu budov a nákup novej techniky. Rovnako narástli výdavkov určených na mzdy a poistné spolu o 5 928 tis. eur. Na druhej strane pozitívny vplyv na hospodárenie v porovnaní s rozpočtom mal vyšší prijatý </w:t>
      </w:r>
      <w:r>
        <w:rPr>
          <w:rFonts w:cs="Times New Roman"/>
          <w:sz w:val="24"/>
          <w:szCs w:val="24"/>
        </w:rPr>
        <w:lastRenderedPageBreak/>
        <w:t>transfer zo štátneho rozpočtu o 19 238 tis. </w:t>
      </w:r>
      <w:r w:rsidRPr="002972D2">
        <w:rPr>
          <w:rFonts w:cs="Times New Roman"/>
          <w:sz w:val="24"/>
          <w:szCs w:val="24"/>
        </w:rPr>
        <w:t>eur</w:t>
      </w:r>
      <w:r>
        <w:rPr>
          <w:rFonts w:cs="Times New Roman"/>
          <w:sz w:val="24"/>
          <w:szCs w:val="24"/>
        </w:rPr>
        <w:t xml:space="preserve">, ktorý bol </w:t>
      </w:r>
      <w:r w:rsidRPr="00CE6B26">
        <w:rPr>
          <w:rFonts w:cs="Times New Roman"/>
          <w:sz w:val="24"/>
          <w:szCs w:val="24"/>
        </w:rPr>
        <w:t>určený na kompenzáciu sociálnych dôsledkov oslobodenia vybra</w:t>
      </w:r>
      <w:r>
        <w:rPr>
          <w:rFonts w:cs="Times New Roman"/>
          <w:sz w:val="24"/>
          <w:szCs w:val="24"/>
        </w:rPr>
        <w:t>ných skupín obyvateľov od úhrad a na investičné projekty realizované RTVS. Vyššie príjmy z administratívnych a iných poplatkov o 4 127 tis. eur oproti rozpočtu súvisia najmä s vyššími príjmami z </w:t>
      </w:r>
      <w:r w:rsidRPr="00A77FFA">
        <w:rPr>
          <w:rFonts w:cs="Times New Roman"/>
          <w:sz w:val="24"/>
          <w:szCs w:val="24"/>
        </w:rPr>
        <w:t>reklamy. Rozhlas a televízia Slovenska dosiahla ESA schodok 4 924 tis. eur, čo bolo o 7 680 tis. eur horšie hospodárenie oproti rozpočtu. Dôvodom zhoršeného hospodárenia bolo aj zahrnutie medziročnej zmeny stavu pohľadávok a záväzkov s negatívnym vplyvom vo výške 2 082 tis. eur.</w:t>
      </w:r>
    </w:p>
    <w:p w14:paraId="3C4858E5" w14:textId="77777777" w:rsidR="003A0696" w:rsidRDefault="003A0696" w:rsidP="003A0696">
      <w:pPr>
        <w:spacing w:line="240" w:lineRule="auto"/>
        <w:rPr>
          <w:rFonts w:eastAsia="Times New Roman" w:cs="Times New Roman"/>
          <w:sz w:val="24"/>
          <w:szCs w:val="24"/>
          <w:lang w:eastAsia="sk-SK"/>
        </w:rPr>
      </w:pPr>
      <w:r w:rsidRPr="007841C6">
        <w:rPr>
          <w:rFonts w:eastAsia="Times New Roman" w:cs="Times New Roman"/>
          <w:b/>
          <w:sz w:val="24"/>
          <w:szCs w:val="24"/>
          <w:lang w:eastAsia="sk-SK"/>
        </w:rPr>
        <w:t>Slovenský pozemkový fond</w:t>
      </w:r>
      <w:r w:rsidRPr="007841C6">
        <w:rPr>
          <w:rFonts w:eastAsia="Times New Roman" w:cs="Times New Roman"/>
          <w:sz w:val="24"/>
          <w:szCs w:val="24"/>
          <w:lang w:eastAsia="sk-SK"/>
        </w:rPr>
        <w:t xml:space="preserve"> hospodáril s ESA prebytkom </w:t>
      </w:r>
      <w:r>
        <w:rPr>
          <w:rFonts w:eastAsia="Times New Roman" w:cs="Times New Roman"/>
          <w:sz w:val="24"/>
          <w:szCs w:val="24"/>
          <w:lang w:eastAsia="sk-SK"/>
        </w:rPr>
        <w:t>18 253 </w:t>
      </w:r>
      <w:r w:rsidRPr="007841C6">
        <w:rPr>
          <w:rFonts w:eastAsia="Times New Roman" w:cs="Times New Roman"/>
          <w:sz w:val="24"/>
          <w:szCs w:val="24"/>
          <w:lang w:eastAsia="sk-SK"/>
        </w:rPr>
        <w:t>tis. eur, čo je o</w:t>
      </w:r>
      <w:r>
        <w:rPr>
          <w:rFonts w:eastAsia="Times New Roman" w:cs="Times New Roman"/>
          <w:sz w:val="24"/>
          <w:szCs w:val="24"/>
          <w:lang w:eastAsia="sk-SK"/>
        </w:rPr>
        <w:t> 19 174 </w:t>
      </w:r>
      <w:r w:rsidRPr="007841C6">
        <w:rPr>
          <w:rFonts w:eastAsia="Times New Roman" w:cs="Times New Roman"/>
          <w:sz w:val="24"/>
          <w:szCs w:val="24"/>
          <w:lang w:eastAsia="sk-SK"/>
        </w:rPr>
        <w:t xml:space="preserve">tis. eur viac oproti rozpočtu. </w:t>
      </w:r>
      <w:r>
        <w:rPr>
          <w:rFonts w:eastAsia="Times New Roman" w:cs="Times New Roman"/>
          <w:sz w:val="24"/>
          <w:szCs w:val="24"/>
          <w:lang w:eastAsia="sk-SK"/>
        </w:rPr>
        <w:t xml:space="preserve">Najväčší pozitívny vplyv mali </w:t>
      </w:r>
      <w:r w:rsidRPr="007841C6">
        <w:rPr>
          <w:rFonts w:eastAsia="Times New Roman" w:cs="Times New Roman"/>
          <w:sz w:val="24"/>
          <w:szCs w:val="24"/>
          <w:lang w:eastAsia="sk-SK"/>
        </w:rPr>
        <w:t xml:space="preserve">vyššie príjmy </w:t>
      </w:r>
      <w:r>
        <w:rPr>
          <w:rFonts w:eastAsia="Times New Roman" w:cs="Times New Roman"/>
          <w:sz w:val="24"/>
          <w:szCs w:val="24"/>
          <w:lang w:eastAsia="sk-SK"/>
        </w:rPr>
        <w:t xml:space="preserve">z </w:t>
      </w:r>
      <w:r w:rsidRPr="007841C6">
        <w:rPr>
          <w:rFonts w:eastAsia="Times New Roman" w:cs="Times New Roman"/>
          <w:sz w:val="24"/>
          <w:szCs w:val="24"/>
          <w:lang w:eastAsia="sk-SK"/>
        </w:rPr>
        <w:t xml:space="preserve">prenájmu pozemkov </w:t>
      </w:r>
      <w:r>
        <w:rPr>
          <w:rFonts w:eastAsia="Times New Roman" w:cs="Times New Roman"/>
          <w:sz w:val="24"/>
          <w:szCs w:val="24"/>
          <w:lang w:eastAsia="sk-SK"/>
        </w:rPr>
        <w:t>o 14 995 </w:t>
      </w:r>
      <w:r w:rsidRPr="007841C6">
        <w:rPr>
          <w:rFonts w:eastAsia="Times New Roman" w:cs="Times New Roman"/>
          <w:sz w:val="24"/>
          <w:szCs w:val="24"/>
          <w:lang w:eastAsia="sk-SK"/>
        </w:rPr>
        <w:t>tis. eur</w:t>
      </w:r>
      <w:r>
        <w:rPr>
          <w:rFonts w:eastAsia="Times New Roman" w:cs="Times New Roman"/>
          <w:sz w:val="24"/>
          <w:szCs w:val="24"/>
          <w:lang w:eastAsia="sk-SK"/>
        </w:rPr>
        <w:t xml:space="preserve">, a to </w:t>
      </w:r>
      <w:r w:rsidRPr="00EC10EE">
        <w:rPr>
          <w:rFonts w:eastAsia="Times New Roman" w:cs="Times New Roman"/>
          <w:sz w:val="24"/>
          <w:szCs w:val="24"/>
          <w:lang w:eastAsia="sk-SK"/>
        </w:rPr>
        <w:t>aj z dôvodu väčše</w:t>
      </w:r>
      <w:r>
        <w:rPr>
          <w:rFonts w:eastAsia="Times New Roman" w:cs="Times New Roman"/>
          <w:sz w:val="24"/>
          <w:szCs w:val="24"/>
          <w:lang w:eastAsia="sk-SK"/>
        </w:rPr>
        <w:t>j plochy prenajímaných pozemkov</w:t>
      </w:r>
      <w:r w:rsidRPr="007841C6">
        <w:rPr>
          <w:rFonts w:eastAsia="Times New Roman" w:cs="Times New Roman"/>
          <w:sz w:val="24"/>
          <w:szCs w:val="24"/>
          <w:lang w:eastAsia="sk-SK"/>
        </w:rPr>
        <w:t>.</w:t>
      </w:r>
      <w:r>
        <w:rPr>
          <w:rFonts w:eastAsia="Times New Roman" w:cs="Times New Roman"/>
          <w:sz w:val="24"/>
          <w:szCs w:val="24"/>
          <w:lang w:eastAsia="sk-SK"/>
        </w:rPr>
        <w:t xml:space="preserve"> Rovnako pozitívny vplyv na hospodárenie v sume 4 369 tis. eur v porovnaní s rozpočtom mali kapitálové príjmy z predaja pozemkov. </w:t>
      </w:r>
    </w:p>
    <w:p w14:paraId="3E872A60" w14:textId="77777777" w:rsidR="003A0696" w:rsidRPr="005C4D0C" w:rsidRDefault="003A0696" w:rsidP="003A0696">
      <w:pPr>
        <w:spacing w:before="120" w:line="240" w:lineRule="auto"/>
        <w:rPr>
          <w:rFonts w:eastAsia="Times New Roman" w:cs="Times New Roman"/>
          <w:b/>
          <w:sz w:val="24"/>
          <w:szCs w:val="24"/>
          <w:lang w:eastAsia="sk-SK"/>
        </w:rPr>
      </w:pPr>
      <w:r w:rsidRPr="005C4D0C">
        <w:rPr>
          <w:b/>
          <w:sz w:val="24"/>
          <w:szCs w:val="24"/>
        </w:rPr>
        <w:t>Územná samospráva dosiahla ESA schodok 419 500 tis. eur, čo je oproti rozpočtu viac o 238 488 tis. eur.</w:t>
      </w:r>
    </w:p>
    <w:p w14:paraId="62716EE7" w14:textId="77777777" w:rsidR="003A0696" w:rsidRPr="00F823DA" w:rsidRDefault="003A0696" w:rsidP="003A0696">
      <w:pPr>
        <w:spacing w:before="120" w:line="240" w:lineRule="auto"/>
        <w:rPr>
          <w:rFonts w:cs="Times New Roman"/>
          <w:sz w:val="24"/>
          <w:szCs w:val="24"/>
        </w:rPr>
      </w:pPr>
      <w:r w:rsidRPr="005C4D0C">
        <w:rPr>
          <w:sz w:val="24"/>
          <w:szCs w:val="24"/>
        </w:rPr>
        <w:t xml:space="preserve">Výšku schodku ovplyvnilo </w:t>
      </w:r>
      <w:r w:rsidRPr="005C4D0C">
        <w:rPr>
          <w:b/>
          <w:sz w:val="24"/>
          <w:szCs w:val="24"/>
        </w:rPr>
        <w:t>hospodárenie obcí</w:t>
      </w:r>
      <w:r w:rsidRPr="005C4D0C">
        <w:rPr>
          <w:sz w:val="24"/>
          <w:szCs w:val="24"/>
        </w:rPr>
        <w:t xml:space="preserve">, ktoré </w:t>
      </w:r>
      <w:r w:rsidRPr="005C4D0C">
        <w:rPr>
          <w:rFonts w:cs="Times New Roman"/>
          <w:sz w:val="24"/>
          <w:szCs w:val="24"/>
        </w:rPr>
        <w:t>mali rozpočtovaný hotovostný schodok 164 312 tis. eur, v skutočnosti dosiahli schodok vo výške 249 209 tis. eur. Výrazne viac sa čerpali výdavky oproti napĺňaniu príjmov. Pozitívny vplyv mali zvýšené daňové príjmy o 94 915 tis. eur</w:t>
      </w:r>
      <w:r>
        <w:rPr>
          <w:rFonts w:cs="Times New Roman"/>
          <w:sz w:val="24"/>
          <w:szCs w:val="24"/>
        </w:rPr>
        <w:t xml:space="preserve">, najmä </w:t>
      </w:r>
      <w:r w:rsidRPr="005C4D0C">
        <w:rPr>
          <w:rFonts w:cs="Times New Roman"/>
          <w:sz w:val="24"/>
          <w:szCs w:val="24"/>
        </w:rPr>
        <w:t>príjmy z podielových daní, príjmy z dane zo stavieb a príjmy z dane za rozvoj a</w:t>
      </w:r>
      <w:r>
        <w:rPr>
          <w:rFonts w:cs="Times New Roman"/>
          <w:sz w:val="24"/>
          <w:szCs w:val="24"/>
        </w:rPr>
        <w:t xml:space="preserve"> nárast</w:t>
      </w:r>
      <w:r w:rsidRPr="005C4D0C">
        <w:rPr>
          <w:rFonts w:cs="Times New Roman"/>
          <w:sz w:val="24"/>
          <w:szCs w:val="24"/>
        </w:rPr>
        <w:t> </w:t>
      </w:r>
      <w:r>
        <w:rPr>
          <w:rFonts w:cs="Times New Roman"/>
          <w:sz w:val="24"/>
          <w:szCs w:val="24"/>
        </w:rPr>
        <w:t>nedaňových</w:t>
      </w:r>
      <w:r w:rsidRPr="005C4D0C">
        <w:rPr>
          <w:rFonts w:cs="Times New Roman"/>
          <w:sz w:val="24"/>
          <w:szCs w:val="24"/>
        </w:rPr>
        <w:t xml:space="preserve"> príjm</w:t>
      </w:r>
      <w:r>
        <w:rPr>
          <w:rFonts w:cs="Times New Roman"/>
          <w:sz w:val="24"/>
          <w:szCs w:val="24"/>
        </w:rPr>
        <w:t>ov</w:t>
      </w:r>
      <w:r w:rsidRPr="005C4D0C">
        <w:rPr>
          <w:rFonts w:cs="Times New Roman"/>
          <w:sz w:val="24"/>
          <w:szCs w:val="24"/>
        </w:rPr>
        <w:t xml:space="preserve"> o</w:t>
      </w:r>
      <w:r>
        <w:rPr>
          <w:rFonts w:cs="Times New Roman"/>
          <w:sz w:val="24"/>
          <w:szCs w:val="24"/>
        </w:rPr>
        <w:t> </w:t>
      </w:r>
      <w:r w:rsidRPr="005C4D0C">
        <w:rPr>
          <w:rFonts w:cs="Times New Roman"/>
          <w:sz w:val="24"/>
          <w:szCs w:val="24"/>
        </w:rPr>
        <w:t>67</w:t>
      </w:r>
      <w:r>
        <w:rPr>
          <w:rFonts w:cs="Times New Roman"/>
          <w:sz w:val="24"/>
          <w:szCs w:val="24"/>
        </w:rPr>
        <w:t> </w:t>
      </w:r>
      <w:r w:rsidRPr="005C4D0C">
        <w:rPr>
          <w:rFonts w:cs="Times New Roman"/>
          <w:sz w:val="24"/>
          <w:szCs w:val="24"/>
        </w:rPr>
        <w:t>040</w:t>
      </w:r>
      <w:r>
        <w:rPr>
          <w:rFonts w:cs="Times New Roman"/>
          <w:sz w:val="24"/>
          <w:szCs w:val="24"/>
        </w:rPr>
        <w:t> </w:t>
      </w:r>
      <w:r w:rsidRPr="005C4D0C">
        <w:rPr>
          <w:rFonts w:cs="Times New Roman"/>
          <w:sz w:val="24"/>
          <w:szCs w:val="24"/>
        </w:rPr>
        <w:t>tis.</w:t>
      </w:r>
      <w:r>
        <w:rPr>
          <w:rFonts w:cs="Times New Roman"/>
          <w:sz w:val="24"/>
          <w:szCs w:val="24"/>
        </w:rPr>
        <w:t> </w:t>
      </w:r>
      <w:r w:rsidRPr="005C4D0C">
        <w:rPr>
          <w:rFonts w:cs="Times New Roman"/>
          <w:sz w:val="24"/>
          <w:szCs w:val="24"/>
        </w:rPr>
        <w:t>eur</w:t>
      </w:r>
      <w:r>
        <w:rPr>
          <w:rFonts w:cs="Times New Roman"/>
          <w:sz w:val="24"/>
          <w:szCs w:val="24"/>
        </w:rPr>
        <w:t xml:space="preserve">. </w:t>
      </w:r>
      <w:r w:rsidRPr="00F823DA">
        <w:rPr>
          <w:rFonts w:cs="Times New Roman"/>
          <w:sz w:val="24"/>
          <w:szCs w:val="24"/>
        </w:rPr>
        <w:t>Dôvodom bolo zvýšenie najmä administratívnych a správnych poplatkov</w:t>
      </w:r>
      <w:r>
        <w:rPr>
          <w:rFonts w:cs="Times New Roman"/>
          <w:sz w:val="24"/>
          <w:szCs w:val="24"/>
        </w:rPr>
        <w:t xml:space="preserve"> platených prostredníctvom integrovaných obslužných miest</w:t>
      </w:r>
      <w:r w:rsidRPr="00F823DA">
        <w:rPr>
          <w:rFonts w:cs="Times New Roman"/>
          <w:sz w:val="24"/>
          <w:szCs w:val="24"/>
        </w:rPr>
        <w:t>, príjmov za stravné, za predaj výrobkov a</w:t>
      </w:r>
      <w:r>
        <w:rPr>
          <w:rFonts w:cs="Times New Roman"/>
          <w:sz w:val="24"/>
          <w:szCs w:val="24"/>
        </w:rPr>
        <w:t> </w:t>
      </w:r>
      <w:r w:rsidRPr="00F823DA">
        <w:rPr>
          <w:rFonts w:cs="Times New Roman"/>
          <w:sz w:val="24"/>
          <w:szCs w:val="24"/>
        </w:rPr>
        <w:t>služieb</w:t>
      </w:r>
      <w:r>
        <w:rPr>
          <w:rFonts w:cs="Times New Roman"/>
          <w:sz w:val="24"/>
          <w:szCs w:val="24"/>
        </w:rPr>
        <w:t>, príjmy z nezrovnalostí a </w:t>
      </w:r>
      <w:proofErr w:type="spellStart"/>
      <w:r>
        <w:rPr>
          <w:rFonts w:cs="Times New Roman"/>
          <w:sz w:val="24"/>
          <w:szCs w:val="24"/>
        </w:rPr>
        <w:t>vratiek</w:t>
      </w:r>
      <w:proofErr w:type="spellEnd"/>
      <w:r>
        <w:rPr>
          <w:rFonts w:cs="Times New Roman"/>
          <w:sz w:val="24"/>
          <w:szCs w:val="24"/>
        </w:rPr>
        <w:t xml:space="preserve"> za prostriedky EÚ</w:t>
      </w:r>
      <w:r w:rsidRPr="00F823DA">
        <w:rPr>
          <w:rFonts w:cs="Times New Roman"/>
          <w:sz w:val="24"/>
          <w:szCs w:val="24"/>
        </w:rPr>
        <w:t xml:space="preserve"> a príjmy od rodičov na úhradu nákladov v súlade s osobitnými predpismi v školách a školských zariadeniach (zrušenie obmedzeného režimu v predškolských a školských zariadeniach).</w:t>
      </w:r>
      <w:r>
        <w:rPr>
          <w:rFonts w:cs="Times New Roman"/>
          <w:sz w:val="24"/>
          <w:szCs w:val="24"/>
        </w:rPr>
        <w:t xml:space="preserve"> Tento pozitívny trend mierne utlmil pokles ostatných príjmov o 15 099 tis. eur z odvodu hazardných hier, z náhrad poistného, z dobropisov a refundácií.</w:t>
      </w:r>
    </w:p>
    <w:p w14:paraId="34B87F71" w14:textId="77777777" w:rsidR="003A0696" w:rsidRPr="00B817EB" w:rsidRDefault="003A0696" w:rsidP="003A0696">
      <w:pPr>
        <w:spacing w:before="120" w:line="240" w:lineRule="auto"/>
        <w:rPr>
          <w:rFonts w:cs="Times New Roman"/>
          <w:sz w:val="24"/>
          <w:szCs w:val="24"/>
        </w:rPr>
      </w:pPr>
      <w:r w:rsidRPr="006F1816">
        <w:rPr>
          <w:rFonts w:cs="Times New Roman"/>
          <w:sz w:val="24"/>
          <w:szCs w:val="24"/>
        </w:rPr>
        <w:t>Ďalší pozitívny vplyv mal nárast prijatých grantov a transferov o 479 772 tis. eur oproti rozpočtu v hotovostnom vyjadrení, z toho bežné transfer</w:t>
      </w:r>
      <w:r>
        <w:rPr>
          <w:rFonts w:cs="Times New Roman"/>
          <w:sz w:val="24"/>
          <w:szCs w:val="24"/>
        </w:rPr>
        <w:t>y sa zvýšili o 411 878 tis. eur,</w:t>
      </w:r>
      <w:r w:rsidRPr="006F1816">
        <w:rPr>
          <w:rFonts w:cs="Times New Roman"/>
          <w:sz w:val="24"/>
          <w:szCs w:val="24"/>
        </w:rPr>
        <w:t xml:space="preserve"> kapitálové transfery o 52 015 tis. eur a transfery od zahraničných subjektov a prostriedky z rozpočtu Európskej únie o 15 879 tis. eur.</w:t>
      </w:r>
      <w:r>
        <w:rPr>
          <w:rFonts w:cs="Times New Roman"/>
          <w:sz w:val="24"/>
          <w:szCs w:val="24"/>
        </w:rPr>
        <w:t xml:space="preserve"> </w:t>
      </w:r>
      <w:r w:rsidRPr="00B817EB">
        <w:rPr>
          <w:rFonts w:cs="Times New Roman"/>
          <w:sz w:val="24"/>
          <w:szCs w:val="24"/>
        </w:rPr>
        <w:t>Na celkovom objeme prijatých transferov sa sumou 1 092 321 tis. eur podieľali transfery na úhradu nákladov na prenesen</w:t>
      </w:r>
      <w:r>
        <w:rPr>
          <w:rFonts w:cs="Times New Roman"/>
          <w:sz w:val="24"/>
          <w:szCs w:val="24"/>
        </w:rPr>
        <w:t>ý</w:t>
      </w:r>
      <w:r w:rsidRPr="00B817EB">
        <w:rPr>
          <w:rFonts w:cs="Times New Roman"/>
          <w:sz w:val="24"/>
          <w:szCs w:val="24"/>
        </w:rPr>
        <w:t xml:space="preserve"> výkon štátnej  správy na normatívne a nenormatívne výdavky. Ďalšie čiastky, ktoré prijali obce v rámci bežných transferov boli určené na úhradu nákladov súvisiacich s ozbrojeným konfliktom na Ukrajine (na ubytovanie odídencov), na refundáciu výdavkov v súvislosti s ochorením COVID-19, na ochranu životného prostredia, na sociálne služby a iné.</w:t>
      </w:r>
      <w:r>
        <w:rPr>
          <w:rFonts w:cs="Times New Roman"/>
          <w:sz w:val="24"/>
          <w:szCs w:val="24"/>
        </w:rPr>
        <w:t xml:space="preserve"> Kapitálové transfery zo ŠR a zahraničných subjektov a tiež prostriedky z EÚ boli obciam poskytnuté na realizáciu prebiehajúcich a plánovaných investičných akcií v rámci projektov odpadového hospodárstva, kvality zelene, sociálnych služieb, školstva a dopravy.</w:t>
      </w:r>
    </w:p>
    <w:p w14:paraId="24FDDEA1" w14:textId="77777777" w:rsidR="003A0696" w:rsidRPr="00062FFE" w:rsidRDefault="003A0696" w:rsidP="003A0696">
      <w:pPr>
        <w:spacing w:before="120" w:line="240" w:lineRule="auto"/>
        <w:rPr>
          <w:rFonts w:cs="Times New Roman"/>
          <w:sz w:val="24"/>
          <w:szCs w:val="24"/>
          <w:highlight w:val="yellow"/>
        </w:rPr>
      </w:pPr>
      <w:r w:rsidRPr="005E44BE">
        <w:rPr>
          <w:rFonts w:cs="Times New Roman"/>
          <w:sz w:val="24"/>
          <w:szCs w:val="24"/>
        </w:rPr>
        <w:t>Z výdavkov sa oproti rozpočtu ušetrilo na splátkach úrokov</w:t>
      </w:r>
      <w:r>
        <w:rPr>
          <w:rFonts w:cs="Times New Roman"/>
          <w:sz w:val="24"/>
          <w:szCs w:val="24"/>
        </w:rPr>
        <w:t xml:space="preserve"> (o 1 978 tis. eur) a v poskytnutých kapitálových transferoch (o 26 216 tis. eur), </w:t>
      </w:r>
      <w:r w:rsidRPr="005E44BE">
        <w:rPr>
          <w:rFonts w:cs="Times New Roman"/>
          <w:sz w:val="24"/>
          <w:szCs w:val="24"/>
        </w:rPr>
        <w:t xml:space="preserve">všetky ostatné výdavkové položky sa čerpali viac ako bolo plánované. </w:t>
      </w:r>
      <w:r>
        <w:rPr>
          <w:rFonts w:cs="Times New Roman"/>
          <w:sz w:val="24"/>
          <w:szCs w:val="24"/>
        </w:rPr>
        <w:t xml:space="preserve">V roku 2022 sa vyplatilo oproti rozpočtu menej kapitálových transferov  príspevkovým organizáciám a dopravným podnikom. Bežné výdavky sa zvýšili o 561 892 tis. eur. Významný podiel na raste bežných výdavkov mal </w:t>
      </w:r>
      <w:r w:rsidRPr="00530738">
        <w:rPr>
          <w:rFonts w:cs="Times New Roman"/>
          <w:sz w:val="24"/>
          <w:szCs w:val="24"/>
        </w:rPr>
        <w:t>nárast miezd a odvodov o 319 470 tis. eur (z toho najviac vyplatenie odmien vo výške 126 166 tis. eur) v nadväznosti na legislatívne zmeny a prijaté opatrenia v odmeňovaní zamestnancov verejnej správy,</w:t>
      </w:r>
      <w:r>
        <w:rPr>
          <w:rFonts w:cs="Times New Roman"/>
          <w:sz w:val="24"/>
          <w:szCs w:val="24"/>
        </w:rPr>
        <w:t xml:space="preserve"> v sumáre o 125 942 tis. eur narástli výdavky na energie, všeobecný materiál, na rutinnú</w:t>
      </w:r>
      <w:r w:rsidRPr="00530738">
        <w:rPr>
          <w:rFonts w:cs="Times New Roman"/>
          <w:sz w:val="24"/>
          <w:szCs w:val="24"/>
        </w:rPr>
        <w:t xml:space="preserve"> údržb</w:t>
      </w:r>
      <w:r>
        <w:rPr>
          <w:rFonts w:cs="Times New Roman"/>
          <w:sz w:val="24"/>
          <w:szCs w:val="24"/>
        </w:rPr>
        <w:t>u</w:t>
      </w:r>
      <w:r w:rsidRPr="00530738">
        <w:rPr>
          <w:rFonts w:cs="Times New Roman"/>
          <w:sz w:val="24"/>
          <w:szCs w:val="24"/>
        </w:rPr>
        <w:t xml:space="preserve"> budov a objektov, na všeobecných a špeciálnych službách.</w:t>
      </w:r>
      <w:r>
        <w:rPr>
          <w:rFonts w:cs="Times New Roman"/>
          <w:sz w:val="24"/>
          <w:szCs w:val="24"/>
        </w:rPr>
        <w:t xml:space="preserve"> </w:t>
      </w:r>
      <w:r w:rsidRPr="0023415B">
        <w:rPr>
          <w:rFonts w:cs="Times New Roman"/>
          <w:sz w:val="24"/>
          <w:szCs w:val="24"/>
        </w:rPr>
        <w:t>Schodkové hotovostné hospodárenie obcí negatívne ovplyvnil</w:t>
      </w:r>
      <w:r>
        <w:rPr>
          <w:rFonts w:cs="Times New Roman"/>
          <w:sz w:val="24"/>
          <w:szCs w:val="24"/>
        </w:rPr>
        <w:t>i vyplatené bežné transfery v sume 800 818 tis. eur, čo predstavuje</w:t>
      </w:r>
      <w:r w:rsidRPr="0023415B">
        <w:rPr>
          <w:rFonts w:cs="Times New Roman"/>
          <w:sz w:val="24"/>
          <w:szCs w:val="24"/>
        </w:rPr>
        <w:t xml:space="preserve"> nárast o 118 458 tis. eur</w:t>
      </w:r>
      <w:r w:rsidRPr="002518E3">
        <w:rPr>
          <w:rFonts w:cs="Times New Roman"/>
          <w:sz w:val="24"/>
          <w:szCs w:val="24"/>
        </w:rPr>
        <w:t xml:space="preserve">. Najväčší objem tvorili transfery  pre príspevkové organizácie </w:t>
      </w:r>
      <w:r w:rsidRPr="002518E3">
        <w:rPr>
          <w:rFonts w:cs="Times New Roman"/>
          <w:sz w:val="24"/>
          <w:szCs w:val="24"/>
        </w:rPr>
        <w:lastRenderedPageBreak/>
        <w:t xml:space="preserve">(179 887 tis. eur), pre dopravné podniky (132 232 tis. eur), obciam na prenesený výkon štátnej správy (13 098 tis. eur), </w:t>
      </w:r>
      <w:r>
        <w:rPr>
          <w:rFonts w:cs="Times New Roman"/>
          <w:sz w:val="24"/>
          <w:szCs w:val="24"/>
        </w:rPr>
        <w:t xml:space="preserve">a mimo sektor verejnej správy súkromnej škole (81 152 tis. eur) </w:t>
      </w:r>
      <w:r w:rsidRPr="002518E3">
        <w:rPr>
          <w:rFonts w:cs="Times New Roman"/>
          <w:sz w:val="24"/>
          <w:szCs w:val="24"/>
        </w:rPr>
        <w:t>a  právnickým osobám</w:t>
      </w:r>
      <w:r>
        <w:rPr>
          <w:rFonts w:cs="Times New Roman"/>
          <w:sz w:val="24"/>
          <w:szCs w:val="24"/>
        </w:rPr>
        <w:t xml:space="preserve"> (76 511 tis. eur)</w:t>
      </w:r>
      <w:r w:rsidRPr="002518E3">
        <w:rPr>
          <w:rFonts w:cs="Times New Roman"/>
          <w:sz w:val="24"/>
          <w:szCs w:val="24"/>
        </w:rPr>
        <w:t xml:space="preserve">. </w:t>
      </w:r>
    </w:p>
    <w:p w14:paraId="3A529264" w14:textId="77777777" w:rsidR="003A0696" w:rsidRPr="004B3C7E" w:rsidRDefault="003A0696" w:rsidP="003A0696">
      <w:pPr>
        <w:spacing w:before="120" w:line="240" w:lineRule="auto"/>
        <w:rPr>
          <w:rFonts w:cs="Times New Roman"/>
          <w:sz w:val="24"/>
          <w:szCs w:val="24"/>
        </w:rPr>
      </w:pPr>
      <w:r w:rsidRPr="0039403D">
        <w:rPr>
          <w:rFonts w:cs="Times New Roman"/>
          <w:sz w:val="24"/>
          <w:szCs w:val="24"/>
        </w:rPr>
        <w:t>Výdavky na obstaranie kapitálových aktív sa čerpali vo výške 9</w:t>
      </w:r>
      <w:r>
        <w:rPr>
          <w:rFonts w:cs="Times New Roman"/>
          <w:sz w:val="24"/>
          <w:szCs w:val="24"/>
        </w:rPr>
        <w:t>42</w:t>
      </w:r>
      <w:r w:rsidRPr="0039403D">
        <w:rPr>
          <w:rFonts w:cs="Times New Roman"/>
          <w:sz w:val="24"/>
          <w:szCs w:val="24"/>
        </w:rPr>
        <w:t> </w:t>
      </w:r>
      <w:r>
        <w:rPr>
          <w:rFonts w:cs="Times New Roman"/>
          <w:sz w:val="24"/>
          <w:szCs w:val="24"/>
        </w:rPr>
        <w:t>171</w:t>
      </w:r>
      <w:r w:rsidRPr="0039403D">
        <w:rPr>
          <w:rFonts w:cs="Times New Roman"/>
          <w:sz w:val="24"/>
          <w:szCs w:val="24"/>
        </w:rPr>
        <w:t> tis. eur, t. j. vo výške vyššej o 1</w:t>
      </w:r>
      <w:r>
        <w:rPr>
          <w:rFonts w:cs="Times New Roman"/>
          <w:sz w:val="24"/>
          <w:szCs w:val="24"/>
        </w:rPr>
        <w:t>90</w:t>
      </w:r>
      <w:r w:rsidRPr="0039403D">
        <w:rPr>
          <w:rFonts w:cs="Times New Roman"/>
          <w:sz w:val="24"/>
          <w:szCs w:val="24"/>
        </w:rPr>
        <w:t> </w:t>
      </w:r>
      <w:r>
        <w:rPr>
          <w:rFonts w:cs="Times New Roman"/>
          <w:sz w:val="24"/>
          <w:szCs w:val="24"/>
        </w:rPr>
        <w:t>948</w:t>
      </w:r>
      <w:r w:rsidRPr="0039403D">
        <w:rPr>
          <w:rFonts w:cs="Times New Roman"/>
          <w:sz w:val="24"/>
          <w:szCs w:val="24"/>
        </w:rPr>
        <w:t xml:space="preserve"> tis. eur ako bolo rozpočtované a to z dôvodu časového posunu realizácie plánovaných investičných akcií z predchádzajúceho roka a zdĺhavých procesov verejného </w:t>
      </w:r>
      <w:r w:rsidRPr="008B6C66">
        <w:rPr>
          <w:rFonts w:cs="Times New Roman"/>
          <w:sz w:val="24"/>
          <w:szCs w:val="24"/>
        </w:rPr>
        <w:t>obstarávania.</w:t>
      </w:r>
      <w:r>
        <w:rPr>
          <w:rFonts w:cs="Times New Roman"/>
          <w:sz w:val="24"/>
          <w:szCs w:val="24"/>
        </w:rPr>
        <w:t xml:space="preserve"> </w:t>
      </w:r>
      <w:r w:rsidRPr="008B6C66">
        <w:rPr>
          <w:rFonts w:cs="Times New Roman"/>
          <w:sz w:val="24"/>
          <w:szCs w:val="24"/>
        </w:rPr>
        <w:t xml:space="preserve">Z investičných výdavkov </w:t>
      </w:r>
      <w:r>
        <w:rPr>
          <w:rFonts w:cs="Times New Roman"/>
          <w:sz w:val="24"/>
          <w:szCs w:val="24"/>
        </w:rPr>
        <w:t>boli</w:t>
      </w:r>
      <w:r w:rsidRPr="008B6C66">
        <w:rPr>
          <w:rFonts w:cs="Times New Roman"/>
          <w:sz w:val="24"/>
          <w:szCs w:val="24"/>
        </w:rPr>
        <w:t xml:space="preserve"> finančné zdroje </w:t>
      </w:r>
      <w:r>
        <w:rPr>
          <w:rFonts w:cs="Times New Roman"/>
          <w:sz w:val="24"/>
          <w:szCs w:val="24"/>
        </w:rPr>
        <w:t xml:space="preserve">pridelené </w:t>
      </w:r>
      <w:r w:rsidRPr="008B6C66">
        <w:rPr>
          <w:rFonts w:cs="Times New Roman"/>
          <w:sz w:val="24"/>
          <w:szCs w:val="24"/>
        </w:rPr>
        <w:t>na projekty sociálnej inklúzie, elimináciu súčasných zdrojov znečisťovania v rámci projektov kvalita životného prostredia, na rozšírenie kanalizačných sietí  a čističiek odpadových vôd, na zníženie energetickej náročnosti budov, na výstavbu, modernizáciu a rekonštrukciu budov, na nákup pozemkov,</w:t>
      </w:r>
      <w:r>
        <w:rPr>
          <w:rFonts w:cs="Times New Roman"/>
          <w:sz w:val="24"/>
          <w:szCs w:val="24"/>
        </w:rPr>
        <w:t xml:space="preserve"> nákladných vozidiel a špeciálnych strojov. Ďalej boli prostriedky použité za účelom r</w:t>
      </w:r>
      <w:r w:rsidRPr="008B6C66">
        <w:rPr>
          <w:rFonts w:cs="Times New Roman"/>
          <w:sz w:val="24"/>
          <w:szCs w:val="24"/>
        </w:rPr>
        <w:t>ozvoj</w:t>
      </w:r>
      <w:r>
        <w:rPr>
          <w:rFonts w:cs="Times New Roman"/>
          <w:sz w:val="24"/>
          <w:szCs w:val="24"/>
        </w:rPr>
        <w:t>a</w:t>
      </w:r>
      <w:r w:rsidRPr="008B6C66">
        <w:rPr>
          <w:rFonts w:cs="Times New Roman"/>
          <w:sz w:val="24"/>
          <w:szCs w:val="24"/>
        </w:rPr>
        <w:t xml:space="preserve"> občianskej vybavenosti a zlepšeni</w:t>
      </w:r>
      <w:r>
        <w:rPr>
          <w:rFonts w:cs="Times New Roman"/>
          <w:sz w:val="24"/>
          <w:szCs w:val="24"/>
        </w:rPr>
        <w:t>a</w:t>
      </w:r>
      <w:r w:rsidRPr="008B6C66">
        <w:rPr>
          <w:rFonts w:cs="Times New Roman"/>
          <w:sz w:val="24"/>
          <w:szCs w:val="24"/>
        </w:rPr>
        <w:t xml:space="preserve"> dopravnej a technickej vybavenosti regiónov,</w:t>
      </w:r>
      <w:r>
        <w:rPr>
          <w:rFonts w:cs="Times New Roman"/>
          <w:sz w:val="24"/>
          <w:szCs w:val="24"/>
        </w:rPr>
        <w:t xml:space="preserve"> na</w:t>
      </w:r>
      <w:r w:rsidRPr="008B6C66">
        <w:rPr>
          <w:rFonts w:cs="Times New Roman"/>
          <w:sz w:val="24"/>
          <w:szCs w:val="24"/>
        </w:rPr>
        <w:t xml:space="preserve"> bezpečn</w:t>
      </w:r>
      <w:r>
        <w:rPr>
          <w:rFonts w:cs="Times New Roman"/>
          <w:sz w:val="24"/>
          <w:szCs w:val="24"/>
        </w:rPr>
        <w:t>ú</w:t>
      </w:r>
      <w:r w:rsidRPr="008B6C66">
        <w:rPr>
          <w:rFonts w:cs="Times New Roman"/>
          <w:sz w:val="24"/>
          <w:szCs w:val="24"/>
        </w:rPr>
        <w:t xml:space="preserve"> a ekologick</w:t>
      </w:r>
      <w:r>
        <w:rPr>
          <w:rFonts w:cs="Times New Roman"/>
          <w:sz w:val="24"/>
          <w:szCs w:val="24"/>
        </w:rPr>
        <w:t>ú</w:t>
      </w:r>
      <w:r w:rsidRPr="008B6C66">
        <w:rPr>
          <w:rFonts w:cs="Times New Roman"/>
          <w:sz w:val="24"/>
          <w:szCs w:val="24"/>
        </w:rPr>
        <w:t xml:space="preserve"> doprav</w:t>
      </w:r>
      <w:r>
        <w:rPr>
          <w:rFonts w:cs="Times New Roman"/>
          <w:sz w:val="24"/>
          <w:szCs w:val="24"/>
        </w:rPr>
        <w:t>u</w:t>
      </w:r>
      <w:r w:rsidRPr="008B6C66">
        <w:rPr>
          <w:rFonts w:cs="Times New Roman"/>
          <w:sz w:val="24"/>
          <w:szCs w:val="24"/>
        </w:rPr>
        <w:t xml:space="preserve"> (budovanie cyklotrás), </w:t>
      </w:r>
      <w:r>
        <w:rPr>
          <w:rFonts w:cs="Times New Roman"/>
          <w:sz w:val="24"/>
          <w:szCs w:val="24"/>
        </w:rPr>
        <w:t xml:space="preserve">na </w:t>
      </w:r>
      <w:r w:rsidRPr="008B6C66">
        <w:rPr>
          <w:rFonts w:cs="Times New Roman"/>
          <w:sz w:val="24"/>
          <w:szCs w:val="24"/>
        </w:rPr>
        <w:t>opr</w:t>
      </w:r>
      <w:r>
        <w:rPr>
          <w:rFonts w:cs="Times New Roman"/>
          <w:sz w:val="24"/>
          <w:szCs w:val="24"/>
        </w:rPr>
        <w:t>avy</w:t>
      </w:r>
      <w:r w:rsidRPr="008B6C66">
        <w:rPr>
          <w:rFonts w:cs="Times New Roman"/>
          <w:sz w:val="24"/>
          <w:szCs w:val="24"/>
        </w:rPr>
        <w:t xml:space="preserve"> a </w:t>
      </w:r>
      <w:r>
        <w:rPr>
          <w:rFonts w:cs="Times New Roman"/>
          <w:sz w:val="24"/>
          <w:szCs w:val="24"/>
        </w:rPr>
        <w:t>budovanie</w:t>
      </w:r>
      <w:r w:rsidRPr="008B6C66">
        <w:rPr>
          <w:rFonts w:cs="Times New Roman"/>
          <w:sz w:val="24"/>
          <w:szCs w:val="24"/>
        </w:rPr>
        <w:t xml:space="preserve"> chodníkov a</w:t>
      </w:r>
      <w:r>
        <w:rPr>
          <w:rFonts w:cs="Times New Roman"/>
          <w:sz w:val="24"/>
          <w:szCs w:val="24"/>
        </w:rPr>
        <w:t xml:space="preserve"> na</w:t>
      </w:r>
      <w:r w:rsidRPr="008B6C66">
        <w:rPr>
          <w:rFonts w:cs="Times New Roman"/>
          <w:sz w:val="24"/>
          <w:szCs w:val="24"/>
        </w:rPr>
        <w:t> projekty v programe efektívna vere</w:t>
      </w:r>
      <w:r>
        <w:rPr>
          <w:rFonts w:cs="Times New Roman"/>
          <w:sz w:val="24"/>
          <w:szCs w:val="24"/>
        </w:rPr>
        <w:t>j</w:t>
      </w:r>
      <w:r w:rsidRPr="008B6C66">
        <w:rPr>
          <w:rFonts w:cs="Times New Roman"/>
          <w:sz w:val="24"/>
          <w:szCs w:val="24"/>
        </w:rPr>
        <w:t>ná správa.</w:t>
      </w:r>
      <w:r>
        <w:rPr>
          <w:rFonts w:cs="Times New Roman"/>
          <w:sz w:val="24"/>
          <w:szCs w:val="24"/>
        </w:rPr>
        <w:t xml:space="preserve"> Najvyšší objem investičných prostriedkov použili obce na rekonštrukciu a modernizáciu stavieb a ich technického zhodnotenia (425 348 tis. eur) a na realizáciu nových stavieb (305 114 tis. eur). </w:t>
      </w:r>
      <w:r w:rsidRPr="004B3C7E">
        <w:rPr>
          <w:rFonts w:cs="Times New Roman"/>
          <w:sz w:val="24"/>
          <w:szCs w:val="24"/>
        </w:rPr>
        <w:t xml:space="preserve">Časť prostriedkov išla na projekty v oblasti vzdelávania a športu, civilnej obrany a ochrany a na podporu a rozvoj verejného zdravia.  Výdavky boli čerpané v rámci programov financovaných z vlastných a úverových zdrojov, ale i zo zdrojov EÚ a spolufinancovania ŠR. </w:t>
      </w:r>
    </w:p>
    <w:p w14:paraId="0CC6E03F" w14:textId="77777777" w:rsidR="003A0696" w:rsidRPr="00062FFE" w:rsidRDefault="003A0696" w:rsidP="003A0696">
      <w:pPr>
        <w:spacing w:before="120" w:line="240" w:lineRule="auto"/>
        <w:rPr>
          <w:rFonts w:eastAsia="Times New Roman" w:cs="Times New Roman"/>
          <w:sz w:val="24"/>
          <w:szCs w:val="24"/>
          <w:highlight w:val="yellow"/>
          <w:lang w:eastAsia="sk-SK"/>
        </w:rPr>
      </w:pPr>
      <w:r w:rsidRPr="006D0E20">
        <w:rPr>
          <w:rFonts w:cs="Times New Roman"/>
          <w:sz w:val="24"/>
          <w:szCs w:val="24"/>
        </w:rPr>
        <w:t>Hospodárenie podľa metodiky ESA</w:t>
      </w:r>
      <w:r>
        <w:rPr>
          <w:rFonts w:cs="Times New Roman"/>
          <w:sz w:val="24"/>
          <w:szCs w:val="24"/>
        </w:rPr>
        <w:t xml:space="preserve"> 2010</w:t>
      </w:r>
      <w:r w:rsidRPr="006D0E20">
        <w:rPr>
          <w:rFonts w:cs="Times New Roman"/>
          <w:sz w:val="24"/>
          <w:szCs w:val="24"/>
        </w:rPr>
        <w:t xml:space="preserve"> skončilo so schodkom 287 784 tis. eur, z dôvodu </w:t>
      </w:r>
      <w:r>
        <w:rPr>
          <w:rFonts w:cs="Times New Roman"/>
          <w:sz w:val="24"/>
          <w:szCs w:val="24"/>
        </w:rPr>
        <w:t xml:space="preserve">negatívneho vplyvu </w:t>
      </w:r>
      <w:r w:rsidRPr="006D0E20">
        <w:rPr>
          <w:rFonts w:cs="Times New Roman"/>
          <w:sz w:val="24"/>
          <w:szCs w:val="24"/>
        </w:rPr>
        <w:t>časového rozlíšenia vo výške 37 301 tis. eur a ostatných úprav vo výške 1 274 tis. eur. Z</w:t>
      </w:r>
      <w:r>
        <w:rPr>
          <w:rFonts w:cs="Times New Roman"/>
          <w:sz w:val="24"/>
          <w:szCs w:val="24"/>
        </w:rPr>
        <w:t xml:space="preserve"> časového rozlíšenia </w:t>
      </w:r>
      <w:r w:rsidRPr="006D0E20">
        <w:rPr>
          <w:rFonts w:cs="Times New Roman"/>
          <w:sz w:val="24"/>
          <w:szCs w:val="24"/>
        </w:rPr>
        <w:t xml:space="preserve">sa na vyššom ESA schodku najviac podieľal </w:t>
      </w:r>
      <w:r>
        <w:rPr>
          <w:rFonts w:cs="Times New Roman"/>
          <w:sz w:val="24"/>
          <w:szCs w:val="24"/>
        </w:rPr>
        <w:t xml:space="preserve">medziročný </w:t>
      </w:r>
      <w:r w:rsidRPr="006D0E20">
        <w:rPr>
          <w:rFonts w:cs="Times New Roman"/>
          <w:sz w:val="24"/>
          <w:szCs w:val="24"/>
        </w:rPr>
        <w:t>nárast záväzkov o 52 044 tis. eur (najmä záväzkov voči dodávateľom a prijatých preddavkov o 48 514 tis. eur a ostatných záväzkov o 44 239 tis. eur). Nárast pohľadávok z nedaňových príjmov o sumu 3 219 tis. eur</w:t>
      </w:r>
      <w:r>
        <w:rPr>
          <w:rFonts w:cs="Times New Roman"/>
          <w:sz w:val="24"/>
          <w:szCs w:val="24"/>
        </w:rPr>
        <w:t>, ostatných pohľadávok o 4 123</w:t>
      </w:r>
      <w:r>
        <w:t>tis. eur</w:t>
      </w:r>
      <w:r w:rsidRPr="006D0E20">
        <w:rPr>
          <w:rFonts w:cs="Times New Roman"/>
          <w:sz w:val="24"/>
          <w:szCs w:val="24"/>
        </w:rPr>
        <w:t xml:space="preserve"> a nákladov budúcich období o </w:t>
      </w:r>
      <w:r>
        <w:rPr>
          <w:rFonts w:cs="Times New Roman"/>
          <w:sz w:val="24"/>
          <w:szCs w:val="24"/>
        </w:rPr>
        <w:t>2</w:t>
      </w:r>
      <w:r w:rsidRPr="006D0E20">
        <w:rPr>
          <w:rFonts w:cs="Times New Roman"/>
          <w:sz w:val="24"/>
          <w:szCs w:val="24"/>
        </w:rPr>
        <w:t> </w:t>
      </w:r>
      <w:r>
        <w:rPr>
          <w:rFonts w:cs="Times New Roman"/>
          <w:sz w:val="24"/>
          <w:szCs w:val="24"/>
        </w:rPr>
        <w:t>097</w:t>
      </w:r>
      <w:r w:rsidRPr="006D0E20">
        <w:rPr>
          <w:rFonts w:cs="Times New Roman"/>
          <w:sz w:val="24"/>
          <w:szCs w:val="24"/>
        </w:rPr>
        <w:t> tis. eur čiastočne eliminoval vplyv spôsobený nárastom záväzkov.</w:t>
      </w:r>
    </w:p>
    <w:p w14:paraId="4495832A" w14:textId="77777777" w:rsidR="003A0696" w:rsidRDefault="003A0696" w:rsidP="003A0696">
      <w:pPr>
        <w:spacing w:before="120" w:line="240" w:lineRule="auto"/>
        <w:rPr>
          <w:rFonts w:cs="Times New Roman"/>
          <w:sz w:val="24"/>
          <w:szCs w:val="24"/>
        </w:rPr>
      </w:pPr>
      <w:r w:rsidRPr="006E4C49">
        <w:rPr>
          <w:rFonts w:cs="Times New Roman"/>
          <w:b/>
          <w:sz w:val="24"/>
          <w:szCs w:val="24"/>
        </w:rPr>
        <w:t>Vyššie územné celky</w:t>
      </w:r>
      <w:r w:rsidRPr="006E4C49">
        <w:rPr>
          <w:rFonts w:cs="Times New Roman"/>
          <w:sz w:val="24"/>
          <w:szCs w:val="24"/>
        </w:rPr>
        <w:t xml:space="preserve"> hotovostne hospodárili oproti rozpočtu horšie o sumu 128 470 tis. eur a napriek zvýšenému prijatému výnosu z dane z príjmov o 49 650 tis. eur dosiahli samosprávy schodok vo výške 119 872 tis. eur. </w:t>
      </w:r>
    </w:p>
    <w:p w14:paraId="36D5B787" w14:textId="77777777" w:rsidR="003A0696" w:rsidRDefault="003A0696" w:rsidP="003A0696">
      <w:pPr>
        <w:spacing w:before="120" w:line="240" w:lineRule="auto"/>
        <w:rPr>
          <w:rFonts w:cs="Times New Roman"/>
          <w:sz w:val="24"/>
          <w:szCs w:val="24"/>
        </w:rPr>
      </w:pPr>
      <w:r w:rsidRPr="00C90B28">
        <w:rPr>
          <w:rFonts w:cs="Times New Roman"/>
          <w:sz w:val="24"/>
          <w:szCs w:val="24"/>
        </w:rPr>
        <w:t>V roku 2022 mali príjmy v</w:t>
      </w:r>
      <w:r>
        <w:rPr>
          <w:rFonts w:cs="Times New Roman"/>
          <w:sz w:val="24"/>
          <w:szCs w:val="24"/>
        </w:rPr>
        <w:t xml:space="preserve"> sume</w:t>
      </w:r>
      <w:r w:rsidRPr="00C90B28">
        <w:rPr>
          <w:rFonts w:cs="Times New Roman"/>
          <w:sz w:val="24"/>
          <w:szCs w:val="24"/>
        </w:rPr>
        <w:t xml:space="preserve"> 1 852 304 tis. eur, čo predstavuje nárast o 141 122 tis. eur oproti </w:t>
      </w:r>
      <w:r w:rsidRPr="002C137E">
        <w:rPr>
          <w:rFonts w:cs="Times New Roman"/>
          <w:sz w:val="24"/>
          <w:szCs w:val="24"/>
        </w:rPr>
        <w:t>plánovaným. Prijaté bežné a kapitálové granty a transfery sa zvýšili úhrnom o 86 321 tis. eur a boli určené najmä na financovanie preneseného výkonu štátnej správy na úseku školstva a na financovanie investičných projektov. V malej miere hospodárenie samosprávnych celkov negatívne ovplyvnili nenaplnené rozpočtov</w:t>
      </w:r>
      <w:r>
        <w:rPr>
          <w:rFonts w:cs="Times New Roman"/>
          <w:sz w:val="24"/>
          <w:szCs w:val="24"/>
        </w:rPr>
        <w:t>ané</w:t>
      </w:r>
      <w:r w:rsidRPr="002C137E">
        <w:rPr>
          <w:rFonts w:cs="Times New Roman"/>
          <w:sz w:val="24"/>
          <w:szCs w:val="24"/>
        </w:rPr>
        <w:t xml:space="preserve"> príjmy z administratívnych a iných poplatkov o 3 893</w:t>
      </w:r>
      <w:r w:rsidRPr="002C137E">
        <w:t> tis</w:t>
      </w:r>
      <w:r w:rsidRPr="002C137E">
        <w:rPr>
          <w:rFonts w:cs="Times New Roman"/>
          <w:sz w:val="24"/>
          <w:szCs w:val="24"/>
        </w:rPr>
        <w:t>. eur</w:t>
      </w:r>
      <w:r>
        <w:rPr>
          <w:rFonts w:cs="Times New Roman"/>
          <w:sz w:val="24"/>
          <w:szCs w:val="24"/>
        </w:rPr>
        <w:t>.</w:t>
      </w:r>
    </w:p>
    <w:p w14:paraId="3FEE84A5" w14:textId="77777777" w:rsidR="003A0696" w:rsidRPr="0088065D" w:rsidRDefault="003A0696" w:rsidP="003A0696">
      <w:pPr>
        <w:spacing w:before="120" w:line="240" w:lineRule="auto"/>
        <w:rPr>
          <w:rFonts w:cs="Times New Roman"/>
          <w:sz w:val="24"/>
          <w:szCs w:val="24"/>
        </w:rPr>
      </w:pPr>
      <w:r w:rsidRPr="0088065D">
        <w:rPr>
          <w:rFonts w:cs="Times New Roman"/>
          <w:sz w:val="24"/>
          <w:szCs w:val="24"/>
        </w:rPr>
        <w:t xml:space="preserve">Dosiahnutý hotovostný schodok negatívne ovplyvnil nárast bežných aj kapitálových výdavkov. Z celkového nárastu výdavkov </w:t>
      </w:r>
      <w:r>
        <w:rPr>
          <w:rFonts w:cs="Times New Roman"/>
          <w:sz w:val="24"/>
          <w:szCs w:val="24"/>
        </w:rPr>
        <w:t>(</w:t>
      </w:r>
      <w:r w:rsidRPr="0088065D">
        <w:rPr>
          <w:rFonts w:cs="Times New Roman"/>
          <w:sz w:val="24"/>
          <w:szCs w:val="24"/>
        </w:rPr>
        <w:t>o 269 592 tis. eur</w:t>
      </w:r>
      <w:r>
        <w:rPr>
          <w:rFonts w:cs="Times New Roman"/>
          <w:sz w:val="24"/>
          <w:szCs w:val="24"/>
        </w:rPr>
        <w:t>)</w:t>
      </w:r>
      <w:r w:rsidRPr="0088065D">
        <w:rPr>
          <w:rFonts w:cs="Times New Roman"/>
          <w:sz w:val="24"/>
          <w:szCs w:val="24"/>
        </w:rPr>
        <w:t xml:space="preserve"> sa zvýšili o sumu 124 733 tis. eur výdavky na bežné transfery (transfery v rámci VS) a o sumu 138 392 tis. eur narástli kapitálové výdavky, z toho výdavky na obstaranie kapitálových aktív o 92 932 tis. eur. Tieto výdavky boli alokované na implementáciu projektov modernizácie stredných škôl, na obnovu dopravných prostriedkov, na realizáciu stavieb a ich technické zhodnotenie, na obstaranie prevádzkových strojov a zariadení, na výstavbu a rekonštrukcie ciest 1. a 2. triedy a modernizácie mostných objektov. </w:t>
      </w:r>
      <w:r>
        <w:rPr>
          <w:rFonts w:cs="Times New Roman"/>
          <w:sz w:val="24"/>
          <w:szCs w:val="24"/>
        </w:rPr>
        <w:t>Ďalšie prostriedky boli smerované na ochranu a rozvoj prírodného a kultúrneho dedičstva.</w:t>
      </w:r>
      <w:r w:rsidRPr="0088065D">
        <w:rPr>
          <w:rFonts w:cs="Times New Roman"/>
          <w:sz w:val="24"/>
          <w:szCs w:val="24"/>
        </w:rPr>
        <w:t xml:space="preserve"> </w:t>
      </w:r>
    </w:p>
    <w:p w14:paraId="3C63762C" w14:textId="77777777" w:rsidR="003A0696" w:rsidRPr="00274216" w:rsidRDefault="003A0696" w:rsidP="003A0696">
      <w:pPr>
        <w:spacing w:before="120" w:line="240" w:lineRule="auto"/>
        <w:rPr>
          <w:rFonts w:cs="Times New Roman"/>
          <w:sz w:val="24"/>
          <w:szCs w:val="24"/>
        </w:rPr>
      </w:pPr>
      <w:r w:rsidRPr="00274216">
        <w:rPr>
          <w:rFonts w:cs="Times New Roman"/>
          <w:sz w:val="24"/>
          <w:szCs w:val="24"/>
        </w:rPr>
        <w:t xml:space="preserve">Oproti hotovostnému schodku sa ESA schodok zvýšil na sumu 141 839 tis. eur vplyvom nárastu záväzkov o 23 236 tis. eur, z toho najvyšší medziročný nárast mali záväzky voči dodávateľom (o 16 282 tis. eur). V menšej miere k zhoršeniu prebytku prispel aj nárast ostatných záväzkov (o 6 575 tis. eur) oproti predchádzajúcemu obdobiu. </w:t>
      </w:r>
    </w:p>
    <w:p w14:paraId="4EB953B8" w14:textId="77777777" w:rsidR="003A0696" w:rsidRDefault="003A0696" w:rsidP="003A0696">
      <w:pPr>
        <w:spacing w:before="120" w:line="240" w:lineRule="auto"/>
        <w:rPr>
          <w:rFonts w:cs="Times New Roman"/>
          <w:sz w:val="24"/>
          <w:szCs w:val="24"/>
        </w:rPr>
      </w:pPr>
      <w:r w:rsidRPr="003C2515">
        <w:rPr>
          <w:rFonts w:cs="Times New Roman"/>
          <w:b/>
          <w:sz w:val="24"/>
          <w:szCs w:val="24"/>
        </w:rPr>
        <w:lastRenderedPageBreak/>
        <w:t>Dopravné podniky</w:t>
      </w:r>
      <w:r w:rsidRPr="003C2515">
        <w:rPr>
          <w:rFonts w:cs="Times New Roman"/>
          <w:sz w:val="24"/>
          <w:szCs w:val="24"/>
        </w:rPr>
        <w:t xml:space="preserve"> zhoršili svoje hospodárenie o 6 869 tis. eur a oproti rozpočtovanému schodku vo výške 38 300 tis. eur dosiahli hotovostný schodok vo výške 45 169 tis. eur. </w:t>
      </w:r>
      <w:r>
        <w:rPr>
          <w:rFonts w:cs="Times New Roman"/>
          <w:sz w:val="24"/>
          <w:szCs w:val="24"/>
        </w:rPr>
        <w:t xml:space="preserve">      Celkové príjmy dopravných podnikov sa znížili o 15 116 tis. eur a celkové výdavky poklesli o 8 247 tis. eur. </w:t>
      </w:r>
    </w:p>
    <w:p w14:paraId="36CD9C9A" w14:textId="77777777" w:rsidR="003A0696" w:rsidRDefault="003A0696" w:rsidP="003A0696">
      <w:pPr>
        <w:spacing w:before="120" w:line="240" w:lineRule="auto"/>
        <w:rPr>
          <w:rFonts w:cs="Times New Roman"/>
          <w:sz w:val="24"/>
          <w:szCs w:val="24"/>
        </w:rPr>
      </w:pPr>
      <w:r>
        <w:rPr>
          <w:rFonts w:cs="Times New Roman"/>
          <w:sz w:val="24"/>
          <w:szCs w:val="24"/>
        </w:rPr>
        <w:t xml:space="preserve">Po </w:t>
      </w:r>
      <w:proofErr w:type="spellStart"/>
      <w:r>
        <w:rPr>
          <w:rFonts w:cs="Times New Roman"/>
          <w:sz w:val="24"/>
          <w:szCs w:val="24"/>
        </w:rPr>
        <w:t>pandemických</w:t>
      </w:r>
      <w:proofErr w:type="spellEnd"/>
      <w:r>
        <w:rPr>
          <w:rFonts w:cs="Times New Roman"/>
          <w:sz w:val="24"/>
          <w:szCs w:val="24"/>
        </w:rPr>
        <w:t xml:space="preserve"> opatreniach </w:t>
      </w:r>
      <w:r w:rsidRPr="00B66468">
        <w:rPr>
          <w:rFonts w:cs="Times New Roman"/>
          <w:sz w:val="24"/>
          <w:szCs w:val="24"/>
        </w:rPr>
        <w:t>zaznamenali</w:t>
      </w:r>
      <w:r>
        <w:rPr>
          <w:rFonts w:cs="Times New Roman"/>
          <w:sz w:val="24"/>
          <w:szCs w:val="24"/>
        </w:rPr>
        <w:t xml:space="preserve"> dopravné podniky</w:t>
      </w:r>
      <w:r w:rsidRPr="00B66468">
        <w:rPr>
          <w:rFonts w:cs="Times New Roman"/>
          <w:sz w:val="24"/>
          <w:szCs w:val="24"/>
        </w:rPr>
        <w:t xml:space="preserve"> pokles cestujúcej verejnosti a tým nedosiahli očakávané výnosy, čo sa prejavilo poklesom tržieb za predaj cestovných lístkov a služieb, nižších príjmov z pokút a vymožených pohľadávok za cestovanie bez platného cestovného lístka, znížených príjmov z reklám a nízkeho dopytu na zájazdovú, zmluvnú a príležito</w:t>
      </w:r>
      <w:r>
        <w:rPr>
          <w:rFonts w:cs="Times New Roman"/>
          <w:sz w:val="24"/>
          <w:szCs w:val="24"/>
        </w:rPr>
        <w:t xml:space="preserve">stnú dopravu. Pár mesiacov prevádzkovania dopravy v  prázdninovom režime sa prejavilo poklesom nedaňových príjmov o 9 088 tis. eur a  negatívnym vplyvom na schodok. </w:t>
      </w:r>
    </w:p>
    <w:p w14:paraId="08FD82DC" w14:textId="77777777" w:rsidR="003A0696" w:rsidRDefault="003A0696" w:rsidP="003A0696">
      <w:pPr>
        <w:spacing w:before="120" w:line="240" w:lineRule="auto"/>
        <w:rPr>
          <w:rFonts w:cs="Times New Roman"/>
          <w:sz w:val="24"/>
          <w:szCs w:val="24"/>
        </w:rPr>
      </w:pPr>
      <w:r>
        <w:rPr>
          <w:rFonts w:cs="Times New Roman"/>
          <w:sz w:val="24"/>
          <w:szCs w:val="24"/>
        </w:rPr>
        <w:t xml:space="preserve">Bežné granty a transfery na financovanie MHD v zmysle Zmlúv o službách vo verejnom záujme prekročili plánovaný rozpočet o 8 274 tis. eur z dôvodu dofinancovania príspevku za predchádzajúce obdobie, refundáciou výdavkov spojených s COVID-19 a presunom kapitálového transferu do bežného. </w:t>
      </w:r>
    </w:p>
    <w:p w14:paraId="0091ED45" w14:textId="77777777" w:rsidR="003A0696" w:rsidRPr="00631992" w:rsidRDefault="003A0696" w:rsidP="003A0696">
      <w:pPr>
        <w:spacing w:before="120" w:line="240" w:lineRule="auto"/>
        <w:rPr>
          <w:rFonts w:cs="Times New Roman"/>
          <w:sz w:val="24"/>
          <w:szCs w:val="24"/>
        </w:rPr>
      </w:pPr>
      <w:r w:rsidRPr="00631992">
        <w:rPr>
          <w:rFonts w:cs="Times New Roman"/>
          <w:sz w:val="24"/>
          <w:szCs w:val="24"/>
        </w:rPr>
        <w:t>Presun plánovaných investičných akcií do ďalšieho obdobia v rámci projektov modernizácie a obstarania technologických vozidiel, modernizácie údržbovej základne a zastávok, obnovy vozového parku vrátane vodíkových autobusov, projekt Informatizácie MHD v Žiline, projekt modernizácie infraštruktúry trolejbusovej trate spôsobili výrazný pokles príjmov na položke  kapitálových grantov a transferov o 1</w:t>
      </w:r>
      <w:r>
        <w:rPr>
          <w:rFonts w:cs="Times New Roman"/>
          <w:sz w:val="24"/>
          <w:szCs w:val="24"/>
        </w:rPr>
        <w:t>9</w:t>
      </w:r>
      <w:r w:rsidRPr="00631992">
        <w:rPr>
          <w:rFonts w:cs="Times New Roman"/>
          <w:sz w:val="24"/>
          <w:szCs w:val="24"/>
        </w:rPr>
        <w:t> </w:t>
      </w:r>
      <w:r>
        <w:rPr>
          <w:rFonts w:cs="Times New Roman"/>
          <w:sz w:val="24"/>
          <w:szCs w:val="24"/>
        </w:rPr>
        <w:t>217</w:t>
      </w:r>
      <w:r w:rsidRPr="00631992">
        <w:rPr>
          <w:rFonts w:cs="Times New Roman"/>
          <w:sz w:val="24"/>
          <w:szCs w:val="24"/>
        </w:rPr>
        <w:t xml:space="preserve"> tis. eur. </w:t>
      </w:r>
    </w:p>
    <w:p w14:paraId="79481E25" w14:textId="77777777" w:rsidR="003A0696" w:rsidRPr="000C0699" w:rsidRDefault="003A0696" w:rsidP="003A0696">
      <w:pPr>
        <w:spacing w:before="120" w:line="240" w:lineRule="auto"/>
        <w:rPr>
          <w:rFonts w:cs="Times New Roman"/>
          <w:sz w:val="24"/>
          <w:szCs w:val="24"/>
        </w:rPr>
      </w:pPr>
      <w:r w:rsidRPr="000C0699">
        <w:rPr>
          <w:rFonts w:cs="Times New Roman"/>
          <w:sz w:val="24"/>
          <w:szCs w:val="24"/>
        </w:rPr>
        <w:t>Celkové výdavky  sa čerpali vo výške 264 031 tis. eur, z toho bežné výdavky prekročili plánovaný rozpočet o 3 827 tis. eur a v kapitálových výdavkoch sa dosiahla úspora o 12 074 tis. eur.</w:t>
      </w:r>
    </w:p>
    <w:p w14:paraId="5EB9667B" w14:textId="77777777" w:rsidR="003A0696" w:rsidRDefault="003A0696" w:rsidP="003A0696">
      <w:pPr>
        <w:spacing w:before="120" w:line="240" w:lineRule="auto"/>
        <w:rPr>
          <w:rFonts w:cs="Times New Roman"/>
          <w:sz w:val="24"/>
          <w:szCs w:val="24"/>
        </w:rPr>
      </w:pPr>
      <w:r w:rsidRPr="000C0699">
        <w:rPr>
          <w:rFonts w:cs="Times New Roman"/>
          <w:sz w:val="24"/>
          <w:szCs w:val="24"/>
        </w:rPr>
        <w:t>Zhoršená situácia na trhu s</w:t>
      </w:r>
      <w:r>
        <w:rPr>
          <w:rFonts w:cs="Times New Roman"/>
          <w:sz w:val="24"/>
          <w:szCs w:val="24"/>
        </w:rPr>
        <w:t> </w:t>
      </w:r>
      <w:r w:rsidRPr="000C0699">
        <w:rPr>
          <w:rFonts w:cs="Times New Roman"/>
          <w:sz w:val="24"/>
          <w:szCs w:val="24"/>
        </w:rPr>
        <w:t>energiami sa prejavila nárastom cien energií, pohonných hmôt</w:t>
      </w:r>
      <w:r>
        <w:rPr>
          <w:rFonts w:cs="Times New Roman"/>
          <w:sz w:val="24"/>
          <w:szCs w:val="24"/>
        </w:rPr>
        <w:t xml:space="preserve"> a</w:t>
      </w:r>
      <w:r w:rsidRPr="000C0699">
        <w:rPr>
          <w:rFonts w:cs="Times New Roman"/>
          <w:sz w:val="24"/>
          <w:szCs w:val="24"/>
        </w:rPr>
        <w:t> palív.</w:t>
      </w:r>
      <w:r>
        <w:rPr>
          <w:rFonts w:cs="Times New Roman"/>
          <w:sz w:val="24"/>
          <w:szCs w:val="24"/>
        </w:rPr>
        <w:t xml:space="preserve"> Oprava električkovej trate, údržba koľajových tratí a vozidiel, nákup náhradných dielov, spotrebného materiálu a služieb na prevádzkovú činnosť zvýšila výdavky na tovary a služby oproti plánovaným o 7 798 tis. eur. Pozitívom </w:t>
      </w:r>
      <w:r w:rsidRPr="00335FC0">
        <w:rPr>
          <w:rFonts w:cs="Times New Roman"/>
          <w:sz w:val="24"/>
          <w:szCs w:val="24"/>
        </w:rPr>
        <w:t>bol pokles výdavk</w:t>
      </w:r>
      <w:r>
        <w:rPr>
          <w:rFonts w:cs="Times New Roman"/>
          <w:sz w:val="24"/>
          <w:szCs w:val="24"/>
        </w:rPr>
        <w:t>ov</w:t>
      </w:r>
      <w:r w:rsidRPr="00335FC0">
        <w:rPr>
          <w:rFonts w:cs="Times New Roman"/>
          <w:sz w:val="24"/>
          <w:szCs w:val="24"/>
        </w:rPr>
        <w:t xml:space="preserve"> na mzdy a poistné </w:t>
      </w:r>
      <w:r w:rsidRPr="00275A38">
        <w:rPr>
          <w:rFonts w:cs="Times New Roman"/>
          <w:sz w:val="24"/>
          <w:szCs w:val="24"/>
        </w:rPr>
        <w:t xml:space="preserve">o 3 740 tis. eur z dôvodu zníženia výkonov v MHD. </w:t>
      </w:r>
    </w:p>
    <w:p w14:paraId="099D576D" w14:textId="77777777" w:rsidR="003A0696" w:rsidRPr="00335FC0" w:rsidRDefault="003A0696" w:rsidP="003A0696">
      <w:pPr>
        <w:spacing w:before="120" w:line="240" w:lineRule="auto"/>
        <w:rPr>
          <w:rFonts w:cs="Times New Roman"/>
          <w:sz w:val="24"/>
          <w:szCs w:val="24"/>
        </w:rPr>
      </w:pPr>
      <w:r>
        <w:rPr>
          <w:rFonts w:cs="Times New Roman"/>
          <w:sz w:val="24"/>
          <w:szCs w:val="24"/>
        </w:rPr>
        <w:t xml:space="preserve">Dopravné podniky v priebehu roka 2022 obstarali kapitálové aktíva na úrovni </w:t>
      </w:r>
      <w:r w:rsidRPr="00275A38">
        <w:rPr>
          <w:rFonts w:cs="Times New Roman"/>
          <w:sz w:val="24"/>
          <w:szCs w:val="24"/>
        </w:rPr>
        <w:t>61 039 tis. </w:t>
      </w:r>
      <w:r>
        <w:rPr>
          <w:rFonts w:cs="Times New Roman"/>
          <w:sz w:val="24"/>
          <w:szCs w:val="24"/>
        </w:rPr>
        <w:t xml:space="preserve">eur, prostriedky sa čerpali na projekčné práce v rámci modernizácii električkových tratí a údržbovej základne trolejbusov, na obnovu vozového parku električiek a nákup trolejbusov. </w:t>
      </w:r>
      <w:r w:rsidRPr="00275A38">
        <w:rPr>
          <w:rFonts w:cs="Times New Roman"/>
          <w:sz w:val="24"/>
          <w:szCs w:val="24"/>
        </w:rPr>
        <w:t xml:space="preserve">Nenaplnením plánovaných príjmov z kapitálových grantov a transferov a v nadväznosti na prehodnotenie priorít v rámci investičných akcií prebiehajúcich alebo plánovaných projektov, ich presun do ďalších rokov (modernizácia električkových a trolejbusových tratí, dopravného dispečingu, nákup vodíkových autobusov a </w:t>
      </w:r>
      <w:proofErr w:type="spellStart"/>
      <w:r w:rsidRPr="00275A38">
        <w:rPr>
          <w:rFonts w:cs="Times New Roman"/>
          <w:sz w:val="24"/>
          <w:szCs w:val="24"/>
        </w:rPr>
        <w:t>elektrobusov</w:t>
      </w:r>
      <w:proofErr w:type="spellEnd"/>
      <w:r w:rsidRPr="00275A38">
        <w:rPr>
          <w:rFonts w:cs="Times New Roman"/>
          <w:sz w:val="24"/>
          <w:szCs w:val="24"/>
        </w:rPr>
        <w:t>, informatizácia MHD, modernizácia odbavovacieho systému, modernizácia údržbovej základne a nákup špeciálnych vozidiel) a prebiehajúce verejné obstarávania, sa zaznamenal pokles vo výdavkoch na obstaranie kapitálových aktív o 12 074 tis. eur oproti pôvodne plánovaným.</w:t>
      </w:r>
    </w:p>
    <w:p w14:paraId="742FA2CC" w14:textId="77777777" w:rsidR="003A0696" w:rsidRPr="00830942" w:rsidRDefault="003A0696" w:rsidP="003A0696">
      <w:pPr>
        <w:spacing w:before="120" w:line="240" w:lineRule="auto"/>
        <w:rPr>
          <w:rFonts w:cs="Times New Roman"/>
          <w:sz w:val="24"/>
          <w:szCs w:val="24"/>
        </w:rPr>
      </w:pPr>
      <w:r w:rsidRPr="004C4B0D">
        <w:rPr>
          <w:rFonts w:cs="Times New Roman"/>
          <w:sz w:val="24"/>
          <w:szCs w:val="24"/>
        </w:rPr>
        <w:t>Schodkové hotovostné hospodárenie</w:t>
      </w:r>
      <w:r>
        <w:rPr>
          <w:rFonts w:cs="Times New Roman"/>
          <w:sz w:val="24"/>
          <w:szCs w:val="24"/>
        </w:rPr>
        <w:t xml:space="preserve"> dopravných podnikov</w:t>
      </w:r>
      <w:r w:rsidRPr="004C4B0D">
        <w:rPr>
          <w:rFonts w:cs="Times New Roman"/>
          <w:sz w:val="24"/>
          <w:szCs w:val="24"/>
        </w:rPr>
        <w:t xml:space="preserve"> bolo pozitívne ovplyvnené nárastom pohľadávok o 13 695 tis. eur a poklesom záväzkov o 7 991 tis. eur. Najvyšší </w:t>
      </w:r>
      <w:r>
        <w:rPr>
          <w:rFonts w:cs="Times New Roman"/>
          <w:sz w:val="24"/>
          <w:szCs w:val="24"/>
        </w:rPr>
        <w:t xml:space="preserve">medziročný </w:t>
      </w:r>
      <w:r w:rsidRPr="004C4B0D">
        <w:rPr>
          <w:rFonts w:cs="Times New Roman"/>
          <w:sz w:val="24"/>
          <w:szCs w:val="24"/>
        </w:rPr>
        <w:t>nárast na položke poskytnuté prevádzkové preddavky na dlhodobý hmotný a nehmotný majetok o 16 071 tis. eur bol spôsobený prijatím vyšších preddavkových platieb na obstaranie električiek pre Dopravný podnik Bratislava, a.</w:t>
      </w:r>
      <w:r>
        <w:rPr>
          <w:rFonts w:cs="Times New Roman"/>
          <w:sz w:val="24"/>
          <w:szCs w:val="24"/>
        </w:rPr>
        <w:t xml:space="preserve"> </w:t>
      </w:r>
      <w:r w:rsidRPr="004C4B0D">
        <w:rPr>
          <w:rFonts w:cs="Times New Roman"/>
          <w:sz w:val="24"/>
          <w:szCs w:val="24"/>
        </w:rPr>
        <w:t xml:space="preserve">s. a malú časť tvorila pohľadávka za mýto. </w:t>
      </w:r>
      <w:r w:rsidRPr="00830942">
        <w:rPr>
          <w:rFonts w:cs="Times New Roman"/>
          <w:sz w:val="24"/>
          <w:szCs w:val="24"/>
        </w:rPr>
        <w:t>Na strane záväzkov najvyšší medziročný pokles bol na záväzkoch</w:t>
      </w:r>
      <w:r>
        <w:rPr>
          <w:rFonts w:cs="Times New Roman"/>
          <w:sz w:val="24"/>
          <w:szCs w:val="24"/>
        </w:rPr>
        <w:t xml:space="preserve"> voči dodávateľom </w:t>
      </w:r>
      <w:r w:rsidRPr="00830942">
        <w:rPr>
          <w:rFonts w:cs="Times New Roman"/>
          <w:sz w:val="24"/>
          <w:szCs w:val="24"/>
        </w:rPr>
        <w:t xml:space="preserve">a z nevyfakturovaných dodávok o 7 617 tis. eur za úhradu faktúr z predchádzajúceho obdobia na obstaranie autobusov. Dopravné podniky dosiahli ESA schodok vo výške 23 596 tis. eur. </w:t>
      </w:r>
    </w:p>
    <w:p w14:paraId="628560C5" w14:textId="77777777" w:rsidR="003A0696" w:rsidRPr="00C679A4" w:rsidRDefault="003A0696" w:rsidP="003A0696">
      <w:pPr>
        <w:spacing w:before="120" w:line="240" w:lineRule="auto"/>
        <w:rPr>
          <w:rFonts w:cs="Times New Roman"/>
          <w:sz w:val="24"/>
          <w:szCs w:val="24"/>
        </w:rPr>
      </w:pPr>
      <w:r w:rsidRPr="00C679A4">
        <w:rPr>
          <w:b/>
          <w:sz w:val="24"/>
          <w:szCs w:val="24"/>
        </w:rPr>
        <w:t xml:space="preserve">Zdravotnícke zariadenia miestne </w:t>
      </w:r>
      <w:r w:rsidRPr="00C679A4">
        <w:rPr>
          <w:sz w:val="24"/>
          <w:szCs w:val="24"/>
        </w:rPr>
        <w:t xml:space="preserve">dosiahli hotovostný prebytok na úrovni 6 461 tis. eur, čo bolo o 6 216 tis. eur viac ako sa predpokladalo v rozpočte. Pozitívny vplyv predstavovali vyššie </w:t>
      </w:r>
      <w:r w:rsidRPr="00C679A4">
        <w:rPr>
          <w:sz w:val="24"/>
          <w:szCs w:val="24"/>
        </w:rPr>
        <w:lastRenderedPageBreak/>
        <w:t>príjmy najmä z administratívnych a iných poplatkov o 16 882 tis. eur (najmä za lekárske výkony a poskytnutú zdravotnú starostlivosť) a zároveň pozitívny vplyv mali vyššie príjmy o 15 900 tis. eur v kategórii granty a transfery (z toho zdravotnícke zariadenia prijali z Ministerstva zdravotnícka SR 16 567 tis. eur na vyplatenie stabilizačného príspevku zdravotníckym pracovníkom). V rámci výdavkov na tovary a služby sa však pri novele rozpočtu počítalo s nižšími výdavkami najmä na obstaranie zdravotníckeho a špeciálneho materiál</w:t>
      </w:r>
      <w:r>
        <w:rPr>
          <w:sz w:val="24"/>
          <w:szCs w:val="24"/>
        </w:rPr>
        <w:t>u, a teda</w:t>
      </w:r>
      <w:r w:rsidRPr="00C679A4">
        <w:rPr>
          <w:sz w:val="24"/>
          <w:szCs w:val="24"/>
        </w:rPr>
        <w:t xml:space="preserve"> skutočnosť bola o 12 502 tis. eur vyššia ako sa plánovalo. V rámci čerpani</w:t>
      </w:r>
      <w:r>
        <w:rPr>
          <w:sz w:val="24"/>
          <w:szCs w:val="24"/>
        </w:rPr>
        <w:t>a</w:t>
      </w:r>
      <w:r w:rsidRPr="00C679A4">
        <w:rPr>
          <w:sz w:val="24"/>
          <w:szCs w:val="24"/>
        </w:rPr>
        <w:t xml:space="preserve"> kapitálových výdavkov sa dosiahla úspora o 7 453 tis. eur oproti rozpočtu.</w:t>
      </w:r>
      <w:r w:rsidRPr="00C679A4">
        <w:t xml:space="preserve"> </w:t>
      </w:r>
    </w:p>
    <w:p w14:paraId="31DE5EBA" w14:textId="77777777" w:rsidR="003A0696" w:rsidRDefault="003A0696" w:rsidP="003A0696">
      <w:pPr>
        <w:spacing w:line="240" w:lineRule="auto"/>
        <w:rPr>
          <w:sz w:val="24"/>
          <w:szCs w:val="24"/>
        </w:rPr>
      </w:pPr>
      <w:r w:rsidRPr="00C679A4">
        <w:rPr>
          <w:sz w:val="24"/>
          <w:szCs w:val="24"/>
        </w:rPr>
        <w:t>V metodike ESA zdravotnícke zariadenia dosiahli prebytok vo výške 29 347 tis. eur, zatiaľ čo rozpočtovaný bol prebytok len vo výške 245 tis. eur</w:t>
      </w:r>
      <w:r>
        <w:rPr>
          <w:sz w:val="24"/>
          <w:szCs w:val="24"/>
        </w:rPr>
        <w:t xml:space="preserve"> (dosiahli zlepšenie hospodárenia o 29 102 tis. eur)</w:t>
      </w:r>
      <w:r w:rsidRPr="00C679A4">
        <w:rPr>
          <w:sz w:val="24"/>
          <w:szCs w:val="24"/>
        </w:rPr>
        <w:t xml:space="preserve">. </w:t>
      </w:r>
    </w:p>
    <w:p w14:paraId="3AE4D465" w14:textId="77777777" w:rsidR="003A0696" w:rsidRDefault="003A0696" w:rsidP="003A0696">
      <w:pPr>
        <w:spacing w:line="240" w:lineRule="auto"/>
        <w:rPr>
          <w:sz w:val="24"/>
          <w:szCs w:val="24"/>
        </w:rPr>
      </w:pPr>
      <w:r w:rsidRPr="00385A8C">
        <w:rPr>
          <w:sz w:val="24"/>
          <w:szCs w:val="24"/>
        </w:rPr>
        <w:t>Pozitívny vplyv na celkové hospodárenie podľa ESA malo akruálne zaznamenanie výdavkov na stabilizačný príspevok</w:t>
      </w:r>
      <w:r>
        <w:rPr>
          <w:sz w:val="24"/>
          <w:szCs w:val="24"/>
        </w:rPr>
        <w:t xml:space="preserve">, obdobne ako pri zdravotníckych zariadeniach ústrednej správy. </w:t>
      </w:r>
    </w:p>
    <w:p w14:paraId="77B503D3" w14:textId="77777777" w:rsidR="003A0696" w:rsidRDefault="003A0696" w:rsidP="003A0696">
      <w:pPr>
        <w:spacing w:line="240" w:lineRule="auto"/>
        <w:rPr>
          <w:sz w:val="24"/>
          <w:szCs w:val="24"/>
        </w:rPr>
      </w:pPr>
      <w:r w:rsidRPr="00C679A4">
        <w:rPr>
          <w:sz w:val="24"/>
          <w:szCs w:val="24"/>
        </w:rPr>
        <w:t>Pozitívny vplyv m</w:t>
      </w:r>
      <w:r>
        <w:rPr>
          <w:sz w:val="24"/>
          <w:szCs w:val="24"/>
        </w:rPr>
        <w:t>al aj nárast pohľadávok o 3 529 tis. </w:t>
      </w:r>
      <w:r w:rsidRPr="00C679A4">
        <w:rPr>
          <w:sz w:val="24"/>
          <w:szCs w:val="24"/>
        </w:rPr>
        <w:t>eu</w:t>
      </w:r>
      <w:r>
        <w:rPr>
          <w:sz w:val="24"/>
          <w:szCs w:val="24"/>
        </w:rPr>
        <w:t>r a pokles celkových záväzkov o </w:t>
      </w:r>
      <w:r w:rsidRPr="00C679A4">
        <w:rPr>
          <w:sz w:val="24"/>
          <w:szCs w:val="24"/>
        </w:rPr>
        <w:t>2 828 tis. eur. V príspevkových organizáciách zriadených VÚC, ktoré tvoria najväčšiu skupinu zdravotníckych zariadení miestnych z pohľadu právnej formy, došlo medziročne k poklesu záväzkov o 2 360 tis. eur. Išlo predovšetkým o vplyv poklesu záväzkov z dôvodu oddlžovania a to v</w:t>
      </w:r>
      <w:r>
        <w:rPr>
          <w:sz w:val="24"/>
          <w:szCs w:val="24"/>
        </w:rPr>
        <w:t>oči Sociálnej poisťovni a o 13 </w:t>
      </w:r>
      <w:r w:rsidRPr="00C679A4">
        <w:rPr>
          <w:sz w:val="24"/>
          <w:szCs w:val="24"/>
        </w:rPr>
        <w:t xml:space="preserve">927 tis. eur a voči ostatným veriteľom 2 030 tis. eur. Tento pozitívny vplyv bol eliminovaný najmä nárastom daňových záväzkov a záväzkov voči zamestnancom. </w:t>
      </w:r>
    </w:p>
    <w:p w14:paraId="7660AD63" w14:textId="77777777" w:rsidR="003A0696" w:rsidRDefault="003A0696" w:rsidP="003A0696">
      <w:pPr>
        <w:spacing w:after="160" w:line="259" w:lineRule="auto"/>
        <w:jc w:val="left"/>
        <w:rPr>
          <w:sz w:val="24"/>
          <w:szCs w:val="24"/>
        </w:rPr>
      </w:pPr>
      <w:r>
        <w:rPr>
          <w:sz w:val="24"/>
          <w:szCs w:val="24"/>
        </w:rPr>
        <w:br w:type="page"/>
      </w:r>
    </w:p>
    <w:tbl>
      <w:tblPr>
        <w:tblW w:w="9177" w:type="dxa"/>
        <w:tblCellMar>
          <w:left w:w="70" w:type="dxa"/>
          <w:right w:w="70" w:type="dxa"/>
        </w:tblCellMar>
        <w:tblLook w:val="04A0" w:firstRow="1" w:lastRow="0" w:firstColumn="1" w:lastColumn="0" w:noHBand="0" w:noVBand="1"/>
      </w:tblPr>
      <w:tblGrid>
        <w:gridCol w:w="197"/>
        <w:gridCol w:w="197"/>
        <w:gridCol w:w="2545"/>
        <w:gridCol w:w="1029"/>
        <w:gridCol w:w="1028"/>
        <w:gridCol w:w="1068"/>
        <w:gridCol w:w="1031"/>
        <w:gridCol w:w="1063"/>
        <w:gridCol w:w="1019"/>
      </w:tblGrid>
      <w:tr w:rsidR="003A0696" w:rsidRPr="0033007E" w14:paraId="765C06FE" w14:textId="77777777" w:rsidTr="003A0696">
        <w:trPr>
          <w:trHeight w:val="334"/>
          <w:tblHeader/>
        </w:trPr>
        <w:tc>
          <w:tcPr>
            <w:tcW w:w="9177" w:type="dxa"/>
            <w:gridSpan w:val="9"/>
            <w:tcBorders>
              <w:top w:val="nil"/>
              <w:left w:val="nil"/>
              <w:bottom w:val="single" w:sz="4" w:space="0" w:color="auto"/>
              <w:right w:val="nil"/>
            </w:tcBorders>
            <w:shd w:val="clear" w:color="auto" w:fill="auto"/>
            <w:noWrap/>
            <w:vAlign w:val="center"/>
            <w:hideMark/>
          </w:tcPr>
          <w:p w14:paraId="75E892FE" w14:textId="77777777" w:rsidR="003A0696" w:rsidRPr="0033007E" w:rsidRDefault="003A0696" w:rsidP="003A0696">
            <w:pPr>
              <w:spacing w:after="0" w:line="240" w:lineRule="auto"/>
              <w:jc w:val="left"/>
              <w:rPr>
                <w:rFonts w:eastAsia="Times New Roman" w:cs="Times New Roman"/>
                <w:b/>
                <w:bCs/>
                <w:color w:val="5B9BD5"/>
                <w:sz w:val="20"/>
                <w:szCs w:val="20"/>
                <w:lang w:eastAsia="sk-SK"/>
              </w:rPr>
            </w:pPr>
            <w:r>
              <w:rPr>
                <w:rFonts w:eastAsia="Times New Roman" w:cs="Times New Roman"/>
                <w:b/>
                <w:bCs/>
                <w:color w:val="5B9BD5"/>
                <w:sz w:val="20"/>
                <w:szCs w:val="20"/>
                <w:lang w:eastAsia="sk-SK"/>
              </w:rPr>
              <w:lastRenderedPageBreak/>
              <w:t xml:space="preserve">Tabuľka 10 - </w:t>
            </w:r>
            <w:r w:rsidRPr="0033007E">
              <w:rPr>
                <w:rFonts w:eastAsia="Times New Roman" w:cs="Times New Roman"/>
                <w:b/>
                <w:bCs/>
                <w:color w:val="5B9BD5"/>
                <w:sz w:val="20"/>
                <w:szCs w:val="20"/>
                <w:lang w:eastAsia="sk-SK"/>
              </w:rPr>
              <w:t xml:space="preserve">Schodok verejnej správy podľa jednotlivých subjektov </w:t>
            </w:r>
            <w:r>
              <w:rPr>
                <w:rFonts w:eastAsia="Times New Roman" w:cs="Times New Roman"/>
                <w:b/>
                <w:bCs/>
                <w:color w:val="5B9BD5"/>
                <w:sz w:val="20"/>
                <w:szCs w:val="20"/>
                <w:lang w:eastAsia="sk-SK"/>
              </w:rPr>
              <w:t>(zložiek)</w:t>
            </w:r>
          </w:p>
        </w:tc>
      </w:tr>
      <w:tr w:rsidR="003A0696" w:rsidRPr="0033007E" w14:paraId="19F5DD18" w14:textId="77777777" w:rsidTr="003A0696">
        <w:trPr>
          <w:trHeight w:val="334"/>
          <w:tblHeader/>
        </w:trPr>
        <w:tc>
          <w:tcPr>
            <w:tcW w:w="2939" w:type="dxa"/>
            <w:gridSpan w:val="3"/>
            <w:vMerge w:val="restart"/>
            <w:tcBorders>
              <w:top w:val="single" w:sz="4" w:space="0" w:color="auto"/>
              <w:left w:val="nil"/>
              <w:bottom w:val="single" w:sz="4" w:space="0" w:color="000000"/>
              <w:right w:val="nil"/>
            </w:tcBorders>
            <w:shd w:val="clear" w:color="auto" w:fill="auto"/>
            <w:noWrap/>
            <w:vAlign w:val="center"/>
            <w:hideMark/>
          </w:tcPr>
          <w:p w14:paraId="43852DB1" w14:textId="77777777" w:rsidR="003A0696" w:rsidRPr="0033007E" w:rsidRDefault="003A0696" w:rsidP="003A0696">
            <w:pPr>
              <w:spacing w:after="0" w:line="240" w:lineRule="auto"/>
              <w:jc w:val="left"/>
              <w:rPr>
                <w:rFonts w:eastAsia="Times New Roman" w:cs="Times New Roman"/>
                <w:b/>
                <w:bCs/>
                <w:sz w:val="20"/>
                <w:szCs w:val="20"/>
                <w:lang w:eastAsia="sk-SK"/>
              </w:rPr>
            </w:pPr>
            <w:r w:rsidRPr="0033007E">
              <w:rPr>
                <w:rFonts w:eastAsia="Times New Roman" w:cs="Times New Roman"/>
                <w:b/>
                <w:bCs/>
                <w:sz w:val="20"/>
                <w:szCs w:val="20"/>
                <w:lang w:eastAsia="sk-SK"/>
              </w:rPr>
              <w:t>v tis. eur</w:t>
            </w:r>
          </w:p>
        </w:tc>
        <w:tc>
          <w:tcPr>
            <w:tcW w:w="1029" w:type="dxa"/>
            <w:tcBorders>
              <w:top w:val="single" w:sz="4" w:space="0" w:color="auto"/>
              <w:left w:val="nil"/>
              <w:bottom w:val="nil"/>
              <w:right w:val="nil"/>
            </w:tcBorders>
            <w:shd w:val="clear" w:color="auto" w:fill="auto"/>
            <w:noWrap/>
            <w:vAlign w:val="center"/>
            <w:hideMark/>
          </w:tcPr>
          <w:p w14:paraId="6736BD09"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2020 S</w:t>
            </w:r>
          </w:p>
        </w:tc>
        <w:tc>
          <w:tcPr>
            <w:tcW w:w="1028" w:type="dxa"/>
            <w:tcBorders>
              <w:top w:val="single" w:sz="4" w:space="0" w:color="auto"/>
              <w:left w:val="nil"/>
              <w:bottom w:val="nil"/>
              <w:right w:val="nil"/>
            </w:tcBorders>
            <w:shd w:val="clear" w:color="auto" w:fill="auto"/>
            <w:noWrap/>
            <w:vAlign w:val="center"/>
            <w:hideMark/>
          </w:tcPr>
          <w:p w14:paraId="39FEE507"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2021 S</w:t>
            </w:r>
          </w:p>
        </w:tc>
        <w:tc>
          <w:tcPr>
            <w:tcW w:w="1068" w:type="dxa"/>
            <w:tcBorders>
              <w:top w:val="single" w:sz="4" w:space="0" w:color="auto"/>
              <w:left w:val="nil"/>
              <w:bottom w:val="nil"/>
              <w:right w:val="nil"/>
            </w:tcBorders>
            <w:shd w:val="clear" w:color="auto" w:fill="auto"/>
            <w:noWrap/>
            <w:vAlign w:val="center"/>
            <w:hideMark/>
          </w:tcPr>
          <w:p w14:paraId="02A50075"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2022 R</w:t>
            </w:r>
          </w:p>
        </w:tc>
        <w:tc>
          <w:tcPr>
            <w:tcW w:w="1031" w:type="dxa"/>
            <w:tcBorders>
              <w:top w:val="nil"/>
              <w:left w:val="nil"/>
              <w:bottom w:val="nil"/>
              <w:right w:val="nil"/>
            </w:tcBorders>
            <w:shd w:val="clear" w:color="auto" w:fill="auto"/>
            <w:noWrap/>
            <w:vAlign w:val="center"/>
            <w:hideMark/>
          </w:tcPr>
          <w:p w14:paraId="0F0F43DA"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2022 NR</w:t>
            </w:r>
            <w:r w:rsidRPr="0033007E">
              <w:rPr>
                <w:rFonts w:eastAsia="Times New Roman" w:cs="Times New Roman"/>
                <w:b/>
                <w:bCs/>
                <w:sz w:val="20"/>
                <w:szCs w:val="20"/>
                <w:vertAlign w:val="superscript"/>
                <w:lang w:eastAsia="sk-SK"/>
              </w:rPr>
              <w:t>2)</w:t>
            </w:r>
          </w:p>
        </w:tc>
        <w:tc>
          <w:tcPr>
            <w:tcW w:w="1063" w:type="dxa"/>
            <w:tcBorders>
              <w:top w:val="single" w:sz="4" w:space="0" w:color="auto"/>
              <w:left w:val="nil"/>
              <w:bottom w:val="nil"/>
              <w:right w:val="nil"/>
            </w:tcBorders>
            <w:shd w:val="clear" w:color="auto" w:fill="auto"/>
            <w:noWrap/>
            <w:vAlign w:val="center"/>
            <w:hideMark/>
          </w:tcPr>
          <w:p w14:paraId="57AAB047"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2022 S</w:t>
            </w:r>
          </w:p>
        </w:tc>
        <w:tc>
          <w:tcPr>
            <w:tcW w:w="1019" w:type="dxa"/>
            <w:tcBorders>
              <w:top w:val="single" w:sz="4" w:space="0" w:color="auto"/>
              <w:left w:val="nil"/>
              <w:bottom w:val="nil"/>
              <w:right w:val="nil"/>
            </w:tcBorders>
            <w:shd w:val="clear" w:color="auto" w:fill="auto"/>
            <w:noWrap/>
            <w:vAlign w:val="center"/>
            <w:hideMark/>
          </w:tcPr>
          <w:p w14:paraId="4A397978"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 xml:space="preserve"> Rozdiel </w:t>
            </w:r>
          </w:p>
        </w:tc>
      </w:tr>
      <w:tr w:rsidR="003A0696" w:rsidRPr="0033007E" w14:paraId="285F3FE5" w14:textId="77777777" w:rsidTr="003A0696">
        <w:trPr>
          <w:trHeight w:val="334"/>
          <w:tblHeader/>
        </w:trPr>
        <w:tc>
          <w:tcPr>
            <w:tcW w:w="2939" w:type="dxa"/>
            <w:gridSpan w:val="3"/>
            <w:vMerge/>
            <w:tcBorders>
              <w:top w:val="single" w:sz="4" w:space="0" w:color="auto"/>
              <w:left w:val="nil"/>
              <w:bottom w:val="single" w:sz="4" w:space="0" w:color="000000"/>
              <w:right w:val="nil"/>
            </w:tcBorders>
            <w:vAlign w:val="center"/>
            <w:hideMark/>
          </w:tcPr>
          <w:p w14:paraId="082F95CC" w14:textId="77777777" w:rsidR="003A0696" w:rsidRPr="0033007E" w:rsidRDefault="003A0696" w:rsidP="003A0696">
            <w:pPr>
              <w:spacing w:after="0" w:line="240" w:lineRule="auto"/>
              <w:jc w:val="left"/>
              <w:rPr>
                <w:rFonts w:eastAsia="Times New Roman" w:cs="Times New Roman"/>
                <w:b/>
                <w:bCs/>
                <w:sz w:val="20"/>
                <w:szCs w:val="20"/>
                <w:lang w:eastAsia="sk-SK"/>
              </w:rPr>
            </w:pPr>
          </w:p>
        </w:tc>
        <w:tc>
          <w:tcPr>
            <w:tcW w:w="1029" w:type="dxa"/>
            <w:tcBorders>
              <w:top w:val="nil"/>
              <w:left w:val="nil"/>
              <w:bottom w:val="single" w:sz="4" w:space="0" w:color="auto"/>
              <w:right w:val="nil"/>
            </w:tcBorders>
            <w:shd w:val="clear" w:color="auto" w:fill="auto"/>
            <w:noWrap/>
            <w:vAlign w:val="center"/>
            <w:hideMark/>
          </w:tcPr>
          <w:p w14:paraId="24926FCE"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1</w:t>
            </w:r>
          </w:p>
        </w:tc>
        <w:tc>
          <w:tcPr>
            <w:tcW w:w="1028" w:type="dxa"/>
            <w:tcBorders>
              <w:top w:val="nil"/>
              <w:left w:val="nil"/>
              <w:bottom w:val="single" w:sz="4" w:space="0" w:color="auto"/>
              <w:right w:val="nil"/>
            </w:tcBorders>
            <w:shd w:val="clear" w:color="auto" w:fill="auto"/>
            <w:noWrap/>
            <w:vAlign w:val="center"/>
            <w:hideMark/>
          </w:tcPr>
          <w:p w14:paraId="20D7EA42"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2</w:t>
            </w:r>
          </w:p>
        </w:tc>
        <w:tc>
          <w:tcPr>
            <w:tcW w:w="1068" w:type="dxa"/>
            <w:tcBorders>
              <w:top w:val="nil"/>
              <w:left w:val="nil"/>
              <w:bottom w:val="single" w:sz="4" w:space="0" w:color="auto"/>
              <w:right w:val="nil"/>
            </w:tcBorders>
            <w:shd w:val="clear" w:color="auto" w:fill="auto"/>
            <w:noWrap/>
            <w:vAlign w:val="center"/>
            <w:hideMark/>
          </w:tcPr>
          <w:p w14:paraId="1642B734"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3</w:t>
            </w:r>
          </w:p>
        </w:tc>
        <w:tc>
          <w:tcPr>
            <w:tcW w:w="1031" w:type="dxa"/>
            <w:tcBorders>
              <w:top w:val="nil"/>
              <w:left w:val="nil"/>
              <w:bottom w:val="single" w:sz="4" w:space="0" w:color="auto"/>
              <w:right w:val="nil"/>
            </w:tcBorders>
            <w:shd w:val="clear" w:color="auto" w:fill="auto"/>
            <w:noWrap/>
            <w:vAlign w:val="center"/>
            <w:hideMark/>
          </w:tcPr>
          <w:p w14:paraId="187AF579"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4</w:t>
            </w:r>
          </w:p>
        </w:tc>
        <w:tc>
          <w:tcPr>
            <w:tcW w:w="1063" w:type="dxa"/>
            <w:tcBorders>
              <w:top w:val="nil"/>
              <w:left w:val="nil"/>
              <w:bottom w:val="single" w:sz="4" w:space="0" w:color="auto"/>
              <w:right w:val="nil"/>
            </w:tcBorders>
            <w:shd w:val="clear" w:color="auto" w:fill="auto"/>
            <w:noWrap/>
            <w:vAlign w:val="center"/>
            <w:hideMark/>
          </w:tcPr>
          <w:p w14:paraId="4027E38C"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5</w:t>
            </w:r>
          </w:p>
        </w:tc>
        <w:tc>
          <w:tcPr>
            <w:tcW w:w="1019" w:type="dxa"/>
            <w:tcBorders>
              <w:top w:val="nil"/>
              <w:left w:val="nil"/>
              <w:bottom w:val="single" w:sz="4" w:space="0" w:color="auto"/>
              <w:right w:val="nil"/>
            </w:tcBorders>
            <w:shd w:val="clear" w:color="auto" w:fill="auto"/>
            <w:noWrap/>
            <w:vAlign w:val="center"/>
            <w:hideMark/>
          </w:tcPr>
          <w:p w14:paraId="55513B5D" w14:textId="77777777" w:rsidR="003A0696" w:rsidRPr="0033007E" w:rsidRDefault="003A0696" w:rsidP="003A0696">
            <w:pPr>
              <w:spacing w:after="0" w:line="240" w:lineRule="auto"/>
              <w:jc w:val="center"/>
              <w:rPr>
                <w:rFonts w:eastAsia="Times New Roman" w:cs="Times New Roman"/>
                <w:b/>
                <w:bCs/>
                <w:sz w:val="20"/>
                <w:szCs w:val="20"/>
                <w:lang w:eastAsia="sk-SK"/>
              </w:rPr>
            </w:pPr>
            <w:r w:rsidRPr="0033007E">
              <w:rPr>
                <w:rFonts w:eastAsia="Times New Roman" w:cs="Times New Roman"/>
                <w:b/>
                <w:bCs/>
                <w:sz w:val="20"/>
                <w:szCs w:val="20"/>
                <w:lang w:eastAsia="sk-SK"/>
              </w:rPr>
              <w:t>6=5-4</w:t>
            </w:r>
          </w:p>
        </w:tc>
      </w:tr>
      <w:tr w:rsidR="003A0696" w:rsidRPr="00017648" w14:paraId="7E749B15" w14:textId="77777777" w:rsidTr="003A0696">
        <w:trPr>
          <w:trHeight w:val="229"/>
        </w:trPr>
        <w:tc>
          <w:tcPr>
            <w:tcW w:w="2939" w:type="dxa"/>
            <w:gridSpan w:val="3"/>
            <w:tcBorders>
              <w:top w:val="nil"/>
              <w:left w:val="nil"/>
              <w:bottom w:val="nil"/>
              <w:right w:val="nil"/>
            </w:tcBorders>
            <w:shd w:val="clear" w:color="000000" w:fill="FFFFFF"/>
            <w:noWrap/>
            <w:hideMark/>
          </w:tcPr>
          <w:p w14:paraId="6922F740" w14:textId="77777777" w:rsidR="003A0696" w:rsidRPr="0033007E" w:rsidRDefault="003A0696" w:rsidP="003A0696">
            <w:pPr>
              <w:spacing w:after="0" w:line="240" w:lineRule="auto"/>
              <w:jc w:val="left"/>
              <w:rPr>
                <w:rFonts w:eastAsia="Times New Roman" w:cs="Times New Roman"/>
                <w:b/>
                <w:bCs/>
                <w:color w:val="000000"/>
                <w:sz w:val="20"/>
                <w:szCs w:val="20"/>
                <w:lang w:eastAsia="sk-SK"/>
              </w:rPr>
            </w:pPr>
            <w:r w:rsidRPr="0033007E">
              <w:rPr>
                <w:rFonts w:eastAsia="Times New Roman" w:cs="Times New Roman"/>
                <w:b/>
                <w:bCs/>
                <w:color w:val="000000"/>
                <w:sz w:val="20"/>
                <w:szCs w:val="20"/>
                <w:lang w:eastAsia="sk-SK"/>
              </w:rPr>
              <w:t>Ústredná správa, z toho</w:t>
            </w:r>
          </w:p>
        </w:tc>
        <w:tc>
          <w:tcPr>
            <w:tcW w:w="1029" w:type="dxa"/>
            <w:tcBorders>
              <w:top w:val="nil"/>
              <w:left w:val="nil"/>
              <w:bottom w:val="nil"/>
              <w:right w:val="nil"/>
            </w:tcBorders>
            <w:shd w:val="clear" w:color="000000" w:fill="FFFFFF"/>
            <w:noWrap/>
            <w:hideMark/>
          </w:tcPr>
          <w:p w14:paraId="7D7441E4" w14:textId="77777777" w:rsidR="003A0696" w:rsidRPr="0033007E" w:rsidRDefault="003A0696" w:rsidP="003A0696">
            <w:pPr>
              <w:spacing w:after="0" w:line="240" w:lineRule="auto"/>
              <w:jc w:val="left"/>
              <w:rPr>
                <w:rFonts w:eastAsia="Times New Roman" w:cs="Times New Roman"/>
                <w:b/>
                <w:bCs/>
                <w:color w:val="000000"/>
                <w:sz w:val="20"/>
                <w:szCs w:val="20"/>
                <w:lang w:eastAsia="sk-SK"/>
              </w:rPr>
            </w:pPr>
            <w:r w:rsidRPr="0033007E">
              <w:rPr>
                <w:rFonts w:eastAsia="Times New Roman" w:cs="Times New Roman"/>
                <w:b/>
                <w:bCs/>
                <w:color w:val="000000"/>
                <w:sz w:val="20"/>
                <w:szCs w:val="20"/>
                <w:lang w:eastAsia="sk-SK"/>
              </w:rPr>
              <w:t> </w:t>
            </w:r>
          </w:p>
        </w:tc>
        <w:tc>
          <w:tcPr>
            <w:tcW w:w="1028" w:type="dxa"/>
            <w:tcBorders>
              <w:top w:val="nil"/>
              <w:left w:val="nil"/>
              <w:bottom w:val="nil"/>
              <w:right w:val="nil"/>
            </w:tcBorders>
            <w:shd w:val="clear" w:color="000000" w:fill="FFFFFF"/>
            <w:noWrap/>
            <w:hideMark/>
          </w:tcPr>
          <w:p w14:paraId="7010BA64" w14:textId="77777777" w:rsidR="003A0696" w:rsidRPr="0033007E" w:rsidRDefault="003A0696" w:rsidP="003A0696">
            <w:pPr>
              <w:spacing w:after="0" w:line="240" w:lineRule="auto"/>
              <w:jc w:val="left"/>
              <w:rPr>
                <w:rFonts w:eastAsia="Times New Roman" w:cs="Times New Roman"/>
                <w:b/>
                <w:bCs/>
                <w:color w:val="000000"/>
                <w:sz w:val="20"/>
                <w:szCs w:val="20"/>
                <w:lang w:eastAsia="sk-SK"/>
              </w:rPr>
            </w:pPr>
            <w:r w:rsidRPr="0033007E">
              <w:rPr>
                <w:rFonts w:eastAsia="Times New Roman" w:cs="Times New Roman"/>
                <w:b/>
                <w:bCs/>
                <w:color w:val="000000"/>
                <w:sz w:val="20"/>
                <w:szCs w:val="20"/>
                <w:lang w:eastAsia="sk-SK"/>
              </w:rPr>
              <w:t> </w:t>
            </w:r>
          </w:p>
        </w:tc>
        <w:tc>
          <w:tcPr>
            <w:tcW w:w="1068" w:type="dxa"/>
            <w:tcBorders>
              <w:top w:val="nil"/>
              <w:left w:val="nil"/>
              <w:bottom w:val="nil"/>
              <w:right w:val="nil"/>
            </w:tcBorders>
            <w:shd w:val="clear" w:color="000000" w:fill="FFFFFF"/>
            <w:noWrap/>
            <w:hideMark/>
          </w:tcPr>
          <w:p w14:paraId="4CCB8431" w14:textId="77777777" w:rsidR="003A0696" w:rsidRPr="0033007E" w:rsidRDefault="003A0696" w:rsidP="003A0696">
            <w:pPr>
              <w:spacing w:after="0" w:line="240" w:lineRule="auto"/>
              <w:jc w:val="left"/>
              <w:rPr>
                <w:rFonts w:eastAsia="Times New Roman" w:cs="Times New Roman"/>
                <w:b/>
                <w:bCs/>
                <w:color w:val="000000"/>
                <w:sz w:val="20"/>
                <w:szCs w:val="20"/>
                <w:lang w:eastAsia="sk-SK"/>
              </w:rPr>
            </w:pPr>
            <w:r w:rsidRPr="0033007E">
              <w:rPr>
                <w:rFonts w:eastAsia="Times New Roman" w:cs="Times New Roman"/>
                <w:b/>
                <w:bCs/>
                <w:color w:val="000000"/>
                <w:sz w:val="20"/>
                <w:szCs w:val="20"/>
                <w:lang w:eastAsia="sk-SK"/>
              </w:rPr>
              <w:t> </w:t>
            </w:r>
          </w:p>
        </w:tc>
        <w:tc>
          <w:tcPr>
            <w:tcW w:w="1031" w:type="dxa"/>
            <w:tcBorders>
              <w:top w:val="nil"/>
              <w:left w:val="nil"/>
              <w:bottom w:val="nil"/>
              <w:right w:val="nil"/>
            </w:tcBorders>
            <w:shd w:val="clear" w:color="000000" w:fill="FFFFFF"/>
            <w:noWrap/>
            <w:hideMark/>
          </w:tcPr>
          <w:p w14:paraId="369B1B00" w14:textId="77777777" w:rsidR="003A0696" w:rsidRPr="0033007E" w:rsidRDefault="003A0696" w:rsidP="003A0696">
            <w:pPr>
              <w:spacing w:after="0" w:line="240" w:lineRule="auto"/>
              <w:jc w:val="left"/>
              <w:rPr>
                <w:rFonts w:eastAsia="Times New Roman" w:cs="Times New Roman"/>
                <w:b/>
                <w:bCs/>
                <w:color w:val="000000"/>
                <w:sz w:val="20"/>
                <w:szCs w:val="20"/>
                <w:lang w:eastAsia="sk-SK"/>
              </w:rPr>
            </w:pPr>
            <w:r w:rsidRPr="0033007E">
              <w:rPr>
                <w:rFonts w:eastAsia="Times New Roman" w:cs="Times New Roman"/>
                <w:b/>
                <w:bCs/>
                <w:color w:val="000000"/>
                <w:sz w:val="20"/>
                <w:szCs w:val="20"/>
                <w:lang w:eastAsia="sk-SK"/>
              </w:rPr>
              <w:t> </w:t>
            </w:r>
          </w:p>
        </w:tc>
        <w:tc>
          <w:tcPr>
            <w:tcW w:w="1063" w:type="dxa"/>
            <w:tcBorders>
              <w:top w:val="nil"/>
              <w:left w:val="nil"/>
              <w:bottom w:val="nil"/>
              <w:right w:val="nil"/>
            </w:tcBorders>
            <w:shd w:val="clear" w:color="000000" w:fill="FFFFFF"/>
            <w:noWrap/>
            <w:hideMark/>
          </w:tcPr>
          <w:p w14:paraId="7767A89C" w14:textId="77777777" w:rsidR="003A0696" w:rsidRPr="0033007E" w:rsidRDefault="003A0696" w:rsidP="003A0696">
            <w:pPr>
              <w:spacing w:after="0" w:line="240" w:lineRule="auto"/>
              <w:jc w:val="left"/>
              <w:rPr>
                <w:rFonts w:eastAsia="Times New Roman" w:cs="Times New Roman"/>
                <w:b/>
                <w:bCs/>
                <w:color w:val="000000"/>
                <w:sz w:val="20"/>
                <w:szCs w:val="20"/>
                <w:lang w:eastAsia="sk-SK"/>
              </w:rPr>
            </w:pPr>
            <w:r w:rsidRPr="0033007E">
              <w:rPr>
                <w:rFonts w:eastAsia="Times New Roman" w:cs="Times New Roman"/>
                <w:b/>
                <w:bCs/>
                <w:color w:val="000000"/>
                <w:sz w:val="20"/>
                <w:szCs w:val="20"/>
                <w:lang w:eastAsia="sk-SK"/>
              </w:rPr>
              <w:t> </w:t>
            </w:r>
          </w:p>
        </w:tc>
        <w:tc>
          <w:tcPr>
            <w:tcW w:w="1019" w:type="dxa"/>
            <w:tcBorders>
              <w:top w:val="nil"/>
              <w:left w:val="nil"/>
              <w:bottom w:val="nil"/>
              <w:right w:val="nil"/>
            </w:tcBorders>
            <w:shd w:val="clear" w:color="000000" w:fill="FFFFFF"/>
            <w:noWrap/>
            <w:hideMark/>
          </w:tcPr>
          <w:p w14:paraId="5EBC722A" w14:textId="77777777" w:rsidR="003A0696" w:rsidRPr="0033007E" w:rsidRDefault="003A0696" w:rsidP="003A0696">
            <w:pPr>
              <w:spacing w:after="0" w:line="240" w:lineRule="auto"/>
              <w:jc w:val="left"/>
              <w:rPr>
                <w:rFonts w:eastAsia="Times New Roman" w:cs="Times New Roman"/>
                <w:b/>
                <w:bCs/>
                <w:color w:val="000000"/>
                <w:sz w:val="20"/>
                <w:szCs w:val="20"/>
                <w:lang w:eastAsia="sk-SK"/>
              </w:rPr>
            </w:pPr>
            <w:r w:rsidRPr="0033007E">
              <w:rPr>
                <w:rFonts w:eastAsia="Times New Roman" w:cs="Times New Roman"/>
                <w:b/>
                <w:bCs/>
                <w:color w:val="000000"/>
                <w:sz w:val="20"/>
                <w:szCs w:val="20"/>
                <w:lang w:eastAsia="sk-SK"/>
              </w:rPr>
              <w:t> </w:t>
            </w:r>
          </w:p>
        </w:tc>
      </w:tr>
      <w:tr w:rsidR="003A0696" w:rsidRPr="00017648" w14:paraId="7582603F" w14:textId="77777777" w:rsidTr="003A0696">
        <w:trPr>
          <w:trHeight w:val="229"/>
        </w:trPr>
        <w:tc>
          <w:tcPr>
            <w:tcW w:w="197" w:type="dxa"/>
            <w:tcBorders>
              <w:top w:val="nil"/>
              <w:left w:val="nil"/>
              <w:bottom w:val="nil"/>
              <w:right w:val="nil"/>
            </w:tcBorders>
            <w:shd w:val="clear" w:color="000000" w:fill="FFFFFF"/>
            <w:noWrap/>
            <w:hideMark/>
          </w:tcPr>
          <w:p w14:paraId="5A6E6F0F"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59A78B28" w14:textId="77777777" w:rsidR="003A0696" w:rsidRPr="0033007E" w:rsidRDefault="003A0696" w:rsidP="003A0696">
            <w:pPr>
              <w:spacing w:after="0" w:line="240" w:lineRule="auto"/>
              <w:ind w:right="924"/>
              <w:jc w:val="left"/>
              <w:rPr>
                <w:rFonts w:eastAsia="Times New Roman" w:cs="Times New Roman"/>
                <w:sz w:val="20"/>
                <w:szCs w:val="20"/>
                <w:lang w:eastAsia="sk-SK"/>
              </w:rPr>
            </w:pPr>
            <w:r w:rsidRPr="0033007E">
              <w:rPr>
                <w:rFonts w:eastAsia="Times New Roman" w:cs="Times New Roman"/>
                <w:sz w:val="20"/>
                <w:szCs w:val="20"/>
                <w:lang w:eastAsia="sk-SK"/>
              </w:rPr>
              <w:t>Štátny rozpočet</w:t>
            </w:r>
            <w:r w:rsidRPr="0033007E">
              <w:rPr>
                <w:rFonts w:eastAsia="Times New Roman" w:cs="Times New Roman"/>
                <w:sz w:val="20"/>
                <w:szCs w:val="20"/>
                <w:vertAlign w:val="superscript"/>
                <w:lang w:eastAsia="sk-SK"/>
              </w:rPr>
              <w:t>1</w:t>
            </w:r>
            <w:r w:rsidRPr="0033007E">
              <w:rPr>
                <w:rFonts w:eastAsia="Times New Roman" w:cs="Times New Roman"/>
                <w:color w:val="000000"/>
                <w:sz w:val="20"/>
                <w:szCs w:val="20"/>
                <w:vertAlign w:val="superscript"/>
                <w:lang w:eastAsia="sk-SK"/>
              </w:rPr>
              <w:t>)</w:t>
            </w:r>
          </w:p>
        </w:tc>
        <w:tc>
          <w:tcPr>
            <w:tcW w:w="1029" w:type="dxa"/>
            <w:tcBorders>
              <w:top w:val="nil"/>
              <w:left w:val="nil"/>
              <w:bottom w:val="nil"/>
              <w:right w:val="nil"/>
            </w:tcBorders>
            <w:shd w:val="clear" w:color="000000" w:fill="FFFFFF"/>
            <w:noWrap/>
            <w:hideMark/>
          </w:tcPr>
          <w:p w14:paraId="0B926F4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-5 850 431</w:t>
            </w:r>
          </w:p>
        </w:tc>
        <w:tc>
          <w:tcPr>
            <w:tcW w:w="1028" w:type="dxa"/>
            <w:tcBorders>
              <w:top w:val="nil"/>
              <w:left w:val="nil"/>
              <w:bottom w:val="nil"/>
              <w:right w:val="nil"/>
            </w:tcBorders>
            <w:shd w:val="clear" w:color="000000" w:fill="FFFFFF"/>
            <w:noWrap/>
            <w:hideMark/>
          </w:tcPr>
          <w:p w14:paraId="0BC39FEF"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-6 431 852</w:t>
            </w:r>
          </w:p>
        </w:tc>
        <w:tc>
          <w:tcPr>
            <w:tcW w:w="1068" w:type="dxa"/>
            <w:tcBorders>
              <w:top w:val="nil"/>
              <w:left w:val="nil"/>
              <w:bottom w:val="nil"/>
              <w:right w:val="nil"/>
            </w:tcBorders>
            <w:shd w:val="clear" w:color="000000" w:fill="FFFFFF"/>
            <w:noWrap/>
            <w:hideMark/>
          </w:tcPr>
          <w:p w14:paraId="6ADB3C9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-5 223 442</w:t>
            </w:r>
          </w:p>
        </w:tc>
        <w:tc>
          <w:tcPr>
            <w:tcW w:w="1031" w:type="dxa"/>
            <w:tcBorders>
              <w:top w:val="nil"/>
              <w:left w:val="nil"/>
              <w:bottom w:val="nil"/>
              <w:right w:val="nil"/>
            </w:tcBorders>
            <w:shd w:val="clear" w:color="000000" w:fill="FFFFFF"/>
            <w:noWrap/>
            <w:hideMark/>
          </w:tcPr>
          <w:p w14:paraId="77B0192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-5 676 673</w:t>
            </w:r>
          </w:p>
        </w:tc>
        <w:tc>
          <w:tcPr>
            <w:tcW w:w="1063" w:type="dxa"/>
            <w:tcBorders>
              <w:top w:val="nil"/>
              <w:left w:val="nil"/>
              <w:bottom w:val="nil"/>
              <w:right w:val="nil"/>
            </w:tcBorders>
            <w:shd w:val="clear" w:color="000000" w:fill="FFFFFF"/>
            <w:noWrap/>
            <w:hideMark/>
          </w:tcPr>
          <w:p w14:paraId="39C13B0B" w14:textId="77777777" w:rsidR="003A0696" w:rsidRPr="0032592F" w:rsidRDefault="003A0696" w:rsidP="003A0696">
            <w:pPr>
              <w:spacing w:after="0" w:line="240" w:lineRule="auto"/>
              <w:jc w:val="right"/>
              <w:rPr>
                <w:rFonts w:eastAsia="Times New Roman" w:cs="Times New Roman"/>
                <w:sz w:val="18"/>
                <w:szCs w:val="18"/>
                <w:lang w:eastAsia="sk-SK"/>
              </w:rPr>
            </w:pPr>
            <w:r w:rsidRPr="0032592F">
              <w:rPr>
                <w:rFonts w:eastAsia="Times New Roman" w:cs="Times New Roman"/>
                <w:sz w:val="18"/>
                <w:szCs w:val="18"/>
                <w:lang w:eastAsia="sk-SK"/>
              </w:rPr>
              <w:t>-2 856 530</w:t>
            </w:r>
          </w:p>
          <w:p w14:paraId="4502DB0E" w14:textId="77777777" w:rsidR="003A0696" w:rsidRPr="0033007E" w:rsidRDefault="003A0696" w:rsidP="003A0696">
            <w:pPr>
              <w:spacing w:after="0" w:line="240" w:lineRule="auto"/>
              <w:jc w:val="right"/>
              <w:rPr>
                <w:rFonts w:eastAsia="Times New Roman" w:cs="Times New Roman"/>
                <w:sz w:val="18"/>
                <w:szCs w:val="18"/>
                <w:lang w:eastAsia="sk-SK"/>
              </w:rPr>
            </w:pPr>
          </w:p>
        </w:tc>
        <w:tc>
          <w:tcPr>
            <w:tcW w:w="1019" w:type="dxa"/>
            <w:tcBorders>
              <w:top w:val="nil"/>
              <w:left w:val="nil"/>
              <w:bottom w:val="nil"/>
              <w:right w:val="nil"/>
            </w:tcBorders>
            <w:shd w:val="clear" w:color="000000" w:fill="FFFFFF"/>
            <w:noWrap/>
            <w:hideMark/>
          </w:tcPr>
          <w:p w14:paraId="199A7B8F" w14:textId="77777777" w:rsidR="003A0696" w:rsidRPr="0032592F" w:rsidRDefault="003A0696" w:rsidP="003A0696">
            <w:pPr>
              <w:spacing w:after="0" w:line="240" w:lineRule="auto"/>
              <w:jc w:val="right"/>
              <w:rPr>
                <w:sz w:val="18"/>
                <w:szCs w:val="18"/>
              </w:rPr>
            </w:pPr>
            <w:r w:rsidRPr="0032592F">
              <w:rPr>
                <w:sz w:val="18"/>
                <w:szCs w:val="18"/>
              </w:rPr>
              <w:t>2 820 143</w:t>
            </w:r>
          </w:p>
          <w:p w14:paraId="5682DDC3" w14:textId="77777777" w:rsidR="003A0696" w:rsidRPr="0033007E" w:rsidRDefault="003A0696" w:rsidP="003A0696">
            <w:pPr>
              <w:spacing w:after="0" w:line="240" w:lineRule="auto"/>
              <w:jc w:val="right"/>
              <w:rPr>
                <w:rFonts w:eastAsia="Times New Roman" w:cs="Times New Roman"/>
                <w:sz w:val="18"/>
                <w:szCs w:val="18"/>
                <w:lang w:eastAsia="sk-SK"/>
              </w:rPr>
            </w:pPr>
          </w:p>
        </w:tc>
      </w:tr>
      <w:tr w:rsidR="003A0696" w:rsidRPr="00017648" w14:paraId="433EA5EE" w14:textId="77777777" w:rsidTr="003A0696">
        <w:trPr>
          <w:trHeight w:val="229"/>
        </w:trPr>
        <w:tc>
          <w:tcPr>
            <w:tcW w:w="197" w:type="dxa"/>
            <w:tcBorders>
              <w:top w:val="nil"/>
              <w:left w:val="nil"/>
              <w:bottom w:val="nil"/>
              <w:right w:val="nil"/>
            </w:tcBorders>
            <w:shd w:val="clear" w:color="000000" w:fill="FFFFFF"/>
            <w:noWrap/>
            <w:hideMark/>
          </w:tcPr>
          <w:p w14:paraId="25B34BFF"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6A7739E5" w14:textId="77777777" w:rsidR="003A0696" w:rsidRPr="0033007E" w:rsidRDefault="003A0696" w:rsidP="003A0696">
            <w:pPr>
              <w:spacing w:after="0" w:line="240" w:lineRule="auto"/>
              <w:ind w:right="-27"/>
              <w:jc w:val="left"/>
              <w:rPr>
                <w:rFonts w:eastAsia="Times New Roman" w:cs="Times New Roman"/>
                <w:sz w:val="20"/>
                <w:szCs w:val="20"/>
                <w:lang w:eastAsia="sk-SK"/>
              </w:rPr>
            </w:pPr>
            <w:r w:rsidRPr="0033007E">
              <w:rPr>
                <w:rFonts w:eastAsia="Times New Roman" w:cs="Times New Roman"/>
                <w:sz w:val="20"/>
                <w:szCs w:val="20"/>
                <w:lang w:eastAsia="sk-SK"/>
              </w:rPr>
              <w:t>Príspevkové organizácie ústrednej správy</w:t>
            </w:r>
          </w:p>
        </w:tc>
        <w:tc>
          <w:tcPr>
            <w:tcW w:w="1029" w:type="dxa"/>
            <w:tcBorders>
              <w:top w:val="nil"/>
              <w:left w:val="nil"/>
              <w:bottom w:val="nil"/>
              <w:right w:val="nil"/>
            </w:tcBorders>
            <w:shd w:val="clear" w:color="000000" w:fill="FFFFFF"/>
            <w:noWrap/>
            <w:hideMark/>
          </w:tcPr>
          <w:p w14:paraId="7AF4F23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34 154</w:t>
            </w:r>
          </w:p>
        </w:tc>
        <w:tc>
          <w:tcPr>
            <w:tcW w:w="1028" w:type="dxa"/>
            <w:tcBorders>
              <w:top w:val="nil"/>
              <w:left w:val="nil"/>
              <w:bottom w:val="nil"/>
              <w:right w:val="nil"/>
            </w:tcBorders>
            <w:shd w:val="clear" w:color="000000" w:fill="FFFFFF"/>
            <w:noWrap/>
            <w:hideMark/>
          </w:tcPr>
          <w:p w14:paraId="21FDE52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-838</w:t>
            </w:r>
          </w:p>
        </w:tc>
        <w:tc>
          <w:tcPr>
            <w:tcW w:w="1068" w:type="dxa"/>
            <w:tcBorders>
              <w:top w:val="nil"/>
              <w:left w:val="nil"/>
              <w:bottom w:val="nil"/>
              <w:right w:val="nil"/>
            </w:tcBorders>
            <w:shd w:val="clear" w:color="000000" w:fill="FFFFFF"/>
            <w:noWrap/>
            <w:hideMark/>
          </w:tcPr>
          <w:p w14:paraId="244CDEA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-3 370</w:t>
            </w:r>
          </w:p>
        </w:tc>
        <w:tc>
          <w:tcPr>
            <w:tcW w:w="1031" w:type="dxa"/>
            <w:tcBorders>
              <w:top w:val="nil"/>
              <w:left w:val="nil"/>
              <w:bottom w:val="nil"/>
              <w:right w:val="nil"/>
            </w:tcBorders>
            <w:shd w:val="clear" w:color="000000" w:fill="FFFFFF"/>
            <w:noWrap/>
            <w:hideMark/>
          </w:tcPr>
          <w:p w14:paraId="3406DCE6"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-3 370</w:t>
            </w:r>
          </w:p>
        </w:tc>
        <w:tc>
          <w:tcPr>
            <w:tcW w:w="1063" w:type="dxa"/>
            <w:tcBorders>
              <w:top w:val="nil"/>
              <w:left w:val="nil"/>
              <w:bottom w:val="nil"/>
              <w:right w:val="nil"/>
            </w:tcBorders>
            <w:shd w:val="clear" w:color="000000" w:fill="FFFFFF"/>
            <w:noWrap/>
            <w:hideMark/>
          </w:tcPr>
          <w:p w14:paraId="065545C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43 992</w:t>
            </w:r>
          </w:p>
        </w:tc>
        <w:tc>
          <w:tcPr>
            <w:tcW w:w="1019" w:type="dxa"/>
            <w:tcBorders>
              <w:top w:val="nil"/>
              <w:left w:val="nil"/>
              <w:bottom w:val="nil"/>
              <w:right w:val="nil"/>
            </w:tcBorders>
            <w:shd w:val="clear" w:color="000000" w:fill="FFFFFF"/>
            <w:noWrap/>
            <w:hideMark/>
          </w:tcPr>
          <w:p w14:paraId="10630EE2"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47 362</w:t>
            </w:r>
          </w:p>
        </w:tc>
      </w:tr>
      <w:tr w:rsidR="003A0696" w:rsidRPr="00017648" w14:paraId="78AE757B" w14:textId="77777777" w:rsidTr="003A0696">
        <w:trPr>
          <w:trHeight w:val="229"/>
        </w:trPr>
        <w:tc>
          <w:tcPr>
            <w:tcW w:w="197" w:type="dxa"/>
            <w:tcBorders>
              <w:top w:val="nil"/>
              <w:left w:val="nil"/>
              <w:bottom w:val="nil"/>
              <w:right w:val="nil"/>
            </w:tcBorders>
            <w:shd w:val="clear" w:color="000000" w:fill="FFFFFF"/>
            <w:noWrap/>
            <w:hideMark/>
          </w:tcPr>
          <w:p w14:paraId="55706D48"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551D4A7B"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Štátne fondy</w:t>
            </w:r>
          </w:p>
        </w:tc>
        <w:tc>
          <w:tcPr>
            <w:tcW w:w="1029" w:type="dxa"/>
            <w:tcBorders>
              <w:top w:val="nil"/>
              <w:left w:val="nil"/>
              <w:bottom w:val="nil"/>
              <w:right w:val="nil"/>
            </w:tcBorders>
            <w:shd w:val="clear" w:color="000000" w:fill="FFFFFF"/>
            <w:noWrap/>
            <w:hideMark/>
          </w:tcPr>
          <w:p w14:paraId="5FBF3D0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243 605</w:t>
            </w:r>
          </w:p>
        </w:tc>
        <w:tc>
          <w:tcPr>
            <w:tcW w:w="1028" w:type="dxa"/>
            <w:tcBorders>
              <w:top w:val="nil"/>
              <w:left w:val="nil"/>
              <w:bottom w:val="nil"/>
              <w:right w:val="nil"/>
            </w:tcBorders>
            <w:shd w:val="clear" w:color="000000" w:fill="FFFFFF"/>
            <w:noWrap/>
            <w:hideMark/>
          </w:tcPr>
          <w:p w14:paraId="4695286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252 755</w:t>
            </w:r>
          </w:p>
        </w:tc>
        <w:tc>
          <w:tcPr>
            <w:tcW w:w="1068" w:type="dxa"/>
            <w:tcBorders>
              <w:top w:val="nil"/>
              <w:left w:val="nil"/>
              <w:bottom w:val="nil"/>
              <w:right w:val="nil"/>
            </w:tcBorders>
            <w:shd w:val="clear" w:color="000000" w:fill="FFFFFF"/>
            <w:noWrap/>
            <w:hideMark/>
          </w:tcPr>
          <w:p w14:paraId="633C0914"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199 472</w:t>
            </w:r>
          </w:p>
        </w:tc>
        <w:tc>
          <w:tcPr>
            <w:tcW w:w="1031" w:type="dxa"/>
            <w:tcBorders>
              <w:top w:val="nil"/>
              <w:left w:val="nil"/>
              <w:bottom w:val="nil"/>
              <w:right w:val="nil"/>
            </w:tcBorders>
            <w:shd w:val="clear" w:color="000000" w:fill="FFFFFF"/>
            <w:noWrap/>
            <w:hideMark/>
          </w:tcPr>
          <w:p w14:paraId="1135224E"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199 472</w:t>
            </w:r>
          </w:p>
        </w:tc>
        <w:tc>
          <w:tcPr>
            <w:tcW w:w="1063" w:type="dxa"/>
            <w:tcBorders>
              <w:top w:val="nil"/>
              <w:left w:val="nil"/>
              <w:bottom w:val="nil"/>
              <w:right w:val="nil"/>
            </w:tcBorders>
            <w:shd w:val="clear" w:color="000000" w:fill="FFFFFF"/>
            <w:noWrap/>
            <w:hideMark/>
          </w:tcPr>
          <w:p w14:paraId="3E71BC3D"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239 386</w:t>
            </w:r>
          </w:p>
        </w:tc>
        <w:tc>
          <w:tcPr>
            <w:tcW w:w="1019" w:type="dxa"/>
            <w:tcBorders>
              <w:top w:val="nil"/>
              <w:left w:val="nil"/>
              <w:bottom w:val="nil"/>
              <w:right w:val="nil"/>
            </w:tcBorders>
            <w:shd w:val="clear" w:color="000000" w:fill="FFFFFF"/>
            <w:noWrap/>
            <w:hideMark/>
          </w:tcPr>
          <w:p w14:paraId="2C4F48F4"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39 914</w:t>
            </w:r>
          </w:p>
        </w:tc>
      </w:tr>
      <w:tr w:rsidR="003A0696" w:rsidRPr="00017648" w14:paraId="7373F97C" w14:textId="77777777" w:rsidTr="003A0696">
        <w:trPr>
          <w:trHeight w:val="229"/>
        </w:trPr>
        <w:tc>
          <w:tcPr>
            <w:tcW w:w="197" w:type="dxa"/>
            <w:tcBorders>
              <w:top w:val="nil"/>
              <w:left w:val="nil"/>
              <w:bottom w:val="nil"/>
              <w:right w:val="nil"/>
            </w:tcBorders>
            <w:shd w:val="clear" w:color="000000" w:fill="FFFFFF"/>
            <w:noWrap/>
            <w:hideMark/>
          </w:tcPr>
          <w:p w14:paraId="57DDDC67"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755D4AD5"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Eximbanka SR</w:t>
            </w:r>
          </w:p>
        </w:tc>
        <w:tc>
          <w:tcPr>
            <w:tcW w:w="1029" w:type="dxa"/>
            <w:tcBorders>
              <w:top w:val="nil"/>
              <w:left w:val="nil"/>
              <w:bottom w:val="nil"/>
              <w:right w:val="nil"/>
            </w:tcBorders>
            <w:shd w:val="clear" w:color="000000" w:fill="FFFFFF"/>
            <w:noWrap/>
            <w:hideMark/>
          </w:tcPr>
          <w:p w14:paraId="170CD16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-5 475</w:t>
            </w:r>
          </w:p>
        </w:tc>
        <w:tc>
          <w:tcPr>
            <w:tcW w:w="1028" w:type="dxa"/>
            <w:tcBorders>
              <w:top w:val="nil"/>
              <w:left w:val="nil"/>
              <w:bottom w:val="nil"/>
              <w:right w:val="nil"/>
            </w:tcBorders>
            <w:shd w:val="clear" w:color="000000" w:fill="FFFFFF"/>
            <w:noWrap/>
            <w:hideMark/>
          </w:tcPr>
          <w:p w14:paraId="61CA385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32 682</w:t>
            </w:r>
          </w:p>
        </w:tc>
        <w:tc>
          <w:tcPr>
            <w:tcW w:w="1068" w:type="dxa"/>
            <w:tcBorders>
              <w:top w:val="nil"/>
              <w:left w:val="nil"/>
              <w:bottom w:val="nil"/>
              <w:right w:val="nil"/>
            </w:tcBorders>
            <w:shd w:val="clear" w:color="000000" w:fill="FFFFFF"/>
            <w:noWrap/>
            <w:hideMark/>
          </w:tcPr>
          <w:p w14:paraId="25E0D00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3 850</w:t>
            </w:r>
          </w:p>
        </w:tc>
        <w:tc>
          <w:tcPr>
            <w:tcW w:w="1031" w:type="dxa"/>
            <w:tcBorders>
              <w:top w:val="nil"/>
              <w:left w:val="nil"/>
              <w:bottom w:val="nil"/>
              <w:right w:val="nil"/>
            </w:tcBorders>
            <w:shd w:val="clear" w:color="000000" w:fill="FFFFFF"/>
            <w:noWrap/>
            <w:hideMark/>
          </w:tcPr>
          <w:p w14:paraId="3C9975A2"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3 850</w:t>
            </w:r>
          </w:p>
        </w:tc>
        <w:tc>
          <w:tcPr>
            <w:tcW w:w="1063" w:type="dxa"/>
            <w:tcBorders>
              <w:top w:val="nil"/>
              <w:left w:val="nil"/>
              <w:bottom w:val="nil"/>
              <w:right w:val="nil"/>
            </w:tcBorders>
            <w:shd w:val="clear" w:color="000000" w:fill="FFFFFF"/>
            <w:noWrap/>
            <w:hideMark/>
          </w:tcPr>
          <w:p w14:paraId="6642A09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2 963</w:t>
            </w:r>
          </w:p>
        </w:tc>
        <w:tc>
          <w:tcPr>
            <w:tcW w:w="1019" w:type="dxa"/>
            <w:tcBorders>
              <w:top w:val="nil"/>
              <w:left w:val="nil"/>
              <w:bottom w:val="nil"/>
              <w:right w:val="nil"/>
            </w:tcBorders>
            <w:shd w:val="clear" w:color="000000" w:fill="FFFFFF"/>
            <w:noWrap/>
            <w:hideMark/>
          </w:tcPr>
          <w:p w14:paraId="2516B6E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-887</w:t>
            </w:r>
          </w:p>
        </w:tc>
      </w:tr>
      <w:tr w:rsidR="003A0696" w:rsidRPr="00017648" w14:paraId="5C276E2C" w14:textId="77777777" w:rsidTr="003A0696">
        <w:trPr>
          <w:trHeight w:val="229"/>
        </w:trPr>
        <w:tc>
          <w:tcPr>
            <w:tcW w:w="197" w:type="dxa"/>
            <w:tcBorders>
              <w:top w:val="nil"/>
              <w:left w:val="nil"/>
              <w:bottom w:val="nil"/>
              <w:right w:val="nil"/>
            </w:tcBorders>
            <w:shd w:val="clear" w:color="000000" w:fill="FFFFFF"/>
            <w:noWrap/>
            <w:hideMark/>
          </w:tcPr>
          <w:p w14:paraId="4336F904"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auto" w:fill="auto"/>
            <w:noWrap/>
            <w:vAlign w:val="bottom"/>
            <w:hideMark/>
          </w:tcPr>
          <w:p w14:paraId="2EFBE8BE" w14:textId="77777777" w:rsidR="003A0696" w:rsidRPr="0033007E" w:rsidRDefault="003A0696" w:rsidP="003A0696">
            <w:pPr>
              <w:spacing w:after="0" w:line="240" w:lineRule="auto"/>
              <w:jc w:val="left"/>
              <w:rPr>
                <w:rFonts w:eastAsia="Times New Roman" w:cs="Times New Roman"/>
                <w:color w:val="000000"/>
                <w:sz w:val="20"/>
                <w:szCs w:val="20"/>
                <w:lang w:eastAsia="sk-SK"/>
              </w:rPr>
            </w:pPr>
            <w:r w:rsidRPr="0033007E">
              <w:rPr>
                <w:rFonts w:eastAsia="Times New Roman" w:cs="Times New Roman"/>
                <w:color w:val="000000"/>
                <w:sz w:val="20"/>
                <w:szCs w:val="20"/>
                <w:lang w:eastAsia="sk-SK"/>
              </w:rPr>
              <w:t xml:space="preserve">SIH a investičné fondy SIH-u </w:t>
            </w:r>
          </w:p>
        </w:tc>
        <w:tc>
          <w:tcPr>
            <w:tcW w:w="1029" w:type="dxa"/>
            <w:tcBorders>
              <w:top w:val="nil"/>
              <w:left w:val="nil"/>
              <w:bottom w:val="nil"/>
              <w:right w:val="nil"/>
            </w:tcBorders>
            <w:shd w:val="clear" w:color="000000" w:fill="FFFFFF"/>
            <w:noWrap/>
            <w:hideMark/>
          </w:tcPr>
          <w:p w14:paraId="111C962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2 026</w:t>
            </w:r>
          </w:p>
        </w:tc>
        <w:tc>
          <w:tcPr>
            <w:tcW w:w="1028" w:type="dxa"/>
            <w:tcBorders>
              <w:top w:val="nil"/>
              <w:left w:val="nil"/>
              <w:bottom w:val="nil"/>
              <w:right w:val="nil"/>
            </w:tcBorders>
            <w:shd w:val="clear" w:color="000000" w:fill="FFFFFF"/>
            <w:noWrap/>
            <w:hideMark/>
          </w:tcPr>
          <w:p w14:paraId="10B8CA1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13 078</w:t>
            </w:r>
          </w:p>
        </w:tc>
        <w:tc>
          <w:tcPr>
            <w:tcW w:w="1068" w:type="dxa"/>
            <w:tcBorders>
              <w:top w:val="nil"/>
              <w:left w:val="nil"/>
              <w:bottom w:val="nil"/>
              <w:right w:val="nil"/>
            </w:tcBorders>
            <w:shd w:val="clear" w:color="000000" w:fill="FFFFFF"/>
            <w:noWrap/>
            <w:hideMark/>
          </w:tcPr>
          <w:p w14:paraId="1C2E3E4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0</w:t>
            </w:r>
          </w:p>
        </w:tc>
        <w:tc>
          <w:tcPr>
            <w:tcW w:w="1031" w:type="dxa"/>
            <w:tcBorders>
              <w:top w:val="nil"/>
              <w:left w:val="nil"/>
              <w:bottom w:val="nil"/>
              <w:right w:val="nil"/>
            </w:tcBorders>
            <w:shd w:val="clear" w:color="000000" w:fill="FFFFFF"/>
            <w:noWrap/>
            <w:hideMark/>
          </w:tcPr>
          <w:p w14:paraId="35182D2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0</w:t>
            </w:r>
          </w:p>
        </w:tc>
        <w:tc>
          <w:tcPr>
            <w:tcW w:w="1063" w:type="dxa"/>
            <w:tcBorders>
              <w:top w:val="nil"/>
              <w:left w:val="nil"/>
              <w:bottom w:val="nil"/>
              <w:right w:val="nil"/>
            </w:tcBorders>
            <w:shd w:val="clear" w:color="000000" w:fill="FFFFFF"/>
            <w:noWrap/>
            <w:hideMark/>
          </w:tcPr>
          <w:p w14:paraId="7B88A7E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40 252</w:t>
            </w:r>
          </w:p>
        </w:tc>
        <w:tc>
          <w:tcPr>
            <w:tcW w:w="1019" w:type="dxa"/>
            <w:tcBorders>
              <w:top w:val="nil"/>
              <w:left w:val="nil"/>
              <w:bottom w:val="nil"/>
              <w:right w:val="nil"/>
            </w:tcBorders>
            <w:shd w:val="clear" w:color="000000" w:fill="FFFFFF"/>
            <w:noWrap/>
            <w:hideMark/>
          </w:tcPr>
          <w:p w14:paraId="449D287F"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40 252</w:t>
            </w:r>
          </w:p>
        </w:tc>
      </w:tr>
      <w:tr w:rsidR="003A0696" w:rsidRPr="00017648" w14:paraId="1AB0FE87" w14:textId="77777777" w:rsidTr="003A0696">
        <w:trPr>
          <w:trHeight w:val="229"/>
        </w:trPr>
        <w:tc>
          <w:tcPr>
            <w:tcW w:w="197" w:type="dxa"/>
            <w:tcBorders>
              <w:top w:val="nil"/>
              <w:left w:val="nil"/>
              <w:bottom w:val="nil"/>
              <w:right w:val="nil"/>
            </w:tcBorders>
            <w:shd w:val="clear" w:color="000000" w:fill="FFFFFF"/>
            <w:noWrap/>
            <w:hideMark/>
          </w:tcPr>
          <w:p w14:paraId="6FBA663F"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5CF17E0A" w14:textId="77777777" w:rsidR="003A0696" w:rsidRPr="0033007E" w:rsidRDefault="003A0696" w:rsidP="003A0696">
            <w:pPr>
              <w:spacing w:after="0" w:line="240" w:lineRule="auto"/>
              <w:ind w:right="-494"/>
              <w:jc w:val="left"/>
              <w:rPr>
                <w:rFonts w:eastAsia="Times New Roman" w:cs="Times New Roman"/>
                <w:sz w:val="18"/>
                <w:szCs w:val="18"/>
                <w:lang w:eastAsia="sk-SK"/>
              </w:rPr>
            </w:pPr>
            <w:r w:rsidRPr="0033007E">
              <w:rPr>
                <w:rFonts w:eastAsia="Times New Roman" w:cs="Times New Roman"/>
                <w:sz w:val="18"/>
                <w:szCs w:val="18"/>
                <w:lang w:eastAsia="sk-SK"/>
              </w:rPr>
              <w:t>Obchodné spoločnosti štátu, z toho:</w:t>
            </w:r>
          </w:p>
        </w:tc>
        <w:tc>
          <w:tcPr>
            <w:tcW w:w="1029" w:type="dxa"/>
            <w:tcBorders>
              <w:top w:val="nil"/>
              <w:left w:val="nil"/>
              <w:bottom w:val="nil"/>
              <w:right w:val="nil"/>
            </w:tcBorders>
            <w:shd w:val="clear" w:color="000000" w:fill="FFFFFF"/>
            <w:noWrap/>
            <w:hideMark/>
          </w:tcPr>
          <w:p w14:paraId="377D28E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8 023</w:t>
            </w:r>
          </w:p>
        </w:tc>
        <w:tc>
          <w:tcPr>
            <w:tcW w:w="1028" w:type="dxa"/>
            <w:tcBorders>
              <w:top w:val="nil"/>
              <w:left w:val="nil"/>
              <w:bottom w:val="nil"/>
              <w:right w:val="nil"/>
            </w:tcBorders>
            <w:shd w:val="clear" w:color="000000" w:fill="FFFFFF"/>
            <w:noWrap/>
            <w:hideMark/>
          </w:tcPr>
          <w:p w14:paraId="5797665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287 809</w:t>
            </w:r>
          </w:p>
        </w:tc>
        <w:tc>
          <w:tcPr>
            <w:tcW w:w="1068" w:type="dxa"/>
            <w:tcBorders>
              <w:top w:val="nil"/>
              <w:left w:val="nil"/>
              <w:bottom w:val="nil"/>
              <w:right w:val="nil"/>
            </w:tcBorders>
            <w:shd w:val="clear" w:color="000000" w:fill="FFFFFF"/>
            <w:noWrap/>
            <w:hideMark/>
          </w:tcPr>
          <w:p w14:paraId="663DB61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-28 834</w:t>
            </w:r>
          </w:p>
        </w:tc>
        <w:tc>
          <w:tcPr>
            <w:tcW w:w="1031" w:type="dxa"/>
            <w:tcBorders>
              <w:top w:val="nil"/>
              <w:left w:val="nil"/>
              <w:bottom w:val="nil"/>
              <w:right w:val="nil"/>
            </w:tcBorders>
            <w:shd w:val="clear" w:color="000000" w:fill="FFFFFF"/>
            <w:noWrap/>
            <w:hideMark/>
          </w:tcPr>
          <w:p w14:paraId="687FDA8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-28 834</w:t>
            </w:r>
          </w:p>
        </w:tc>
        <w:tc>
          <w:tcPr>
            <w:tcW w:w="1063" w:type="dxa"/>
            <w:tcBorders>
              <w:top w:val="nil"/>
              <w:left w:val="nil"/>
              <w:bottom w:val="nil"/>
              <w:right w:val="nil"/>
            </w:tcBorders>
            <w:shd w:val="clear" w:color="000000" w:fill="FFFFFF"/>
            <w:noWrap/>
            <w:hideMark/>
          </w:tcPr>
          <w:p w14:paraId="0BEEAFFB"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56 449</w:t>
            </w:r>
          </w:p>
        </w:tc>
        <w:tc>
          <w:tcPr>
            <w:tcW w:w="1019" w:type="dxa"/>
            <w:tcBorders>
              <w:top w:val="nil"/>
              <w:left w:val="nil"/>
              <w:bottom w:val="nil"/>
              <w:right w:val="nil"/>
            </w:tcBorders>
            <w:shd w:val="clear" w:color="000000" w:fill="FFFFFF"/>
            <w:noWrap/>
            <w:hideMark/>
          </w:tcPr>
          <w:p w14:paraId="5EE1E23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85 283</w:t>
            </w:r>
          </w:p>
        </w:tc>
      </w:tr>
      <w:tr w:rsidR="003A0696" w:rsidRPr="00017648" w14:paraId="18DBFA63" w14:textId="77777777" w:rsidTr="003A0696">
        <w:trPr>
          <w:trHeight w:val="229"/>
        </w:trPr>
        <w:tc>
          <w:tcPr>
            <w:tcW w:w="197" w:type="dxa"/>
            <w:tcBorders>
              <w:top w:val="nil"/>
              <w:left w:val="nil"/>
              <w:bottom w:val="nil"/>
              <w:right w:val="nil"/>
            </w:tcBorders>
            <w:shd w:val="clear" w:color="000000" w:fill="FFFFFF"/>
            <w:noWrap/>
            <w:hideMark/>
          </w:tcPr>
          <w:p w14:paraId="132135A5"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197" w:type="dxa"/>
            <w:tcBorders>
              <w:top w:val="nil"/>
              <w:left w:val="nil"/>
              <w:bottom w:val="nil"/>
              <w:right w:val="nil"/>
            </w:tcBorders>
            <w:shd w:val="clear" w:color="000000" w:fill="FFFFFF"/>
            <w:noWrap/>
            <w:hideMark/>
          </w:tcPr>
          <w:p w14:paraId="7C13C20C"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545" w:type="dxa"/>
            <w:tcBorders>
              <w:top w:val="nil"/>
              <w:left w:val="nil"/>
              <w:bottom w:val="nil"/>
              <w:right w:val="nil"/>
            </w:tcBorders>
            <w:shd w:val="clear" w:color="000000" w:fill="FFFFFF"/>
            <w:noWrap/>
            <w:hideMark/>
          </w:tcPr>
          <w:p w14:paraId="1D082EA9"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xml:space="preserve">MH Manažment, </w:t>
            </w:r>
            <w:proofErr w:type="spellStart"/>
            <w:r w:rsidRPr="0033007E">
              <w:rPr>
                <w:rFonts w:eastAsia="Times New Roman" w:cs="Times New Roman"/>
                <w:sz w:val="20"/>
                <w:szCs w:val="20"/>
                <w:lang w:eastAsia="sk-SK"/>
              </w:rPr>
              <w:t>a.s</w:t>
            </w:r>
            <w:proofErr w:type="spellEnd"/>
            <w:r w:rsidRPr="0033007E">
              <w:rPr>
                <w:rFonts w:eastAsia="Times New Roman" w:cs="Times New Roman"/>
                <w:sz w:val="20"/>
                <w:szCs w:val="20"/>
                <w:lang w:eastAsia="sk-SK"/>
              </w:rPr>
              <w:t>.</w:t>
            </w:r>
          </w:p>
        </w:tc>
        <w:tc>
          <w:tcPr>
            <w:tcW w:w="1029" w:type="dxa"/>
            <w:tcBorders>
              <w:top w:val="nil"/>
              <w:left w:val="nil"/>
              <w:bottom w:val="nil"/>
              <w:right w:val="nil"/>
            </w:tcBorders>
            <w:shd w:val="clear" w:color="000000" w:fill="FFFFFF"/>
            <w:noWrap/>
            <w:hideMark/>
          </w:tcPr>
          <w:p w14:paraId="5DF2DD3D" w14:textId="77777777" w:rsidR="003A0696" w:rsidRPr="0033007E" w:rsidRDefault="003A0696" w:rsidP="003A0696">
            <w:pPr>
              <w:spacing w:after="0" w:line="240" w:lineRule="auto"/>
              <w:jc w:val="right"/>
              <w:rPr>
                <w:rFonts w:eastAsia="Times New Roman" w:cs="Times New Roman"/>
                <w:color w:val="000000"/>
                <w:sz w:val="18"/>
                <w:szCs w:val="18"/>
                <w:lang w:eastAsia="sk-SK"/>
              </w:rPr>
            </w:pPr>
            <w:r w:rsidRPr="0033007E">
              <w:rPr>
                <w:rFonts w:eastAsia="Times New Roman" w:cs="Times New Roman"/>
                <w:color w:val="000000"/>
                <w:sz w:val="18"/>
                <w:szCs w:val="18"/>
                <w:lang w:eastAsia="sk-SK"/>
              </w:rPr>
              <w:t>-3 619</w:t>
            </w:r>
          </w:p>
        </w:tc>
        <w:tc>
          <w:tcPr>
            <w:tcW w:w="1028" w:type="dxa"/>
            <w:tcBorders>
              <w:top w:val="nil"/>
              <w:left w:val="nil"/>
              <w:bottom w:val="nil"/>
              <w:right w:val="nil"/>
            </w:tcBorders>
            <w:shd w:val="clear" w:color="000000" w:fill="FFFFFF"/>
            <w:noWrap/>
            <w:hideMark/>
          </w:tcPr>
          <w:p w14:paraId="491E50D1" w14:textId="77777777" w:rsidR="003A0696" w:rsidRPr="0033007E" w:rsidRDefault="003A0696" w:rsidP="003A0696">
            <w:pPr>
              <w:spacing w:after="0" w:line="240" w:lineRule="auto"/>
              <w:jc w:val="right"/>
              <w:rPr>
                <w:rFonts w:eastAsia="Times New Roman" w:cs="Times New Roman"/>
                <w:color w:val="000000"/>
                <w:sz w:val="18"/>
                <w:szCs w:val="18"/>
                <w:lang w:eastAsia="sk-SK"/>
              </w:rPr>
            </w:pPr>
            <w:r w:rsidRPr="0033007E">
              <w:rPr>
                <w:rFonts w:eastAsia="Times New Roman" w:cs="Times New Roman"/>
                <w:color w:val="000000"/>
                <w:sz w:val="18"/>
                <w:szCs w:val="18"/>
                <w:lang w:eastAsia="sk-SK"/>
              </w:rPr>
              <w:t>62</w:t>
            </w:r>
          </w:p>
        </w:tc>
        <w:tc>
          <w:tcPr>
            <w:tcW w:w="1068" w:type="dxa"/>
            <w:tcBorders>
              <w:top w:val="nil"/>
              <w:left w:val="nil"/>
              <w:bottom w:val="nil"/>
              <w:right w:val="nil"/>
            </w:tcBorders>
            <w:shd w:val="clear" w:color="000000" w:fill="FFFFFF"/>
            <w:noWrap/>
            <w:hideMark/>
          </w:tcPr>
          <w:p w14:paraId="2B0F2BBB" w14:textId="77777777" w:rsidR="003A0696" w:rsidRPr="0033007E" w:rsidRDefault="003A0696" w:rsidP="003A0696">
            <w:pPr>
              <w:spacing w:after="0" w:line="240" w:lineRule="auto"/>
              <w:jc w:val="right"/>
              <w:rPr>
                <w:rFonts w:eastAsia="Times New Roman" w:cs="Times New Roman"/>
                <w:color w:val="000000"/>
                <w:sz w:val="18"/>
                <w:szCs w:val="18"/>
                <w:lang w:eastAsia="sk-SK"/>
              </w:rPr>
            </w:pPr>
            <w:r w:rsidRPr="0033007E">
              <w:rPr>
                <w:rFonts w:eastAsia="Times New Roman" w:cs="Times New Roman"/>
                <w:color w:val="000000"/>
                <w:sz w:val="18"/>
                <w:szCs w:val="18"/>
                <w:lang w:eastAsia="sk-SK"/>
              </w:rPr>
              <w:t>-1 543</w:t>
            </w:r>
          </w:p>
        </w:tc>
        <w:tc>
          <w:tcPr>
            <w:tcW w:w="1031" w:type="dxa"/>
            <w:tcBorders>
              <w:top w:val="nil"/>
              <w:left w:val="nil"/>
              <w:bottom w:val="nil"/>
              <w:right w:val="nil"/>
            </w:tcBorders>
            <w:shd w:val="clear" w:color="000000" w:fill="FFFFFF"/>
            <w:noWrap/>
            <w:hideMark/>
          </w:tcPr>
          <w:p w14:paraId="000D7B8E" w14:textId="77777777" w:rsidR="003A0696" w:rsidRPr="0033007E" w:rsidRDefault="003A0696" w:rsidP="003A0696">
            <w:pPr>
              <w:spacing w:after="0" w:line="240" w:lineRule="auto"/>
              <w:jc w:val="right"/>
              <w:rPr>
                <w:rFonts w:eastAsia="Times New Roman" w:cs="Times New Roman"/>
                <w:color w:val="000000"/>
                <w:sz w:val="18"/>
                <w:szCs w:val="18"/>
                <w:lang w:eastAsia="sk-SK"/>
              </w:rPr>
            </w:pPr>
            <w:r w:rsidRPr="0033007E">
              <w:rPr>
                <w:rFonts w:eastAsia="Times New Roman" w:cs="Times New Roman"/>
                <w:color w:val="000000"/>
                <w:sz w:val="18"/>
                <w:szCs w:val="18"/>
                <w:lang w:eastAsia="sk-SK"/>
              </w:rPr>
              <w:t>-1 543</w:t>
            </w:r>
          </w:p>
        </w:tc>
        <w:tc>
          <w:tcPr>
            <w:tcW w:w="1063" w:type="dxa"/>
            <w:tcBorders>
              <w:top w:val="nil"/>
              <w:left w:val="nil"/>
              <w:bottom w:val="nil"/>
              <w:right w:val="nil"/>
            </w:tcBorders>
            <w:shd w:val="clear" w:color="000000" w:fill="FFFFFF"/>
            <w:noWrap/>
            <w:hideMark/>
          </w:tcPr>
          <w:p w14:paraId="2049A92A" w14:textId="77777777" w:rsidR="003A0696" w:rsidRPr="0033007E" w:rsidRDefault="003A0696" w:rsidP="003A0696">
            <w:pPr>
              <w:spacing w:after="0" w:line="240" w:lineRule="auto"/>
              <w:jc w:val="right"/>
              <w:rPr>
                <w:rFonts w:eastAsia="Times New Roman" w:cs="Times New Roman"/>
                <w:color w:val="000000"/>
                <w:sz w:val="18"/>
                <w:szCs w:val="18"/>
                <w:lang w:eastAsia="sk-SK"/>
              </w:rPr>
            </w:pPr>
            <w:r w:rsidRPr="0033007E">
              <w:rPr>
                <w:rFonts w:eastAsia="Times New Roman" w:cs="Times New Roman"/>
                <w:color w:val="000000"/>
                <w:sz w:val="18"/>
                <w:szCs w:val="18"/>
                <w:lang w:eastAsia="sk-SK"/>
              </w:rPr>
              <w:t>-649</w:t>
            </w:r>
          </w:p>
        </w:tc>
        <w:tc>
          <w:tcPr>
            <w:tcW w:w="1019" w:type="dxa"/>
            <w:tcBorders>
              <w:top w:val="nil"/>
              <w:left w:val="nil"/>
              <w:bottom w:val="nil"/>
              <w:right w:val="nil"/>
            </w:tcBorders>
            <w:shd w:val="clear" w:color="000000" w:fill="FFFFFF"/>
            <w:noWrap/>
            <w:hideMark/>
          </w:tcPr>
          <w:p w14:paraId="44EB7B0A" w14:textId="77777777" w:rsidR="003A0696" w:rsidRPr="0033007E" w:rsidRDefault="003A0696" w:rsidP="003A0696">
            <w:pPr>
              <w:spacing w:after="0" w:line="240" w:lineRule="auto"/>
              <w:jc w:val="right"/>
              <w:rPr>
                <w:rFonts w:eastAsia="Times New Roman" w:cs="Times New Roman"/>
                <w:color w:val="000000"/>
                <w:sz w:val="18"/>
                <w:szCs w:val="18"/>
                <w:lang w:eastAsia="sk-SK"/>
              </w:rPr>
            </w:pPr>
            <w:r w:rsidRPr="0033007E">
              <w:rPr>
                <w:rFonts w:eastAsia="Times New Roman" w:cs="Times New Roman"/>
                <w:color w:val="000000"/>
                <w:sz w:val="18"/>
                <w:szCs w:val="18"/>
                <w:lang w:eastAsia="sk-SK"/>
              </w:rPr>
              <w:t>894</w:t>
            </w:r>
          </w:p>
        </w:tc>
      </w:tr>
      <w:tr w:rsidR="003A0696" w:rsidRPr="00017648" w14:paraId="3D28B341" w14:textId="77777777" w:rsidTr="003A0696">
        <w:trPr>
          <w:trHeight w:val="229"/>
        </w:trPr>
        <w:tc>
          <w:tcPr>
            <w:tcW w:w="197" w:type="dxa"/>
            <w:tcBorders>
              <w:top w:val="nil"/>
              <w:left w:val="nil"/>
              <w:bottom w:val="nil"/>
              <w:right w:val="nil"/>
            </w:tcBorders>
            <w:shd w:val="clear" w:color="000000" w:fill="FFFFFF"/>
            <w:noWrap/>
            <w:hideMark/>
          </w:tcPr>
          <w:p w14:paraId="4A2173F1"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197" w:type="dxa"/>
            <w:tcBorders>
              <w:top w:val="nil"/>
              <w:left w:val="nil"/>
              <w:bottom w:val="nil"/>
              <w:right w:val="nil"/>
            </w:tcBorders>
            <w:shd w:val="clear" w:color="000000" w:fill="FFFFFF"/>
            <w:noWrap/>
            <w:hideMark/>
          </w:tcPr>
          <w:p w14:paraId="0069C570"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545" w:type="dxa"/>
            <w:tcBorders>
              <w:top w:val="nil"/>
              <w:left w:val="nil"/>
              <w:bottom w:val="nil"/>
              <w:right w:val="nil"/>
            </w:tcBorders>
            <w:shd w:val="clear" w:color="000000" w:fill="FFFFFF"/>
            <w:noWrap/>
            <w:hideMark/>
          </w:tcPr>
          <w:p w14:paraId="74C807D7"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xml:space="preserve">MH </w:t>
            </w:r>
            <w:proofErr w:type="spellStart"/>
            <w:r w:rsidRPr="0033007E">
              <w:rPr>
                <w:rFonts w:eastAsia="Times New Roman" w:cs="Times New Roman"/>
                <w:sz w:val="20"/>
                <w:szCs w:val="20"/>
                <w:lang w:eastAsia="sk-SK"/>
              </w:rPr>
              <w:t>Invest</w:t>
            </w:r>
            <w:proofErr w:type="spellEnd"/>
            <w:r w:rsidRPr="0033007E">
              <w:rPr>
                <w:rFonts w:eastAsia="Times New Roman" w:cs="Times New Roman"/>
                <w:sz w:val="20"/>
                <w:szCs w:val="20"/>
                <w:lang w:eastAsia="sk-SK"/>
              </w:rPr>
              <w:t xml:space="preserve">, </w:t>
            </w:r>
            <w:proofErr w:type="spellStart"/>
            <w:r w:rsidRPr="0033007E">
              <w:rPr>
                <w:rFonts w:eastAsia="Times New Roman" w:cs="Times New Roman"/>
                <w:sz w:val="20"/>
                <w:szCs w:val="20"/>
                <w:lang w:eastAsia="sk-SK"/>
              </w:rPr>
              <w:t>s.r.o</w:t>
            </w:r>
            <w:proofErr w:type="spellEnd"/>
            <w:r w:rsidRPr="0033007E">
              <w:rPr>
                <w:rFonts w:eastAsia="Times New Roman" w:cs="Times New Roman"/>
                <w:sz w:val="20"/>
                <w:szCs w:val="20"/>
                <w:lang w:eastAsia="sk-SK"/>
              </w:rPr>
              <w:t>.</w:t>
            </w:r>
          </w:p>
        </w:tc>
        <w:tc>
          <w:tcPr>
            <w:tcW w:w="1029" w:type="dxa"/>
            <w:tcBorders>
              <w:top w:val="nil"/>
              <w:left w:val="nil"/>
              <w:bottom w:val="nil"/>
              <w:right w:val="nil"/>
            </w:tcBorders>
            <w:shd w:val="clear" w:color="000000" w:fill="FFFFFF"/>
            <w:noWrap/>
            <w:hideMark/>
          </w:tcPr>
          <w:p w14:paraId="38E1BF1D"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-1 429</w:t>
            </w:r>
          </w:p>
        </w:tc>
        <w:tc>
          <w:tcPr>
            <w:tcW w:w="1028" w:type="dxa"/>
            <w:tcBorders>
              <w:top w:val="nil"/>
              <w:left w:val="nil"/>
              <w:bottom w:val="nil"/>
              <w:right w:val="nil"/>
            </w:tcBorders>
            <w:shd w:val="clear" w:color="000000" w:fill="FFFFFF"/>
            <w:noWrap/>
            <w:hideMark/>
          </w:tcPr>
          <w:p w14:paraId="476D951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128 464</w:t>
            </w:r>
          </w:p>
        </w:tc>
        <w:tc>
          <w:tcPr>
            <w:tcW w:w="1068" w:type="dxa"/>
            <w:tcBorders>
              <w:top w:val="nil"/>
              <w:left w:val="nil"/>
              <w:bottom w:val="nil"/>
              <w:right w:val="nil"/>
            </w:tcBorders>
            <w:shd w:val="clear" w:color="000000" w:fill="FFFFFF"/>
            <w:noWrap/>
            <w:hideMark/>
          </w:tcPr>
          <w:p w14:paraId="51FCD61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-5 697</w:t>
            </w:r>
          </w:p>
        </w:tc>
        <w:tc>
          <w:tcPr>
            <w:tcW w:w="1031" w:type="dxa"/>
            <w:tcBorders>
              <w:top w:val="nil"/>
              <w:left w:val="nil"/>
              <w:bottom w:val="nil"/>
              <w:right w:val="nil"/>
            </w:tcBorders>
            <w:shd w:val="clear" w:color="000000" w:fill="FFFFFF"/>
            <w:noWrap/>
            <w:hideMark/>
          </w:tcPr>
          <w:p w14:paraId="6BAD0DAF"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-5 697</w:t>
            </w:r>
          </w:p>
        </w:tc>
        <w:tc>
          <w:tcPr>
            <w:tcW w:w="1063" w:type="dxa"/>
            <w:tcBorders>
              <w:top w:val="nil"/>
              <w:left w:val="nil"/>
              <w:bottom w:val="nil"/>
              <w:right w:val="nil"/>
            </w:tcBorders>
            <w:shd w:val="clear" w:color="000000" w:fill="FFFFFF"/>
            <w:noWrap/>
            <w:hideMark/>
          </w:tcPr>
          <w:p w14:paraId="68F2E5A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-2 777</w:t>
            </w:r>
          </w:p>
        </w:tc>
        <w:tc>
          <w:tcPr>
            <w:tcW w:w="1019" w:type="dxa"/>
            <w:tcBorders>
              <w:top w:val="nil"/>
              <w:left w:val="nil"/>
              <w:bottom w:val="nil"/>
              <w:right w:val="nil"/>
            </w:tcBorders>
            <w:shd w:val="clear" w:color="000000" w:fill="FFFFFF"/>
            <w:noWrap/>
            <w:hideMark/>
          </w:tcPr>
          <w:p w14:paraId="4961849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2 920</w:t>
            </w:r>
          </w:p>
        </w:tc>
      </w:tr>
      <w:tr w:rsidR="003A0696" w:rsidRPr="00017648" w14:paraId="2AFDCB87" w14:textId="77777777" w:rsidTr="003A0696">
        <w:trPr>
          <w:trHeight w:val="229"/>
        </w:trPr>
        <w:tc>
          <w:tcPr>
            <w:tcW w:w="197" w:type="dxa"/>
            <w:tcBorders>
              <w:top w:val="nil"/>
              <w:left w:val="nil"/>
              <w:bottom w:val="nil"/>
              <w:right w:val="nil"/>
            </w:tcBorders>
            <w:shd w:val="clear" w:color="000000" w:fill="FFFFFF"/>
            <w:noWrap/>
            <w:hideMark/>
          </w:tcPr>
          <w:p w14:paraId="5D719E00"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197" w:type="dxa"/>
            <w:tcBorders>
              <w:top w:val="nil"/>
              <w:left w:val="nil"/>
              <w:bottom w:val="nil"/>
              <w:right w:val="nil"/>
            </w:tcBorders>
            <w:shd w:val="clear" w:color="000000" w:fill="FFFFFF"/>
            <w:noWrap/>
            <w:hideMark/>
          </w:tcPr>
          <w:p w14:paraId="6AC75A96"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545" w:type="dxa"/>
            <w:tcBorders>
              <w:top w:val="nil"/>
              <w:left w:val="nil"/>
              <w:bottom w:val="nil"/>
              <w:right w:val="nil"/>
            </w:tcBorders>
            <w:shd w:val="clear" w:color="000000" w:fill="FFFFFF"/>
            <w:noWrap/>
            <w:hideMark/>
          </w:tcPr>
          <w:p w14:paraId="7CEB1E9B"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xml:space="preserve">MH </w:t>
            </w:r>
            <w:proofErr w:type="spellStart"/>
            <w:r w:rsidRPr="0033007E">
              <w:rPr>
                <w:rFonts w:eastAsia="Times New Roman" w:cs="Times New Roman"/>
                <w:sz w:val="20"/>
                <w:szCs w:val="20"/>
                <w:lang w:eastAsia="sk-SK"/>
              </w:rPr>
              <w:t>Invest</w:t>
            </w:r>
            <w:proofErr w:type="spellEnd"/>
            <w:r w:rsidRPr="0033007E">
              <w:rPr>
                <w:rFonts w:eastAsia="Times New Roman" w:cs="Times New Roman"/>
                <w:sz w:val="20"/>
                <w:szCs w:val="20"/>
                <w:lang w:eastAsia="sk-SK"/>
              </w:rPr>
              <w:t xml:space="preserve"> II, </w:t>
            </w:r>
            <w:proofErr w:type="spellStart"/>
            <w:r w:rsidRPr="0033007E">
              <w:rPr>
                <w:rFonts w:eastAsia="Times New Roman" w:cs="Times New Roman"/>
                <w:sz w:val="20"/>
                <w:szCs w:val="20"/>
                <w:lang w:eastAsia="sk-SK"/>
              </w:rPr>
              <w:t>s.r.o</w:t>
            </w:r>
            <w:proofErr w:type="spellEnd"/>
            <w:r w:rsidRPr="0033007E">
              <w:rPr>
                <w:rFonts w:eastAsia="Times New Roman" w:cs="Times New Roman"/>
                <w:sz w:val="20"/>
                <w:szCs w:val="20"/>
                <w:lang w:eastAsia="sk-SK"/>
              </w:rPr>
              <w:t>.</w:t>
            </w:r>
          </w:p>
        </w:tc>
        <w:tc>
          <w:tcPr>
            <w:tcW w:w="1029" w:type="dxa"/>
            <w:tcBorders>
              <w:top w:val="nil"/>
              <w:left w:val="nil"/>
              <w:bottom w:val="nil"/>
              <w:right w:val="nil"/>
            </w:tcBorders>
            <w:shd w:val="clear" w:color="000000" w:fill="FFFFFF"/>
            <w:noWrap/>
            <w:hideMark/>
          </w:tcPr>
          <w:p w14:paraId="630212B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-452</w:t>
            </w:r>
          </w:p>
        </w:tc>
        <w:tc>
          <w:tcPr>
            <w:tcW w:w="1028" w:type="dxa"/>
            <w:tcBorders>
              <w:top w:val="nil"/>
              <w:left w:val="nil"/>
              <w:bottom w:val="nil"/>
              <w:right w:val="nil"/>
            </w:tcBorders>
            <w:shd w:val="clear" w:color="000000" w:fill="FFFFFF"/>
            <w:noWrap/>
            <w:hideMark/>
          </w:tcPr>
          <w:p w14:paraId="61952B2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1 292</w:t>
            </w:r>
          </w:p>
        </w:tc>
        <w:tc>
          <w:tcPr>
            <w:tcW w:w="1068" w:type="dxa"/>
            <w:tcBorders>
              <w:top w:val="nil"/>
              <w:left w:val="nil"/>
              <w:bottom w:val="nil"/>
              <w:right w:val="nil"/>
            </w:tcBorders>
            <w:shd w:val="clear" w:color="000000" w:fill="FFFFFF"/>
            <w:noWrap/>
            <w:hideMark/>
          </w:tcPr>
          <w:p w14:paraId="32A48EB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2 314</w:t>
            </w:r>
          </w:p>
        </w:tc>
        <w:tc>
          <w:tcPr>
            <w:tcW w:w="1031" w:type="dxa"/>
            <w:tcBorders>
              <w:top w:val="nil"/>
              <w:left w:val="nil"/>
              <w:bottom w:val="nil"/>
              <w:right w:val="nil"/>
            </w:tcBorders>
            <w:shd w:val="clear" w:color="000000" w:fill="FFFFFF"/>
            <w:noWrap/>
            <w:hideMark/>
          </w:tcPr>
          <w:p w14:paraId="6E03FABD"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2 314</w:t>
            </w:r>
          </w:p>
        </w:tc>
        <w:tc>
          <w:tcPr>
            <w:tcW w:w="1063" w:type="dxa"/>
            <w:tcBorders>
              <w:top w:val="nil"/>
              <w:left w:val="nil"/>
              <w:bottom w:val="nil"/>
              <w:right w:val="nil"/>
            </w:tcBorders>
            <w:shd w:val="clear" w:color="000000" w:fill="FFFFFF"/>
            <w:noWrap/>
            <w:hideMark/>
          </w:tcPr>
          <w:p w14:paraId="29B712F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864</w:t>
            </w:r>
          </w:p>
        </w:tc>
        <w:tc>
          <w:tcPr>
            <w:tcW w:w="1019" w:type="dxa"/>
            <w:tcBorders>
              <w:top w:val="nil"/>
              <w:left w:val="nil"/>
              <w:bottom w:val="nil"/>
              <w:right w:val="nil"/>
            </w:tcBorders>
            <w:shd w:val="clear" w:color="000000" w:fill="FFFFFF"/>
            <w:noWrap/>
            <w:hideMark/>
          </w:tcPr>
          <w:p w14:paraId="6F5F02DD"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-1 450</w:t>
            </w:r>
          </w:p>
        </w:tc>
      </w:tr>
      <w:tr w:rsidR="003A0696" w:rsidRPr="00017648" w14:paraId="6C980A6C" w14:textId="77777777" w:rsidTr="003A0696">
        <w:trPr>
          <w:trHeight w:val="229"/>
        </w:trPr>
        <w:tc>
          <w:tcPr>
            <w:tcW w:w="197" w:type="dxa"/>
            <w:tcBorders>
              <w:top w:val="nil"/>
              <w:left w:val="nil"/>
              <w:bottom w:val="nil"/>
              <w:right w:val="nil"/>
            </w:tcBorders>
            <w:shd w:val="clear" w:color="000000" w:fill="FFFFFF"/>
            <w:noWrap/>
            <w:hideMark/>
          </w:tcPr>
          <w:p w14:paraId="6575BB9A"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197" w:type="dxa"/>
            <w:tcBorders>
              <w:top w:val="nil"/>
              <w:left w:val="nil"/>
              <w:bottom w:val="nil"/>
              <w:right w:val="nil"/>
            </w:tcBorders>
            <w:shd w:val="clear" w:color="000000" w:fill="FFFFFF"/>
            <w:noWrap/>
            <w:hideMark/>
          </w:tcPr>
          <w:p w14:paraId="70AB00AC"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545" w:type="dxa"/>
            <w:tcBorders>
              <w:top w:val="nil"/>
              <w:left w:val="nil"/>
              <w:bottom w:val="nil"/>
              <w:right w:val="nil"/>
            </w:tcBorders>
            <w:shd w:val="clear" w:color="000000" w:fill="FFFFFF"/>
            <w:noWrap/>
            <w:hideMark/>
          </w:tcPr>
          <w:p w14:paraId="6B45BEBE"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xml:space="preserve">JAVYS, </w:t>
            </w:r>
            <w:proofErr w:type="spellStart"/>
            <w:r w:rsidRPr="0033007E">
              <w:rPr>
                <w:rFonts w:eastAsia="Times New Roman" w:cs="Times New Roman"/>
                <w:sz w:val="20"/>
                <w:szCs w:val="20"/>
                <w:lang w:eastAsia="sk-SK"/>
              </w:rPr>
              <w:t>a.s</w:t>
            </w:r>
            <w:proofErr w:type="spellEnd"/>
            <w:r w:rsidRPr="0033007E">
              <w:rPr>
                <w:rFonts w:eastAsia="Times New Roman" w:cs="Times New Roman"/>
                <w:sz w:val="20"/>
                <w:szCs w:val="20"/>
                <w:lang w:eastAsia="sk-SK"/>
              </w:rPr>
              <w:t>.</w:t>
            </w:r>
          </w:p>
        </w:tc>
        <w:tc>
          <w:tcPr>
            <w:tcW w:w="1029" w:type="dxa"/>
            <w:tcBorders>
              <w:top w:val="nil"/>
              <w:left w:val="nil"/>
              <w:bottom w:val="nil"/>
              <w:right w:val="nil"/>
            </w:tcBorders>
            <w:shd w:val="clear" w:color="000000" w:fill="FFFFFF"/>
            <w:noWrap/>
            <w:hideMark/>
          </w:tcPr>
          <w:p w14:paraId="6DB36D64"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8 578</w:t>
            </w:r>
          </w:p>
        </w:tc>
        <w:tc>
          <w:tcPr>
            <w:tcW w:w="1028" w:type="dxa"/>
            <w:tcBorders>
              <w:top w:val="nil"/>
              <w:left w:val="nil"/>
              <w:bottom w:val="nil"/>
              <w:right w:val="nil"/>
            </w:tcBorders>
            <w:shd w:val="clear" w:color="000000" w:fill="FFFFFF"/>
            <w:noWrap/>
            <w:hideMark/>
          </w:tcPr>
          <w:p w14:paraId="1778849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2 973</w:t>
            </w:r>
          </w:p>
        </w:tc>
        <w:tc>
          <w:tcPr>
            <w:tcW w:w="1068" w:type="dxa"/>
            <w:tcBorders>
              <w:top w:val="nil"/>
              <w:left w:val="nil"/>
              <w:bottom w:val="nil"/>
              <w:right w:val="nil"/>
            </w:tcBorders>
            <w:shd w:val="clear" w:color="000000" w:fill="FFFFFF"/>
            <w:noWrap/>
            <w:hideMark/>
          </w:tcPr>
          <w:p w14:paraId="0583B162"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-42 200</w:t>
            </w:r>
          </w:p>
        </w:tc>
        <w:tc>
          <w:tcPr>
            <w:tcW w:w="1031" w:type="dxa"/>
            <w:tcBorders>
              <w:top w:val="nil"/>
              <w:left w:val="nil"/>
              <w:bottom w:val="nil"/>
              <w:right w:val="nil"/>
            </w:tcBorders>
            <w:shd w:val="clear" w:color="000000" w:fill="FFFFFF"/>
            <w:noWrap/>
            <w:hideMark/>
          </w:tcPr>
          <w:p w14:paraId="2838C13D"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-42 200</w:t>
            </w:r>
          </w:p>
        </w:tc>
        <w:tc>
          <w:tcPr>
            <w:tcW w:w="1063" w:type="dxa"/>
            <w:tcBorders>
              <w:top w:val="nil"/>
              <w:left w:val="nil"/>
              <w:bottom w:val="nil"/>
              <w:right w:val="nil"/>
            </w:tcBorders>
            <w:shd w:val="clear" w:color="000000" w:fill="FFFFFF"/>
            <w:noWrap/>
            <w:hideMark/>
          </w:tcPr>
          <w:p w14:paraId="245A035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1 741</w:t>
            </w:r>
          </w:p>
        </w:tc>
        <w:tc>
          <w:tcPr>
            <w:tcW w:w="1019" w:type="dxa"/>
            <w:tcBorders>
              <w:top w:val="nil"/>
              <w:left w:val="nil"/>
              <w:bottom w:val="nil"/>
              <w:right w:val="nil"/>
            </w:tcBorders>
            <w:shd w:val="clear" w:color="000000" w:fill="FFFFFF"/>
            <w:noWrap/>
            <w:hideMark/>
          </w:tcPr>
          <w:p w14:paraId="2C3E498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43 941</w:t>
            </w:r>
          </w:p>
        </w:tc>
      </w:tr>
      <w:tr w:rsidR="003A0696" w:rsidRPr="00017648" w14:paraId="3CA37609" w14:textId="77777777" w:rsidTr="003A0696">
        <w:trPr>
          <w:trHeight w:val="229"/>
        </w:trPr>
        <w:tc>
          <w:tcPr>
            <w:tcW w:w="197" w:type="dxa"/>
            <w:tcBorders>
              <w:top w:val="nil"/>
              <w:left w:val="nil"/>
              <w:bottom w:val="nil"/>
              <w:right w:val="nil"/>
            </w:tcBorders>
            <w:shd w:val="clear" w:color="000000" w:fill="FFFFFF"/>
            <w:noWrap/>
            <w:hideMark/>
          </w:tcPr>
          <w:p w14:paraId="1FD4C287"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197" w:type="dxa"/>
            <w:tcBorders>
              <w:top w:val="nil"/>
              <w:left w:val="nil"/>
              <w:bottom w:val="nil"/>
              <w:right w:val="nil"/>
            </w:tcBorders>
            <w:shd w:val="clear" w:color="000000" w:fill="FFFFFF"/>
            <w:noWrap/>
            <w:hideMark/>
          </w:tcPr>
          <w:p w14:paraId="40378118"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545" w:type="dxa"/>
            <w:tcBorders>
              <w:top w:val="nil"/>
              <w:left w:val="nil"/>
              <w:bottom w:val="nil"/>
              <w:right w:val="nil"/>
            </w:tcBorders>
            <w:shd w:val="clear" w:color="000000" w:fill="FFFFFF"/>
            <w:noWrap/>
            <w:hideMark/>
          </w:tcPr>
          <w:p w14:paraId="2C605D92"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Železnice Slovenskej republiky</w:t>
            </w:r>
          </w:p>
        </w:tc>
        <w:tc>
          <w:tcPr>
            <w:tcW w:w="1029" w:type="dxa"/>
            <w:tcBorders>
              <w:top w:val="nil"/>
              <w:left w:val="nil"/>
              <w:bottom w:val="nil"/>
              <w:right w:val="nil"/>
            </w:tcBorders>
            <w:shd w:val="clear" w:color="000000" w:fill="FFFFFF"/>
            <w:noWrap/>
            <w:hideMark/>
          </w:tcPr>
          <w:p w14:paraId="07F27A7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-10 050</w:t>
            </w:r>
          </w:p>
        </w:tc>
        <w:tc>
          <w:tcPr>
            <w:tcW w:w="1028" w:type="dxa"/>
            <w:tcBorders>
              <w:top w:val="nil"/>
              <w:left w:val="nil"/>
              <w:bottom w:val="nil"/>
              <w:right w:val="nil"/>
            </w:tcBorders>
            <w:shd w:val="clear" w:color="000000" w:fill="FFFFFF"/>
            <w:noWrap/>
            <w:hideMark/>
          </w:tcPr>
          <w:p w14:paraId="7C4FF0B4"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-18 146</w:t>
            </w:r>
          </w:p>
        </w:tc>
        <w:tc>
          <w:tcPr>
            <w:tcW w:w="1068" w:type="dxa"/>
            <w:tcBorders>
              <w:top w:val="nil"/>
              <w:left w:val="nil"/>
              <w:bottom w:val="nil"/>
              <w:right w:val="nil"/>
            </w:tcBorders>
            <w:shd w:val="clear" w:color="000000" w:fill="FFFFFF"/>
            <w:noWrap/>
            <w:hideMark/>
          </w:tcPr>
          <w:p w14:paraId="21D2175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-23 610</w:t>
            </w:r>
          </w:p>
        </w:tc>
        <w:tc>
          <w:tcPr>
            <w:tcW w:w="1031" w:type="dxa"/>
            <w:tcBorders>
              <w:top w:val="nil"/>
              <w:left w:val="nil"/>
              <w:bottom w:val="nil"/>
              <w:right w:val="nil"/>
            </w:tcBorders>
            <w:shd w:val="clear" w:color="000000" w:fill="FFFFFF"/>
            <w:noWrap/>
            <w:hideMark/>
          </w:tcPr>
          <w:p w14:paraId="13D51D86"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-23 610</w:t>
            </w:r>
          </w:p>
        </w:tc>
        <w:tc>
          <w:tcPr>
            <w:tcW w:w="1063" w:type="dxa"/>
            <w:tcBorders>
              <w:top w:val="nil"/>
              <w:left w:val="nil"/>
              <w:bottom w:val="nil"/>
              <w:right w:val="nil"/>
            </w:tcBorders>
            <w:shd w:val="clear" w:color="000000" w:fill="FFFFFF"/>
            <w:noWrap/>
            <w:hideMark/>
          </w:tcPr>
          <w:p w14:paraId="71DA5FC4"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88 571</w:t>
            </w:r>
          </w:p>
        </w:tc>
        <w:tc>
          <w:tcPr>
            <w:tcW w:w="1019" w:type="dxa"/>
            <w:tcBorders>
              <w:top w:val="nil"/>
              <w:left w:val="nil"/>
              <w:bottom w:val="nil"/>
              <w:right w:val="nil"/>
            </w:tcBorders>
            <w:shd w:val="clear" w:color="000000" w:fill="FFFFFF"/>
            <w:noWrap/>
            <w:hideMark/>
          </w:tcPr>
          <w:p w14:paraId="6198C3F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112 181</w:t>
            </w:r>
          </w:p>
        </w:tc>
      </w:tr>
      <w:tr w:rsidR="003A0696" w:rsidRPr="00017648" w14:paraId="096EEFDA" w14:textId="77777777" w:rsidTr="003A0696">
        <w:trPr>
          <w:trHeight w:val="229"/>
        </w:trPr>
        <w:tc>
          <w:tcPr>
            <w:tcW w:w="197" w:type="dxa"/>
            <w:tcBorders>
              <w:top w:val="nil"/>
              <w:left w:val="nil"/>
              <w:bottom w:val="nil"/>
              <w:right w:val="nil"/>
            </w:tcBorders>
            <w:shd w:val="clear" w:color="000000" w:fill="FFFFFF"/>
            <w:noWrap/>
            <w:hideMark/>
          </w:tcPr>
          <w:p w14:paraId="65F408CA"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197" w:type="dxa"/>
            <w:tcBorders>
              <w:top w:val="nil"/>
              <w:left w:val="nil"/>
              <w:bottom w:val="nil"/>
              <w:right w:val="nil"/>
            </w:tcBorders>
            <w:shd w:val="clear" w:color="000000" w:fill="FFFFFF"/>
            <w:noWrap/>
            <w:hideMark/>
          </w:tcPr>
          <w:p w14:paraId="5E021F33"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545" w:type="dxa"/>
            <w:tcBorders>
              <w:top w:val="nil"/>
              <w:left w:val="nil"/>
              <w:bottom w:val="nil"/>
              <w:right w:val="nil"/>
            </w:tcBorders>
            <w:shd w:val="clear" w:color="000000" w:fill="FFFFFF"/>
            <w:noWrap/>
            <w:hideMark/>
          </w:tcPr>
          <w:p w14:paraId="1273BDFF"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xml:space="preserve">Železničná spoločnosť Slovensko, </w:t>
            </w:r>
            <w:proofErr w:type="spellStart"/>
            <w:r w:rsidRPr="0033007E">
              <w:rPr>
                <w:rFonts w:eastAsia="Times New Roman" w:cs="Times New Roman"/>
                <w:sz w:val="20"/>
                <w:szCs w:val="20"/>
                <w:lang w:eastAsia="sk-SK"/>
              </w:rPr>
              <w:t>a.s</w:t>
            </w:r>
            <w:proofErr w:type="spellEnd"/>
            <w:r w:rsidRPr="0033007E">
              <w:rPr>
                <w:rFonts w:eastAsia="Times New Roman" w:cs="Times New Roman"/>
                <w:sz w:val="20"/>
                <w:szCs w:val="20"/>
                <w:lang w:eastAsia="sk-SK"/>
              </w:rPr>
              <w:t>.</w:t>
            </w:r>
          </w:p>
        </w:tc>
        <w:tc>
          <w:tcPr>
            <w:tcW w:w="1029" w:type="dxa"/>
            <w:tcBorders>
              <w:top w:val="nil"/>
              <w:left w:val="nil"/>
              <w:bottom w:val="nil"/>
              <w:right w:val="nil"/>
            </w:tcBorders>
            <w:shd w:val="clear" w:color="000000" w:fill="FFFFFF"/>
            <w:noWrap/>
            <w:hideMark/>
          </w:tcPr>
          <w:p w14:paraId="7D4CAAA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-87 861</w:t>
            </w:r>
          </w:p>
        </w:tc>
        <w:tc>
          <w:tcPr>
            <w:tcW w:w="1028" w:type="dxa"/>
            <w:tcBorders>
              <w:top w:val="nil"/>
              <w:left w:val="nil"/>
              <w:bottom w:val="nil"/>
              <w:right w:val="nil"/>
            </w:tcBorders>
            <w:shd w:val="clear" w:color="000000" w:fill="FFFFFF"/>
            <w:noWrap/>
            <w:hideMark/>
          </w:tcPr>
          <w:p w14:paraId="013B289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187 769</w:t>
            </w:r>
          </w:p>
        </w:tc>
        <w:tc>
          <w:tcPr>
            <w:tcW w:w="1068" w:type="dxa"/>
            <w:tcBorders>
              <w:top w:val="nil"/>
              <w:left w:val="nil"/>
              <w:bottom w:val="nil"/>
              <w:right w:val="nil"/>
            </w:tcBorders>
            <w:shd w:val="clear" w:color="000000" w:fill="FFFFFF"/>
            <w:noWrap/>
            <w:hideMark/>
          </w:tcPr>
          <w:p w14:paraId="5591595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863</w:t>
            </w:r>
          </w:p>
        </w:tc>
        <w:tc>
          <w:tcPr>
            <w:tcW w:w="1031" w:type="dxa"/>
            <w:tcBorders>
              <w:top w:val="nil"/>
              <w:left w:val="nil"/>
              <w:bottom w:val="nil"/>
              <w:right w:val="nil"/>
            </w:tcBorders>
            <w:shd w:val="clear" w:color="000000" w:fill="FFFFFF"/>
            <w:noWrap/>
            <w:hideMark/>
          </w:tcPr>
          <w:p w14:paraId="441C22D6"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863</w:t>
            </w:r>
          </w:p>
        </w:tc>
        <w:tc>
          <w:tcPr>
            <w:tcW w:w="1063" w:type="dxa"/>
            <w:tcBorders>
              <w:top w:val="nil"/>
              <w:left w:val="nil"/>
              <w:bottom w:val="nil"/>
              <w:right w:val="nil"/>
            </w:tcBorders>
            <w:shd w:val="clear" w:color="000000" w:fill="FFFFFF"/>
            <w:noWrap/>
            <w:hideMark/>
          </w:tcPr>
          <w:p w14:paraId="067149B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10 207</w:t>
            </w:r>
          </w:p>
        </w:tc>
        <w:tc>
          <w:tcPr>
            <w:tcW w:w="1019" w:type="dxa"/>
            <w:tcBorders>
              <w:top w:val="nil"/>
              <w:left w:val="nil"/>
              <w:bottom w:val="nil"/>
              <w:right w:val="nil"/>
            </w:tcBorders>
            <w:shd w:val="clear" w:color="000000" w:fill="FFFFFF"/>
            <w:noWrap/>
            <w:hideMark/>
          </w:tcPr>
          <w:p w14:paraId="43254FB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9 344</w:t>
            </w:r>
          </w:p>
        </w:tc>
      </w:tr>
      <w:tr w:rsidR="003A0696" w:rsidRPr="00017648" w14:paraId="3A63E88E" w14:textId="77777777" w:rsidTr="003A0696">
        <w:trPr>
          <w:trHeight w:val="229"/>
        </w:trPr>
        <w:tc>
          <w:tcPr>
            <w:tcW w:w="197" w:type="dxa"/>
            <w:tcBorders>
              <w:top w:val="nil"/>
              <w:left w:val="nil"/>
              <w:bottom w:val="nil"/>
              <w:right w:val="nil"/>
            </w:tcBorders>
            <w:shd w:val="clear" w:color="000000" w:fill="FFFFFF"/>
            <w:noWrap/>
            <w:hideMark/>
          </w:tcPr>
          <w:p w14:paraId="7FF43AA9"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197" w:type="dxa"/>
            <w:tcBorders>
              <w:top w:val="nil"/>
              <w:left w:val="nil"/>
              <w:bottom w:val="nil"/>
              <w:right w:val="nil"/>
            </w:tcBorders>
            <w:shd w:val="clear" w:color="000000" w:fill="FFFFFF"/>
            <w:noWrap/>
            <w:hideMark/>
          </w:tcPr>
          <w:p w14:paraId="577B55A3"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545" w:type="dxa"/>
            <w:tcBorders>
              <w:top w:val="nil"/>
              <w:left w:val="nil"/>
              <w:bottom w:val="nil"/>
              <w:right w:val="nil"/>
            </w:tcBorders>
            <w:shd w:val="clear" w:color="000000" w:fill="FFFFFF"/>
            <w:noWrap/>
            <w:hideMark/>
          </w:tcPr>
          <w:p w14:paraId="31912BF4"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xml:space="preserve">Národná diaľničná spoločnosť, </w:t>
            </w:r>
            <w:proofErr w:type="spellStart"/>
            <w:r w:rsidRPr="0033007E">
              <w:rPr>
                <w:rFonts w:eastAsia="Times New Roman" w:cs="Times New Roman"/>
                <w:sz w:val="20"/>
                <w:szCs w:val="20"/>
                <w:lang w:eastAsia="sk-SK"/>
              </w:rPr>
              <w:t>a.s</w:t>
            </w:r>
            <w:proofErr w:type="spellEnd"/>
            <w:r w:rsidRPr="0033007E">
              <w:rPr>
                <w:rFonts w:eastAsia="Times New Roman" w:cs="Times New Roman"/>
                <w:sz w:val="20"/>
                <w:szCs w:val="20"/>
                <w:lang w:eastAsia="sk-SK"/>
              </w:rPr>
              <w:t>.</w:t>
            </w:r>
          </w:p>
        </w:tc>
        <w:tc>
          <w:tcPr>
            <w:tcW w:w="1029" w:type="dxa"/>
            <w:tcBorders>
              <w:top w:val="nil"/>
              <w:left w:val="nil"/>
              <w:bottom w:val="nil"/>
              <w:right w:val="nil"/>
            </w:tcBorders>
            <w:shd w:val="clear" w:color="000000" w:fill="FFFFFF"/>
            <w:noWrap/>
            <w:hideMark/>
          </w:tcPr>
          <w:p w14:paraId="294FEC0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112 294</w:t>
            </w:r>
          </w:p>
        </w:tc>
        <w:tc>
          <w:tcPr>
            <w:tcW w:w="1028" w:type="dxa"/>
            <w:tcBorders>
              <w:top w:val="nil"/>
              <w:left w:val="nil"/>
              <w:bottom w:val="nil"/>
              <w:right w:val="nil"/>
            </w:tcBorders>
            <w:shd w:val="clear" w:color="000000" w:fill="FFFFFF"/>
            <w:noWrap/>
            <w:hideMark/>
          </w:tcPr>
          <w:p w14:paraId="7A1ED82D"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-11 721</w:t>
            </w:r>
          </w:p>
        </w:tc>
        <w:tc>
          <w:tcPr>
            <w:tcW w:w="1068" w:type="dxa"/>
            <w:tcBorders>
              <w:top w:val="nil"/>
              <w:left w:val="nil"/>
              <w:bottom w:val="nil"/>
              <w:right w:val="nil"/>
            </w:tcBorders>
            <w:shd w:val="clear" w:color="000000" w:fill="FFFFFF"/>
            <w:noWrap/>
            <w:hideMark/>
          </w:tcPr>
          <w:p w14:paraId="0C583E6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45 767</w:t>
            </w:r>
          </w:p>
        </w:tc>
        <w:tc>
          <w:tcPr>
            <w:tcW w:w="1031" w:type="dxa"/>
            <w:tcBorders>
              <w:top w:val="nil"/>
              <w:left w:val="nil"/>
              <w:bottom w:val="nil"/>
              <w:right w:val="nil"/>
            </w:tcBorders>
            <w:shd w:val="clear" w:color="000000" w:fill="FFFFFF"/>
            <w:noWrap/>
            <w:hideMark/>
          </w:tcPr>
          <w:p w14:paraId="305F635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45 767</w:t>
            </w:r>
          </w:p>
        </w:tc>
        <w:tc>
          <w:tcPr>
            <w:tcW w:w="1063" w:type="dxa"/>
            <w:tcBorders>
              <w:top w:val="nil"/>
              <w:left w:val="nil"/>
              <w:bottom w:val="nil"/>
              <w:right w:val="nil"/>
            </w:tcBorders>
            <w:shd w:val="clear" w:color="000000" w:fill="FFFFFF"/>
            <w:noWrap/>
            <w:hideMark/>
          </w:tcPr>
          <w:p w14:paraId="5671E91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-44 957</w:t>
            </w:r>
          </w:p>
        </w:tc>
        <w:tc>
          <w:tcPr>
            <w:tcW w:w="1019" w:type="dxa"/>
            <w:tcBorders>
              <w:top w:val="nil"/>
              <w:left w:val="nil"/>
              <w:bottom w:val="nil"/>
              <w:right w:val="nil"/>
            </w:tcBorders>
            <w:shd w:val="clear" w:color="000000" w:fill="FFFFFF"/>
            <w:noWrap/>
            <w:hideMark/>
          </w:tcPr>
          <w:p w14:paraId="6B0859A4"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-90 724</w:t>
            </w:r>
          </w:p>
        </w:tc>
      </w:tr>
      <w:tr w:rsidR="003A0696" w:rsidRPr="00017648" w14:paraId="53989C25" w14:textId="77777777" w:rsidTr="003A0696">
        <w:trPr>
          <w:trHeight w:val="229"/>
        </w:trPr>
        <w:tc>
          <w:tcPr>
            <w:tcW w:w="197" w:type="dxa"/>
            <w:tcBorders>
              <w:top w:val="nil"/>
              <w:left w:val="nil"/>
              <w:bottom w:val="nil"/>
              <w:right w:val="nil"/>
            </w:tcBorders>
            <w:shd w:val="clear" w:color="000000" w:fill="FFFFFF"/>
            <w:noWrap/>
            <w:hideMark/>
          </w:tcPr>
          <w:p w14:paraId="25DD72B8"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197" w:type="dxa"/>
            <w:tcBorders>
              <w:top w:val="nil"/>
              <w:left w:val="nil"/>
              <w:bottom w:val="nil"/>
              <w:right w:val="nil"/>
            </w:tcBorders>
            <w:shd w:val="clear" w:color="000000" w:fill="FFFFFF"/>
            <w:noWrap/>
            <w:hideMark/>
          </w:tcPr>
          <w:p w14:paraId="3B86BC3C"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545" w:type="dxa"/>
            <w:tcBorders>
              <w:top w:val="nil"/>
              <w:left w:val="nil"/>
              <w:bottom w:val="nil"/>
              <w:right w:val="nil"/>
            </w:tcBorders>
            <w:shd w:val="clear" w:color="000000" w:fill="FFFFFF"/>
            <w:noWrap/>
            <w:hideMark/>
          </w:tcPr>
          <w:p w14:paraId="3AF016E6"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xml:space="preserve">Slovenská konsolidačná, </w:t>
            </w:r>
            <w:proofErr w:type="spellStart"/>
            <w:r w:rsidRPr="0033007E">
              <w:rPr>
                <w:rFonts w:eastAsia="Times New Roman" w:cs="Times New Roman"/>
                <w:sz w:val="20"/>
                <w:szCs w:val="20"/>
                <w:lang w:eastAsia="sk-SK"/>
              </w:rPr>
              <w:t>a.s</w:t>
            </w:r>
            <w:proofErr w:type="spellEnd"/>
            <w:r w:rsidRPr="0033007E">
              <w:rPr>
                <w:rFonts w:eastAsia="Times New Roman" w:cs="Times New Roman"/>
                <w:sz w:val="20"/>
                <w:szCs w:val="20"/>
                <w:lang w:eastAsia="sk-SK"/>
              </w:rPr>
              <w:t>.</w:t>
            </w:r>
          </w:p>
        </w:tc>
        <w:tc>
          <w:tcPr>
            <w:tcW w:w="1029" w:type="dxa"/>
            <w:tcBorders>
              <w:top w:val="nil"/>
              <w:left w:val="nil"/>
              <w:bottom w:val="nil"/>
              <w:right w:val="nil"/>
            </w:tcBorders>
            <w:shd w:val="clear" w:color="000000" w:fill="FFFFFF"/>
            <w:noWrap/>
            <w:hideMark/>
          </w:tcPr>
          <w:p w14:paraId="27AB4BE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-9 337</w:t>
            </w:r>
          </w:p>
        </w:tc>
        <w:tc>
          <w:tcPr>
            <w:tcW w:w="1028" w:type="dxa"/>
            <w:tcBorders>
              <w:top w:val="nil"/>
              <w:left w:val="nil"/>
              <w:bottom w:val="nil"/>
              <w:right w:val="nil"/>
            </w:tcBorders>
            <w:shd w:val="clear" w:color="000000" w:fill="FFFFFF"/>
            <w:noWrap/>
            <w:hideMark/>
          </w:tcPr>
          <w:p w14:paraId="718A8D7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-2 780</w:t>
            </w:r>
          </w:p>
        </w:tc>
        <w:tc>
          <w:tcPr>
            <w:tcW w:w="1068" w:type="dxa"/>
            <w:tcBorders>
              <w:top w:val="nil"/>
              <w:left w:val="nil"/>
              <w:bottom w:val="nil"/>
              <w:right w:val="nil"/>
            </w:tcBorders>
            <w:shd w:val="clear" w:color="000000" w:fill="FFFFFF"/>
            <w:noWrap/>
            <w:hideMark/>
          </w:tcPr>
          <w:p w14:paraId="6B61035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-4 728</w:t>
            </w:r>
          </w:p>
        </w:tc>
        <w:tc>
          <w:tcPr>
            <w:tcW w:w="1031" w:type="dxa"/>
            <w:tcBorders>
              <w:top w:val="nil"/>
              <w:left w:val="nil"/>
              <w:bottom w:val="nil"/>
              <w:right w:val="nil"/>
            </w:tcBorders>
            <w:shd w:val="clear" w:color="000000" w:fill="FFFFFF"/>
            <w:noWrap/>
            <w:hideMark/>
          </w:tcPr>
          <w:p w14:paraId="03C8F732"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-4 728</w:t>
            </w:r>
          </w:p>
        </w:tc>
        <w:tc>
          <w:tcPr>
            <w:tcW w:w="1063" w:type="dxa"/>
            <w:tcBorders>
              <w:top w:val="nil"/>
              <w:left w:val="nil"/>
              <w:bottom w:val="nil"/>
              <w:right w:val="nil"/>
            </w:tcBorders>
            <w:shd w:val="clear" w:color="000000" w:fill="FFFFFF"/>
            <w:noWrap/>
            <w:hideMark/>
          </w:tcPr>
          <w:p w14:paraId="4FBFF8A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3 544</w:t>
            </w:r>
          </w:p>
        </w:tc>
        <w:tc>
          <w:tcPr>
            <w:tcW w:w="1019" w:type="dxa"/>
            <w:tcBorders>
              <w:top w:val="nil"/>
              <w:left w:val="nil"/>
              <w:bottom w:val="nil"/>
              <w:right w:val="nil"/>
            </w:tcBorders>
            <w:shd w:val="clear" w:color="000000" w:fill="FFFFFF"/>
            <w:noWrap/>
            <w:hideMark/>
          </w:tcPr>
          <w:p w14:paraId="12B20C9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8 272</w:t>
            </w:r>
          </w:p>
        </w:tc>
      </w:tr>
      <w:tr w:rsidR="003A0696" w:rsidRPr="00017648" w14:paraId="3280C5D1" w14:textId="77777777" w:rsidTr="003A0696">
        <w:trPr>
          <w:trHeight w:val="229"/>
        </w:trPr>
        <w:tc>
          <w:tcPr>
            <w:tcW w:w="197" w:type="dxa"/>
            <w:tcBorders>
              <w:top w:val="nil"/>
              <w:left w:val="nil"/>
              <w:bottom w:val="nil"/>
              <w:right w:val="nil"/>
            </w:tcBorders>
            <w:shd w:val="clear" w:color="000000" w:fill="FFFFFF"/>
            <w:noWrap/>
            <w:hideMark/>
          </w:tcPr>
          <w:p w14:paraId="20AB1B40"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5F4117A0"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Verejné vysoké školy</w:t>
            </w:r>
          </w:p>
        </w:tc>
        <w:tc>
          <w:tcPr>
            <w:tcW w:w="1029" w:type="dxa"/>
            <w:tcBorders>
              <w:top w:val="nil"/>
              <w:left w:val="nil"/>
              <w:bottom w:val="nil"/>
              <w:right w:val="nil"/>
            </w:tcBorders>
            <w:shd w:val="clear" w:color="000000" w:fill="FFFFFF"/>
            <w:noWrap/>
            <w:hideMark/>
          </w:tcPr>
          <w:p w14:paraId="5F3449DD"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105 938</w:t>
            </w:r>
          </w:p>
        </w:tc>
        <w:tc>
          <w:tcPr>
            <w:tcW w:w="1028" w:type="dxa"/>
            <w:tcBorders>
              <w:top w:val="nil"/>
              <w:left w:val="nil"/>
              <w:bottom w:val="nil"/>
              <w:right w:val="nil"/>
            </w:tcBorders>
            <w:shd w:val="clear" w:color="000000" w:fill="FFFFFF"/>
            <w:noWrap/>
            <w:hideMark/>
          </w:tcPr>
          <w:p w14:paraId="74027CF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40 394</w:t>
            </w:r>
          </w:p>
        </w:tc>
        <w:tc>
          <w:tcPr>
            <w:tcW w:w="1068" w:type="dxa"/>
            <w:tcBorders>
              <w:top w:val="nil"/>
              <w:left w:val="nil"/>
              <w:bottom w:val="nil"/>
              <w:right w:val="nil"/>
            </w:tcBorders>
            <w:shd w:val="clear" w:color="000000" w:fill="FFFFFF"/>
            <w:noWrap/>
            <w:hideMark/>
          </w:tcPr>
          <w:p w14:paraId="1E81468F"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206</w:t>
            </w:r>
          </w:p>
        </w:tc>
        <w:tc>
          <w:tcPr>
            <w:tcW w:w="1031" w:type="dxa"/>
            <w:tcBorders>
              <w:top w:val="nil"/>
              <w:left w:val="nil"/>
              <w:bottom w:val="nil"/>
              <w:right w:val="nil"/>
            </w:tcBorders>
            <w:shd w:val="clear" w:color="000000" w:fill="FFFFFF"/>
            <w:noWrap/>
            <w:hideMark/>
          </w:tcPr>
          <w:p w14:paraId="607C973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206</w:t>
            </w:r>
          </w:p>
        </w:tc>
        <w:tc>
          <w:tcPr>
            <w:tcW w:w="1063" w:type="dxa"/>
            <w:tcBorders>
              <w:top w:val="nil"/>
              <w:left w:val="nil"/>
              <w:bottom w:val="nil"/>
              <w:right w:val="nil"/>
            </w:tcBorders>
            <w:shd w:val="clear" w:color="000000" w:fill="FFFFFF"/>
            <w:noWrap/>
            <w:hideMark/>
          </w:tcPr>
          <w:p w14:paraId="26C20CD2"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1 200</w:t>
            </w:r>
          </w:p>
        </w:tc>
        <w:tc>
          <w:tcPr>
            <w:tcW w:w="1019" w:type="dxa"/>
            <w:tcBorders>
              <w:top w:val="nil"/>
              <w:left w:val="nil"/>
              <w:bottom w:val="nil"/>
              <w:right w:val="nil"/>
            </w:tcBorders>
            <w:shd w:val="clear" w:color="000000" w:fill="FFFFFF"/>
            <w:noWrap/>
            <w:hideMark/>
          </w:tcPr>
          <w:p w14:paraId="7D72A71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994</w:t>
            </w:r>
          </w:p>
        </w:tc>
      </w:tr>
      <w:tr w:rsidR="003A0696" w:rsidRPr="00017648" w14:paraId="41B35ACB" w14:textId="77777777" w:rsidTr="003A0696">
        <w:trPr>
          <w:trHeight w:val="229"/>
        </w:trPr>
        <w:tc>
          <w:tcPr>
            <w:tcW w:w="197" w:type="dxa"/>
            <w:tcBorders>
              <w:top w:val="nil"/>
              <w:left w:val="nil"/>
              <w:bottom w:val="nil"/>
              <w:right w:val="nil"/>
            </w:tcBorders>
            <w:shd w:val="clear" w:color="000000" w:fill="FFFFFF"/>
            <w:noWrap/>
            <w:hideMark/>
          </w:tcPr>
          <w:p w14:paraId="1131C011"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3CA1F72F"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Verejné výskumné inštitúcie</w:t>
            </w:r>
          </w:p>
        </w:tc>
        <w:tc>
          <w:tcPr>
            <w:tcW w:w="1029" w:type="dxa"/>
            <w:tcBorders>
              <w:top w:val="nil"/>
              <w:left w:val="nil"/>
              <w:bottom w:val="nil"/>
              <w:right w:val="nil"/>
            </w:tcBorders>
            <w:shd w:val="clear" w:color="000000" w:fill="FFFFFF"/>
            <w:noWrap/>
            <w:hideMark/>
          </w:tcPr>
          <w:p w14:paraId="2C94A9F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0</w:t>
            </w:r>
          </w:p>
        </w:tc>
        <w:tc>
          <w:tcPr>
            <w:tcW w:w="1028" w:type="dxa"/>
            <w:tcBorders>
              <w:top w:val="nil"/>
              <w:left w:val="nil"/>
              <w:bottom w:val="nil"/>
              <w:right w:val="nil"/>
            </w:tcBorders>
            <w:shd w:val="clear" w:color="000000" w:fill="FFFFFF"/>
            <w:noWrap/>
            <w:hideMark/>
          </w:tcPr>
          <w:p w14:paraId="5E48D45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0</w:t>
            </w:r>
          </w:p>
        </w:tc>
        <w:tc>
          <w:tcPr>
            <w:tcW w:w="1068" w:type="dxa"/>
            <w:tcBorders>
              <w:top w:val="nil"/>
              <w:left w:val="nil"/>
              <w:bottom w:val="nil"/>
              <w:right w:val="nil"/>
            </w:tcBorders>
            <w:shd w:val="clear" w:color="000000" w:fill="FFFFFF"/>
            <w:noWrap/>
            <w:hideMark/>
          </w:tcPr>
          <w:p w14:paraId="2B074AF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0</w:t>
            </w:r>
          </w:p>
        </w:tc>
        <w:tc>
          <w:tcPr>
            <w:tcW w:w="1031" w:type="dxa"/>
            <w:tcBorders>
              <w:top w:val="nil"/>
              <w:left w:val="nil"/>
              <w:bottom w:val="nil"/>
              <w:right w:val="nil"/>
            </w:tcBorders>
            <w:shd w:val="clear" w:color="000000" w:fill="FFFFFF"/>
            <w:noWrap/>
            <w:hideMark/>
          </w:tcPr>
          <w:p w14:paraId="51D3265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0</w:t>
            </w:r>
          </w:p>
        </w:tc>
        <w:tc>
          <w:tcPr>
            <w:tcW w:w="1063" w:type="dxa"/>
            <w:tcBorders>
              <w:top w:val="nil"/>
              <w:left w:val="nil"/>
              <w:bottom w:val="nil"/>
              <w:right w:val="nil"/>
            </w:tcBorders>
            <w:shd w:val="clear" w:color="000000" w:fill="FFFFFF"/>
            <w:noWrap/>
            <w:hideMark/>
          </w:tcPr>
          <w:p w14:paraId="2C72BE2F"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2 181</w:t>
            </w:r>
          </w:p>
        </w:tc>
        <w:tc>
          <w:tcPr>
            <w:tcW w:w="1019" w:type="dxa"/>
            <w:tcBorders>
              <w:top w:val="nil"/>
              <w:left w:val="nil"/>
              <w:bottom w:val="nil"/>
              <w:right w:val="nil"/>
            </w:tcBorders>
            <w:shd w:val="clear" w:color="000000" w:fill="FFFFFF"/>
            <w:noWrap/>
            <w:hideMark/>
          </w:tcPr>
          <w:p w14:paraId="48F6DE1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2 181</w:t>
            </w:r>
          </w:p>
        </w:tc>
      </w:tr>
      <w:tr w:rsidR="003A0696" w:rsidRPr="00017648" w14:paraId="4321EF2B" w14:textId="77777777" w:rsidTr="003A0696">
        <w:trPr>
          <w:trHeight w:val="229"/>
        </w:trPr>
        <w:tc>
          <w:tcPr>
            <w:tcW w:w="197" w:type="dxa"/>
            <w:tcBorders>
              <w:top w:val="nil"/>
              <w:left w:val="nil"/>
              <w:bottom w:val="nil"/>
              <w:right w:val="nil"/>
            </w:tcBorders>
            <w:shd w:val="clear" w:color="000000" w:fill="FFFFFF"/>
            <w:noWrap/>
            <w:hideMark/>
          </w:tcPr>
          <w:p w14:paraId="18AF054D"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0D6B0F80"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Zdravotnícke zariadenia ústrednej správy</w:t>
            </w:r>
          </w:p>
        </w:tc>
        <w:tc>
          <w:tcPr>
            <w:tcW w:w="1029" w:type="dxa"/>
            <w:tcBorders>
              <w:top w:val="nil"/>
              <w:left w:val="nil"/>
              <w:bottom w:val="nil"/>
              <w:right w:val="nil"/>
            </w:tcBorders>
            <w:shd w:val="clear" w:color="000000" w:fill="FFFFFF"/>
            <w:noWrap/>
            <w:hideMark/>
          </w:tcPr>
          <w:p w14:paraId="5F3E61A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-47 352</w:t>
            </w:r>
          </w:p>
        </w:tc>
        <w:tc>
          <w:tcPr>
            <w:tcW w:w="1028" w:type="dxa"/>
            <w:tcBorders>
              <w:top w:val="nil"/>
              <w:left w:val="nil"/>
              <w:bottom w:val="nil"/>
              <w:right w:val="nil"/>
            </w:tcBorders>
            <w:shd w:val="clear" w:color="000000" w:fill="FFFFFF"/>
            <w:noWrap/>
            <w:hideMark/>
          </w:tcPr>
          <w:p w14:paraId="773496A2"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-45 957</w:t>
            </w:r>
          </w:p>
        </w:tc>
        <w:tc>
          <w:tcPr>
            <w:tcW w:w="1068" w:type="dxa"/>
            <w:tcBorders>
              <w:top w:val="nil"/>
              <w:left w:val="nil"/>
              <w:bottom w:val="nil"/>
              <w:right w:val="nil"/>
            </w:tcBorders>
            <w:shd w:val="clear" w:color="000000" w:fill="FFFFFF"/>
            <w:noWrap/>
            <w:hideMark/>
          </w:tcPr>
          <w:p w14:paraId="3783BEB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-12 208</w:t>
            </w:r>
          </w:p>
        </w:tc>
        <w:tc>
          <w:tcPr>
            <w:tcW w:w="1031" w:type="dxa"/>
            <w:tcBorders>
              <w:top w:val="nil"/>
              <w:left w:val="nil"/>
              <w:bottom w:val="nil"/>
              <w:right w:val="nil"/>
            </w:tcBorders>
            <w:shd w:val="clear" w:color="000000" w:fill="FFFFFF"/>
            <w:noWrap/>
            <w:hideMark/>
          </w:tcPr>
          <w:p w14:paraId="543726E6"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-12 208</w:t>
            </w:r>
          </w:p>
        </w:tc>
        <w:tc>
          <w:tcPr>
            <w:tcW w:w="1063" w:type="dxa"/>
            <w:tcBorders>
              <w:top w:val="nil"/>
              <w:left w:val="nil"/>
              <w:bottom w:val="nil"/>
              <w:right w:val="nil"/>
            </w:tcBorders>
            <w:shd w:val="clear" w:color="000000" w:fill="FFFFFF"/>
            <w:noWrap/>
            <w:hideMark/>
          </w:tcPr>
          <w:p w14:paraId="62DC31E6"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250 920</w:t>
            </w:r>
          </w:p>
        </w:tc>
        <w:tc>
          <w:tcPr>
            <w:tcW w:w="1019" w:type="dxa"/>
            <w:tcBorders>
              <w:top w:val="nil"/>
              <w:left w:val="nil"/>
              <w:bottom w:val="nil"/>
              <w:right w:val="nil"/>
            </w:tcBorders>
            <w:shd w:val="clear" w:color="000000" w:fill="FFFFFF"/>
            <w:noWrap/>
            <w:hideMark/>
          </w:tcPr>
          <w:p w14:paraId="3473376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263 128</w:t>
            </w:r>
          </w:p>
        </w:tc>
      </w:tr>
      <w:tr w:rsidR="003A0696" w:rsidRPr="00017648" w14:paraId="09ADA130" w14:textId="77777777" w:rsidTr="003A0696">
        <w:trPr>
          <w:trHeight w:val="229"/>
        </w:trPr>
        <w:tc>
          <w:tcPr>
            <w:tcW w:w="197" w:type="dxa"/>
            <w:tcBorders>
              <w:top w:val="nil"/>
              <w:left w:val="nil"/>
              <w:bottom w:val="nil"/>
              <w:right w:val="nil"/>
            </w:tcBorders>
            <w:shd w:val="clear" w:color="000000" w:fill="FFFFFF"/>
            <w:noWrap/>
            <w:hideMark/>
          </w:tcPr>
          <w:p w14:paraId="07E122A9" w14:textId="77777777" w:rsidR="003A0696" w:rsidRPr="0033007E" w:rsidRDefault="003A0696" w:rsidP="003A0696">
            <w:pPr>
              <w:spacing w:after="0" w:line="240" w:lineRule="auto"/>
              <w:jc w:val="righ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62FB5F4C"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Ostatné subjekty ústrednej správy</w:t>
            </w:r>
          </w:p>
        </w:tc>
        <w:tc>
          <w:tcPr>
            <w:tcW w:w="1029" w:type="dxa"/>
            <w:tcBorders>
              <w:top w:val="nil"/>
              <w:left w:val="nil"/>
              <w:bottom w:val="nil"/>
              <w:right w:val="nil"/>
            </w:tcBorders>
            <w:shd w:val="clear" w:color="000000" w:fill="FFFFFF"/>
            <w:noWrap/>
            <w:hideMark/>
          </w:tcPr>
          <w:p w14:paraId="6083BF66"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5 587</w:t>
            </w:r>
          </w:p>
        </w:tc>
        <w:tc>
          <w:tcPr>
            <w:tcW w:w="1028" w:type="dxa"/>
            <w:tcBorders>
              <w:top w:val="nil"/>
              <w:left w:val="nil"/>
              <w:bottom w:val="nil"/>
              <w:right w:val="nil"/>
            </w:tcBorders>
            <w:shd w:val="clear" w:color="000000" w:fill="FFFFFF"/>
            <w:noWrap/>
            <w:hideMark/>
          </w:tcPr>
          <w:p w14:paraId="39528F4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140 001</w:t>
            </w:r>
          </w:p>
        </w:tc>
        <w:tc>
          <w:tcPr>
            <w:tcW w:w="1068" w:type="dxa"/>
            <w:tcBorders>
              <w:top w:val="nil"/>
              <w:left w:val="nil"/>
              <w:bottom w:val="nil"/>
              <w:right w:val="nil"/>
            </w:tcBorders>
            <w:shd w:val="clear" w:color="000000" w:fill="FFFFFF"/>
            <w:noWrap/>
            <w:hideMark/>
          </w:tcPr>
          <w:p w14:paraId="2F4EC3B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55 419</w:t>
            </w:r>
          </w:p>
        </w:tc>
        <w:tc>
          <w:tcPr>
            <w:tcW w:w="1031" w:type="dxa"/>
            <w:tcBorders>
              <w:top w:val="nil"/>
              <w:left w:val="nil"/>
              <w:bottom w:val="nil"/>
              <w:right w:val="nil"/>
            </w:tcBorders>
            <w:shd w:val="clear" w:color="000000" w:fill="FFFFFF"/>
            <w:noWrap/>
            <w:hideMark/>
          </w:tcPr>
          <w:p w14:paraId="7BB6730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55 419</w:t>
            </w:r>
          </w:p>
        </w:tc>
        <w:tc>
          <w:tcPr>
            <w:tcW w:w="1063" w:type="dxa"/>
            <w:tcBorders>
              <w:top w:val="nil"/>
              <w:left w:val="nil"/>
              <w:bottom w:val="nil"/>
              <w:right w:val="nil"/>
            </w:tcBorders>
            <w:shd w:val="clear" w:color="000000" w:fill="FFFFFF"/>
            <w:noWrap/>
            <w:hideMark/>
          </w:tcPr>
          <w:p w14:paraId="2166EA6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268 225</w:t>
            </w:r>
          </w:p>
        </w:tc>
        <w:tc>
          <w:tcPr>
            <w:tcW w:w="1019" w:type="dxa"/>
            <w:tcBorders>
              <w:top w:val="nil"/>
              <w:left w:val="nil"/>
              <w:bottom w:val="nil"/>
              <w:right w:val="nil"/>
            </w:tcBorders>
            <w:shd w:val="clear" w:color="000000" w:fill="FFFFFF"/>
            <w:noWrap/>
            <w:hideMark/>
          </w:tcPr>
          <w:p w14:paraId="043BEAD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212 806</w:t>
            </w:r>
          </w:p>
        </w:tc>
      </w:tr>
      <w:tr w:rsidR="003A0696" w:rsidRPr="00017648" w14:paraId="2DE29087" w14:textId="77777777" w:rsidTr="003A0696">
        <w:trPr>
          <w:trHeight w:val="229"/>
        </w:trPr>
        <w:tc>
          <w:tcPr>
            <w:tcW w:w="2939" w:type="dxa"/>
            <w:gridSpan w:val="3"/>
            <w:tcBorders>
              <w:top w:val="nil"/>
              <w:left w:val="nil"/>
              <w:bottom w:val="nil"/>
              <w:right w:val="nil"/>
            </w:tcBorders>
            <w:shd w:val="clear" w:color="000000" w:fill="FFFFFF"/>
            <w:noWrap/>
            <w:hideMark/>
          </w:tcPr>
          <w:p w14:paraId="650D68CE" w14:textId="77777777" w:rsidR="003A0696" w:rsidRPr="0033007E" w:rsidRDefault="003A0696" w:rsidP="003A0696">
            <w:pPr>
              <w:spacing w:after="0" w:line="240" w:lineRule="auto"/>
              <w:jc w:val="left"/>
              <w:rPr>
                <w:rFonts w:eastAsia="Times New Roman" w:cs="Times New Roman"/>
                <w:b/>
                <w:bCs/>
                <w:color w:val="000000"/>
                <w:sz w:val="20"/>
                <w:szCs w:val="20"/>
                <w:lang w:eastAsia="sk-SK"/>
              </w:rPr>
            </w:pPr>
            <w:r w:rsidRPr="0033007E">
              <w:rPr>
                <w:rFonts w:eastAsia="Times New Roman" w:cs="Times New Roman"/>
                <w:b/>
                <w:bCs/>
                <w:color w:val="000000"/>
                <w:sz w:val="20"/>
                <w:szCs w:val="20"/>
                <w:lang w:eastAsia="sk-SK"/>
              </w:rPr>
              <w:t>Územná samospráva, z toho</w:t>
            </w:r>
          </w:p>
        </w:tc>
        <w:tc>
          <w:tcPr>
            <w:tcW w:w="1029" w:type="dxa"/>
            <w:tcBorders>
              <w:top w:val="nil"/>
              <w:left w:val="nil"/>
              <w:bottom w:val="nil"/>
              <w:right w:val="nil"/>
            </w:tcBorders>
            <w:shd w:val="clear" w:color="000000" w:fill="FFFFFF"/>
            <w:noWrap/>
            <w:hideMark/>
          </w:tcPr>
          <w:p w14:paraId="4E7A93C8"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28" w:type="dxa"/>
            <w:tcBorders>
              <w:top w:val="nil"/>
              <w:left w:val="nil"/>
              <w:bottom w:val="nil"/>
              <w:right w:val="nil"/>
            </w:tcBorders>
            <w:shd w:val="clear" w:color="000000" w:fill="FFFFFF"/>
            <w:noWrap/>
            <w:hideMark/>
          </w:tcPr>
          <w:p w14:paraId="4F843D8A"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68" w:type="dxa"/>
            <w:tcBorders>
              <w:top w:val="nil"/>
              <w:left w:val="nil"/>
              <w:bottom w:val="nil"/>
              <w:right w:val="nil"/>
            </w:tcBorders>
            <w:shd w:val="clear" w:color="000000" w:fill="FFFFFF"/>
            <w:noWrap/>
            <w:hideMark/>
          </w:tcPr>
          <w:p w14:paraId="1F39C7D4"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31" w:type="dxa"/>
            <w:tcBorders>
              <w:top w:val="nil"/>
              <w:left w:val="nil"/>
              <w:bottom w:val="nil"/>
              <w:right w:val="nil"/>
            </w:tcBorders>
            <w:shd w:val="clear" w:color="000000" w:fill="FFFFFF"/>
            <w:noWrap/>
            <w:hideMark/>
          </w:tcPr>
          <w:p w14:paraId="06B3CAB0"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63" w:type="dxa"/>
            <w:tcBorders>
              <w:top w:val="nil"/>
              <w:left w:val="nil"/>
              <w:bottom w:val="nil"/>
              <w:right w:val="nil"/>
            </w:tcBorders>
            <w:shd w:val="clear" w:color="000000" w:fill="FFFFFF"/>
            <w:noWrap/>
            <w:hideMark/>
          </w:tcPr>
          <w:p w14:paraId="3A737E08"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19" w:type="dxa"/>
            <w:tcBorders>
              <w:top w:val="nil"/>
              <w:left w:val="nil"/>
              <w:bottom w:val="nil"/>
              <w:right w:val="nil"/>
            </w:tcBorders>
            <w:shd w:val="clear" w:color="000000" w:fill="FFFFFF"/>
            <w:noWrap/>
            <w:hideMark/>
          </w:tcPr>
          <w:p w14:paraId="7BB6C64E"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r>
      <w:tr w:rsidR="003A0696" w:rsidRPr="00017648" w14:paraId="584B7F68" w14:textId="77777777" w:rsidTr="003A0696">
        <w:trPr>
          <w:trHeight w:val="229"/>
        </w:trPr>
        <w:tc>
          <w:tcPr>
            <w:tcW w:w="197" w:type="dxa"/>
            <w:tcBorders>
              <w:top w:val="nil"/>
              <w:left w:val="nil"/>
              <w:bottom w:val="nil"/>
              <w:right w:val="nil"/>
            </w:tcBorders>
            <w:shd w:val="clear" w:color="000000" w:fill="FFFFFF"/>
            <w:noWrap/>
            <w:hideMark/>
          </w:tcPr>
          <w:p w14:paraId="67CF5DFD" w14:textId="77777777" w:rsidR="003A0696" w:rsidRPr="0033007E" w:rsidRDefault="003A0696" w:rsidP="003A0696">
            <w:pPr>
              <w:spacing w:after="0" w:line="240" w:lineRule="auto"/>
              <w:jc w:val="left"/>
              <w:rPr>
                <w:rFonts w:eastAsia="Times New Roman" w:cs="Times New Roman"/>
                <w:color w:val="000000"/>
                <w:sz w:val="20"/>
                <w:szCs w:val="20"/>
                <w:lang w:eastAsia="sk-SK"/>
              </w:rPr>
            </w:pPr>
            <w:r w:rsidRPr="0033007E">
              <w:rPr>
                <w:rFonts w:eastAsia="Times New Roman" w:cs="Times New Roman"/>
                <w:color w:val="000000"/>
                <w:sz w:val="20"/>
                <w:szCs w:val="20"/>
                <w:lang w:eastAsia="sk-SK"/>
              </w:rPr>
              <w:t> </w:t>
            </w:r>
          </w:p>
        </w:tc>
        <w:tc>
          <w:tcPr>
            <w:tcW w:w="2742" w:type="dxa"/>
            <w:gridSpan w:val="2"/>
            <w:tcBorders>
              <w:top w:val="nil"/>
              <w:left w:val="nil"/>
              <w:bottom w:val="nil"/>
              <w:right w:val="nil"/>
            </w:tcBorders>
            <w:shd w:val="clear" w:color="000000" w:fill="FFFFFF"/>
            <w:noWrap/>
            <w:hideMark/>
          </w:tcPr>
          <w:p w14:paraId="19558FAD"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Obce a ich rozpočtové organizácie</w:t>
            </w:r>
          </w:p>
        </w:tc>
        <w:tc>
          <w:tcPr>
            <w:tcW w:w="1029" w:type="dxa"/>
            <w:tcBorders>
              <w:top w:val="nil"/>
              <w:left w:val="nil"/>
              <w:bottom w:val="nil"/>
              <w:right w:val="nil"/>
            </w:tcBorders>
            <w:shd w:val="clear" w:color="000000" w:fill="FFFFFF"/>
            <w:noWrap/>
            <w:hideMark/>
          </w:tcPr>
          <w:p w14:paraId="02758E62"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140 673</w:t>
            </w:r>
          </w:p>
        </w:tc>
        <w:tc>
          <w:tcPr>
            <w:tcW w:w="1028" w:type="dxa"/>
            <w:tcBorders>
              <w:top w:val="nil"/>
              <w:left w:val="nil"/>
              <w:bottom w:val="nil"/>
              <w:right w:val="nil"/>
            </w:tcBorders>
            <w:shd w:val="clear" w:color="000000" w:fill="FFFFFF"/>
            <w:noWrap/>
            <w:hideMark/>
          </w:tcPr>
          <w:p w14:paraId="72E3F15B"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2 371</w:t>
            </w:r>
          </w:p>
        </w:tc>
        <w:tc>
          <w:tcPr>
            <w:tcW w:w="1068" w:type="dxa"/>
            <w:tcBorders>
              <w:top w:val="nil"/>
              <w:left w:val="nil"/>
              <w:bottom w:val="nil"/>
              <w:right w:val="nil"/>
            </w:tcBorders>
            <w:shd w:val="clear" w:color="000000" w:fill="FFFFFF"/>
            <w:noWrap/>
            <w:hideMark/>
          </w:tcPr>
          <w:p w14:paraId="2DAF334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-164 312</w:t>
            </w:r>
          </w:p>
        </w:tc>
        <w:tc>
          <w:tcPr>
            <w:tcW w:w="1031" w:type="dxa"/>
            <w:tcBorders>
              <w:top w:val="nil"/>
              <w:left w:val="nil"/>
              <w:bottom w:val="nil"/>
              <w:right w:val="nil"/>
            </w:tcBorders>
            <w:shd w:val="clear" w:color="000000" w:fill="FFFFFF"/>
            <w:noWrap/>
            <w:hideMark/>
          </w:tcPr>
          <w:p w14:paraId="354E5DD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-164 312</w:t>
            </w:r>
          </w:p>
        </w:tc>
        <w:tc>
          <w:tcPr>
            <w:tcW w:w="1063" w:type="dxa"/>
            <w:tcBorders>
              <w:top w:val="nil"/>
              <w:left w:val="nil"/>
              <w:bottom w:val="nil"/>
              <w:right w:val="nil"/>
            </w:tcBorders>
            <w:shd w:val="clear" w:color="000000" w:fill="FFFFFF"/>
            <w:noWrap/>
            <w:hideMark/>
          </w:tcPr>
          <w:p w14:paraId="1A72EC6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-287 784</w:t>
            </w:r>
          </w:p>
        </w:tc>
        <w:tc>
          <w:tcPr>
            <w:tcW w:w="1019" w:type="dxa"/>
            <w:tcBorders>
              <w:top w:val="nil"/>
              <w:left w:val="nil"/>
              <w:bottom w:val="nil"/>
              <w:right w:val="nil"/>
            </w:tcBorders>
            <w:shd w:val="clear" w:color="000000" w:fill="FFFFFF"/>
            <w:noWrap/>
            <w:hideMark/>
          </w:tcPr>
          <w:p w14:paraId="45E40974"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-123 472</w:t>
            </w:r>
          </w:p>
        </w:tc>
      </w:tr>
      <w:tr w:rsidR="003A0696" w:rsidRPr="00017648" w14:paraId="246E2C67" w14:textId="77777777" w:rsidTr="003A0696">
        <w:trPr>
          <w:trHeight w:val="229"/>
        </w:trPr>
        <w:tc>
          <w:tcPr>
            <w:tcW w:w="197" w:type="dxa"/>
            <w:tcBorders>
              <w:top w:val="nil"/>
              <w:left w:val="nil"/>
              <w:bottom w:val="nil"/>
              <w:right w:val="nil"/>
            </w:tcBorders>
            <w:shd w:val="clear" w:color="000000" w:fill="FFFFFF"/>
            <w:noWrap/>
            <w:hideMark/>
          </w:tcPr>
          <w:p w14:paraId="63639192" w14:textId="77777777" w:rsidR="003A0696" w:rsidRPr="0033007E" w:rsidRDefault="003A0696" w:rsidP="003A0696">
            <w:pPr>
              <w:spacing w:after="0" w:line="240" w:lineRule="auto"/>
              <w:jc w:val="left"/>
              <w:rPr>
                <w:rFonts w:eastAsia="Times New Roman" w:cs="Times New Roman"/>
                <w:color w:val="000000"/>
                <w:sz w:val="20"/>
                <w:szCs w:val="20"/>
                <w:lang w:eastAsia="sk-SK"/>
              </w:rPr>
            </w:pPr>
            <w:r w:rsidRPr="0033007E">
              <w:rPr>
                <w:rFonts w:eastAsia="Times New Roman" w:cs="Times New Roman"/>
                <w:color w:val="000000"/>
                <w:sz w:val="20"/>
                <w:szCs w:val="20"/>
                <w:lang w:eastAsia="sk-SK"/>
              </w:rPr>
              <w:t> </w:t>
            </w:r>
          </w:p>
        </w:tc>
        <w:tc>
          <w:tcPr>
            <w:tcW w:w="2742" w:type="dxa"/>
            <w:gridSpan w:val="2"/>
            <w:tcBorders>
              <w:top w:val="nil"/>
              <w:left w:val="nil"/>
              <w:bottom w:val="nil"/>
              <w:right w:val="nil"/>
            </w:tcBorders>
            <w:shd w:val="clear" w:color="000000" w:fill="FFFFFF"/>
            <w:noWrap/>
            <w:hideMark/>
          </w:tcPr>
          <w:p w14:paraId="7DD4713E"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VÚC a ich rozpočtové organizácie</w:t>
            </w:r>
          </w:p>
        </w:tc>
        <w:tc>
          <w:tcPr>
            <w:tcW w:w="1029" w:type="dxa"/>
            <w:tcBorders>
              <w:top w:val="nil"/>
              <w:left w:val="nil"/>
              <w:bottom w:val="nil"/>
              <w:right w:val="nil"/>
            </w:tcBorders>
            <w:shd w:val="clear" w:color="000000" w:fill="FFFFFF"/>
            <w:noWrap/>
            <w:hideMark/>
          </w:tcPr>
          <w:p w14:paraId="5A09443E"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7 735</w:t>
            </w:r>
          </w:p>
        </w:tc>
        <w:tc>
          <w:tcPr>
            <w:tcW w:w="1028" w:type="dxa"/>
            <w:tcBorders>
              <w:top w:val="nil"/>
              <w:left w:val="nil"/>
              <w:bottom w:val="nil"/>
              <w:right w:val="nil"/>
            </w:tcBorders>
            <w:shd w:val="clear" w:color="000000" w:fill="FFFFFF"/>
            <w:noWrap/>
            <w:hideMark/>
          </w:tcPr>
          <w:p w14:paraId="308BEDF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-26 748</w:t>
            </w:r>
          </w:p>
        </w:tc>
        <w:tc>
          <w:tcPr>
            <w:tcW w:w="1068" w:type="dxa"/>
            <w:tcBorders>
              <w:top w:val="nil"/>
              <w:left w:val="nil"/>
              <w:bottom w:val="nil"/>
              <w:right w:val="nil"/>
            </w:tcBorders>
            <w:shd w:val="clear" w:color="000000" w:fill="FFFFFF"/>
            <w:noWrap/>
            <w:hideMark/>
          </w:tcPr>
          <w:p w14:paraId="0334143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8 598</w:t>
            </w:r>
          </w:p>
        </w:tc>
        <w:tc>
          <w:tcPr>
            <w:tcW w:w="1031" w:type="dxa"/>
            <w:tcBorders>
              <w:top w:val="nil"/>
              <w:left w:val="nil"/>
              <w:bottom w:val="nil"/>
              <w:right w:val="nil"/>
            </w:tcBorders>
            <w:shd w:val="clear" w:color="000000" w:fill="FFFFFF"/>
            <w:noWrap/>
            <w:hideMark/>
          </w:tcPr>
          <w:p w14:paraId="7FF8376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8 598</w:t>
            </w:r>
          </w:p>
        </w:tc>
        <w:tc>
          <w:tcPr>
            <w:tcW w:w="1063" w:type="dxa"/>
            <w:tcBorders>
              <w:top w:val="nil"/>
              <w:left w:val="nil"/>
              <w:bottom w:val="nil"/>
              <w:right w:val="nil"/>
            </w:tcBorders>
            <w:shd w:val="clear" w:color="000000" w:fill="FFFFFF"/>
            <w:noWrap/>
            <w:hideMark/>
          </w:tcPr>
          <w:p w14:paraId="707257D0"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-141 839</w:t>
            </w:r>
          </w:p>
        </w:tc>
        <w:tc>
          <w:tcPr>
            <w:tcW w:w="1019" w:type="dxa"/>
            <w:tcBorders>
              <w:top w:val="nil"/>
              <w:left w:val="nil"/>
              <w:bottom w:val="nil"/>
              <w:right w:val="nil"/>
            </w:tcBorders>
            <w:shd w:val="clear" w:color="000000" w:fill="FFFFFF"/>
            <w:noWrap/>
            <w:hideMark/>
          </w:tcPr>
          <w:p w14:paraId="6D9FBEF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-150 437</w:t>
            </w:r>
          </w:p>
        </w:tc>
      </w:tr>
      <w:tr w:rsidR="003A0696" w:rsidRPr="00017648" w14:paraId="49213AA5" w14:textId="77777777" w:rsidTr="003A0696">
        <w:trPr>
          <w:trHeight w:val="229"/>
        </w:trPr>
        <w:tc>
          <w:tcPr>
            <w:tcW w:w="197" w:type="dxa"/>
            <w:tcBorders>
              <w:top w:val="nil"/>
              <w:left w:val="nil"/>
              <w:bottom w:val="nil"/>
              <w:right w:val="nil"/>
            </w:tcBorders>
            <w:shd w:val="clear" w:color="000000" w:fill="FFFFFF"/>
            <w:noWrap/>
            <w:hideMark/>
          </w:tcPr>
          <w:p w14:paraId="31AA2C15" w14:textId="77777777" w:rsidR="003A0696" w:rsidRPr="0033007E" w:rsidRDefault="003A0696" w:rsidP="003A0696">
            <w:pPr>
              <w:spacing w:after="0" w:line="240" w:lineRule="auto"/>
              <w:jc w:val="left"/>
              <w:rPr>
                <w:rFonts w:eastAsia="Times New Roman" w:cs="Times New Roman"/>
                <w:color w:val="000000"/>
                <w:sz w:val="20"/>
                <w:szCs w:val="20"/>
                <w:lang w:eastAsia="sk-SK"/>
              </w:rPr>
            </w:pPr>
            <w:r w:rsidRPr="0033007E">
              <w:rPr>
                <w:rFonts w:eastAsia="Times New Roman" w:cs="Times New Roman"/>
                <w:color w:val="000000"/>
                <w:sz w:val="20"/>
                <w:szCs w:val="20"/>
                <w:lang w:eastAsia="sk-SK"/>
              </w:rPr>
              <w:t> </w:t>
            </w:r>
          </w:p>
        </w:tc>
        <w:tc>
          <w:tcPr>
            <w:tcW w:w="2742" w:type="dxa"/>
            <w:gridSpan w:val="2"/>
            <w:tcBorders>
              <w:top w:val="nil"/>
              <w:left w:val="nil"/>
              <w:bottom w:val="nil"/>
              <w:right w:val="nil"/>
            </w:tcBorders>
            <w:shd w:val="clear" w:color="000000" w:fill="FFFFFF"/>
            <w:noWrap/>
            <w:hideMark/>
          </w:tcPr>
          <w:p w14:paraId="6869F21A"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Príspevkové organizácie obcí</w:t>
            </w:r>
          </w:p>
        </w:tc>
        <w:tc>
          <w:tcPr>
            <w:tcW w:w="1029" w:type="dxa"/>
            <w:tcBorders>
              <w:top w:val="nil"/>
              <w:left w:val="nil"/>
              <w:bottom w:val="nil"/>
              <w:right w:val="nil"/>
            </w:tcBorders>
            <w:shd w:val="clear" w:color="000000" w:fill="FFFFFF"/>
            <w:noWrap/>
            <w:hideMark/>
          </w:tcPr>
          <w:p w14:paraId="4379AC6E"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5 734</w:t>
            </w:r>
          </w:p>
        </w:tc>
        <w:tc>
          <w:tcPr>
            <w:tcW w:w="1028" w:type="dxa"/>
            <w:tcBorders>
              <w:top w:val="nil"/>
              <w:left w:val="nil"/>
              <w:bottom w:val="nil"/>
              <w:right w:val="nil"/>
            </w:tcBorders>
            <w:shd w:val="clear" w:color="000000" w:fill="FFFFFF"/>
            <w:noWrap/>
            <w:hideMark/>
          </w:tcPr>
          <w:p w14:paraId="2DD8E1C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44</w:t>
            </w:r>
          </w:p>
        </w:tc>
        <w:tc>
          <w:tcPr>
            <w:tcW w:w="1068" w:type="dxa"/>
            <w:tcBorders>
              <w:top w:val="nil"/>
              <w:left w:val="nil"/>
              <w:bottom w:val="nil"/>
              <w:right w:val="nil"/>
            </w:tcBorders>
            <w:shd w:val="clear" w:color="000000" w:fill="FFFFFF"/>
            <w:noWrap/>
            <w:hideMark/>
          </w:tcPr>
          <w:p w14:paraId="7459BB9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5 168</w:t>
            </w:r>
          </w:p>
        </w:tc>
        <w:tc>
          <w:tcPr>
            <w:tcW w:w="1031" w:type="dxa"/>
            <w:tcBorders>
              <w:top w:val="nil"/>
              <w:left w:val="nil"/>
              <w:bottom w:val="nil"/>
              <w:right w:val="nil"/>
            </w:tcBorders>
            <w:shd w:val="clear" w:color="000000" w:fill="FFFFFF"/>
            <w:noWrap/>
            <w:hideMark/>
          </w:tcPr>
          <w:p w14:paraId="317EBA8B"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5 168</w:t>
            </w:r>
          </w:p>
        </w:tc>
        <w:tc>
          <w:tcPr>
            <w:tcW w:w="1063" w:type="dxa"/>
            <w:tcBorders>
              <w:top w:val="nil"/>
              <w:left w:val="nil"/>
              <w:bottom w:val="nil"/>
              <w:right w:val="nil"/>
            </w:tcBorders>
            <w:shd w:val="clear" w:color="000000" w:fill="FFFFFF"/>
            <w:noWrap/>
            <w:hideMark/>
          </w:tcPr>
          <w:p w14:paraId="65C737F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-1 694</w:t>
            </w:r>
          </w:p>
        </w:tc>
        <w:tc>
          <w:tcPr>
            <w:tcW w:w="1019" w:type="dxa"/>
            <w:tcBorders>
              <w:top w:val="nil"/>
              <w:left w:val="nil"/>
              <w:bottom w:val="nil"/>
              <w:right w:val="nil"/>
            </w:tcBorders>
            <w:shd w:val="clear" w:color="000000" w:fill="FFFFFF"/>
            <w:noWrap/>
            <w:hideMark/>
          </w:tcPr>
          <w:p w14:paraId="26BA036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-6 862</w:t>
            </w:r>
          </w:p>
        </w:tc>
      </w:tr>
      <w:tr w:rsidR="003A0696" w:rsidRPr="00017648" w14:paraId="69E48E3E" w14:textId="77777777" w:rsidTr="003A0696">
        <w:trPr>
          <w:trHeight w:val="229"/>
        </w:trPr>
        <w:tc>
          <w:tcPr>
            <w:tcW w:w="197" w:type="dxa"/>
            <w:tcBorders>
              <w:top w:val="nil"/>
              <w:left w:val="nil"/>
              <w:bottom w:val="nil"/>
              <w:right w:val="nil"/>
            </w:tcBorders>
            <w:shd w:val="clear" w:color="000000" w:fill="FFFFFF"/>
            <w:noWrap/>
            <w:hideMark/>
          </w:tcPr>
          <w:p w14:paraId="1AD39693" w14:textId="77777777" w:rsidR="003A0696" w:rsidRPr="0033007E" w:rsidRDefault="003A0696" w:rsidP="003A0696">
            <w:pPr>
              <w:spacing w:after="0" w:line="240" w:lineRule="auto"/>
              <w:jc w:val="left"/>
              <w:rPr>
                <w:rFonts w:eastAsia="Times New Roman" w:cs="Times New Roman"/>
                <w:color w:val="000000"/>
                <w:sz w:val="20"/>
                <w:szCs w:val="20"/>
                <w:lang w:eastAsia="sk-SK"/>
              </w:rPr>
            </w:pPr>
            <w:r w:rsidRPr="0033007E">
              <w:rPr>
                <w:rFonts w:eastAsia="Times New Roman" w:cs="Times New Roman"/>
                <w:color w:val="000000"/>
                <w:sz w:val="20"/>
                <w:szCs w:val="20"/>
                <w:lang w:eastAsia="sk-SK"/>
              </w:rPr>
              <w:t> </w:t>
            </w:r>
          </w:p>
        </w:tc>
        <w:tc>
          <w:tcPr>
            <w:tcW w:w="2742" w:type="dxa"/>
            <w:gridSpan w:val="2"/>
            <w:tcBorders>
              <w:top w:val="nil"/>
              <w:left w:val="nil"/>
              <w:bottom w:val="nil"/>
              <w:right w:val="nil"/>
            </w:tcBorders>
            <w:shd w:val="clear" w:color="000000" w:fill="FFFFFF"/>
            <w:noWrap/>
            <w:hideMark/>
          </w:tcPr>
          <w:p w14:paraId="42443595"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Príspevkové organizácie VÚC</w:t>
            </w:r>
          </w:p>
        </w:tc>
        <w:tc>
          <w:tcPr>
            <w:tcW w:w="1029" w:type="dxa"/>
            <w:tcBorders>
              <w:top w:val="nil"/>
              <w:left w:val="nil"/>
              <w:bottom w:val="nil"/>
              <w:right w:val="nil"/>
            </w:tcBorders>
            <w:shd w:val="clear" w:color="000000" w:fill="FFFFFF"/>
            <w:noWrap/>
            <w:hideMark/>
          </w:tcPr>
          <w:p w14:paraId="4DC8671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7 609</w:t>
            </w:r>
          </w:p>
        </w:tc>
        <w:tc>
          <w:tcPr>
            <w:tcW w:w="1028" w:type="dxa"/>
            <w:tcBorders>
              <w:top w:val="nil"/>
              <w:left w:val="nil"/>
              <w:bottom w:val="nil"/>
              <w:right w:val="nil"/>
            </w:tcBorders>
            <w:shd w:val="clear" w:color="000000" w:fill="FFFFFF"/>
            <w:noWrap/>
            <w:hideMark/>
          </w:tcPr>
          <w:p w14:paraId="1C281F5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13 940</w:t>
            </w:r>
          </w:p>
        </w:tc>
        <w:tc>
          <w:tcPr>
            <w:tcW w:w="1068" w:type="dxa"/>
            <w:tcBorders>
              <w:top w:val="nil"/>
              <w:left w:val="nil"/>
              <w:bottom w:val="nil"/>
              <w:right w:val="nil"/>
            </w:tcBorders>
            <w:shd w:val="clear" w:color="000000" w:fill="FFFFFF"/>
            <w:noWrap/>
            <w:hideMark/>
          </w:tcPr>
          <w:p w14:paraId="4A47571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7 589</w:t>
            </w:r>
          </w:p>
        </w:tc>
        <w:tc>
          <w:tcPr>
            <w:tcW w:w="1031" w:type="dxa"/>
            <w:tcBorders>
              <w:top w:val="nil"/>
              <w:left w:val="nil"/>
              <w:bottom w:val="nil"/>
              <w:right w:val="nil"/>
            </w:tcBorders>
            <w:shd w:val="clear" w:color="000000" w:fill="FFFFFF"/>
            <w:noWrap/>
            <w:hideMark/>
          </w:tcPr>
          <w:p w14:paraId="2DE4412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7 589</w:t>
            </w:r>
          </w:p>
        </w:tc>
        <w:tc>
          <w:tcPr>
            <w:tcW w:w="1063" w:type="dxa"/>
            <w:tcBorders>
              <w:top w:val="nil"/>
              <w:left w:val="nil"/>
              <w:bottom w:val="nil"/>
              <w:right w:val="nil"/>
            </w:tcBorders>
            <w:shd w:val="clear" w:color="000000" w:fill="FFFFFF"/>
            <w:noWrap/>
            <w:hideMark/>
          </w:tcPr>
          <w:p w14:paraId="28A4596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-1 050</w:t>
            </w:r>
          </w:p>
        </w:tc>
        <w:tc>
          <w:tcPr>
            <w:tcW w:w="1019" w:type="dxa"/>
            <w:tcBorders>
              <w:top w:val="nil"/>
              <w:left w:val="nil"/>
              <w:bottom w:val="nil"/>
              <w:right w:val="nil"/>
            </w:tcBorders>
            <w:shd w:val="clear" w:color="000000" w:fill="FFFFFF"/>
            <w:noWrap/>
            <w:hideMark/>
          </w:tcPr>
          <w:p w14:paraId="44075F6C"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-8 639</w:t>
            </w:r>
          </w:p>
        </w:tc>
      </w:tr>
      <w:tr w:rsidR="003A0696" w:rsidRPr="00017648" w14:paraId="1E6068C9" w14:textId="77777777" w:rsidTr="003A0696">
        <w:trPr>
          <w:trHeight w:val="229"/>
        </w:trPr>
        <w:tc>
          <w:tcPr>
            <w:tcW w:w="197" w:type="dxa"/>
            <w:tcBorders>
              <w:top w:val="nil"/>
              <w:left w:val="nil"/>
              <w:bottom w:val="nil"/>
              <w:right w:val="nil"/>
            </w:tcBorders>
            <w:shd w:val="clear" w:color="000000" w:fill="FFFFFF"/>
            <w:noWrap/>
            <w:hideMark/>
          </w:tcPr>
          <w:p w14:paraId="0031E2D4" w14:textId="77777777" w:rsidR="003A0696" w:rsidRPr="0033007E" w:rsidRDefault="003A0696" w:rsidP="003A0696">
            <w:pPr>
              <w:spacing w:after="0" w:line="240" w:lineRule="auto"/>
              <w:jc w:val="left"/>
              <w:rPr>
                <w:rFonts w:eastAsia="Times New Roman" w:cs="Times New Roman"/>
                <w:color w:val="000000"/>
                <w:sz w:val="20"/>
                <w:szCs w:val="20"/>
                <w:lang w:eastAsia="sk-SK"/>
              </w:rPr>
            </w:pPr>
            <w:r w:rsidRPr="0033007E">
              <w:rPr>
                <w:rFonts w:eastAsia="Times New Roman" w:cs="Times New Roman"/>
                <w:color w:val="000000"/>
                <w:sz w:val="20"/>
                <w:szCs w:val="20"/>
                <w:lang w:eastAsia="sk-SK"/>
              </w:rPr>
              <w:t> </w:t>
            </w:r>
          </w:p>
        </w:tc>
        <w:tc>
          <w:tcPr>
            <w:tcW w:w="2742" w:type="dxa"/>
            <w:gridSpan w:val="2"/>
            <w:tcBorders>
              <w:top w:val="nil"/>
              <w:left w:val="nil"/>
              <w:bottom w:val="nil"/>
              <w:right w:val="nil"/>
            </w:tcBorders>
            <w:shd w:val="clear" w:color="000000" w:fill="FFFFFF"/>
            <w:noWrap/>
            <w:hideMark/>
          </w:tcPr>
          <w:p w14:paraId="14D78DA0"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Dopravné podniky</w:t>
            </w:r>
          </w:p>
        </w:tc>
        <w:tc>
          <w:tcPr>
            <w:tcW w:w="1029" w:type="dxa"/>
            <w:tcBorders>
              <w:top w:val="nil"/>
              <w:left w:val="nil"/>
              <w:bottom w:val="nil"/>
              <w:right w:val="nil"/>
            </w:tcBorders>
            <w:shd w:val="clear" w:color="000000" w:fill="FFFFFF"/>
            <w:noWrap/>
            <w:hideMark/>
          </w:tcPr>
          <w:p w14:paraId="2C60E5DB"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4 572</w:t>
            </w:r>
          </w:p>
        </w:tc>
        <w:tc>
          <w:tcPr>
            <w:tcW w:w="1028" w:type="dxa"/>
            <w:tcBorders>
              <w:top w:val="nil"/>
              <w:left w:val="nil"/>
              <w:bottom w:val="nil"/>
              <w:right w:val="nil"/>
            </w:tcBorders>
            <w:shd w:val="clear" w:color="000000" w:fill="FFFFFF"/>
            <w:noWrap/>
            <w:hideMark/>
          </w:tcPr>
          <w:p w14:paraId="1C5EC34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-9 641</w:t>
            </w:r>
          </w:p>
        </w:tc>
        <w:tc>
          <w:tcPr>
            <w:tcW w:w="1068" w:type="dxa"/>
            <w:tcBorders>
              <w:top w:val="nil"/>
              <w:left w:val="nil"/>
              <w:bottom w:val="nil"/>
              <w:right w:val="nil"/>
            </w:tcBorders>
            <w:shd w:val="clear" w:color="000000" w:fill="FFFFFF"/>
            <w:noWrap/>
            <w:hideMark/>
          </w:tcPr>
          <w:p w14:paraId="7A765A19"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-38 300</w:t>
            </w:r>
          </w:p>
        </w:tc>
        <w:tc>
          <w:tcPr>
            <w:tcW w:w="1031" w:type="dxa"/>
            <w:tcBorders>
              <w:top w:val="nil"/>
              <w:left w:val="nil"/>
              <w:bottom w:val="nil"/>
              <w:right w:val="nil"/>
            </w:tcBorders>
            <w:shd w:val="clear" w:color="000000" w:fill="FFFFFF"/>
            <w:noWrap/>
            <w:hideMark/>
          </w:tcPr>
          <w:p w14:paraId="296B7316"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-38 300</w:t>
            </w:r>
          </w:p>
        </w:tc>
        <w:tc>
          <w:tcPr>
            <w:tcW w:w="1063" w:type="dxa"/>
            <w:tcBorders>
              <w:top w:val="nil"/>
              <w:left w:val="nil"/>
              <w:bottom w:val="nil"/>
              <w:right w:val="nil"/>
            </w:tcBorders>
            <w:shd w:val="clear" w:color="000000" w:fill="FFFFFF"/>
            <w:noWrap/>
            <w:hideMark/>
          </w:tcPr>
          <w:p w14:paraId="1A2ACC2A"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-23 596</w:t>
            </w:r>
          </w:p>
        </w:tc>
        <w:tc>
          <w:tcPr>
            <w:tcW w:w="1019" w:type="dxa"/>
            <w:tcBorders>
              <w:top w:val="nil"/>
              <w:left w:val="nil"/>
              <w:bottom w:val="nil"/>
              <w:right w:val="nil"/>
            </w:tcBorders>
            <w:shd w:val="clear" w:color="000000" w:fill="FFFFFF"/>
            <w:noWrap/>
            <w:hideMark/>
          </w:tcPr>
          <w:p w14:paraId="76E7316F"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14 704</w:t>
            </w:r>
          </w:p>
        </w:tc>
      </w:tr>
      <w:tr w:rsidR="003A0696" w:rsidRPr="00017648" w14:paraId="78408145" w14:textId="77777777" w:rsidTr="003A0696">
        <w:trPr>
          <w:trHeight w:val="229"/>
        </w:trPr>
        <w:tc>
          <w:tcPr>
            <w:tcW w:w="197" w:type="dxa"/>
            <w:tcBorders>
              <w:top w:val="nil"/>
              <w:left w:val="nil"/>
              <w:bottom w:val="nil"/>
              <w:right w:val="nil"/>
            </w:tcBorders>
            <w:shd w:val="clear" w:color="000000" w:fill="FFFFFF"/>
            <w:noWrap/>
            <w:hideMark/>
          </w:tcPr>
          <w:p w14:paraId="73A0AB6D" w14:textId="77777777" w:rsidR="003A0696" w:rsidRPr="0033007E" w:rsidRDefault="003A0696" w:rsidP="003A0696">
            <w:pPr>
              <w:spacing w:after="0" w:line="240" w:lineRule="auto"/>
              <w:jc w:val="left"/>
              <w:rPr>
                <w:rFonts w:eastAsia="Times New Roman" w:cs="Times New Roman"/>
                <w:color w:val="000000"/>
                <w:sz w:val="20"/>
                <w:szCs w:val="20"/>
                <w:lang w:eastAsia="sk-SK"/>
              </w:rPr>
            </w:pPr>
            <w:r w:rsidRPr="0033007E">
              <w:rPr>
                <w:rFonts w:eastAsia="Times New Roman" w:cs="Times New Roman"/>
                <w:color w:val="000000"/>
                <w:sz w:val="20"/>
                <w:szCs w:val="20"/>
                <w:lang w:eastAsia="sk-SK"/>
              </w:rPr>
              <w:t> </w:t>
            </w:r>
          </w:p>
        </w:tc>
        <w:tc>
          <w:tcPr>
            <w:tcW w:w="2742" w:type="dxa"/>
            <w:gridSpan w:val="2"/>
            <w:tcBorders>
              <w:top w:val="nil"/>
              <w:left w:val="nil"/>
              <w:bottom w:val="nil"/>
              <w:right w:val="nil"/>
            </w:tcBorders>
            <w:shd w:val="clear" w:color="000000" w:fill="FFFFFF"/>
            <w:hideMark/>
          </w:tcPr>
          <w:p w14:paraId="75DD6E94"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Zdravotnícke zariadenia územnej samosprávy</w:t>
            </w:r>
          </w:p>
        </w:tc>
        <w:tc>
          <w:tcPr>
            <w:tcW w:w="1029" w:type="dxa"/>
            <w:tcBorders>
              <w:top w:val="nil"/>
              <w:left w:val="nil"/>
              <w:bottom w:val="nil"/>
              <w:right w:val="nil"/>
            </w:tcBorders>
            <w:shd w:val="clear" w:color="000000" w:fill="FFFFFF"/>
            <w:noWrap/>
            <w:hideMark/>
          </w:tcPr>
          <w:p w14:paraId="4AE818E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9 003</w:t>
            </w:r>
          </w:p>
        </w:tc>
        <w:tc>
          <w:tcPr>
            <w:tcW w:w="1028" w:type="dxa"/>
            <w:tcBorders>
              <w:top w:val="nil"/>
              <w:left w:val="nil"/>
              <w:bottom w:val="nil"/>
              <w:right w:val="nil"/>
            </w:tcBorders>
            <w:shd w:val="clear" w:color="000000" w:fill="FFFFFF"/>
            <w:noWrap/>
            <w:hideMark/>
          </w:tcPr>
          <w:p w14:paraId="450F45FB"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-8 710</w:t>
            </w:r>
          </w:p>
        </w:tc>
        <w:tc>
          <w:tcPr>
            <w:tcW w:w="1068" w:type="dxa"/>
            <w:tcBorders>
              <w:top w:val="nil"/>
              <w:left w:val="nil"/>
              <w:bottom w:val="nil"/>
              <w:right w:val="nil"/>
            </w:tcBorders>
            <w:shd w:val="clear" w:color="000000" w:fill="FFFFFF"/>
            <w:noWrap/>
            <w:hideMark/>
          </w:tcPr>
          <w:p w14:paraId="75FC8AA4"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245</w:t>
            </w:r>
          </w:p>
        </w:tc>
        <w:tc>
          <w:tcPr>
            <w:tcW w:w="1031" w:type="dxa"/>
            <w:tcBorders>
              <w:top w:val="nil"/>
              <w:left w:val="nil"/>
              <w:bottom w:val="nil"/>
              <w:right w:val="nil"/>
            </w:tcBorders>
            <w:shd w:val="clear" w:color="000000" w:fill="FFFFFF"/>
            <w:noWrap/>
            <w:hideMark/>
          </w:tcPr>
          <w:p w14:paraId="745FBB52"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245</w:t>
            </w:r>
          </w:p>
        </w:tc>
        <w:tc>
          <w:tcPr>
            <w:tcW w:w="1063" w:type="dxa"/>
            <w:tcBorders>
              <w:top w:val="nil"/>
              <w:left w:val="nil"/>
              <w:bottom w:val="nil"/>
              <w:right w:val="nil"/>
            </w:tcBorders>
            <w:shd w:val="clear" w:color="000000" w:fill="FFFFFF"/>
            <w:noWrap/>
            <w:hideMark/>
          </w:tcPr>
          <w:p w14:paraId="17A241D6"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29 347</w:t>
            </w:r>
          </w:p>
        </w:tc>
        <w:tc>
          <w:tcPr>
            <w:tcW w:w="1019" w:type="dxa"/>
            <w:tcBorders>
              <w:top w:val="nil"/>
              <w:left w:val="nil"/>
              <w:bottom w:val="nil"/>
              <w:right w:val="nil"/>
            </w:tcBorders>
            <w:shd w:val="clear" w:color="000000" w:fill="FFFFFF"/>
            <w:noWrap/>
            <w:hideMark/>
          </w:tcPr>
          <w:p w14:paraId="46C46AC2"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29 102</w:t>
            </w:r>
          </w:p>
        </w:tc>
      </w:tr>
      <w:tr w:rsidR="003A0696" w:rsidRPr="00017648" w14:paraId="5E33FA73" w14:textId="77777777" w:rsidTr="003A0696">
        <w:trPr>
          <w:trHeight w:val="229"/>
        </w:trPr>
        <w:tc>
          <w:tcPr>
            <w:tcW w:w="197" w:type="dxa"/>
            <w:tcBorders>
              <w:top w:val="nil"/>
              <w:left w:val="nil"/>
              <w:bottom w:val="nil"/>
              <w:right w:val="nil"/>
            </w:tcBorders>
            <w:shd w:val="clear" w:color="000000" w:fill="FFFFFF"/>
            <w:noWrap/>
            <w:hideMark/>
          </w:tcPr>
          <w:p w14:paraId="5DAC2A60" w14:textId="77777777" w:rsidR="003A0696" w:rsidRPr="0033007E" w:rsidRDefault="003A0696" w:rsidP="003A0696">
            <w:pPr>
              <w:spacing w:after="0" w:line="240" w:lineRule="auto"/>
              <w:jc w:val="left"/>
              <w:rPr>
                <w:rFonts w:eastAsia="Times New Roman" w:cs="Times New Roman"/>
                <w:color w:val="000000"/>
                <w:sz w:val="20"/>
                <w:szCs w:val="20"/>
                <w:lang w:eastAsia="sk-SK"/>
              </w:rPr>
            </w:pPr>
            <w:r w:rsidRPr="0033007E">
              <w:rPr>
                <w:rFonts w:eastAsia="Times New Roman" w:cs="Times New Roman"/>
                <w:color w:val="000000"/>
                <w:sz w:val="20"/>
                <w:szCs w:val="20"/>
                <w:lang w:eastAsia="sk-SK"/>
              </w:rPr>
              <w:t> </w:t>
            </w:r>
          </w:p>
        </w:tc>
        <w:tc>
          <w:tcPr>
            <w:tcW w:w="2742" w:type="dxa"/>
            <w:gridSpan w:val="2"/>
            <w:tcBorders>
              <w:top w:val="nil"/>
              <w:left w:val="nil"/>
              <w:bottom w:val="nil"/>
              <w:right w:val="nil"/>
            </w:tcBorders>
            <w:shd w:val="clear" w:color="000000" w:fill="FFFFFF"/>
            <w:noWrap/>
            <w:hideMark/>
          </w:tcPr>
          <w:p w14:paraId="30E29DE3"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Ostatné subjekty územnej samosprávy</w:t>
            </w:r>
          </w:p>
        </w:tc>
        <w:tc>
          <w:tcPr>
            <w:tcW w:w="1029" w:type="dxa"/>
            <w:tcBorders>
              <w:top w:val="nil"/>
              <w:left w:val="nil"/>
              <w:bottom w:val="nil"/>
              <w:right w:val="nil"/>
            </w:tcBorders>
            <w:shd w:val="clear" w:color="000000" w:fill="FFFFFF"/>
            <w:noWrap/>
            <w:hideMark/>
          </w:tcPr>
          <w:p w14:paraId="00CFCE5B"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2 586</w:t>
            </w:r>
          </w:p>
        </w:tc>
        <w:tc>
          <w:tcPr>
            <w:tcW w:w="1028" w:type="dxa"/>
            <w:tcBorders>
              <w:top w:val="nil"/>
              <w:left w:val="nil"/>
              <w:bottom w:val="nil"/>
              <w:right w:val="nil"/>
            </w:tcBorders>
            <w:shd w:val="clear" w:color="000000" w:fill="FFFFFF"/>
            <w:noWrap/>
            <w:hideMark/>
          </w:tcPr>
          <w:p w14:paraId="3F2C3813"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7 116</w:t>
            </w:r>
          </w:p>
        </w:tc>
        <w:tc>
          <w:tcPr>
            <w:tcW w:w="1068" w:type="dxa"/>
            <w:tcBorders>
              <w:top w:val="nil"/>
              <w:left w:val="nil"/>
              <w:bottom w:val="nil"/>
              <w:right w:val="nil"/>
            </w:tcBorders>
            <w:shd w:val="clear" w:color="000000" w:fill="FFFFFF"/>
            <w:noWrap/>
            <w:hideMark/>
          </w:tcPr>
          <w:p w14:paraId="1E70018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0</w:t>
            </w:r>
          </w:p>
        </w:tc>
        <w:tc>
          <w:tcPr>
            <w:tcW w:w="1031" w:type="dxa"/>
            <w:tcBorders>
              <w:top w:val="nil"/>
              <w:left w:val="nil"/>
              <w:bottom w:val="nil"/>
              <w:right w:val="nil"/>
            </w:tcBorders>
            <w:shd w:val="clear" w:color="000000" w:fill="FFFFFF"/>
            <w:noWrap/>
            <w:hideMark/>
          </w:tcPr>
          <w:p w14:paraId="49F7681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0</w:t>
            </w:r>
          </w:p>
        </w:tc>
        <w:tc>
          <w:tcPr>
            <w:tcW w:w="1063" w:type="dxa"/>
            <w:tcBorders>
              <w:top w:val="nil"/>
              <w:left w:val="nil"/>
              <w:bottom w:val="nil"/>
              <w:right w:val="nil"/>
            </w:tcBorders>
            <w:shd w:val="clear" w:color="000000" w:fill="FFFFFF"/>
            <w:noWrap/>
            <w:hideMark/>
          </w:tcPr>
          <w:p w14:paraId="33602DB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7 116</w:t>
            </w:r>
          </w:p>
        </w:tc>
        <w:tc>
          <w:tcPr>
            <w:tcW w:w="1019" w:type="dxa"/>
            <w:tcBorders>
              <w:top w:val="nil"/>
              <w:left w:val="nil"/>
              <w:bottom w:val="nil"/>
              <w:right w:val="nil"/>
            </w:tcBorders>
            <w:shd w:val="clear" w:color="000000" w:fill="FFFFFF"/>
            <w:noWrap/>
            <w:hideMark/>
          </w:tcPr>
          <w:p w14:paraId="0BC6A1A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7 116</w:t>
            </w:r>
          </w:p>
        </w:tc>
      </w:tr>
      <w:tr w:rsidR="003A0696" w:rsidRPr="00017648" w14:paraId="4E0E5EBD" w14:textId="77777777" w:rsidTr="003A0696">
        <w:trPr>
          <w:trHeight w:val="229"/>
        </w:trPr>
        <w:tc>
          <w:tcPr>
            <w:tcW w:w="2939" w:type="dxa"/>
            <w:gridSpan w:val="3"/>
            <w:tcBorders>
              <w:top w:val="nil"/>
              <w:left w:val="nil"/>
              <w:bottom w:val="nil"/>
              <w:right w:val="nil"/>
            </w:tcBorders>
            <w:shd w:val="clear" w:color="000000" w:fill="FFFFFF"/>
            <w:noWrap/>
            <w:hideMark/>
          </w:tcPr>
          <w:p w14:paraId="0B1C00DF" w14:textId="77777777" w:rsidR="003A0696" w:rsidRPr="0033007E" w:rsidRDefault="003A0696" w:rsidP="003A0696">
            <w:pPr>
              <w:spacing w:after="0" w:line="240" w:lineRule="auto"/>
              <w:jc w:val="left"/>
              <w:rPr>
                <w:rFonts w:eastAsia="Times New Roman" w:cs="Times New Roman"/>
                <w:b/>
                <w:bCs/>
                <w:color w:val="000000"/>
                <w:sz w:val="20"/>
                <w:szCs w:val="20"/>
                <w:lang w:eastAsia="sk-SK"/>
              </w:rPr>
            </w:pPr>
            <w:r w:rsidRPr="0033007E">
              <w:rPr>
                <w:rFonts w:eastAsia="Times New Roman" w:cs="Times New Roman"/>
                <w:b/>
                <w:bCs/>
                <w:color w:val="000000"/>
                <w:sz w:val="20"/>
                <w:szCs w:val="20"/>
                <w:lang w:eastAsia="sk-SK"/>
              </w:rPr>
              <w:t>Fondy sociálneho zabezpečenia</w:t>
            </w:r>
          </w:p>
        </w:tc>
        <w:tc>
          <w:tcPr>
            <w:tcW w:w="1029" w:type="dxa"/>
            <w:tcBorders>
              <w:top w:val="nil"/>
              <w:left w:val="nil"/>
              <w:bottom w:val="nil"/>
              <w:right w:val="nil"/>
            </w:tcBorders>
            <w:shd w:val="clear" w:color="000000" w:fill="FFFFFF"/>
            <w:noWrap/>
            <w:hideMark/>
          </w:tcPr>
          <w:p w14:paraId="4C5A1E7D"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28" w:type="dxa"/>
            <w:tcBorders>
              <w:top w:val="nil"/>
              <w:left w:val="nil"/>
              <w:bottom w:val="nil"/>
              <w:right w:val="nil"/>
            </w:tcBorders>
            <w:shd w:val="clear" w:color="000000" w:fill="FFFFFF"/>
            <w:noWrap/>
            <w:hideMark/>
          </w:tcPr>
          <w:p w14:paraId="38507315"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68" w:type="dxa"/>
            <w:tcBorders>
              <w:top w:val="nil"/>
              <w:left w:val="nil"/>
              <w:bottom w:val="nil"/>
              <w:right w:val="nil"/>
            </w:tcBorders>
            <w:shd w:val="clear" w:color="000000" w:fill="FFFFFF"/>
            <w:noWrap/>
            <w:hideMark/>
          </w:tcPr>
          <w:p w14:paraId="015BC606"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31" w:type="dxa"/>
            <w:tcBorders>
              <w:top w:val="nil"/>
              <w:left w:val="nil"/>
              <w:bottom w:val="nil"/>
              <w:right w:val="nil"/>
            </w:tcBorders>
            <w:shd w:val="clear" w:color="000000" w:fill="FFFFFF"/>
            <w:noWrap/>
            <w:hideMark/>
          </w:tcPr>
          <w:p w14:paraId="38C87C0B"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63" w:type="dxa"/>
            <w:tcBorders>
              <w:top w:val="nil"/>
              <w:left w:val="nil"/>
              <w:bottom w:val="nil"/>
              <w:right w:val="nil"/>
            </w:tcBorders>
            <w:shd w:val="clear" w:color="000000" w:fill="FFFFFF"/>
            <w:noWrap/>
            <w:hideMark/>
          </w:tcPr>
          <w:p w14:paraId="7E4B7DBF"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c>
          <w:tcPr>
            <w:tcW w:w="1019" w:type="dxa"/>
            <w:tcBorders>
              <w:top w:val="nil"/>
              <w:left w:val="nil"/>
              <w:bottom w:val="nil"/>
              <w:right w:val="nil"/>
            </w:tcBorders>
            <w:shd w:val="clear" w:color="000000" w:fill="FFFFFF"/>
            <w:noWrap/>
            <w:hideMark/>
          </w:tcPr>
          <w:p w14:paraId="31240631" w14:textId="77777777" w:rsidR="003A0696" w:rsidRPr="0033007E" w:rsidRDefault="003A0696" w:rsidP="003A0696">
            <w:pPr>
              <w:spacing w:after="0" w:line="240" w:lineRule="auto"/>
              <w:jc w:val="left"/>
              <w:rPr>
                <w:rFonts w:eastAsia="Times New Roman" w:cs="Times New Roman"/>
                <w:b/>
                <w:bCs/>
                <w:color w:val="000000"/>
                <w:sz w:val="18"/>
                <w:szCs w:val="18"/>
                <w:lang w:eastAsia="sk-SK"/>
              </w:rPr>
            </w:pPr>
            <w:r w:rsidRPr="0033007E">
              <w:rPr>
                <w:rFonts w:eastAsia="Times New Roman" w:cs="Times New Roman"/>
                <w:b/>
                <w:bCs/>
                <w:color w:val="000000"/>
                <w:sz w:val="18"/>
                <w:szCs w:val="18"/>
                <w:lang w:eastAsia="sk-SK"/>
              </w:rPr>
              <w:t> </w:t>
            </w:r>
          </w:p>
        </w:tc>
      </w:tr>
      <w:tr w:rsidR="003A0696" w:rsidRPr="00017648" w14:paraId="78DE6382" w14:textId="77777777" w:rsidTr="003A0696">
        <w:trPr>
          <w:trHeight w:val="229"/>
        </w:trPr>
        <w:tc>
          <w:tcPr>
            <w:tcW w:w="197" w:type="dxa"/>
            <w:tcBorders>
              <w:top w:val="nil"/>
              <w:left w:val="nil"/>
              <w:bottom w:val="nil"/>
              <w:right w:val="nil"/>
            </w:tcBorders>
            <w:shd w:val="clear" w:color="000000" w:fill="FFFFFF"/>
            <w:noWrap/>
            <w:hideMark/>
          </w:tcPr>
          <w:p w14:paraId="185569CE"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nil"/>
              <w:right w:val="nil"/>
            </w:tcBorders>
            <w:shd w:val="clear" w:color="000000" w:fill="FFFFFF"/>
            <w:noWrap/>
            <w:hideMark/>
          </w:tcPr>
          <w:p w14:paraId="1FC8C1F4"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Sociálna poisťovňa</w:t>
            </w:r>
          </w:p>
        </w:tc>
        <w:tc>
          <w:tcPr>
            <w:tcW w:w="1029" w:type="dxa"/>
            <w:tcBorders>
              <w:top w:val="nil"/>
              <w:left w:val="nil"/>
              <w:bottom w:val="nil"/>
              <w:right w:val="nil"/>
            </w:tcBorders>
            <w:shd w:val="clear" w:color="000000" w:fill="FFFFFF"/>
            <w:noWrap/>
            <w:hideMark/>
          </w:tcPr>
          <w:p w14:paraId="73C5775E"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218 253</w:t>
            </w:r>
          </w:p>
        </w:tc>
        <w:tc>
          <w:tcPr>
            <w:tcW w:w="1028" w:type="dxa"/>
            <w:tcBorders>
              <w:top w:val="nil"/>
              <w:left w:val="nil"/>
              <w:bottom w:val="nil"/>
              <w:right w:val="nil"/>
            </w:tcBorders>
            <w:shd w:val="clear" w:color="000000" w:fill="FFFFFF"/>
            <w:noWrap/>
            <w:hideMark/>
          </w:tcPr>
          <w:p w14:paraId="7981472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327 974</w:t>
            </w:r>
          </w:p>
        </w:tc>
        <w:tc>
          <w:tcPr>
            <w:tcW w:w="1068" w:type="dxa"/>
            <w:tcBorders>
              <w:top w:val="nil"/>
              <w:left w:val="nil"/>
              <w:bottom w:val="nil"/>
              <w:right w:val="nil"/>
            </w:tcBorders>
            <w:shd w:val="clear" w:color="000000" w:fill="FFFFFF"/>
            <w:noWrap/>
            <w:hideMark/>
          </w:tcPr>
          <w:p w14:paraId="6F93CD0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-45 545</w:t>
            </w:r>
          </w:p>
        </w:tc>
        <w:tc>
          <w:tcPr>
            <w:tcW w:w="1031" w:type="dxa"/>
            <w:tcBorders>
              <w:top w:val="nil"/>
              <w:left w:val="nil"/>
              <w:bottom w:val="nil"/>
              <w:right w:val="nil"/>
            </w:tcBorders>
            <w:shd w:val="clear" w:color="000000" w:fill="FFFFFF"/>
            <w:noWrap/>
            <w:hideMark/>
          </w:tcPr>
          <w:p w14:paraId="142D7D5B"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-45 545</w:t>
            </w:r>
          </w:p>
        </w:tc>
        <w:tc>
          <w:tcPr>
            <w:tcW w:w="1063" w:type="dxa"/>
            <w:tcBorders>
              <w:top w:val="nil"/>
              <w:left w:val="nil"/>
              <w:bottom w:val="nil"/>
              <w:right w:val="nil"/>
            </w:tcBorders>
            <w:shd w:val="clear" w:color="000000" w:fill="FFFFFF"/>
            <w:noWrap/>
            <w:hideMark/>
          </w:tcPr>
          <w:p w14:paraId="302ED09F"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136 679</w:t>
            </w:r>
          </w:p>
        </w:tc>
        <w:tc>
          <w:tcPr>
            <w:tcW w:w="1019" w:type="dxa"/>
            <w:tcBorders>
              <w:top w:val="nil"/>
              <w:left w:val="nil"/>
              <w:bottom w:val="nil"/>
              <w:right w:val="nil"/>
            </w:tcBorders>
            <w:shd w:val="clear" w:color="000000" w:fill="FFFFFF"/>
            <w:noWrap/>
            <w:hideMark/>
          </w:tcPr>
          <w:p w14:paraId="0F061EF5"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182 224</w:t>
            </w:r>
          </w:p>
        </w:tc>
      </w:tr>
      <w:tr w:rsidR="003A0696" w:rsidRPr="00017648" w14:paraId="7B12897C" w14:textId="77777777" w:rsidTr="003A0696">
        <w:trPr>
          <w:trHeight w:val="229"/>
        </w:trPr>
        <w:tc>
          <w:tcPr>
            <w:tcW w:w="197" w:type="dxa"/>
            <w:tcBorders>
              <w:top w:val="nil"/>
              <w:left w:val="nil"/>
              <w:bottom w:val="single" w:sz="4" w:space="0" w:color="auto"/>
              <w:right w:val="nil"/>
            </w:tcBorders>
            <w:shd w:val="clear" w:color="000000" w:fill="FFFFFF"/>
            <w:noWrap/>
            <w:hideMark/>
          </w:tcPr>
          <w:p w14:paraId="069C6F83"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 </w:t>
            </w:r>
          </w:p>
        </w:tc>
        <w:tc>
          <w:tcPr>
            <w:tcW w:w="2742" w:type="dxa"/>
            <w:gridSpan w:val="2"/>
            <w:tcBorders>
              <w:top w:val="nil"/>
              <w:left w:val="nil"/>
              <w:bottom w:val="single" w:sz="4" w:space="0" w:color="auto"/>
              <w:right w:val="nil"/>
            </w:tcBorders>
            <w:shd w:val="clear" w:color="000000" w:fill="FFFFFF"/>
            <w:noWrap/>
            <w:hideMark/>
          </w:tcPr>
          <w:p w14:paraId="3A6E9CAD" w14:textId="77777777" w:rsidR="003A0696" w:rsidRPr="0033007E" w:rsidRDefault="003A0696" w:rsidP="003A0696">
            <w:pPr>
              <w:spacing w:after="0" w:line="240" w:lineRule="auto"/>
              <w:jc w:val="left"/>
              <w:rPr>
                <w:rFonts w:eastAsia="Times New Roman" w:cs="Times New Roman"/>
                <w:sz w:val="20"/>
                <w:szCs w:val="20"/>
                <w:lang w:eastAsia="sk-SK"/>
              </w:rPr>
            </w:pPr>
            <w:r w:rsidRPr="0033007E">
              <w:rPr>
                <w:rFonts w:eastAsia="Times New Roman" w:cs="Times New Roman"/>
                <w:sz w:val="20"/>
                <w:szCs w:val="20"/>
                <w:lang w:eastAsia="sk-SK"/>
              </w:rPr>
              <w:t>Verejné zdravotné poistenie</w:t>
            </w:r>
          </w:p>
        </w:tc>
        <w:tc>
          <w:tcPr>
            <w:tcW w:w="1029" w:type="dxa"/>
            <w:tcBorders>
              <w:top w:val="nil"/>
              <w:left w:val="nil"/>
              <w:bottom w:val="single" w:sz="4" w:space="0" w:color="auto"/>
              <w:right w:val="nil"/>
            </w:tcBorders>
            <w:shd w:val="clear" w:color="000000" w:fill="FFFFFF"/>
            <w:noWrap/>
            <w:hideMark/>
          </w:tcPr>
          <w:p w14:paraId="407D7981"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108 328</w:t>
            </w:r>
          </w:p>
        </w:tc>
        <w:tc>
          <w:tcPr>
            <w:tcW w:w="1028" w:type="dxa"/>
            <w:tcBorders>
              <w:top w:val="nil"/>
              <w:left w:val="nil"/>
              <w:bottom w:val="single" w:sz="4" w:space="0" w:color="auto"/>
              <w:right w:val="nil"/>
            </w:tcBorders>
            <w:shd w:val="clear" w:color="000000" w:fill="FFFFFF"/>
            <w:noWrap/>
            <w:hideMark/>
          </w:tcPr>
          <w:p w14:paraId="28AB2FD8"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-42 511</w:t>
            </w:r>
          </w:p>
        </w:tc>
        <w:tc>
          <w:tcPr>
            <w:tcW w:w="1068" w:type="dxa"/>
            <w:tcBorders>
              <w:top w:val="nil"/>
              <w:left w:val="nil"/>
              <w:bottom w:val="single" w:sz="4" w:space="0" w:color="auto"/>
              <w:right w:val="nil"/>
            </w:tcBorders>
            <w:shd w:val="clear" w:color="000000" w:fill="FFFFFF"/>
            <w:noWrap/>
            <w:hideMark/>
          </w:tcPr>
          <w:p w14:paraId="4A572D1D"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22 012</w:t>
            </w:r>
          </w:p>
        </w:tc>
        <w:tc>
          <w:tcPr>
            <w:tcW w:w="1031" w:type="dxa"/>
            <w:tcBorders>
              <w:top w:val="nil"/>
              <w:left w:val="nil"/>
              <w:bottom w:val="single" w:sz="4" w:space="0" w:color="auto"/>
              <w:right w:val="nil"/>
            </w:tcBorders>
            <w:shd w:val="clear" w:color="000000" w:fill="FFFFFF"/>
            <w:noWrap/>
            <w:hideMark/>
          </w:tcPr>
          <w:p w14:paraId="0D6A7B7E"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22 012</w:t>
            </w:r>
          </w:p>
        </w:tc>
        <w:tc>
          <w:tcPr>
            <w:tcW w:w="1063" w:type="dxa"/>
            <w:tcBorders>
              <w:top w:val="nil"/>
              <w:left w:val="nil"/>
              <w:bottom w:val="single" w:sz="4" w:space="0" w:color="auto"/>
              <w:right w:val="nil"/>
            </w:tcBorders>
            <w:shd w:val="clear" w:color="000000" w:fill="FFFFFF"/>
            <w:noWrap/>
            <w:hideMark/>
          </w:tcPr>
          <w:p w14:paraId="49104EF7"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w:t>
            </w:r>
          </w:p>
        </w:tc>
        <w:tc>
          <w:tcPr>
            <w:tcW w:w="1019" w:type="dxa"/>
            <w:tcBorders>
              <w:top w:val="nil"/>
              <w:left w:val="nil"/>
              <w:bottom w:val="single" w:sz="4" w:space="0" w:color="auto"/>
              <w:right w:val="nil"/>
            </w:tcBorders>
            <w:shd w:val="clear" w:color="000000" w:fill="FFFFFF"/>
            <w:noWrap/>
            <w:hideMark/>
          </w:tcPr>
          <w:p w14:paraId="11B22A6E" w14:textId="77777777" w:rsidR="003A0696" w:rsidRPr="0033007E" w:rsidRDefault="003A0696" w:rsidP="003A0696">
            <w:pPr>
              <w:spacing w:after="0" w:line="240" w:lineRule="auto"/>
              <w:jc w:val="right"/>
              <w:rPr>
                <w:rFonts w:eastAsia="Times New Roman" w:cs="Times New Roman"/>
                <w:sz w:val="18"/>
                <w:szCs w:val="18"/>
                <w:lang w:eastAsia="sk-SK"/>
              </w:rPr>
            </w:pPr>
            <w:r w:rsidRPr="0033007E">
              <w:rPr>
                <w:rFonts w:eastAsia="Times New Roman" w:cs="Times New Roman"/>
                <w:sz w:val="18"/>
                <w:szCs w:val="18"/>
                <w:lang w:eastAsia="sk-SK"/>
              </w:rPr>
              <w:t>-22 010</w:t>
            </w:r>
          </w:p>
        </w:tc>
      </w:tr>
      <w:tr w:rsidR="003A0696" w:rsidRPr="00017648" w14:paraId="6BDB811E" w14:textId="77777777" w:rsidTr="003A0696">
        <w:trPr>
          <w:trHeight w:val="229"/>
        </w:trPr>
        <w:tc>
          <w:tcPr>
            <w:tcW w:w="2939" w:type="dxa"/>
            <w:gridSpan w:val="3"/>
            <w:tcBorders>
              <w:top w:val="single" w:sz="4" w:space="0" w:color="auto"/>
              <w:left w:val="nil"/>
              <w:bottom w:val="nil"/>
              <w:right w:val="nil"/>
            </w:tcBorders>
            <w:shd w:val="clear" w:color="000000" w:fill="FFFFFF"/>
            <w:noWrap/>
            <w:hideMark/>
          </w:tcPr>
          <w:p w14:paraId="11315DD9" w14:textId="77777777" w:rsidR="003A0696" w:rsidRPr="0033007E" w:rsidRDefault="003A0696" w:rsidP="003A0696">
            <w:pPr>
              <w:spacing w:after="0" w:line="240" w:lineRule="auto"/>
              <w:jc w:val="left"/>
              <w:rPr>
                <w:rFonts w:eastAsia="Times New Roman" w:cs="Times New Roman"/>
                <w:b/>
                <w:bCs/>
                <w:sz w:val="20"/>
                <w:szCs w:val="20"/>
                <w:lang w:eastAsia="sk-SK"/>
              </w:rPr>
            </w:pPr>
            <w:r w:rsidRPr="0033007E">
              <w:rPr>
                <w:rFonts w:eastAsia="Times New Roman" w:cs="Times New Roman"/>
                <w:b/>
                <w:bCs/>
                <w:sz w:val="20"/>
                <w:szCs w:val="20"/>
                <w:lang w:eastAsia="sk-SK"/>
              </w:rPr>
              <w:t>Schodok verejnej správy spolu</w:t>
            </w:r>
          </w:p>
        </w:tc>
        <w:tc>
          <w:tcPr>
            <w:tcW w:w="1029" w:type="dxa"/>
            <w:tcBorders>
              <w:top w:val="single" w:sz="4" w:space="0" w:color="auto"/>
              <w:left w:val="nil"/>
              <w:bottom w:val="nil"/>
              <w:right w:val="nil"/>
            </w:tcBorders>
            <w:shd w:val="clear" w:color="000000" w:fill="FFFFFF"/>
            <w:noWrap/>
            <w:hideMark/>
          </w:tcPr>
          <w:p w14:paraId="2DEA14CA" w14:textId="77777777" w:rsidR="003A0696" w:rsidRPr="0033007E" w:rsidRDefault="003A0696" w:rsidP="003A0696">
            <w:pPr>
              <w:spacing w:after="0" w:line="240" w:lineRule="auto"/>
              <w:jc w:val="right"/>
              <w:rPr>
                <w:rFonts w:eastAsia="Times New Roman" w:cs="Times New Roman"/>
                <w:b/>
                <w:bCs/>
                <w:sz w:val="18"/>
                <w:szCs w:val="18"/>
                <w:lang w:eastAsia="sk-SK"/>
              </w:rPr>
            </w:pPr>
            <w:r w:rsidRPr="0033007E">
              <w:rPr>
                <w:rFonts w:eastAsia="Times New Roman" w:cs="Times New Roman"/>
                <w:b/>
                <w:bCs/>
                <w:sz w:val="18"/>
                <w:szCs w:val="18"/>
                <w:lang w:eastAsia="sk-SK"/>
              </w:rPr>
              <w:t>-4 999 432</w:t>
            </w:r>
          </w:p>
        </w:tc>
        <w:tc>
          <w:tcPr>
            <w:tcW w:w="1028" w:type="dxa"/>
            <w:tcBorders>
              <w:top w:val="single" w:sz="4" w:space="0" w:color="auto"/>
              <w:left w:val="nil"/>
              <w:bottom w:val="nil"/>
              <w:right w:val="nil"/>
            </w:tcBorders>
            <w:shd w:val="clear" w:color="000000" w:fill="FFFFFF"/>
            <w:noWrap/>
            <w:hideMark/>
          </w:tcPr>
          <w:p w14:paraId="082C63C0" w14:textId="77777777" w:rsidR="003A0696" w:rsidRPr="0033007E" w:rsidRDefault="003A0696" w:rsidP="003A0696">
            <w:pPr>
              <w:spacing w:after="0" w:line="240" w:lineRule="auto"/>
              <w:jc w:val="right"/>
              <w:rPr>
                <w:rFonts w:eastAsia="Times New Roman" w:cs="Times New Roman"/>
                <w:b/>
                <w:bCs/>
                <w:sz w:val="18"/>
                <w:szCs w:val="18"/>
                <w:lang w:eastAsia="sk-SK"/>
              </w:rPr>
            </w:pPr>
            <w:r w:rsidRPr="0033007E">
              <w:rPr>
                <w:rFonts w:eastAsia="Times New Roman" w:cs="Times New Roman"/>
                <w:b/>
                <w:bCs/>
                <w:sz w:val="18"/>
                <w:szCs w:val="18"/>
                <w:lang w:eastAsia="sk-SK"/>
              </w:rPr>
              <w:t>-5 448 093</w:t>
            </w:r>
          </w:p>
        </w:tc>
        <w:tc>
          <w:tcPr>
            <w:tcW w:w="1068" w:type="dxa"/>
            <w:tcBorders>
              <w:top w:val="single" w:sz="4" w:space="0" w:color="auto"/>
              <w:left w:val="nil"/>
              <w:bottom w:val="nil"/>
              <w:right w:val="nil"/>
            </w:tcBorders>
            <w:shd w:val="clear" w:color="000000" w:fill="FFFFFF"/>
            <w:noWrap/>
            <w:hideMark/>
          </w:tcPr>
          <w:p w14:paraId="29FB727A" w14:textId="77777777" w:rsidR="003A0696" w:rsidRPr="0033007E" w:rsidRDefault="003A0696" w:rsidP="003A0696">
            <w:pPr>
              <w:spacing w:after="0" w:line="240" w:lineRule="auto"/>
              <w:jc w:val="right"/>
              <w:rPr>
                <w:rFonts w:eastAsia="Times New Roman" w:cs="Times New Roman"/>
                <w:b/>
                <w:bCs/>
                <w:sz w:val="18"/>
                <w:szCs w:val="18"/>
                <w:lang w:eastAsia="sk-SK"/>
              </w:rPr>
            </w:pPr>
            <w:r w:rsidRPr="0033007E">
              <w:rPr>
                <w:rFonts w:eastAsia="Times New Roman" w:cs="Times New Roman"/>
                <w:b/>
                <w:bCs/>
                <w:sz w:val="18"/>
                <w:szCs w:val="18"/>
                <w:lang w:eastAsia="sk-SK"/>
              </w:rPr>
              <w:t>-5 213 452</w:t>
            </w:r>
          </w:p>
        </w:tc>
        <w:tc>
          <w:tcPr>
            <w:tcW w:w="1031" w:type="dxa"/>
            <w:tcBorders>
              <w:top w:val="single" w:sz="4" w:space="0" w:color="auto"/>
              <w:left w:val="nil"/>
              <w:bottom w:val="nil"/>
              <w:right w:val="nil"/>
            </w:tcBorders>
            <w:shd w:val="clear" w:color="000000" w:fill="FFFFFF"/>
            <w:noWrap/>
            <w:hideMark/>
          </w:tcPr>
          <w:p w14:paraId="2E636EDD" w14:textId="77777777" w:rsidR="003A0696" w:rsidRPr="0033007E" w:rsidRDefault="003A0696" w:rsidP="003A0696">
            <w:pPr>
              <w:spacing w:after="0" w:line="240" w:lineRule="auto"/>
              <w:jc w:val="right"/>
              <w:rPr>
                <w:rFonts w:eastAsia="Times New Roman" w:cs="Times New Roman"/>
                <w:b/>
                <w:bCs/>
                <w:sz w:val="18"/>
                <w:szCs w:val="18"/>
                <w:lang w:eastAsia="sk-SK"/>
              </w:rPr>
            </w:pPr>
            <w:r w:rsidRPr="0033007E">
              <w:rPr>
                <w:rFonts w:eastAsia="Times New Roman" w:cs="Times New Roman"/>
                <w:b/>
                <w:bCs/>
                <w:sz w:val="18"/>
                <w:szCs w:val="18"/>
                <w:lang w:eastAsia="sk-SK"/>
              </w:rPr>
              <w:t>-5 666 683</w:t>
            </w:r>
          </w:p>
        </w:tc>
        <w:tc>
          <w:tcPr>
            <w:tcW w:w="1063" w:type="dxa"/>
            <w:tcBorders>
              <w:top w:val="single" w:sz="4" w:space="0" w:color="auto"/>
              <w:left w:val="nil"/>
              <w:bottom w:val="nil"/>
              <w:right w:val="nil"/>
            </w:tcBorders>
            <w:shd w:val="clear" w:color="000000" w:fill="FFFFFF"/>
            <w:noWrap/>
            <w:hideMark/>
          </w:tcPr>
          <w:p w14:paraId="37A0E522" w14:textId="77777777" w:rsidR="003A0696" w:rsidRPr="0032592F" w:rsidRDefault="003A0696" w:rsidP="003A0696">
            <w:pPr>
              <w:spacing w:after="0" w:line="240" w:lineRule="auto"/>
              <w:jc w:val="right"/>
              <w:rPr>
                <w:rFonts w:eastAsia="Times New Roman" w:cs="Times New Roman"/>
                <w:b/>
                <w:bCs/>
                <w:sz w:val="18"/>
                <w:szCs w:val="18"/>
                <w:lang w:eastAsia="sk-SK"/>
              </w:rPr>
            </w:pPr>
            <w:r w:rsidRPr="0032592F">
              <w:rPr>
                <w:b/>
                <w:bCs/>
                <w:sz w:val="18"/>
                <w:szCs w:val="18"/>
              </w:rPr>
              <w:t>-2 233 781</w:t>
            </w:r>
          </w:p>
        </w:tc>
        <w:tc>
          <w:tcPr>
            <w:tcW w:w="1019" w:type="dxa"/>
            <w:tcBorders>
              <w:top w:val="single" w:sz="4" w:space="0" w:color="auto"/>
              <w:left w:val="nil"/>
              <w:bottom w:val="nil"/>
              <w:right w:val="nil"/>
            </w:tcBorders>
            <w:shd w:val="clear" w:color="000000" w:fill="FFFFFF"/>
            <w:noWrap/>
            <w:hideMark/>
          </w:tcPr>
          <w:p w14:paraId="328322D1" w14:textId="77777777" w:rsidR="003A0696" w:rsidRPr="0032592F" w:rsidRDefault="003A0696" w:rsidP="003A0696">
            <w:pPr>
              <w:spacing w:after="0" w:line="240" w:lineRule="auto"/>
              <w:jc w:val="right"/>
              <w:rPr>
                <w:rFonts w:eastAsia="Times New Roman" w:cs="Times New Roman"/>
                <w:b/>
                <w:bCs/>
                <w:sz w:val="18"/>
                <w:szCs w:val="18"/>
                <w:lang w:eastAsia="sk-SK"/>
              </w:rPr>
            </w:pPr>
            <w:r w:rsidRPr="0032592F">
              <w:rPr>
                <w:b/>
                <w:bCs/>
                <w:sz w:val="18"/>
                <w:szCs w:val="18"/>
              </w:rPr>
              <w:t>3 432 902</w:t>
            </w:r>
          </w:p>
        </w:tc>
      </w:tr>
      <w:tr w:rsidR="003A0696" w:rsidRPr="00017648" w14:paraId="471FCB8C" w14:textId="77777777" w:rsidTr="003A0696">
        <w:trPr>
          <w:trHeight w:val="229"/>
        </w:trPr>
        <w:tc>
          <w:tcPr>
            <w:tcW w:w="2939" w:type="dxa"/>
            <w:gridSpan w:val="3"/>
            <w:tcBorders>
              <w:top w:val="nil"/>
              <w:left w:val="nil"/>
              <w:bottom w:val="single" w:sz="4" w:space="0" w:color="auto"/>
              <w:right w:val="nil"/>
            </w:tcBorders>
            <w:shd w:val="clear" w:color="000000" w:fill="FFFFFF"/>
            <w:noWrap/>
            <w:hideMark/>
          </w:tcPr>
          <w:p w14:paraId="5EF549E4" w14:textId="77777777" w:rsidR="003A0696" w:rsidRPr="0033007E" w:rsidRDefault="003A0696" w:rsidP="003A0696">
            <w:pPr>
              <w:spacing w:after="0" w:line="240" w:lineRule="auto"/>
              <w:jc w:val="left"/>
              <w:rPr>
                <w:rFonts w:eastAsia="Times New Roman" w:cs="Times New Roman"/>
                <w:b/>
                <w:bCs/>
                <w:sz w:val="20"/>
                <w:szCs w:val="20"/>
                <w:lang w:eastAsia="sk-SK"/>
              </w:rPr>
            </w:pPr>
            <w:r w:rsidRPr="0033007E">
              <w:rPr>
                <w:rFonts w:eastAsia="Times New Roman" w:cs="Times New Roman"/>
                <w:b/>
                <w:bCs/>
                <w:sz w:val="20"/>
                <w:szCs w:val="20"/>
                <w:lang w:eastAsia="sk-SK"/>
              </w:rPr>
              <w:t xml:space="preserve"> % z HDP</w:t>
            </w:r>
          </w:p>
        </w:tc>
        <w:tc>
          <w:tcPr>
            <w:tcW w:w="1029" w:type="dxa"/>
            <w:tcBorders>
              <w:top w:val="nil"/>
              <w:left w:val="nil"/>
              <w:bottom w:val="single" w:sz="4" w:space="0" w:color="auto"/>
              <w:right w:val="nil"/>
            </w:tcBorders>
            <w:shd w:val="clear" w:color="000000" w:fill="FFFFFF"/>
            <w:noWrap/>
            <w:hideMark/>
          </w:tcPr>
          <w:p w14:paraId="0320A28C" w14:textId="77777777" w:rsidR="003A0696" w:rsidRPr="0033007E" w:rsidRDefault="003A0696" w:rsidP="003A0696">
            <w:pPr>
              <w:spacing w:after="0" w:line="240" w:lineRule="auto"/>
              <w:jc w:val="right"/>
              <w:rPr>
                <w:rFonts w:eastAsia="Times New Roman" w:cs="Times New Roman"/>
                <w:b/>
                <w:bCs/>
                <w:sz w:val="18"/>
                <w:szCs w:val="18"/>
                <w:lang w:eastAsia="sk-SK"/>
              </w:rPr>
            </w:pPr>
            <w:r w:rsidRPr="0033007E">
              <w:rPr>
                <w:rFonts w:eastAsia="Times New Roman" w:cs="Times New Roman"/>
                <w:b/>
                <w:bCs/>
                <w:sz w:val="18"/>
                <w:szCs w:val="18"/>
                <w:lang w:eastAsia="sk-SK"/>
              </w:rPr>
              <w:t>-5,4</w:t>
            </w:r>
          </w:p>
        </w:tc>
        <w:tc>
          <w:tcPr>
            <w:tcW w:w="1028" w:type="dxa"/>
            <w:tcBorders>
              <w:top w:val="nil"/>
              <w:left w:val="nil"/>
              <w:bottom w:val="single" w:sz="4" w:space="0" w:color="auto"/>
              <w:right w:val="nil"/>
            </w:tcBorders>
            <w:shd w:val="clear" w:color="000000" w:fill="FFFFFF"/>
            <w:noWrap/>
            <w:hideMark/>
          </w:tcPr>
          <w:p w14:paraId="16088BDC" w14:textId="77777777" w:rsidR="003A0696" w:rsidRPr="0033007E" w:rsidRDefault="003A0696" w:rsidP="003A0696">
            <w:pPr>
              <w:spacing w:after="0" w:line="240" w:lineRule="auto"/>
              <w:jc w:val="right"/>
              <w:rPr>
                <w:rFonts w:eastAsia="Times New Roman" w:cs="Times New Roman"/>
                <w:b/>
                <w:bCs/>
                <w:sz w:val="18"/>
                <w:szCs w:val="18"/>
                <w:lang w:eastAsia="sk-SK"/>
              </w:rPr>
            </w:pPr>
            <w:r w:rsidRPr="0033007E">
              <w:rPr>
                <w:rFonts w:eastAsia="Times New Roman" w:cs="Times New Roman"/>
                <w:b/>
                <w:bCs/>
                <w:sz w:val="18"/>
                <w:szCs w:val="18"/>
                <w:lang w:eastAsia="sk-SK"/>
              </w:rPr>
              <w:t>-5,</w:t>
            </w:r>
            <w:r>
              <w:rPr>
                <w:rFonts w:eastAsia="Times New Roman" w:cs="Times New Roman"/>
                <w:b/>
                <w:bCs/>
                <w:sz w:val="18"/>
                <w:szCs w:val="18"/>
                <w:lang w:eastAsia="sk-SK"/>
              </w:rPr>
              <w:t>4</w:t>
            </w:r>
          </w:p>
        </w:tc>
        <w:tc>
          <w:tcPr>
            <w:tcW w:w="1068" w:type="dxa"/>
            <w:tcBorders>
              <w:top w:val="nil"/>
              <w:left w:val="nil"/>
              <w:bottom w:val="single" w:sz="4" w:space="0" w:color="auto"/>
              <w:right w:val="nil"/>
            </w:tcBorders>
            <w:shd w:val="clear" w:color="000000" w:fill="FFFFFF"/>
            <w:noWrap/>
            <w:hideMark/>
          </w:tcPr>
          <w:p w14:paraId="60EA36D6" w14:textId="77777777" w:rsidR="003A0696" w:rsidRPr="0033007E" w:rsidRDefault="003A0696" w:rsidP="003A0696">
            <w:pPr>
              <w:spacing w:after="0" w:line="240" w:lineRule="auto"/>
              <w:jc w:val="right"/>
              <w:rPr>
                <w:rFonts w:eastAsia="Times New Roman" w:cs="Times New Roman"/>
                <w:b/>
                <w:bCs/>
                <w:sz w:val="18"/>
                <w:szCs w:val="18"/>
                <w:lang w:eastAsia="sk-SK"/>
              </w:rPr>
            </w:pPr>
            <w:r w:rsidRPr="0033007E">
              <w:rPr>
                <w:rFonts w:eastAsia="Times New Roman" w:cs="Times New Roman"/>
                <w:b/>
                <w:bCs/>
                <w:sz w:val="18"/>
                <w:szCs w:val="18"/>
                <w:lang w:eastAsia="sk-SK"/>
              </w:rPr>
              <w:t>-4,9</w:t>
            </w:r>
          </w:p>
        </w:tc>
        <w:tc>
          <w:tcPr>
            <w:tcW w:w="1031" w:type="dxa"/>
            <w:tcBorders>
              <w:top w:val="nil"/>
              <w:left w:val="nil"/>
              <w:bottom w:val="single" w:sz="4" w:space="0" w:color="auto"/>
              <w:right w:val="nil"/>
            </w:tcBorders>
            <w:shd w:val="clear" w:color="000000" w:fill="FFFFFF"/>
            <w:noWrap/>
            <w:hideMark/>
          </w:tcPr>
          <w:p w14:paraId="14469E44" w14:textId="77777777" w:rsidR="003A0696" w:rsidRPr="0033007E" w:rsidRDefault="003A0696" w:rsidP="003A0696">
            <w:pPr>
              <w:spacing w:after="0" w:line="240" w:lineRule="auto"/>
              <w:jc w:val="right"/>
              <w:rPr>
                <w:rFonts w:eastAsia="Times New Roman" w:cs="Times New Roman"/>
                <w:b/>
                <w:bCs/>
                <w:sz w:val="18"/>
                <w:szCs w:val="18"/>
                <w:lang w:eastAsia="sk-SK"/>
              </w:rPr>
            </w:pPr>
            <w:r w:rsidRPr="0033007E">
              <w:rPr>
                <w:rFonts w:eastAsia="Times New Roman" w:cs="Times New Roman"/>
                <w:b/>
                <w:bCs/>
                <w:sz w:val="18"/>
                <w:szCs w:val="18"/>
                <w:lang w:eastAsia="sk-SK"/>
              </w:rPr>
              <w:t>-5,2</w:t>
            </w:r>
          </w:p>
        </w:tc>
        <w:tc>
          <w:tcPr>
            <w:tcW w:w="1063" w:type="dxa"/>
            <w:tcBorders>
              <w:top w:val="nil"/>
              <w:left w:val="nil"/>
              <w:bottom w:val="single" w:sz="4" w:space="0" w:color="auto"/>
              <w:right w:val="nil"/>
            </w:tcBorders>
            <w:shd w:val="clear" w:color="000000" w:fill="FFFFFF"/>
            <w:noWrap/>
            <w:hideMark/>
          </w:tcPr>
          <w:p w14:paraId="7432471B" w14:textId="77777777" w:rsidR="003A0696" w:rsidRPr="0032592F" w:rsidRDefault="003A0696" w:rsidP="003A0696">
            <w:pPr>
              <w:spacing w:after="0" w:line="240" w:lineRule="auto"/>
              <w:jc w:val="right"/>
              <w:rPr>
                <w:rFonts w:eastAsia="Times New Roman" w:cs="Times New Roman"/>
                <w:b/>
                <w:bCs/>
                <w:sz w:val="18"/>
                <w:szCs w:val="18"/>
                <w:lang w:eastAsia="sk-SK"/>
              </w:rPr>
            </w:pPr>
            <w:r w:rsidRPr="0032592F">
              <w:rPr>
                <w:b/>
                <w:bCs/>
                <w:sz w:val="18"/>
                <w:szCs w:val="18"/>
              </w:rPr>
              <w:t>-2,0</w:t>
            </w:r>
          </w:p>
        </w:tc>
        <w:tc>
          <w:tcPr>
            <w:tcW w:w="1019" w:type="dxa"/>
            <w:tcBorders>
              <w:top w:val="nil"/>
              <w:left w:val="nil"/>
              <w:bottom w:val="single" w:sz="4" w:space="0" w:color="auto"/>
              <w:right w:val="nil"/>
            </w:tcBorders>
            <w:shd w:val="clear" w:color="000000" w:fill="FFFFFF"/>
            <w:noWrap/>
            <w:hideMark/>
          </w:tcPr>
          <w:p w14:paraId="47DEBDAF" w14:textId="77777777" w:rsidR="003A0696" w:rsidRPr="0032592F" w:rsidRDefault="003A0696" w:rsidP="003A0696">
            <w:pPr>
              <w:spacing w:after="0" w:line="240" w:lineRule="auto"/>
              <w:jc w:val="right"/>
              <w:rPr>
                <w:rFonts w:eastAsia="Times New Roman" w:cs="Times New Roman"/>
                <w:b/>
                <w:bCs/>
                <w:sz w:val="18"/>
                <w:szCs w:val="18"/>
                <w:lang w:eastAsia="sk-SK"/>
              </w:rPr>
            </w:pPr>
            <w:r w:rsidRPr="0032592F">
              <w:rPr>
                <w:b/>
                <w:bCs/>
                <w:sz w:val="18"/>
                <w:szCs w:val="18"/>
              </w:rPr>
              <w:t>3,2</w:t>
            </w:r>
          </w:p>
        </w:tc>
      </w:tr>
    </w:tbl>
    <w:p w14:paraId="6BFB47D3" w14:textId="29DF60CA" w:rsidR="003234A0" w:rsidRDefault="003234A0" w:rsidP="003234A0">
      <w:pPr>
        <w:spacing w:after="0" w:line="240" w:lineRule="auto"/>
        <w:ind w:left="7650" w:firstLine="510"/>
        <w:rPr>
          <w:rFonts w:eastAsia="Times New Roman" w:cs="Times New Roman"/>
          <w:color w:val="000000"/>
          <w:sz w:val="18"/>
          <w:szCs w:val="18"/>
          <w:lang w:eastAsia="sk-SK"/>
        </w:rPr>
      </w:pPr>
      <w:r w:rsidRPr="003234A0">
        <w:rPr>
          <w:rFonts w:eastAsia="Times New Roman" w:cs="Times New Roman"/>
          <w:color w:val="000000"/>
          <w:sz w:val="18"/>
          <w:szCs w:val="18"/>
          <w:lang w:eastAsia="sk-SK"/>
        </w:rPr>
        <w:t>Zdroj: MF SR</w:t>
      </w:r>
    </w:p>
    <w:p w14:paraId="29D0A60F" w14:textId="1A528D16" w:rsidR="003A0696" w:rsidRPr="003234A0" w:rsidRDefault="003A0696" w:rsidP="003A0696">
      <w:pPr>
        <w:spacing w:after="0" w:line="240" w:lineRule="auto"/>
        <w:rPr>
          <w:rFonts w:cs="Times New Roman"/>
          <w:sz w:val="18"/>
          <w:szCs w:val="18"/>
        </w:rPr>
      </w:pPr>
      <w:r w:rsidRPr="003234A0">
        <w:rPr>
          <w:rFonts w:eastAsia="Times New Roman" w:cs="Times New Roman"/>
          <w:color w:val="000000"/>
          <w:sz w:val="18"/>
          <w:szCs w:val="18"/>
          <w:lang w:eastAsia="sk-SK"/>
        </w:rPr>
        <w:t xml:space="preserve">1)Vrátane štátnych finančných aktív, samostatných účtov a salda účtu štátneho dlhu                                                                        </w:t>
      </w:r>
    </w:p>
    <w:p w14:paraId="447F4C04" w14:textId="77777777" w:rsidR="003A0696" w:rsidRPr="003234A0" w:rsidRDefault="003A0696" w:rsidP="003A0696">
      <w:pPr>
        <w:spacing w:after="0" w:line="240" w:lineRule="auto"/>
        <w:jc w:val="left"/>
        <w:rPr>
          <w:rFonts w:eastAsia="Times New Roman" w:cs="Times New Roman"/>
          <w:color w:val="000000"/>
          <w:sz w:val="18"/>
          <w:szCs w:val="18"/>
          <w:lang w:eastAsia="sk-SK"/>
        </w:rPr>
      </w:pPr>
      <w:r w:rsidRPr="003234A0">
        <w:rPr>
          <w:rFonts w:eastAsia="Times New Roman" w:cs="Times New Roman"/>
          <w:color w:val="000000"/>
          <w:sz w:val="18"/>
          <w:szCs w:val="18"/>
          <w:lang w:eastAsia="sk-SK"/>
        </w:rPr>
        <w:t xml:space="preserve">2) Rozpočet verejnej správy po novele štátneho rozpočtu na základe zákona č.357/2022 Z. z., ktorým sa mení a dopĺňa zákon </w:t>
      </w:r>
    </w:p>
    <w:p w14:paraId="629402A1" w14:textId="77777777" w:rsidR="003A0696" w:rsidRPr="003234A0" w:rsidRDefault="003A0696" w:rsidP="003A0696">
      <w:pPr>
        <w:spacing w:after="0" w:line="240" w:lineRule="auto"/>
        <w:jc w:val="left"/>
        <w:rPr>
          <w:rFonts w:eastAsia="Times New Roman" w:cs="Times New Roman"/>
          <w:color w:val="000000"/>
          <w:sz w:val="18"/>
          <w:szCs w:val="18"/>
          <w:lang w:eastAsia="sk-SK"/>
        </w:rPr>
      </w:pPr>
      <w:r w:rsidRPr="003234A0">
        <w:rPr>
          <w:rFonts w:eastAsia="Times New Roman" w:cs="Times New Roman"/>
          <w:color w:val="000000"/>
          <w:sz w:val="18"/>
          <w:szCs w:val="18"/>
          <w:lang w:eastAsia="sk-SK"/>
        </w:rPr>
        <w:t>č. 534/2021 Z. z. o štátnom rozpočte na rok 2022.</w:t>
      </w:r>
    </w:p>
    <w:p w14:paraId="6335B7C6" w14:textId="77777777" w:rsidR="003A0696" w:rsidRPr="003234A0" w:rsidRDefault="003A0696" w:rsidP="003A0696">
      <w:pPr>
        <w:spacing w:after="160" w:line="259" w:lineRule="auto"/>
        <w:jc w:val="left"/>
        <w:rPr>
          <w:rFonts w:eastAsia="Times New Roman" w:cs="Times New Roman"/>
          <w:color w:val="000000"/>
          <w:sz w:val="18"/>
          <w:szCs w:val="18"/>
          <w:lang w:eastAsia="sk-SK"/>
        </w:rPr>
      </w:pPr>
      <w:r w:rsidRPr="003234A0">
        <w:rPr>
          <w:rFonts w:eastAsia="Times New Roman" w:cs="Times New Roman"/>
          <w:color w:val="000000"/>
          <w:sz w:val="18"/>
          <w:szCs w:val="18"/>
          <w:lang w:eastAsia="sk-SK"/>
        </w:rPr>
        <w:br w:type="page"/>
      </w:r>
    </w:p>
    <w:p w14:paraId="1ED8063E" w14:textId="77777777" w:rsidR="003A0696" w:rsidRDefault="003A0696" w:rsidP="003A0696">
      <w:pPr>
        <w:pStyle w:val="Nadpis2"/>
        <w:spacing w:line="240" w:lineRule="auto"/>
      </w:pPr>
      <w:bookmarkStart w:id="24" w:name="_Toc101999908"/>
      <w:bookmarkStart w:id="25" w:name="_Toc132929079"/>
      <w:r>
        <w:lastRenderedPageBreak/>
        <w:t>Jednorazové v</w:t>
      </w:r>
      <w:r w:rsidRPr="003A719D">
        <w:t>plyv</w:t>
      </w:r>
      <w:r>
        <w:t xml:space="preserve">y </w:t>
      </w:r>
      <w:r w:rsidRPr="003A719D">
        <w:t>na saldo verejnej správy</w:t>
      </w:r>
      <w:bookmarkEnd w:id="24"/>
      <w:bookmarkEnd w:id="25"/>
    </w:p>
    <w:p w14:paraId="60742DCC" w14:textId="77777777" w:rsidR="003A0696" w:rsidRPr="005453D8" w:rsidRDefault="003A0696" w:rsidP="003A0696">
      <w:pPr>
        <w:spacing w:line="240" w:lineRule="auto"/>
        <w:rPr>
          <w:sz w:val="24"/>
          <w:szCs w:val="24"/>
        </w:rPr>
      </w:pPr>
      <w:r w:rsidRPr="005453D8">
        <w:rPr>
          <w:sz w:val="24"/>
          <w:szCs w:val="24"/>
        </w:rPr>
        <w:t xml:space="preserve">Členské krajiny EÚ boli (rovnako ako v rokoch 2020 a 2021) povinné </w:t>
      </w:r>
      <w:proofErr w:type="spellStart"/>
      <w:r w:rsidRPr="005453D8">
        <w:rPr>
          <w:sz w:val="24"/>
          <w:szCs w:val="24"/>
        </w:rPr>
        <w:t>Eurostatu</w:t>
      </w:r>
      <w:proofErr w:type="spellEnd"/>
      <w:r w:rsidRPr="005453D8">
        <w:rPr>
          <w:sz w:val="24"/>
          <w:szCs w:val="24"/>
        </w:rPr>
        <w:t xml:space="preserve"> poskytnúť v rámci notifikácie výsledkov hospodárenia verejnej správy aj o informácie o výdavkoch súvisiacich s opatreniami prijatými na boj s pandémiou COVID-19. Ide o aktívne opatrenia vlády, ktorých účelom je zmiernenie alebo odvrátenie negatívneho vplyvu pandémie na hospodárske </w:t>
      </w:r>
      <w:r>
        <w:rPr>
          <w:sz w:val="24"/>
          <w:szCs w:val="24"/>
        </w:rPr>
        <w:t>subjekty a obyvateľstvo krajiny.</w:t>
      </w:r>
    </w:p>
    <w:p w14:paraId="640DCA91" w14:textId="77777777" w:rsidR="003A0696" w:rsidRPr="00CE344D" w:rsidRDefault="003A0696" w:rsidP="003A0696">
      <w:pPr>
        <w:spacing w:line="240" w:lineRule="auto"/>
        <w:rPr>
          <w:sz w:val="24"/>
          <w:szCs w:val="24"/>
        </w:rPr>
      </w:pPr>
      <w:r w:rsidRPr="00CE344D">
        <w:rPr>
          <w:sz w:val="24"/>
          <w:szCs w:val="24"/>
        </w:rPr>
        <w:t xml:space="preserve">Za takéto opatrenia </w:t>
      </w:r>
      <w:proofErr w:type="spellStart"/>
      <w:r w:rsidRPr="00CE344D">
        <w:rPr>
          <w:sz w:val="24"/>
          <w:szCs w:val="24"/>
        </w:rPr>
        <w:t>Eurostat</w:t>
      </w:r>
      <w:proofErr w:type="spellEnd"/>
      <w:r w:rsidRPr="00CE344D">
        <w:rPr>
          <w:sz w:val="24"/>
          <w:szCs w:val="24"/>
        </w:rPr>
        <w:t xml:space="preserve"> považuje nové schémy podpory (podpora zamestnanosti a priame dotácie na zachovanie</w:t>
      </w:r>
      <w:r>
        <w:rPr>
          <w:sz w:val="24"/>
          <w:szCs w:val="24"/>
        </w:rPr>
        <w:t xml:space="preserve"> pracovných miest</w:t>
      </w:r>
      <w:r w:rsidRPr="00CE344D">
        <w:rPr>
          <w:sz w:val="24"/>
          <w:szCs w:val="24"/>
        </w:rPr>
        <w:t xml:space="preserve">) alebo úpravu existujúcich systémov, napr. v oblasti daní, odvodov a dotácií (ako napríklad zníženie daňovej sadzby, rozšírenie sociálnych transferov, zvýšenie oprávnených dávok, zmena v trvaní poberania dávok, zmena kritérií oprávnenosti). Ďalšími sledovanými výdavkami sú výdavky na obstaranie tovarov a služieb, ako napríklad v zdravotníctve nákup zdravotníckeho materiálu, ochranných pomôcok, respirátorov, dezinfekcie, testov, na lieky a vakcináciu a dodatočné platby zdravotníckemu personálu. </w:t>
      </w:r>
    </w:p>
    <w:p w14:paraId="00210641" w14:textId="77777777" w:rsidR="003A0696" w:rsidRDefault="003A0696" w:rsidP="003A0696">
      <w:pPr>
        <w:spacing w:line="240" w:lineRule="auto"/>
        <w:rPr>
          <w:b/>
          <w:sz w:val="24"/>
          <w:szCs w:val="24"/>
        </w:rPr>
      </w:pPr>
      <w:r w:rsidRPr="00252B56">
        <w:rPr>
          <w:b/>
          <w:sz w:val="24"/>
          <w:szCs w:val="24"/>
        </w:rPr>
        <w:t>V spolupráci so Štatistickým úradom SR boli výdavky súvisiace s COVID-19 v metodike ESA 2010 predbežne vyčíslené na  </w:t>
      </w:r>
      <w:r>
        <w:rPr>
          <w:b/>
          <w:sz w:val="24"/>
          <w:szCs w:val="24"/>
        </w:rPr>
        <w:t>893</w:t>
      </w:r>
      <w:r w:rsidRPr="00252B56">
        <w:rPr>
          <w:b/>
          <w:sz w:val="24"/>
          <w:szCs w:val="24"/>
        </w:rPr>
        <w:t> </w:t>
      </w:r>
      <w:r>
        <w:rPr>
          <w:b/>
          <w:sz w:val="24"/>
          <w:szCs w:val="24"/>
        </w:rPr>
        <w:t>711</w:t>
      </w:r>
      <w:r w:rsidRPr="00252B56">
        <w:rPr>
          <w:b/>
          <w:sz w:val="24"/>
          <w:szCs w:val="24"/>
        </w:rPr>
        <w:t xml:space="preserve"> tis. eur (2021: 3 413 284 tis. eur). Po zohľadnení použitia prostriedkov zo štrukturálnych fondov, ktoré boli počas roka 2022 </w:t>
      </w:r>
      <w:proofErr w:type="spellStart"/>
      <w:r w:rsidRPr="00252B56">
        <w:rPr>
          <w:b/>
          <w:sz w:val="24"/>
          <w:szCs w:val="24"/>
        </w:rPr>
        <w:t>realokované</w:t>
      </w:r>
      <w:proofErr w:type="spellEnd"/>
      <w:r w:rsidRPr="00252B56">
        <w:rPr>
          <w:b/>
          <w:sz w:val="24"/>
          <w:szCs w:val="24"/>
        </w:rPr>
        <w:t xml:space="preserve"> v niektorých operačných programoch na boj proti pandémii, sú výdavky súvisiace s pandémiou na úrovni </w:t>
      </w:r>
      <w:r>
        <w:rPr>
          <w:b/>
          <w:sz w:val="24"/>
          <w:szCs w:val="24"/>
        </w:rPr>
        <w:t>697</w:t>
      </w:r>
      <w:r w:rsidRPr="00252B56">
        <w:rPr>
          <w:b/>
          <w:sz w:val="24"/>
          <w:szCs w:val="24"/>
        </w:rPr>
        <w:t> </w:t>
      </w:r>
      <w:r>
        <w:rPr>
          <w:b/>
          <w:sz w:val="24"/>
          <w:szCs w:val="24"/>
        </w:rPr>
        <w:t>874</w:t>
      </w:r>
      <w:r w:rsidRPr="00252B56">
        <w:rPr>
          <w:b/>
          <w:sz w:val="24"/>
          <w:szCs w:val="24"/>
        </w:rPr>
        <w:t xml:space="preserve"> tis. eur (2021: 3 024 904 tis. eur). </w:t>
      </w:r>
    </w:p>
    <w:p w14:paraId="0DF99C78" w14:textId="77777777" w:rsidR="003A0696" w:rsidRDefault="003A0696" w:rsidP="003A0696">
      <w:pPr>
        <w:spacing w:line="240" w:lineRule="auto"/>
        <w:rPr>
          <w:sz w:val="24"/>
          <w:szCs w:val="24"/>
        </w:rPr>
      </w:pPr>
      <w:r w:rsidRPr="00DD098B">
        <w:rPr>
          <w:sz w:val="24"/>
          <w:szCs w:val="24"/>
        </w:rPr>
        <w:t xml:space="preserve">Prostriedky EÚ boli použité najmä v rámci Operačného programu Ľudské zdroje, a to na </w:t>
      </w:r>
      <w:r>
        <w:rPr>
          <w:sz w:val="24"/>
          <w:szCs w:val="24"/>
        </w:rPr>
        <w:t>podporu udržania zamestnanosti</w:t>
      </w:r>
      <w:r w:rsidRPr="00DD098B">
        <w:rPr>
          <w:sz w:val="24"/>
          <w:szCs w:val="24"/>
        </w:rPr>
        <w:t xml:space="preserve"> a v rámci iných opatrení na zmiernenie dopadov COVID-19 vo výške </w:t>
      </w:r>
      <w:r>
        <w:rPr>
          <w:sz w:val="24"/>
          <w:szCs w:val="24"/>
        </w:rPr>
        <w:t>42 703</w:t>
      </w:r>
      <w:r w:rsidRPr="00DD098B">
        <w:rPr>
          <w:sz w:val="24"/>
          <w:szCs w:val="24"/>
        </w:rPr>
        <w:t> tis. eur, v rámci Integrovaného regionálneho operačného programu na podporu zdravotníckeho systému</w:t>
      </w:r>
      <w:r>
        <w:rPr>
          <w:sz w:val="24"/>
          <w:szCs w:val="24"/>
        </w:rPr>
        <w:t xml:space="preserve"> a ochrany verejného zdravia</w:t>
      </w:r>
      <w:r w:rsidRPr="00DD098B">
        <w:rPr>
          <w:sz w:val="24"/>
          <w:szCs w:val="24"/>
        </w:rPr>
        <w:t xml:space="preserve"> vo výške </w:t>
      </w:r>
      <w:r>
        <w:rPr>
          <w:sz w:val="24"/>
          <w:szCs w:val="24"/>
        </w:rPr>
        <w:t>18</w:t>
      </w:r>
      <w:r w:rsidRPr="00DD098B">
        <w:rPr>
          <w:sz w:val="24"/>
          <w:szCs w:val="24"/>
        </w:rPr>
        <w:t> </w:t>
      </w:r>
      <w:r>
        <w:rPr>
          <w:sz w:val="24"/>
          <w:szCs w:val="24"/>
        </w:rPr>
        <w:t>792</w:t>
      </w:r>
      <w:r w:rsidRPr="00DD098B">
        <w:rPr>
          <w:sz w:val="24"/>
          <w:szCs w:val="24"/>
        </w:rPr>
        <w:t> tis. eur, v rámci Operačného programu Kvalita životného prostredia na podporu zložiek integrovaného záchranného systému (zlepšenie technického a materiálneho vybavenia pre záchranné zložky, zníženie negatívnych dopadov na zdravie obyvateľstva a zdravotnícky systém SR, zabezpečenie ochranných a zdravotníckych pomôcok) vo výške 2 751 tis. eur</w:t>
      </w:r>
      <w:r>
        <w:rPr>
          <w:sz w:val="24"/>
          <w:szCs w:val="24"/>
        </w:rPr>
        <w:t xml:space="preserve"> a </w:t>
      </w:r>
      <w:r w:rsidRPr="00DD098B">
        <w:rPr>
          <w:sz w:val="24"/>
          <w:szCs w:val="24"/>
        </w:rPr>
        <w:t xml:space="preserve">v rámci Operačného programu Integrovaná infraštruktúra na podporu pre </w:t>
      </w:r>
      <w:proofErr w:type="spellStart"/>
      <w:r w:rsidRPr="00DD098B">
        <w:rPr>
          <w:sz w:val="24"/>
          <w:szCs w:val="24"/>
        </w:rPr>
        <w:t>mikro</w:t>
      </w:r>
      <w:proofErr w:type="spellEnd"/>
      <w:r w:rsidRPr="00DD098B">
        <w:rPr>
          <w:sz w:val="24"/>
          <w:szCs w:val="24"/>
        </w:rPr>
        <w:t>, malé a stredné podniky vo výške 1</w:t>
      </w:r>
      <w:r>
        <w:rPr>
          <w:sz w:val="24"/>
          <w:szCs w:val="24"/>
        </w:rPr>
        <w:t>31</w:t>
      </w:r>
      <w:r w:rsidRPr="00DD098B">
        <w:rPr>
          <w:sz w:val="24"/>
          <w:szCs w:val="24"/>
        </w:rPr>
        <w:t> </w:t>
      </w:r>
      <w:r>
        <w:rPr>
          <w:sz w:val="24"/>
          <w:szCs w:val="24"/>
        </w:rPr>
        <w:t>591</w:t>
      </w:r>
      <w:r w:rsidRPr="00DD098B">
        <w:rPr>
          <w:sz w:val="24"/>
          <w:szCs w:val="24"/>
        </w:rPr>
        <w:t> tis. eur</w:t>
      </w:r>
      <w:r>
        <w:rPr>
          <w:sz w:val="24"/>
          <w:szCs w:val="24"/>
        </w:rPr>
        <w:t xml:space="preserve"> (bezpečná mobilita, podpora výskumu v boji proti pandémie, </w:t>
      </w:r>
      <w:proofErr w:type="spellStart"/>
      <w:r>
        <w:rPr>
          <w:sz w:val="24"/>
          <w:szCs w:val="24"/>
        </w:rPr>
        <w:t>telemedicína</w:t>
      </w:r>
      <w:proofErr w:type="spellEnd"/>
      <w:r>
        <w:rPr>
          <w:sz w:val="24"/>
          <w:szCs w:val="24"/>
        </w:rPr>
        <w:t>, identifikácia a možnosti implementácie nových technologických opatrení v doprave)</w:t>
      </w:r>
      <w:r w:rsidRPr="00DD098B">
        <w:rPr>
          <w:sz w:val="24"/>
          <w:szCs w:val="24"/>
        </w:rPr>
        <w:t xml:space="preserve">. Celkovo bolo zo zdrojov fondov EÚ k 31.12.2022 refundovaných </w:t>
      </w:r>
      <w:r>
        <w:rPr>
          <w:sz w:val="24"/>
          <w:szCs w:val="24"/>
        </w:rPr>
        <w:t>1</w:t>
      </w:r>
      <w:r w:rsidRPr="00DD098B">
        <w:rPr>
          <w:sz w:val="24"/>
          <w:szCs w:val="24"/>
        </w:rPr>
        <w:t>9</w:t>
      </w:r>
      <w:r>
        <w:rPr>
          <w:sz w:val="24"/>
          <w:szCs w:val="24"/>
        </w:rPr>
        <w:t>5</w:t>
      </w:r>
      <w:r w:rsidRPr="00DD098B">
        <w:rPr>
          <w:sz w:val="24"/>
          <w:szCs w:val="24"/>
        </w:rPr>
        <w:t> </w:t>
      </w:r>
      <w:r>
        <w:rPr>
          <w:sz w:val="24"/>
          <w:szCs w:val="24"/>
        </w:rPr>
        <w:t>837</w:t>
      </w:r>
      <w:r w:rsidRPr="00DD098B">
        <w:rPr>
          <w:sz w:val="24"/>
          <w:szCs w:val="24"/>
        </w:rPr>
        <w:t> tis. eur na opatrenia proti COVID-19.</w:t>
      </w:r>
    </w:p>
    <w:tbl>
      <w:tblPr>
        <w:tblW w:w="9124" w:type="dxa"/>
        <w:tblCellMar>
          <w:left w:w="70" w:type="dxa"/>
          <w:right w:w="70" w:type="dxa"/>
        </w:tblCellMar>
        <w:tblLook w:val="04A0" w:firstRow="1" w:lastRow="0" w:firstColumn="1" w:lastColumn="0" w:noHBand="0" w:noVBand="1"/>
      </w:tblPr>
      <w:tblGrid>
        <w:gridCol w:w="3368"/>
        <w:gridCol w:w="1261"/>
        <w:gridCol w:w="605"/>
        <w:gridCol w:w="295"/>
        <w:gridCol w:w="991"/>
        <w:gridCol w:w="1277"/>
        <w:gridCol w:w="1327"/>
      </w:tblGrid>
      <w:tr w:rsidR="003A0696" w:rsidRPr="007C7A83" w14:paraId="6304872C" w14:textId="77777777" w:rsidTr="003A0696">
        <w:trPr>
          <w:trHeight w:val="199"/>
        </w:trPr>
        <w:tc>
          <w:tcPr>
            <w:tcW w:w="9124" w:type="dxa"/>
            <w:gridSpan w:val="7"/>
            <w:tcBorders>
              <w:top w:val="nil"/>
              <w:left w:val="nil"/>
              <w:bottom w:val="nil"/>
              <w:right w:val="nil"/>
            </w:tcBorders>
            <w:shd w:val="clear" w:color="auto" w:fill="auto"/>
            <w:noWrap/>
            <w:vAlign w:val="bottom"/>
            <w:hideMark/>
          </w:tcPr>
          <w:p w14:paraId="3BF46B8E" w14:textId="77777777" w:rsidR="003A0696" w:rsidRDefault="003A0696" w:rsidP="003A0696">
            <w:pPr>
              <w:spacing w:after="0" w:line="240" w:lineRule="auto"/>
              <w:jc w:val="left"/>
              <w:rPr>
                <w:rFonts w:eastAsia="Times New Roman" w:cs="Times New Roman"/>
                <w:b/>
                <w:bCs/>
                <w:color w:val="5B9BD5"/>
                <w:sz w:val="20"/>
                <w:szCs w:val="20"/>
                <w:lang w:eastAsia="sk-SK"/>
              </w:rPr>
            </w:pPr>
            <w:r>
              <w:rPr>
                <w:rFonts w:eastAsia="Times New Roman" w:cs="Times New Roman"/>
                <w:b/>
                <w:bCs/>
                <w:color w:val="5B9BD5"/>
                <w:sz w:val="20"/>
                <w:szCs w:val="20"/>
                <w:lang w:eastAsia="sk-SK"/>
              </w:rPr>
              <w:t xml:space="preserve">Tabuľka 11 - </w:t>
            </w:r>
            <w:r w:rsidRPr="007C7A83">
              <w:rPr>
                <w:rFonts w:eastAsia="Times New Roman" w:cs="Times New Roman"/>
                <w:b/>
                <w:bCs/>
                <w:color w:val="5B9BD5"/>
                <w:sz w:val="20"/>
                <w:szCs w:val="20"/>
                <w:lang w:eastAsia="sk-SK"/>
              </w:rPr>
              <w:t>Prehľad impleme</w:t>
            </w:r>
            <w:r>
              <w:rPr>
                <w:rFonts w:eastAsia="Times New Roman" w:cs="Times New Roman"/>
                <w:b/>
                <w:bCs/>
                <w:color w:val="5B9BD5"/>
                <w:sz w:val="20"/>
                <w:szCs w:val="20"/>
                <w:lang w:eastAsia="sk-SK"/>
              </w:rPr>
              <w:t>ntácie opatrení na eliminovanie</w:t>
            </w:r>
          </w:p>
          <w:p w14:paraId="2ACF0521" w14:textId="77777777" w:rsidR="003A0696" w:rsidRPr="007C7A83" w:rsidRDefault="003A0696" w:rsidP="003A0696">
            <w:pPr>
              <w:spacing w:after="0" w:line="240" w:lineRule="auto"/>
              <w:jc w:val="left"/>
              <w:rPr>
                <w:rFonts w:eastAsia="Times New Roman" w:cs="Times New Roman"/>
                <w:b/>
                <w:bCs/>
                <w:color w:val="5B9BD5"/>
                <w:sz w:val="20"/>
                <w:szCs w:val="20"/>
                <w:lang w:eastAsia="sk-SK"/>
              </w:rPr>
            </w:pPr>
            <w:r w:rsidRPr="007C7A83">
              <w:rPr>
                <w:rFonts w:eastAsia="Times New Roman" w:cs="Times New Roman"/>
                <w:b/>
                <w:bCs/>
                <w:color w:val="5B9BD5"/>
                <w:sz w:val="20"/>
                <w:szCs w:val="20"/>
                <w:lang w:eastAsia="sk-SK"/>
              </w:rPr>
              <w:t xml:space="preserve">dopadov COVID-19 k 31.12.2022          </w:t>
            </w:r>
            <w:r>
              <w:rPr>
                <w:rFonts w:eastAsia="Times New Roman" w:cs="Times New Roman"/>
                <w:b/>
                <w:bCs/>
                <w:color w:val="5B9BD5"/>
                <w:sz w:val="20"/>
                <w:szCs w:val="20"/>
                <w:lang w:eastAsia="sk-SK"/>
              </w:rPr>
              <w:t xml:space="preserve">                                                                                                 </w:t>
            </w:r>
            <w:r w:rsidRPr="007C7A83">
              <w:rPr>
                <w:rFonts w:eastAsia="Times New Roman" w:cs="Times New Roman"/>
                <w:b/>
                <w:bCs/>
                <w:color w:val="5B9BD5"/>
                <w:sz w:val="20"/>
                <w:szCs w:val="20"/>
                <w:lang w:eastAsia="sk-SK"/>
              </w:rPr>
              <w:t>v tis. eur</w:t>
            </w:r>
          </w:p>
        </w:tc>
      </w:tr>
      <w:tr w:rsidR="003A0696" w:rsidRPr="007C7A83" w14:paraId="07044006" w14:textId="77777777" w:rsidTr="003A0696">
        <w:trPr>
          <w:trHeight w:val="364"/>
        </w:trPr>
        <w:tc>
          <w:tcPr>
            <w:tcW w:w="3368" w:type="dxa"/>
            <w:tcBorders>
              <w:top w:val="single" w:sz="4" w:space="0" w:color="auto"/>
              <w:left w:val="nil"/>
              <w:bottom w:val="nil"/>
              <w:right w:val="nil"/>
            </w:tcBorders>
            <w:shd w:val="clear" w:color="auto" w:fill="auto"/>
            <w:vAlign w:val="center"/>
            <w:hideMark/>
          </w:tcPr>
          <w:p w14:paraId="3FC28810" w14:textId="77777777" w:rsidR="003A0696" w:rsidRPr="00640CB6" w:rsidRDefault="003A0696" w:rsidP="003A0696">
            <w:pPr>
              <w:spacing w:after="0" w:line="240" w:lineRule="auto"/>
              <w:contextualSpacing/>
              <w:jc w:val="center"/>
              <w:rPr>
                <w:rFonts w:eastAsia="Times New Roman" w:cs="Times New Roman"/>
                <w:b/>
                <w:bCs/>
                <w:sz w:val="18"/>
                <w:szCs w:val="18"/>
                <w:lang w:eastAsia="sk-SK"/>
              </w:rPr>
            </w:pPr>
            <w:r w:rsidRPr="00640CB6">
              <w:rPr>
                <w:rFonts w:eastAsia="Times New Roman" w:cs="Times New Roman"/>
                <w:b/>
                <w:bCs/>
                <w:sz w:val="18"/>
                <w:szCs w:val="18"/>
                <w:lang w:eastAsia="sk-SK"/>
              </w:rPr>
              <w:t>Zameranie COVID</w:t>
            </w:r>
            <w:r w:rsidRPr="00640CB6">
              <w:rPr>
                <w:rFonts w:eastAsia="Times New Roman" w:cs="Times New Roman"/>
                <w:b/>
                <w:bCs/>
                <w:sz w:val="18"/>
                <w:szCs w:val="18"/>
                <w:lang w:eastAsia="sk-SK"/>
              </w:rPr>
              <w:br/>
              <w:t>opatrení</w:t>
            </w:r>
          </w:p>
        </w:tc>
        <w:tc>
          <w:tcPr>
            <w:tcW w:w="1261" w:type="dxa"/>
            <w:tcBorders>
              <w:top w:val="single" w:sz="4" w:space="0" w:color="auto"/>
              <w:left w:val="nil"/>
              <w:bottom w:val="nil"/>
              <w:right w:val="nil"/>
            </w:tcBorders>
            <w:shd w:val="clear" w:color="auto" w:fill="auto"/>
            <w:vAlign w:val="center"/>
            <w:hideMark/>
          </w:tcPr>
          <w:p w14:paraId="24EAA8ED" w14:textId="77777777" w:rsidR="003A0696" w:rsidRPr="00640CB6" w:rsidRDefault="003A0696" w:rsidP="003A0696">
            <w:pPr>
              <w:spacing w:after="0" w:line="240" w:lineRule="auto"/>
              <w:contextualSpacing/>
              <w:jc w:val="center"/>
              <w:rPr>
                <w:rFonts w:eastAsia="Times New Roman" w:cs="Times New Roman"/>
                <w:b/>
                <w:bCs/>
                <w:sz w:val="18"/>
                <w:szCs w:val="18"/>
                <w:lang w:eastAsia="sk-SK"/>
              </w:rPr>
            </w:pPr>
            <w:r w:rsidRPr="00640CB6">
              <w:rPr>
                <w:rFonts w:eastAsia="Times New Roman" w:cs="Times New Roman"/>
                <w:b/>
                <w:bCs/>
                <w:sz w:val="18"/>
                <w:szCs w:val="18"/>
                <w:lang w:eastAsia="sk-SK"/>
              </w:rPr>
              <w:t>Operačný</w:t>
            </w:r>
            <w:r w:rsidRPr="00640CB6">
              <w:rPr>
                <w:rFonts w:eastAsia="Times New Roman" w:cs="Times New Roman"/>
                <w:b/>
                <w:bCs/>
                <w:sz w:val="18"/>
                <w:szCs w:val="18"/>
                <w:lang w:eastAsia="sk-SK"/>
              </w:rPr>
              <w:br/>
              <w:t>program</w:t>
            </w:r>
          </w:p>
        </w:tc>
        <w:tc>
          <w:tcPr>
            <w:tcW w:w="605" w:type="dxa"/>
            <w:tcBorders>
              <w:top w:val="single" w:sz="4" w:space="0" w:color="auto"/>
              <w:left w:val="nil"/>
              <w:bottom w:val="nil"/>
              <w:right w:val="nil"/>
            </w:tcBorders>
            <w:shd w:val="clear" w:color="auto" w:fill="auto"/>
            <w:noWrap/>
            <w:vAlign w:val="center"/>
            <w:hideMark/>
          </w:tcPr>
          <w:p w14:paraId="595F6124" w14:textId="77777777" w:rsidR="003A0696" w:rsidRPr="00640CB6" w:rsidRDefault="003A0696" w:rsidP="003A0696">
            <w:pPr>
              <w:spacing w:after="0" w:line="240" w:lineRule="auto"/>
              <w:contextualSpacing/>
              <w:jc w:val="center"/>
              <w:rPr>
                <w:rFonts w:eastAsia="Times New Roman" w:cs="Times New Roman"/>
                <w:b/>
                <w:bCs/>
                <w:sz w:val="18"/>
                <w:szCs w:val="18"/>
                <w:lang w:eastAsia="sk-SK"/>
              </w:rPr>
            </w:pPr>
            <w:r w:rsidRPr="00640CB6">
              <w:rPr>
                <w:rFonts w:eastAsia="Times New Roman" w:cs="Times New Roman"/>
                <w:b/>
                <w:bCs/>
                <w:sz w:val="18"/>
                <w:szCs w:val="18"/>
                <w:lang w:eastAsia="sk-SK"/>
              </w:rPr>
              <w:t>Fond</w:t>
            </w:r>
          </w:p>
        </w:tc>
        <w:tc>
          <w:tcPr>
            <w:tcW w:w="1286" w:type="dxa"/>
            <w:gridSpan w:val="2"/>
            <w:tcBorders>
              <w:top w:val="single" w:sz="4" w:space="0" w:color="auto"/>
              <w:left w:val="nil"/>
              <w:bottom w:val="nil"/>
              <w:right w:val="nil"/>
            </w:tcBorders>
            <w:shd w:val="clear" w:color="auto" w:fill="auto"/>
            <w:vAlign w:val="center"/>
            <w:hideMark/>
          </w:tcPr>
          <w:p w14:paraId="3B1E8223" w14:textId="77777777" w:rsidR="003A0696" w:rsidRPr="00640CB6" w:rsidRDefault="003A0696" w:rsidP="003A0696">
            <w:pPr>
              <w:spacing w:after="0" w:line="240" w:lineRule="auto"/>
              <w:contextualSpacing/>
              <w:jc w:val="right"/>
              <w:rPr>
                <w:rFonts w:eastAsia="Times New Roman" w:cs="Times New Roman"/>
                <w:b/>
                <w:bCs/>
                <w:sz w:val="18"/>
                <w:szCs w:val="18"/>
                <w:lang w:eastAsia="sk-SK"/>
              </w:rPr>
            </w:pPr>
            <w:r w:rsidRPr="00640CB6">
              <w:rPr>
                <w:rFonts w:eastAsia="Times New Roman" w:cs="Times New Roman"/>
                <w:b/>
                <w:bCs/>
                <w:sz w:val="18"/>
                <w:szCs w:val="18"/>
                <w:lang w:eastAsia="sk-SK"/>
              </w:rPr>
              <w:t xml:space="preserve">Čerpanie </w:t>
            </w:r>
            <w:proofErr w:type="spellStart"/>
            <w:r w:rsidRPr="00640CB6">
              <w:rPr>
                <w:rFonts w:eastAsia="Times New Roman" w:cs="Times New Roman"/>
                <w:b/>
                <w:bCs/>
                <w:sz w:val="18"/>
                <w:szCs w:val="18"/>
                <w:lang w:eastAsia="sk-SK"/>
              </w:rPr>
              <w:t>kumulatív</w:t>
            </w:r>
            <w:proofErr w:type="spellEnd"/>
            <w:r w:rsidRPr="00640CB6">
              <w:rPr>
                <w:rFonts w:eastAsia="Times New Roman" w:cs="Times New Roman"/>
                <w:b/>
                <w:bCs/>
                <w:sz w:val="18"/>
                <w:szCs w:val="18"/>
                <w:lang w:eastAsia="sk-SK"/>
              </w:rPr>
              <w:t xml:space="preserve"> k 31.12.2021</w:t>
            </w:r>
            <w:r w:rsidRPr="00640CB6">
              <w:rPr>
                <w:rFonts w:eastAsia="Times New Roman" w:cs="Times New Roman"/>
                <w:sz w:val="18"/>
                <w:szCs w:val="18"/>
                <w:lang w:eastAsia="sk-SK"/>
              </w:rPr>
              <w:br/>
              <w:t xml:space="preserve">(schválené súhrnné </w:t>
            </w:r>
            <w:proofErr w:type="spellStart"/>
            <w:r w:rsidRPr="00640CB6">
              <w:rPr>
                <w:rFonts w:eastAsia="Times New Roman" w:cs="Times New Roman"/>
                <w:sz w:val="18"/>
                <w:szCs w:val="18"/>
                <w:lang w:eastAsia="sk-SK"/>
              </w:rPr>
              <w:t>ŽoP</w:t>
            </w:r>
            <w:proofErr w:type="spellEnd"/>
            <w:r w:rsidRPr="00640CB6">
              <w:rPr>
                <w:rFonts w:eastAsia="Times New Roman" w:cs="Times New Roman"/>
                <w:sz w:val="18"/>
                <w:szCs w:val="18"/>
                <w:lang w:eastAsia="sk-SK"/>
              </w:rPr>
              <w:t>)</w:t>
            </w:r>
          </w:p>
        </w:tc>
        <w:tc>
          <w:tcPr>
            <w:tcW w:w="1277" w:type="dxa"/>
            <w:tcBorders>
              <w:top w:val="single" w:sz="4" w:space="0" w:color="auto"/>
              <w:left w:val="nil"/>
              <w:bottom w:val="nil"/>
              <w:right w:val="nil"/>
            </w:tcBorders>
            <w:shd w:val="clear" w:color="auto" w:fill="auto"/>
            <w:vAlign w:val="center"/>
            <w:hideMark/>
          </w:tcPr>
          <w:p w14:paraId="1C734D50" w14:textId="77777777" w:rsidR="003A0696" w:rsidRPr="00640CB6" w:rsidRDefault="003A0696" w:rsidP="003A0696">
            <w:pPr>
              <w:spacing w:after="0" w:line="240" w:lineRule="auto"/>
              <w:contextualSpacing/>
              <w:jc w:val="right"/>
              <w:rPr>
                <w:rFonts w:eastAsia="Times New Roman" w:cs="Times New Roman"/>
                <w:b/>
                <w:bCs/>
                <w:sz w:val="18"/>
                <w:szCs w:val="18"/>
                <w:lang w:eastAsia="sk-SK"/>
              </w:rPr>
            </w:pPr>
            <w:r w:rsidRPr="00640CB6">
              <w:rPr>
                <w:rFonts w:eastAsia="Times New Roman" w:cs="Times New Roman"/>
                <w:b/>
                <w:bCs/>
                <w:sz w:val="18"/>
                <w:szCs w:val="18"/>
                <w:lang w:eastAsia="sk-SK"/>
              </w:rPr>
              <w:t xml:space="preserve">Čerpanie </w:t>
            </w:r>
            <w:proofErr w:type="spellStart"/>
            <w:r w:rsidRPr="00640CB6">
              <w:rPr>
                <w:rFonts w:eastAsia="Times New Roman" w:cs="Times New Roman"/>
                <w:b/>
                <w:bCs/>
                <w:sz w:val="18"/>
                <w:szCs w:val="18"/>
                <w:lang w:eastAsia="sk-SK"/>
              </w:rPr>
              <w:t>kumulatív</w:t>
            </w:r>
            <w:proofErr w:type="spellEnd"/>
            <w:r w:rsidRPr="00640CB6">
              <w:rPr>
                <w:rFonts w:eastAsia="Times New Roman" w:cs="Times New Roman"/>
                <w:b/>
                <w:bCs/>
                <w:sz w:val="18"/>
                <w:szCs w:val="18"/>
                <w:lang w:eastAsia="sk-SK"/>
              </w:rPr>
              <w:t xml:space="preserve"> k 31.1</w:t>
            </w:r>
            <w:r>
              <w:rPr>
                <w:rFonts w:eastAsia="Times New Roman" w:cs="Times New Roman"/>
                <w:b/>
                <w:bCs/>
                <w:sz w:val="18"/>
                <w:szCs w:val="18"/>
                <w:lang w:eastAsia="sk-SK"/>
              </w:rPr>
              <w:t>2</w:t>
            </w:r>
            <w:r w:rsidRPr="00640CB6">
              <w:rPr>
                <w:rFonts w:eastAsia="Times New Roman" w:cs="Times New Roman"/>
                <w:b/>
                <w:bCs/>
                <w:sz w:val="18"/>
                <w:szCs w:val="18"/>
                <w:lang w:eastAsia="sk-SK"/>
              </w:rPr>
              <w:t>.2022</w:t>
            </w:r>
            <w:r w:rsidRPr="00640CB6">
              <w:rPr>
                <w:rFonts w:eastAsia="Times New Roman" w:cs="Times New Roman"/>
                <w:sz w:val="18"/>
                <w:szCs w:val="18"/>
                <w:lang w:eastAsia="sk-SK"/>
              </w:rPr>
              <w:br/>
              <w:t xml:space="preserve">(schválené súhrnné </w:t>
            </w:r>
            <w:proofErr w:type="spellStart"/>
            <w:r w:rsidRPr="00640CB6">
              <w:rPr>
                <w:rFonts w:eastAsia="Times New Roman" w:cs="Times New Roman"/>
                <w:sz w:val="18"/>
                <w:szCs w:val="18"/>
                <w:lang w:eastAsia="sk-SK"/>
              </w:rPr>
              <w:t>ŽoP</w:t>
            </w:r>
            <w:proofErr w:type="spellEnd"/>
            <w:r w:rsidRPr="00640CB6">
              <w:rPr>
                <w:rFonts w:eastAsia="Times New Roman" w:cs="Times New Roman"/>
                <w:sz w:val="18"/>
                <w:szCs w:val="18"/>
                <w:lang w:eastAsia="sk-SK"/>
              </w:rPr>
              <w:t>)</w:t>
            </w:r>
          </w:p>
        </w:tc>
        <w:tc>
          <w:tcPr>
            <w:tcW w:w="1327" w:type="dxa"/>
            <w:tcBorders>
              <w:top w:val="single" w:sz="4" w:space="0" w:color="auto"/>
              <w:left w:val="nil"/>
              <w:bottom w:val="nil"/>
              <w:right w:val="nil"/>
            </w:tcBorders>
            <w:shd w:val="clear" w:color="auto" w:fill="auto"/>
            <w:vAlign w:val="center"/>
            <w:hideMark/>
          </w:tcPr>
          <w:p w14:paraId="0E69AC50" w14:textId="77777777" w:rsidR="003A0696" w:rsidRPr="00640CB6" w:rsidRDefault="003A0696" w:rsidP="003A0696">
            <w:pPr>
              <w:spacing w:after="0" w:line="240" w:lineRule="auto"/>
              <w:contextualSpacing/>
              <w:jc w:val="right"/>
              <w:rPr>
                <w:rFonts w:eastAsia="Times New Roman" w:cs="Times New Roman"/>
                <w:b/>
                <w:bCs/>
                <w:sz w:val="18"/>
                <w:szCs w:val="18"/>
                <w:lang w:eastAsia="sk-SK"/>
              </w:rPr>
            </w:pPr>
            <w:r w:rsidRPr="00640CB6">
              <w:rPr>
                <w:rFonts w:eastAsia="Times New Roman" w:cs="Times New Roman"/>
                <w:b/>
                <w:bCs/>
                <w:sz w:val="18"/>
                <w:szCs w:val="18"/>
                <w:lang w:eastAsia="sk-SK"/>
              </w:rPr>
              <w:t>Čerpanie za rok 2022</w:t>
            </w:r>
            <w:r w:rsidRPr="00640CB6">
              <w:rPr>
                <w:rFonts w:eastAsia="Times New Roman" w:cs="Times New Roman"/>
                <w:sz w:val="18"/>
                <w:szCs w:val="18"/>
                <w:lang w:eastAsia="sk-SK"/>
              </w:rPr>
              <w:br/>
              <w:t xml:space="preserve">(schválené súhrnné </w:t>
            </w:r>
            <w:proofErr w:type="spellStart"/>
            <w:r w:rsidRPr="00640CB6">
              <w:rPr>
                <w:rFonts w:eastAsia="Times New Roman" w:cs="Times New Roman"/>
                <w:sz w:val="18"/>
                <w:szCs w:val="18"/>
                <w:lang w:eastAsia="sk-SK"/>
              </w:rPr>
              <w:t>ŽoP</w:t>
            </w:r>
            <w:proofErr w:type="spellEnd"/>
            <w:r w:rsidRPr="00640CB6">
              <w:rPr>
                <w:rFonts w:eastAsia="Times New Roman" w:cs="Times New Roman"/>
                <w:sz w:val="18"/>
                <w:szCs w:val="18"/>
                <w:lang w:eastAsia="sk-SK"/>
              </w:rPr>
              <w:t>)</w:t>
            </w:r>
          </w:p>
        </w:tc>
      </w:tr>
      <w:tr w:rsidR="003A0696" w:rsidRPr="007C7A83" w14:paraId="51F20ABB" w14:textId="77777777" w:rsidTr="003A0696">
        <w:trPr>
          <w:trHeight w:val="364"/>
        </w:trPr>
        <w:tc>
          <w:tcPr>
            <w:tcW w:w="3368" w:type="dxa"/>
            <w:tcBorders>
              <w:top w:val="nil"/>
              <w:left w:val="nil"/>
              <w:bottom w:val="single" w:sz="4" w:space="0" w:color="auto"/>
              <w:right w:val="nil"/>
            </w:tcBorders>
            <w:shd w:val="clear" w:color="auto" w:fill="auto"/>
            <w:noWrap/>
            <w:vAlign w:val="bottom"/>
            <w:hideMark/>
          </w:tcPr>
          <w:p w14:paraId="4918DA2E" w14:textId="77777777" w:rsidR="003A0696" w:rsidRPr="00640CB6" w:rsidRDefault="003A0696" w:rsidP="003A0696">
            <w:pPr>
              <w:spacing w:after="0" w:line="240" w:lineRule="auto"/>
              <w:contextualSpacing/>
              <w:jc w:val="left"/>
              <w:rPr>
                <w:rFonts w:eastAsia="Times New Roman" w:cs="Times New Roman"/>
                <w:sz w:val="18"/>
                <w:szCs w:val="18"/>
                <w:lang w:eastAsia="sk-SK"/>
              </w:rPr>
            </w:pPr>
            <w:r w:rsidRPr="00640CB6">
              <w:rPr>
                <w:rFonts w:eastAsia="Times New Roman" w:cs="Times New Roman"/>
                <w:sz w:val="18"/>
                <w:szCs w:val="18"/>
                <w:lang w:eastAsia="sk-SK"/>
              </w:rPr>
              <w:t> </w:t>
            </w:r>
          </w:p>
        </w:tc>
        <w:tc>
          <w:tcPr>
            <w:tcW w:w="1261" w:type="dxa"/>
            <w:tcBorders>
              <w:top w:val="nil"/>
              <w:left w:val="nil"/>
              <w:bottom w:val="single" w:sz="4" w:space="0" w:color="auto"/>
              <w:right w:val="nil"/>
            </w:tcBorders>
            <w:shd w:val="clear" w:color="auto" w:fill="auto"/>
            <w:noWrap/>
            <w:vAlign w:val="bottom"/>
            <w:hideMark/>
          </w:tcPr>
          <w:p w14:paraId="5976F2CC" w14:textId="77777777" w:rsidR="003A0696" w:rsidRPr="00640CB6" w:rsidRDefault="003A0696" w:rsidP="003A0696">
            <w:pPr>
              <w:spacing w:after="0" w:line="240" w:lineRule="auto"/>
              <w:contextualSpacing/>
              <w:jc w:val="left"/>
              <w:rPr>
                <w:rFonts w:eastAsia="Times New Roman" w:cs="Times New Roman"/>
                <w:sz w:val="18"/>
                <w:szCs w:val="18"/>
                <w:lang w:eastAsia="sk-SK"/>
              </w:rPr>
            </w:pPr>
            <w:r w:rsidRPr="00640CB6">
              <w:rPr>
                <w:rFonts w:eastAsia="Times New Roman" w:cs="Times New Roman"/>
                <w:sz w:val="18"/>
                <w:szCs w:val="18"/>
                <w:lang w:eastAsia="sk-SK"/>
              </w:rPr>
              <w:t> </w:t>
            </w:r>
          </w:p>
        </w:tc>
        <w:tc>
          <w:tcPr>
            <w:tcW w:w="605" w:type="dxa"/>
            <w:tcBorders>
              <w:top w:val="nil"/>
              <w:left w:val="nil"/>
              <w:bottom w:val="single" w:sz="4" w:space="0" w:color="auto"/>
              <w:right w:val="nil"/>
            </w:tcBorders>
            <w:shd w:val="clear" w:color="auto" w:fill="auto"/>
            <w:noWrap/>
            <w:vAlign w:val="bottom"/>
            <w:hideMark/>
          </w:tcPr>
          <w:p w14:paraId="434D5F04" w14:textId="77777777" w:rsidR="003A0696" w:rsidRPr="00640CB6" w:rsidRDefault="003A0696" w:rsidP="003A0696">
            <w:pPr>
              <w:spacing w:after="0" w:line="240" w:lineRule="auto"/>
              <w:contextualSpacing/>
              <w:jc w:val="left"/>
              <w:rPr>
                <w:rFonts w:eastAsia="Times New Roman" w:cs="Times New Roman"/>
                <w:sz w:val="18"/>
                <w:szCs w:val="18"/>
                <w:lang w:eastAsia="sk-SK"/>
              </w:rPr>
            </w:pPr>
            <w:r w:rsidRPr="00640CB6">
              <w:rPr>
                <w:rFonts w:eastAsia="Times New Roman" w:cs="Times New Roman"/>
                <w:sz w:val="18"/>
                <w:szCs w:val="18"/>
                <w:lang w:eastAsia="sk-SK"/>
              </w:rPr>
              <w:t> </w:t>
            </w:r>
          </w:p>
        </w:tc>
        <w:tc>
          <w:tcPr>
            <w:tcW w:w="1286" w:type="dxa"/>
            <w:gridSpan w:val="2"/>
            <w:tcBorders>
              <w:top w:val="nil"/>
              <w:left w:val="nil"/>
              <w:bottom w:val="single" w:sz="4" w:space="0" w:color="auto"/>
              <w:right w:val="nil"/>
            </w:tcBorders>
            <w:shd w:val="clear" w:color="auto" w:fill="auto"/>
            <w:noWrap/>
            <w:vAlign w:val="bottom"/>
            <w:hideMark/>
          </w:tcPr>
          <w:p w14:paraId="0A42ED4E" w14:textId="77777777" w:rsidR="003A0696" w:rsidRPr="00640CB6" w:rsidRDefault="003A0696" w:rsidP="003A0696">
            <w:pPr>
              <w:spacing w:after="0" w:line="240" w:lineRule="auto"/>
              <w:contextualSpacing/>
              <w:jc w:val="right"/>
              <w:rPr>
                <w:rFonts w:eastAsia="Times New Roman" w:cs="Times New Roman"/>
                <w:i/>
                <w:iCs/>
                <w:sz w:val="18"/>
                <w:szCs w:val="18"/>
                <w:lang w:eastAsia="sk-SK"/>
              </w:rPr>
            </w:pPr>
            <w:r w:rsidRPr="00640CB6">
              <w:rPr>
                <w:rFonts w:eastAsia="Times New Roman" w:cs="Times New Roman"/>
                <w:i/>
                <w:iCs/>
                <w:sz w:val="18"/>
                <w:szCs w:val="18"/>
                <w:lang w:eastAsia="sk-SK"/>
              </w:rPr>
              <w:t>EÚ zdroj</w:t>
            </w:r>
          </w:p>
        </w:tc>
        <w:tc>
          <w:tcPr>
            <w:tcW w:w="1277" w:type="dxa"/>
            <w:tcBorders>
              <w:top w:val="nil"/>
              <w:left w:val="nil"/>
              <w:bottom w:val="single" w:sz="4" w:space="0" w:color="auto"/>
              <w:right w:val="nil"/>
            </w:tcBorders>
            <w:shd w:val="clear" w:color="auto" w:fill="auto"/>
            <w:noWrap/>
            <w:vAlign w:val="bottom"/>
            <w:hideMark/>
          </w:tcPr>
          <w:p w14:paraId="44967C70" w14:textId="77777777" w:rsidR="003A0696" w:rsidRPr="00640CB6" w:rsidRDefault="003A0696" w:rsidP="003A0696">
            <w:pPr>
              <w:spacing w:after="0" w:line="240" w:lineRule="auto"/>
              <w:contextualSpacing/>
              <w:jc w:val="right"/>
              <w:rPr>
                <w:rFonts w:eastAsia="Times New Roman" w:cs="Times New Roman"/>
                <w:i/>
                <w:iCs/>
                <w:sz w:val="18"/>
                <w:szCs w:val="18"/>
                <w:lang w:eastAsia="sk-SK"/>
              </w:rPr>
            </w:pPr>
            <w:r w:rsidRPr="00640CB6">
              <w:rPr>
                <w:rFonts w:eastAsia="Times New Roman" w:cs="Times New Roman"/>
                <w:i/>
                <w:iCs/>
                <w:sz w:val="18"/>
                <w:szCs w:val="18"/>
                <w:lang w:eastAsia="sk-SK"/>
              </w:rPr>
              <w:t>EÚ zdroj</w:t>
            </w:r>
          </w:p>
        </w:tc>
        <w:tc>
          <w:tcPr>
            <w:tcW w:w="1327" w:type="dxa"/>
            <w:tcBorders>
              <w:top w:val="nil"/>
              <w:left w:val="nil"/>
              <w:bottom w:val="single" w:sz="4" w:space="0" w:color="auto"/>
              <w:right w:val="nil"/>
            </w:tcBorders>
            <w:shd w:val="clear" w:color="auto" w:fill="auto"/>
            <w:noWrap/>
            <w:vAlign w:val="bottom"/>
            <w:hideMark/>
          </w:tcPr>
          <w:p w14:paraId="5C30A9E1" w14:textId="77777777" w:rsidR="003A0696" w:rsidRPr="00640CB6" w:rsidRDefault="003A0696" w:rsidP="003A0696">
            <w:pPr>
              <w:spacing w:after="0" w:line="240" w:lineRule="auto"/>
              <w:contextualSpacing/>
              <w:jc w:val="right"/>
              <w:rPr>
                <w:rFonts w:eastAsia="Times New Roman" w:cs="Times New Roman"/>
                <w:i/>
                <w:iCs/>
                <w:sz w:val="18"/>
                <w:szCs w:val="18"/>
                <w:lang w:eastAsia="sk-SK"/>
              </w:rPr>
            </w:pPr>
            <w:r w:rsidRPr="00640CB6">
              <w:rPr>
                <w:rFonts w:eastAsia="Times New Roman" w:cs="Times New Roman"/>
                <w:i/>
                <w:iCs/>
                <w:sz w:val="18"/>
                <w:szCs w:val="18"/>
                <w:lang w:eastAsia="sk-SK"/>
              </w:rPr>
              <w:t>EÚ zdroj</w:t>
            </w:r>
          </w:p>
        </w:tc>
      </w:tr>
      <w:tr w:rsidR="003A0696" w:rsidRPr="007C7A83" w14:paraId="1B59C7DD" w14:textId="77777777" w:rsidTr="003A0696">
        <w:trPr>
          <w:trHeight w:val="182"/>
        </w:trPr>
        <w:tc>
          <w:tcPr>
            <w:tcW w:w="3368" w:type="dxa"/>
            <w:tcBorders>
              <w:top w:val="nil"/>
              <w:left w:val="nil"/>
              <w:bottom w:val="nil"/>
              <w:right w:val="nil"/>
            </w:tcBorders>
            <w:shd w:val="clear" w:color="auto" w:fill="auto"/>
            <w:vAlign w:val="bottom"/>
            <w:hideMark/>
          </w:tcPr>
          <w:p w14:paraId="4D929AA6"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 xml:space="preserve">Podpora udržania zamestnanosti </w:t>
            </w:r>
          </w:p>
        </w:tc>
        <w:tc>
          <w:tcPr>
            <w:tcW w:w="1261" w:type="dxa"/>
            <w:tcBorders>
              <w:top w:val="nil"/>
              <w:left w:val="nil"/>
              <w:bottom w:val="nil"/>
              <w:right w:val="nil"/>
            </w:tcBorders>
            <w:shd w:val="clear" w:color="auto" w:fill="auto"/>
            <w:noWrap/>
            <w:vAlign w:val="bottom"/>
            <w:hideMark/>
          </w:tcPr>
          <w:p w14:paraId="0C43AFAB"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OP ĽZ</w:t>
            </w:r>
          </w:p>
        </w:tc>
        <w:tc>
          <w:tcPr>
            <w:tcW w:w="605" w:type="dxa"/>
            <w:tcBorders>
              <w:top w:val="nil"/>
              <w:left w:val="nil"/>
              <w:bottom w:val="nil"/>
              <w:right w:val="nil"/>
            </w:tcBorders>
            <w:shd w:val="clear" w:color="auto" w:fill="auto"/>
            <w:noWrap/>
            <w:vAlign w:val="bottom"/>
            <w:hideMark/>
          </w:tcPr>
          <w:p w14:paraId="1BB6F30A"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ESF</w:t>
            </w:r>
          </w:p>
        </w:tc>
        <w:tc>
          <w:tcPr>
            <w:tcW w:w="1286" w:type="dxa"/>
            <w:gridSpan w:val="2"/>
            <w:tcBorders>
              <w:top w:val="nil"/>
              <w:left w:val="nil"/>
              <w:bottom w:val="nil"/>
              <w:right w:val="nil"/>
            </w:tcBorders>
            <w:shd w:val="clear" w:color="auto" w:fill="auto"/>
            <w:noWrap/>
            <w:vAlign w:val="bottom"/>
            <w:hideMark/>
          </w:tcPr>
          <w:p w14:paraId="549677C9"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407 171</w:t>
            </w:r>
          </w:p>
        </w:tc>
        <w:tc>
          <w:tcPr>
            <w:tcW w:w="1277" w:type="dxa"/>
            <w:tcBorders>
              <w:top w:val="nil"/>
              <w:left w:val="nil"/>
              <w:bottom w:val="nil"/>
              <w:right w:val="nil"/>
            </w:tcBorders>
            <w:shd w:val="clear" w:color="auto" w:fill="auto"/>
            <w:noWrap/>
            <w:vAlign w:val="bottom"/>
            <w:hideMark/>
          </w:tcPr>
          <w:p w14:paraId="2B7E39DB"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406 218</w:t>
            </w:r>
          </w:p>
        </w:tc>
        <w:tc>
          <w:tcPr>
            <w:tcW w:w="1327" w:type="dxa"/>
            <w:tcBorders>
              <w:top w:val="nil"/>
              <w:left w:val="nil"/>
              <w:bottom w:val="nil"/>
              <w:right w:val="nil"/>
            </w:tcBorders>
            <w:shd w:val="clear" w:color="auto" w:fill="auto"/>
            <w:noWrap/>
            <w:vAlign w:val="bottom"/>
            <w:hideMark/>
          </w:tcPr>
          <w:p w14:paraId="247E4640"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-953</w:t>
            </w:r>
          </w:p>
        </w:tc>
      </w:tr>
      <w:tr w:rsidR="003A0696" w:rsidRPr="007C7A83" w14:paraId="29AC2D35" w14:textId="77777777" w:rsidTr="003A0696">
        <w:trPr>
          <w:trHeight w:val="182"/>
        </w:trPr>
        <w:tc>
          <w:tcPr>
            <w:tcW w:w="3368" w:type="dxa"/>
            <w:tcBorders>
              <w:top w:val="nil"/>
              <w:left w:val="nil"/>
              <w:bottom w:val="nil"/>
              <w:right w:val="nil"/>
            </w:tcBorders>
            <w:shd w:val="clear" w:color="auto" w:fill="auto"/>
            <w:noWrap/>
            <w:vAlign w:val="bottom"/>
            <w:hideMark/>
          </w:tcPr>
          <w:p w14:paraId="5E552F1E"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Podpora zdravotníckeho systému</w:t>
            </w:r>
          </w:p>
        </w:tc>
        <w:tc>
          <w:tcPr>
            <w:tcW w:w="1261" w:type="dxa"/>
            <w:tcBorders>
              <w:top w:val="nil"/>
              <w:left w:val="nil"/>
              <w:bottom w:val="nil"/>
              <w:right w:val="nil"/>
            </w:tcBorders>
            <w:shd w:val="clear" w:color="auto" w:fill="auto"/>
            <w:noWrap/>
            <w:vAlign w:val="bottom"/>
            <w:hideMark/>
          </w:tcPr>
          <w:p w14:paraId="04FD76D5"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IROP</w:t>
            </w:r>
          </w:p>
        </w:tc>
        <w:tc>
          <w:tcPr>
            <w:tcW w:w="605" w:type="dxa"/>
            <w:tcBorders>
              <w:top w:val="nil"/>
              <w:left w:val="nil"/>
              <w:bottom w:val="nil"/>
              <w:right w:val="nil"/>
            </w:tcBorders>
            <w:shd w:val="clear" w:color="auto" w:fill="auto"/>
            <w:noWrap/>
            <w:vAlign w:val="bottom"/>
            <w:hideMark/>
          </w:tcPr>
          <w:p w14:paraId="0AC47032"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EFRR</w:t>
            </w:r>
          </w:p>
        </w:tc>
        <w:tc>
          <w:tcPr>
            <w:tcW w:w="1286" w:type="dxa"/>
            <w:gridSpan w:val="2"/>
            <w:tcBorders>
              <w:top w:val="nil"/>
              <w:left w:val="nil"/>
              <w:bottom w:val="nil"/>
              <w:right w:val="nil"/>
            </w:tcBorders>
            <w:shd w:val="clear" w:color="auto" w:fill="auto"/>
            <w:noWrap/>
            <w:vAlign w:val="bottom"/>
            <w:hideMark/>
          </w:tcPr>
          <w:p w14:paraId="2D10E517"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33 889</w:t>
            </w:r>
          </w:p>
        </w:tc>
        <w:tc>
          <w:tcPr>
            <w:tcW w:w="1277" w:type="dxa"/>
            <w:tcBorders>
              <w:top w:val="nil"/>
              <w:left w:val="nil"/>
              <w:bottom w:val="nil"/>
              <w:right w:val="nil"/>
            </w:tcBorders>
            <w:shd w:val="clear" w:color="auto" w:fill="auto"/>
            <w:noWrap/>
            <w:vAlign w:val="bottom"/>
            <w:hideMark/>
          </w:tcPr>
          <w:p w14:paraId="7C315C4C"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52 681</w:t>
            </w:r>
          </w:p>
        </w:tc>
        <w:tc>
          <w:tcPr>
            <w:tcW w:w="1327" w:type="dxa"/>
            <w:tcBorders>
              <w:top w:val="nil"/>
              <w:left w:val="nil"/>
              <w:bottom w:val="nil"/>
              <w:right w:val="nil"/>
            </w:tcBorders>
            <w:shd w:val="clear" w:color="auto" w:fill="auto"/>
            <w:noWrap/>
            <w:vAlign w:val="bottom"/>
            <w:hideMark/>
          </w:tcPr>
          <w:p w14:paraId="0CAED19D"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18 792</w:t>
            </w:r>
          </w:p>
        </w:tc>
      </w:tr>
      <w:tr w:rsidR="003A0696" w:rsidRPr="007C7A83" w14:paraId="6A682E61" w14:textId="77777777" w:rsidTr="003A0696">
        <w:trPr>
          <w:trHeight w:val="182"/>
        </w:trPr>
        <w:tc>
          <w:tcPr>
            <w:tcW w:w="3368" w:type="dxa"/>
            <w:tcBorders>
              <w:top w:val="nil"/>
              <w:left w:val="nil"/>
              <w:bottom w:val="nil"/>
              <w:right w:val="nil"/>
            </w:tcBorders>
            <w:shd w:val="clear" w:color="auto" w:fill="auto"/>
            <w:noWrap/>
            <w:vAlign w:val="bottom"/>
            <w:hideMark/>
          </w:tcPr>
          <w:p w14:paraId="4D4F146F"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Podpora zdravotníckeho systému</w:t>
            </w:r>
          </w:p>
        </w:tc>
        <w:tc>
          <w:tcPr>
            <w:tcW w:w="1261" w:type="dxa"/>
            <w:tcBorders>
              <w:top w:val="nil"/>
              <w:left w:val="nil"/>
              <w:bottom w:val="nil"/>
              <w:right w:val="nil"/>
            </w:tcBorders>
            <w:shd w:val="clear" w:color="auto" w:fill="auto"/>
            <w:noWrap/>
            <w:vAlign w:val="bottom"/>
            <w:hideMark/>
          </w:tcPr>
          <w:p w14:paraId="6DCFB96B"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OPII</w:t>
            </w:r>
          </w:p>
        </w:tc>
        <w:tc>
          <w:tcPr>
            <w:tcW w:w="605" w:type="dxa"/>
            <w:tcBorders>
              <w:top w:val="nil"/>
              <w:left w:val="nil"/>
              <w:bottom w:val="nil"/>
              <w:right w:val="nil"/>
            </w:tcBorders>
            <w:shd w:val="clear" w:color="auto" w:fill="auto"/>
            <w:noWrap/>
            <w:vAlign w:val="bottom"/>
            <w:hideMark/>
          </w:tcPr>
          <w:p w14:paraId="55092891"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EFRR</w:t>
            </w:r>
          </w:p>
        </w:tc>
        <w:tc>
          <w:tcPr>
            <w:tcW w:w="1286" w:type="dxa"/>
            <w:gridSpan w:val="2"/>
            <w:tcBorders>
              <w:top w:val="nil"/>
              <w:left w:val="nil"/>
              <w:bottom w:val="nil"/>
              <w:right w:val="nil"/>
            </w:tcBorders>
            <w:shd w:val="clear" w:color="auto" w:fill="auto"/>
            <w:noWrap/>
            <w:vAlign w:val="bottom"/>
            <w:hideMark/>
          </w:tcPr>
          <w:p w14:paraId="5B6635B0"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4 461</w:t>
            </w:r>
          </w:p>
        </w:tc>
        <w:tc>
          <w:tcPr>
            <w:tcW w:w="1277" w:type="dxa"/>
            <w:tcBorders>
              <w:top w:val="nil"/>
              <w:left w:val="nil"/>
              <w:bottom w:val="nil"/>
              <w:right w:val="nil"/>
            </w:tcBorders>
            <w:shd w:val="clear" w:color="auto" w:fill="auto"/>
            <w:noWrap/>
            <w:vAlign w:val="bottom"/>
            <w:hideMark/>
          </w:tcPr>
          <w:p w14:paraId="7B269A2B"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26 334</w:t>
            </w:r>
          </w:p>
        </w:tc>
        <w:tc>
          <w:tcPr>
            <w:tcW w:w="1327" w:type="dxa"/>
            <w:tcBorders>
              <w:top w:val="nil"/>
              <w:left w:val="nil"/>
              <w:bottom w:val="nil"/>
              <w:right w:val="nil"/>
            </w:tcBorders>
            <w:shd w:val="clear" w:color="auto" w:fill="auto"/>
            <w:noWrap/>
            <w:vAlign w:val="bottom"/>
            <w:hideMark/>
          </w:tcPr>
          <w:p w14:paraId="12F55FC8"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21 873</w:t>
            </w:r>
          </w:p>
        </w:tc>
      </w:tr>
      <w:tr w:rsidR="003A0696" w:rsidRPr="007C7A83" w14:paraId="4F6AC7F7" w14:textId="77777777" w:rsidTr="003A0696">
        <w:trPr>
          <w:trHeight w:val="182"/>
        </w:trPr>
        <w:tc>
          <w:tcPr>
            <w:tcW w:w="3368" w:type="dxa"/>
            <w:tcBorders>
              <w:top w:val="nil"/>
              <w:left w:val="nil"/>
              <w:bottom w:val="nil"/>
              <w:right w:val="nil"/>
            </w:tcBorders>
            <w:shd w:val="clear" w:color="auto" w:fill="auto"/>
            <w:vAlign w:val="bottom"/>
            <w:hideMark/>
          </w:tcPr>
          <w:p w14:paraId="39C83E51"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 xml:space="preserve">Podpora pre </w:t>
            </w:r>
            <w:proofErr w:type="spellStart"/>
            <w:r w:rsidRPr="00640CB6">
              <w:rPr>
                <w:rFonts w:eastAsia="Times New Roman" w:cs="Times New Roman"/>
                <w:sz w:val="18"/>
                <w:szCs w:val="18"/>
                <w:lang w:eastAsia="sk-SK"/>
              </w:rPr>
              <w:t>mikro</w:t>
            </w:r>
            <w:proofErr w:type="spellEnd"/>
            <w:r w:rsidRPr="00640CB6">
              <w:rPr>
                <w:rFonts w:eastAsia="Times New Roman" w:cs="Times New Roman"/>
                <w:sz w:val="18"/>
                <w:szCs w:val="18"/>
                <w:lang w:eastAsia="sk-SK"/>
              </w:rPr>
              <w:t>, malé a stredné podniky</w:t>
            </w:r>
          </w:p>
        </w:tc>
        <w:tc>
          <w:tcPr>
            <w:tcW w:w="1261" w:type="dxa"/>
            <w:tcBorders>
              <w:top w:val="nil"/>
              <w:left w:val="nil"/>
              <w:bottom w:val="nil"/>
              <w:right w:val="nil"/>
            </w:tcBorders>
            <w:shd w:val="clear" w:color="auto" w:fill="auto"/>
            <w:noWrap/>
            <w:vAlign w:val="bottom"/>
            <w:hideMark/>
          </w:tcPr>
          <w:p w14:paraId="520B85A9"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OP II</w:t>
            </w:r>
          </w:p>
        </w:tc>
        <w:tc>
          <w:tcPr>
            <w:tcW w:w="605" w:type="dxa"/>
            <w:tcBorders>
              <w:top w:val="nil"/>
              <w:left w:val="nil"/>
              <w:bottom w:val="nil"/>
              <w:right w:val="nil"/>
            </w:tcBorders>
            <w:shd w:val="clear" w:color="auto" w:fill="auto"/>
            <w:noWrap/>
            <w:vAlign w:val="bottom"/>
            <w:hideMark/>
          </w:tcPr>
          <w:p w14:paraId="1F13953D"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EFRR</w:t>
            </w:r>
          </w:p>
        </w:tc>
        <w:tc>
          <w:tcPr>
            <w:tcW w:w="1286" w:type="dxa"/>
            <w:gridSpan w:val="2"/>
            <w:tcBorders>
              <w:top w:val="nil"/>
              <w:left w:val="nil"/>
              <w:bottom w:val="nil"/>
              <w:right w:val="nil"/>
            </w:tcBorders>
            <w:shd w:val="clear" w:color="auto" w:fill="auto"/>
            <w:noWrap/>
            <w:vAlign w:val="bottom"/>
            <w:hideMark/>
          </w:tcPr>
          <w:p w14:paraId="4D510DC4"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269 437</w:t>
            </w:r>
          </w:p>
        </w:tc>
        <w:tc>
          <w:tcPr>
            <w:tcW w:w="1277" w:type="dxa"/>
            <w:tcBorders>
              <w:top w:val="nil"/>
              <w:left w:val="nil"/>
              <w:bottom w:val="nil"/>
              <w:right w:val="nil"/>
            </w:tcBorders>
            <w:shd w:val="clear" w:color="auto" w:fill="auto"/>
            <w:noWrap/>
            <w:vAlign w:val="bottom"/>
            <w:hideMark/>
          </w:tcPr>
          <w:p w14:paraId="3989F26B"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379 155</w:t>
            </w:r>
          </w:p>
        </w:tc>
        <w:tc>
          <w:tcPr>
            <w:tcW w:w="1327" w:type="dxa"/>
            <w:tcBorders>
              <w:top w:val="nil"/>
              <w:left w:val="nil"/>
              <w:bottom w:val="nil"/>
              <w:right w:val="nil"/>
            </w:tcBorders>
            <w:shd w:val="clear" w:color="auto" w:fill="auto"/>
            <w:noWrap/>
            <w:vAlign w:val="bottom"/>
            <w:hideMark/>
          </w:tcPr>
          <w:p w14:paraId="7C25C105"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109 718</w:t>
            </w:r>
          </w:p>
        </w:tc>
      </w:tr>
      <w:tr w:rsidR="003A0696" w:rsidRPr="007C7A83" w14:paraId="395D8AE2" w14:textId="77777777" w:rsidTr="003A0696">
        <w:trPr>
          <w:trHeight w:val="182"/>
        </w:trPr>
        <w:tc>
          <w:tcPr>
            <w:tcW w:w="3368" w:type="dxa"/>
            <w:tcBorders>
              <w:top w:val="nil"/>
              <w:left w:val="nil"/>
              <w:bottom w:val="nil"/>
              <w:right w:val="nil"/>
            </w:tcBorders>
            <w:shd w:val="clear" w:color="auto" w:fill="auto"/>
            <w:vAlign w:val="bottom"/>
            <w:hideMark/>
          </w:tcPr>
          <w:p w14:paraId="4E861EFA"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 xml:space="preserve">Podpora zložiek integrovaného záchranného systému </w:t>
            </w:r>
          </w:p>
        </w:tc>
        <w:tc>
          <w:tcPr>
            <w:tcW w:w="1261" w:type="dxa"/>
            <w:tcBorders>
              <w:top w:val="nil"/>
              <w:left w:val="nil"/>
              <w:bottom w:val="nil"/>
              <w:right w:val="nil"/>
            </w:tcBorders>
            <w:shd w:val="clear" w:color="auto" w:fill="auto"/>
            <w:noWrap/>
            <w:vAlign w:val="bottom"/>
            <w:hideMark/>
          </w:tcPr>
          <w:p w14:paraId="0A5F4B45"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OP KŽP</w:t>
            </w:r>
          </w:p>
        </w:tc>
        <w:tc>
          <w:tcPr>
            <w:tcW w:w="605" w:type="dxa"/>
            <w:tcBorders>
              <w:top w:val="nil"/>
              <w:left w:val="nil"/>
              <w:bottom w:val="nil"/>
              <w:right w:val="nil"/>
            </w:tcBorders>
            <w:shd w:val="clear" w:color="auto" w:fill="auto"/>
            <w:noWrap/>
            <w:vAlign w:val="bottom"/>
            <w:hideMark/>
          </w:tcPr>
          <w:p w14:paraId="04D73F81"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EFRR</w:t>
            </w:r>
          </w:p>
        </w:tc>
        <w:tc>
          <w:tcPr>
            <w:tcW w:w="1286" w:type="dxa"/>
            <w:gridSpan w:val="2"/>
            <w:tcBorders>
              <w:top w:val="nil"/>
              <w:left w:val="nil"/>
              <w:bottom w:val="nil"/>
              <w:right w:val="nil"/>
            </w:tcBorders>
            <w:shd w:val="clear" w:color="auto" w:fill="auto"/>
            <w:noWrap/>
            <w:vAlign w:val="bottom"/>
            <w:hideMark/>
          </w:tcPr>
          <w:p w14:paraId="50ABFC7F"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50 647</w:t>
            </w:r>
          </w:p>
        </w:tc>
        <w:tc>
          <w:tcPr>
            <w:tcW w:w="1277" w:type="dxa"/>
            <w:tcBorders>
              <w:top w:val="nil"/>
              <w:left w:val="nil"/>
              <w:bottom w:val="nil"/>
              <w:right w:val="nil"/>
            </w:tcBorders>
            <w:shd w:val="clear" w:color="auto" w:fill="auto"/>
            <w:noWrap/>
            <w:vAlign w:val="bottom"/>
            <w:hideMark/>
          </w:tcPr>
          <w:p w14:paraId="71027CA9"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53 397</w:t>
            </w:r>
          </w:p>
        </w:tc>
        <w:tc>
          <w:tcPr>
            <w:tcW w:w="1327" w:type="dxa"/>
            <w:tcBorders>
              <w:top w:val="nil"/>
              <w:left w:val="nil"/>
              <w:bottom w:val="nil"/>
              <w:right w:val="nil"/>
            </w:tcBorders>
            <w:shd w:val="clear" w:color="auto" w:fill="auto"/>
            <w:noWrap/>
            <w:vAlign w:val="bottom"/>
            <w:hideMark/>
          </w:tcPr>
          <w:p w14:paraId="07754826"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2 751</w:t>
            </w:r>
          </w:p>
        </w:tc>
      </w:tr>
      <w:tr w:rsidR="003A0696" w:rsidRPr="007C7A83" w14:paraId="2586C8D1" w14:textId="77777777" w:rsidTr="003A0696">
        <w:trPr>
          <w:trHeight w:val="182"/>
        </w:trPr>
        <w:tc>
          <w:tcPr>
            <w:tcW w:w="3368" w:type="dxa"/>
            <w:tcBorders>
              <w:top w:val="nil"/>
              <w:left w:val="nil"/>
              <w:bottom w:val="nil"/>
              <w:right w:val="nil"/>
            </w:tcBorders>
            <w:shd w:val="clear" w:color="auto" w:fill="auto"/>
            <w:vAlign w:val="bottom"/>
            <w:hideMark/>
          </w:tcPr>
          <w:p w14:paraId="54A5D8F7"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 xml:space="preserve">Iné opatrenia na zmiernenie dopadov </w:t>
            </w:r>
          </w:p>
        </w:tc>
        <w:tc>
          <w:tcPr>
            <w:tcW w:w="1261" w:type="dxa"/>
            <w:tcBorders>
              <w:top w:val="nil"/>
              <w:left w:val="nil"/>
              <w:bottom w:val="nil"/>
              <w:right w:val="nil"/>
            </w:tcBorders>
            <w:shd w:val="clear" w:color="auto" w:fill="auto"/>
            <w:noWrap/>
            <w:vAlign w:val="bottom"/>
            <w:hideMark/>
          </w:tcPr>
          <w:p w14:paraId="798165E7"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OP ĽZ</w:t>
            </w:r>
          </w:p>
        </w:tc>
        <w:tc>
          <w:tcPr>
            <w:tcW w:w="605" w:type="dxa"/>
            <w:tcBorders>
              <w:top w:val="nil"/>
              <w:left w:val="nil"/>
              <w:bottom w:val="nil"/>
              <w:right w:val="nil"/>
            </w:tcBorders>
            <w:shd w:val="clear" w:color="auto" w:fill="auto"/>
            <w:noWrap/>
            <w:vAlign w:val="bottom"/>
            <w:hideMark/>
          </w:tcPr>
          <w:p w14:paraId="742F3784"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ESF</w:t>
            </w:r>
          </w:p>
        </w:tc>
        <w:tc>
          <w:tcPr>
            <w:tcW w:w="1286" w:type="dxa"/>
            <w:gridSpan w:val="2"/>
            <w:tcBorders>
              <w:top w:val="nil"/>
              <w:left w:val="nil"/>
              <w:bottom w:val="nil"/>
              <w:right w:val="nil"/>
            </w:tcBorders>
            <w:shd w:val="clear" w:color="auto" w:fill="auto"/>
            <w:noWrap/>
            <w:vAlign w:val="bottom"/>
            <w:hideMark/>
          </w:tcPr>
          <w:p w14:paraId="5271B2AC"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28 407</w:t>
            </w:r>
          </w:p>
        </w:tc>
        <w:tc>
          <w:tcPr>
            <w:tcW w:w="1277" w:type="dxa"/>
            <w:tcBorders>
              <w:top w:val="nil"/>
              <w:left w:val="nil"/>
              <w:bottom w:val="nil"/>
              <w:right w:val="nil"/>
            </w:tcBorders>
            <w:shd w:val="clear" w:color="auto" w:fill="auto"/>
            <w:noWrap/>
            <w:vAlign w:val="bottom"/>
            <w:hideMark/>
          </w:tcPr>
          <w:p w14:paraId="6EE043BA"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72 064</w:t>
            </w:r>
          </w:p>
        </w:tc>
        <w:tc>
          <w:tcPr>
            <w:tcW w:w="1327" w:type="dxa"/>
            <w:tcBorders>
              <w:top w:val="nil"/>
              <w:left w:val="nil"/>
              <w:bottom w:val="nil"/>
              <w:right w:val="nil"/>
            </w:tcBorders>
            <w:shd w:val="clear" w:color="auto" w:fill="auto"/>
            <w:noWrap/>
            <w:vAlign w:val="bottom"/>
            <w:hideMark/>
          </w:tcPr>
          <w:p w14:paraId="2C932F35" w14:textId="77777777" w:rsidR="003A0696" w:rsidRPr="00640CB6" w:rsidRDefault="003A0696" w:rsidP="003A0696">
            <w:pPr>
              <w:spacing w:after="0" w:line="240" w:lineRule="auto"/>
              <w:jc w:val="right"/>
              <w:rPr>
                <w:rFonts w:eastAsia="Times New Roman" w:cs="Times New Roman"/>
                <w:sz w:val="18"/>
                <w:szCs w:val="18"/>
                <w:lang w:eastAsia="sk-SK"/>
              </w:rPr>
            </w:pPr>
            <w:r w:rsidRPr="00640CB6">
              <w:rPr>
                <w:rFonts w:eastAsia="Times New Roman" w:cs="Times New Roman"/>
                <w:sz w:val="18"/>
                <w:szCs w:val="18"/>
                <w:lang w:eastAsia="sk-SK"/>
              </w:rPr>
              <w:t>43 657</w:t>
            </w:r>
          </w:p>
        </w:tc>
      </w:tr>
      <w:tr w:rsidR="003A0696" w:rsidRPr="007C7A83" w14:paraId="196C611B" w14:textId="77777777" w:rsidTr="003A0696">
        <w:trPr>
          <w:trHeight w:val="182"/>
        </w:trPr>
        <w:tc>
          <w:tcPr>
            <w:tcW w:w="3368" w:type="dxa"/>
            <w:tcBorders>
              <w:top w:val="nil"/>
              <w:left w:val="nil"/>
              <w:bottom w:val="nil"/>
              <w:right w:val="nil"/>
            </w:tcBorders>
            <w:shd w:val="clear" w:color="auto" w:fill="auto"/>
            <w:noWrap/>
            <w:vAlign w:val="bottom"/>
            <w:hideMark/>
          </w:tcPr>
          <w:p w14:paraId="3ED2B51F" w14:textId="77777777" w:rsidR="003A0696" w:rsidRPr="00640CB6" w:rsidRDefault="003A0696" w:rsidP="003A0696">
            <w:pPr>
              <w:spacing w:after="0" w:line="240" w:lineRule="auto"/>
              <w:jc w:val="left"/>
              <w:rPr>
                <w:rFonts w:eastAsia="Times New Roman" w:cs="Times New Roman"/>
                <w:sz w:val="18"/>
                <w:szCs w:val="18"/>
                <w:lang w:eastAsia="sk-SK"/>
              </w:rPr>
            </w:pPr>
            <w:r w:rsidRPr="00640CB6">
              <w:rPr>
                <w:rFonts w:eastAsia="Times New Roman" w:cs="Times New Roman"/>
                <w:sz w:val="18"/>
                <w:szCs w:val="18"/>
                <w:lang w:eastAsia="sk-SK"/>
              </w:rPr>
              <w:t>COVID-19</w:t>
            </w:r>
          </w:p>
        </w:tc>
        <w:tc>
          <w:tcPr>
            <w:tcW w:w="1261" w:type="dxa"/>
            <w:tcBorders>
              <w:top w:val="nil"/>
              <w:left w:val="nil"/>
              <w:bottom w:val="nil"/>
              <w:right w:val="nil"/>
            </w:tcBorders>
            <w:shd w:val="clear" w:color="auto" w:fill="auto"/>
            <w:noWrap/>
            <w:vAlign w:val="bottom"/>
            <w:hideMark/>
          </w:tcPr>
          <w:p w14:paraId="347B2CC5" w14:textId="77777777" w:rsidR="003A0696" w:rsidRPr="00640CB6" w:rsidRDefault="003A0696" w:rsidP="003A0696">
            <w:pPr>
              <w:spacing w:after="0" w:line="240" w:lineRule="auto"/>
              <w:jc w:val="left"/>
              <w:rPr>
                <w:rFonts w:eastAsia="Times New Roman" w:cs="Times New Roman"/>
                <w:sz w:val="18"/>
                <w:szCs w:val="18"/>
                <w:lang w:eastAsia="sk-SK"/>
              </w:rPr>
            </w:pPr>
          </w:p>
        </w:tc>
        <w:tc>
          <w:tcPr>
            <w:tcW w:w="605" w:type="dxa"/>
            <w:tcBorders>
              <w:top w:val="nil"/>
              <w:left w:val="nil"/>
              <w:bottom w:val="nil"/>
              <w:right w:val="nil"/>
            </w:tcBorders>
            <w:shd w:val="clear" w:color="auto" w:fill="auto"/>
            <w:noWrap/>
            <w:vAlign w:val="bottom"/>
            <w:hideMark/>
          </w:tcPr>
          <w:p w14:paraId="7471587B" w14:textId="77777777" w:rsidR="003A0696" w:rsidRPr="00640CB6" w:rsidRDefault="003A0696" w:rsidP="003A0696">
            <w:pPr>
              <w:spacing w:after="0" w:line="240" w:lineRule="auto"/>
              <w:jc w:val="left"/>
              <w:rPr>
                <w:rFonts w:eastAsia="Times New Roman" w:cs="Times New Roman"/>
                <w:sz w:val="18"/>
                <w:szCs w:val="18"/>
                <w:lang w:eastAsia="sk-SK"/>
              </w:rPr>
            </w:pPr>
          </w:p>
        </w:tc>
        <w:tc>
          <w:tcPr>
            <w:tcW w:w="1286" w:type="dxa"/>
            <w:gridSpan w:val="2"/>
            <w:tcBorders>
              <w:top w:val="nil"/>
              <w:left w:val="nil"/>
              <w:bottom w:val="nil"/>
              <w:right w:val="nil"/>
            </w:tcBorders>
            <w:shd w:val="clear" w:color="auto" w:fill="auto"/>
            <w:noWrap/>
            <w:vAlign w:val="bottom"/>
            <w:hideMark/>
          </w:tcPr>
          <w:p w14:paraId="3B5C5B7F" w14:textId="77777777" w:rsidR="003A0696" w:rsidRPr="00640CB6" w:rsidRDefault="003A0696" w:rsidP="003A0696">
            <w:pPr>
              <w:spacing w:after="0" w:line="240" w:lineRule="auto"/>
              <w:jc w:val="right"/>
              <w:rPr>
                <w:rFonts w:eastAsia="Times New Roman" w:cs="Times New Roman"/>
                <w:sz w:val="18"/>
                <w:szCs w:val="18"/>
                <w:lang w:eastAsia="sk-SK"/>
              </w:rPr>
            </w:pPr>
          </w:p>
        </w:tc>
        <w:tc>
          <w:tcPr>
            <w:tcW w:w="1277" w:type="dxa"/>
            <w:tcBorders>
              <w:top w:val="nil"/>
              <w:left w:val="nil"/>
              <w:bottom w:val="nil"/>
              <w:right w:val="nil"/>
            </w:tcBorders>
            <w:shd w:val="clear" w:color="auto" w:fill="auto"/>
            <w:noWrap/>
            <w:vAlign w:val="bottom"/>
            <w:hideMark/>
          </w:tcPr>
          <w:p w14:paraId="612EF7DE" w14:textId="77777777" w:rsidR="003A0696" w:rsidRPr="00640CB6" w:rsidRDefault="003A0696" w:rsidP="003A0696">
            <w:pPr>
              <w:spacing w:after="0" w:line="240" w:lineRule="auto"/>
              <w:jc w:val="right"/>
              <w:rPr>
                <w:rFonts w:eastAsia="Times New Roman" w:cs="Times New Roman"/>
                <w:sz w:val="18"/>
                <w:szCs w:val="18"/>
                <w:lang w:eastAsia="sk-SK"/>
              </w:rPr>
            </w:pPr>
          </w:p>
        </w:tc>
        <w:tc>
          <w:tcPr>
            <w:tcW w:w="1327" w:type="dxa"/>
            <w:tcBorders>
              <w:top w:val="nil"/>
              <w:left w:val="nil"/>
              <w:bottom w:val="nil"/>
              <w:right w:val="nil"/>
            </w:tcBorders>
            <w:shd w:val="clear" w:color="auto" w:fill="auto"/>
            <w:noWrap/>
            <w:vAlign w:val="bottom"/>
            <w:hideMark/>
          </w:tcPr>
          <w:p w14:paraId="61E7EC98" w14:textId="77777777" w:rsidR="003A0696" w:rsidRPr="00640CB6" w:rsidRDefault="003A0696" w:rsidP="003A0696">
            <w:pPr>
              <w:spacing w:after="0" w:line="240" w:lineRule="auto"/>
              <w:jc w:val="right"/>
              <w:rPr>
                <w:rFonts w:eastAsia="Times New Roman" w:cs="Times New Roman"/>
                <w:sz w:val="18"/>
                <w:szCs w:val="18"/>
                <w:lang w:eastAsia="sk-SK"/>
              </w:rPr>
            </w:pPr>
          </w:p>
        </w:tc>
      </w:tr>
      <w:tr w:rsidR="003A0696" w:rsidRPr="007C7A83" w14:paraId="3E0FA6BB" w14:textId="77777777" w:rsidTr="003A0696">
        <w:trPr>
          <w:trHeight w:val="182"/>
        </w:trPr>
        <w:tc>
          <w:tcPr>
            <w:tcW w:w="5529" w:type="dxa"/>
            <w:gridSpan w:val="4"/>
            <w:tcBorders>
              <w:top w:val="single" w:sz="4" w:space="0" w:color="auto"/>
              <w:left w:val="nil"/>
              <w:bottom w:val="single" w:sz="4" w:space="0" w:color="auto"/>
              <w:right w:val="nil"/>
            </w:tcBorders>
            <w:shd w:val="clear" w:color="auto" w:fill="auto"/>
            <w:vAlign w:val="bottom"/>
            <w:hideMark/>
          </w:tcPr>
          <w:p w14:paraId="6DD61323" w14:textId="77777777" w:rsidR="003A0696" w:rsidRPr="00640CB6" w:rsidRDefault="003A0696" w:rsidP="003A0696">
            <w:pPr>
              <w:spacing w:after="0" w:line="240" w:lineRule="auto"/>
              <w:ind w:right="-303"/>
              <w:jc w:val="left"/>
              <w:rPr>
                <w:rFonts w:eastAsia="Times New Roman" w:cs="Times New Roman"/>
                <w:b/>
                <w:bCs/>
                <w:sz w:val="18"/>
                <w:szCs w:val="18"/>
                <w:lang w:eastAsia="sk-SK"/>
              </w:rPr>
            </w:pPr>
            <w:r w:rsidRPr="00640CB6">
              <w:rPr>
                <w:rFonts w:eastAsia="Times New Roman" w:cs="Times New Roman"/>
                <w:b/>
                <w:bCs/>
                <w:sz w:val="18"/>
                <w:szCs w:val="18"/>
                <w:lang w:eastAsia="sk-SK"/>
              </w:rPr>
              <w:t xml:space="preserve">CELKOM </w:t>
            </w:r>
            <w:r w:rsidRPr="00640CB6">
              <w:rPr>
                <w:rFonts w:eastAsia="Times New Roman" w:cs="Times New Roman"/>
                <w:sz w:val="18"/>
                <w:szCs w:val="18"/>
                <w:lang w:eastAsia="sk-SK"/>
              </w:rPr>
              <w:t xml:space="preserve">(v zmysle schválených </w:t>
            </w:r>
            <w:proofErr w:type="spellStart"/>
            <w:r w:rsidRPr="00640CB6">
              <w:rPr>
                <w:rFonts w:eastAsia="Times New Roman" w:cs="Times New Roman"/>
                <w:sz w:val="18"/>
                <w:szCs w:val="18"/>
                <w:lang w:eastAsia="sk-SK"/>
              </w:rPr>
              <w:t>realokácií</w:t>
            </w:r>
            <w:proofErr w:type="spellEnd"/>
            <w:r w:rsidRPr="00640CB6">
              <w:rPr>
                <w:rFonts w:eastAsia="Times New Roman" w:cs="Times New Roman"/>
                <w:sz w:val="18"/>
                <w:szCs w:val="18"/>
                <w:lang w:eastAsia="sk-SK"/>
              </w:rPr>
              <w:t xml:space="preserve"> OP na opatrenia</w:t>
            </w:r>
            <w:r>
              <w:rPr>
                <w:rFonts w:eastAsia="Times New Roman" w:cs="Times New Roman"/>
                <w:sz w:val="18"/>
                <w:szCs w:val="18"/>
                <w:lang w:eastAsia="sk-SK"/>
              </w:rPr>
              <w:t xml:space="preserve"> </w:t>
            </w:r>
            <w:r w:rsidRPr="00640CB6">
              <w:rPr>
                <w:rFonts w:eastAsia="Times New Roman" w:cs="Times New Roman"/>
                <w:sz w:val="18"/>
                <w:szCs w:val="18"/>
                <w:lang w:eastAsia="sk-SK"/>
              </w:rPr>
              <w:t>COVID -19) </w:t>
            </w:r>
          </w:p>
        </w:tc>
        <w:tc>
          <w:tcPr>
            <w:tcW w:w="991" w:type="dxa"/>
            <w:tcBorders>
              <w:top w:val="single" w:sz="4" w:space="0" w:color="auto"/>
              <w:left w:val="nil"/>
              <w:bottom w:val="single" w:sz="4" w:space="0" w:color="auto"/>
              <w:right w:val="nil"/>
            </w:tcBorders>
            <w:shd w:val="clear" w:color="auto" w:fill="auto"/>
            <w:noWrap/>
            <w:vAlign w:val="center"/>
            <w:hideMark/>
          </w:tcPr>
          <w:p w14:paraId="48A906BF" w14:textId="77777777" w:rsidR="003A0696" w:rsidRPr="00640CB6" w:rsidRDefault="003A0696" w:rsidP="003A0696">
            <w:pPr>
              <w:spacing w:after="0" w:line="240" w:lineRule="auto"/>
              <w:jc w:val="right"/>
              <w:rPr>
                <w:rFonts w:eastAsia="Times New Roman" w:cs="Times New Roman"/>
                <w:b/>
                <w:bCs/>
                <w:sz w:val="18"/>
                <w:szCs w:val="18"/>
                <w:lang w:eastAsia="sk-SK"/>
              </w:rPr>
            </w:pPr>
            <w:r w:rsidRPr="00640CB6">
              <w:rPr>
                <w:rFonts w:eastAsia="Times New Roman" w:cs="Times New Roman"/>
                <w:b/>
                <w:bCs/>
                <w:sz w:val="18"/>
                <w:szCs w:val="18"/>
                <w:lang w:eastAsia="sk-SK"/>
              </w:rPr>
              <w:t>794 012</w:t>
            </w:r>
          </w:p>
        </w:tc>
        <w:tc>
          <w:tcPr>
            <w:tcW w:w="1277" w:type="dxa"/>
            <w:tcBorders>
              <w:top w:val="single" w:sz="4" w:space="0" w:color="auto"/>
              <w:left w:val="nil"/>
              <w:bottom w:val="single" w:sz="4" w:space="0" w:color="auto"/>
              <w:right w:val="nil"/>
            </w:tcBorders>
            <w:shd w:val="clear" w:color="auto" w:fill="auto"/>
            <w:noWrap/>
            <w:vAlign w:val="center"/>
            <w:hideMark/>
          </w:tcPr>
          <w:p w14:paraId="1774AFEC" w14:textId="77777777" w:rsidR="003A0696" w:rsidRPr="00640CB6" w:rsidRDefault="003A0696" w:rsidP="003A0696">
            <w:pPr>
              <w:spacing w:after="0" w:line="240" w:lineRule="auto"/>
              <w:jc w:val="right"/>
              <w:rPr>
                <w:rFonts w:eastAsia="Times New Roman" w:cs="Times New Roman"/>
                <w:b/>
                <w:bCs/>
                <w:sz w:val="18"/>
                <w:szCs w:val="18"/>
                <w:lang w:eastAsia="sk-SK"/>
              </w:rPr>
            </w:pPr>
            <w:r w:rsidRPr="00640CB6">
              <w:rPr>
                <w:rFonts w:eastAsia="Times New Roman" w:cs="Times New Roman"/>
                <w:b/>
                <w:bCs/>
                <w:sz w:val="18"/>
                <w:szCs w:val="18"/>
                <w:lang w:eastAsia="sk-SK"/>
              </w:rPr>
              <w:t>989 849</w:t>
            </w:r>
          </w:p>
        </w:tc>
        <w:tc>
          <w:tcPr>
            <w:tcW w:w="1327" w:type="dxa"/>
            <w:tcBorders>
              <w:top w:val="single" w:sz="4" w:space="0" w:color="auto"/>
              <w:left w:val="nil"/>
              <w:bottom w:val="single" w:sz="4" w:space="0" w:color="auto"/>
              <w:right w:val="nil"/>
            </w:tcBorders>
            <w:shd w:val="clear" w:color="auto" w:fill="auto"/>
            <w:noWrap/>
            <w:vAlign w:val="center"/>
            <w:hideMark/>
          </w:tcPr>
          <w:p w14:paraId="728D9EBD" w14:textId="77777777" w:rsidR="003A0696" w:rsidRPr="00640CB6" w:rsidRDefault="003A0696" w:rsidP="003A0696">
            <w:pPr>
              <w:spacing w:after="0" w:line="240" w:lineRule="auto"/>
              <w:jc w:val="right"/>
              <w:rPr>
                <w:rFonts w:eastAsia="Times New Roman" w:cs="Times New Roman"/>
                <w:b/>
                <w:bCs/>
                <w:sz w:val="18"/>
                <w:szCs w:val="18"/>
                <w:lang w:eastAsia="sk-SK"/>
              </w:rPr>
            </w:pPr>
            <w:r w:rsidRPr="00640CB6">
              <w:rPr>
                <w:rFonts w:eastAsia="Times New Roman" w:cs="Times New Roman"/>
                <w:b/>
                <w:bCs/>
                <w:sz w:val="18"/>
                <w:szCs w:val="18"/>
                <w:lang w:eastAsia="sk-SK"/>
              </w:rPr>
              <w:t>195 837</w:t>
            </w:r>
          </w:p>
        </w:tc>
      </w:tr>
    </w:tbl>
    <w:p w14:paraId="797C2753" w14:textId="77777777" w:rsidR="003A0696" w:rsidRPr="00640CB6" w:rsidRDefault="003A0696" w:rsidP="003A0696">
      <w:pPr>
        <w:spacing w:line="240" w:lineRule="auto"/>
        <w:rPr>
          <w:rFonts w:cs="Times New Roman"/>
          <w:sz w:val="16"/>
          <w:szCs w:val="16"/>
        </w:rPr>
      </w:pP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24"/>
          <w:szCs w:val="24"/>
        </w:rPr>
        <w:tab/>
      </w:r>
      <w:r w:rsidRPr="00640CB6">
        <w:rPr>
          <w:sz w:val="16"/>
          <w:szCs w:val="16"/>
        </w:rPr>
        <w:t xml:space="preserve">      </w:t>
      </w:r>
      <w:r>
        <w:rPr>
          <w:sz w:val="16"/>
          <w:szCs w:val="16"/>
        </w:rPr>
        <w:t xml:space="preserve">      </w:t>
      </w:r>
      <w:r w:rsidRPr="00640CB6">
        <w:rPr>
          <w:sz w:val="16"/>
          <w:szCs w:val="16"/>
        </w:rPr>
        <w:t xml:space="preserve">   </w:t>
      </w:r>
      <w:r w:rsidRPr="00640CB6">
        <w:rPr>
          <w:rFonts w:cs="Times New Roman"/>
          <w:sz w:val="16"/>
          <w:szCs w:val="16"/>
        </w:rPr>
        <w:t xml:space="preserve">     Zdroj: MIRRI SR</w:t>
      </w:r>
    </w:p>
    <w:p w14:paraId="43263BE7" w14:textId="77777777" w:rsidR="003234A0" w:rsidRDefault="003234A0">
      <w:pPr>
        <w:spacing w:after="160" w:line="259" w:lineRule="auto"/>
        <w:jc w:val="left"/>
        <w:rPr>
          <w:sz w:val="24"/>
          <w:szCs w:val="24"/>
        </w:rPr>
      </w:pPr>
      <w:r>
        <w:rPr>
          <w:sz w:val="24"/>
          <w:szCs w:val="24"/>
        </w:rPr>
        <w:br w:type="page"/>
      </w:r>
    </w:p>
    <w:p w14:paraId="2AFDA1BA" w14:textId="540AF357" w:rsidR="003A0696" w:rsidRPr="00F00722" w:rsidRDefault="003A0696" w:rsidP="003A0696">
      <w:pPr>
        <w:spacing w:line="240" w:lineRule="auto"/>
        <w:rPr>
          <w:sz w:val="24"/>
          <w:szCs w:val="24"/>
        </w:rPr>
      </w:pPr>
      <w:r w:rsidRPr="00F00722">
        <w:rPr>
          <w:sz w:val="24"/>
          <w:szCs w:val="24"/>
        </w:rPr>
        <w:lastRenderedPageBreak/>
        <w:t>Vláda SR v  roku 2022 pokračovala v prijímaní ďalších  opatrení proti pandémii, legislatívneho aj nelegislatívneho charakteru. Postupne boli prijímané zákony resp. úpravy existujúcich zákonov z dielne viacerých rezortov. V sociálnej oblasti sa pokračovalo v poberaní  ošetrovného, v dočasnom predĺžení podpornej doby poberania dávky v nezamestnanosti, v odkladoch platenia poistných odvodov,</w:t>
      </w:r>
      <w:r>
        <w:rPr>
          <w:sz w:val="24"/>
          <w:szCs w:val="24"/>
        </w:rPr>
        <w:t xml:space="preserve"> jednorazové zvýšenie pomoci v hmotnej núdzi na pokrytie zvýšených výdavkov na bývanie, energiu a stravu, </w:t>
      </w:r>
      <w:r w:rsidRPr="00F00722">
        <w:rPr>
          <w:sz w:val="24"/>
          <w:szCs w:val="24"/>
        </w:rPr>
        <w:t>zvýšenie finančného príspevku na p</w:t>
      </w:r>
      <w:r>
        <w:rPr>
          <w:sz w:val="24"/>
          <w:szCs w:val="24"/>
        </w:rPr>
        <w:t>oskytovanie sociálnych služieb</w:t>
      </w:r>
      <w:r w:rsidRPr="00F00722">
        <w:rPr>
          <w:sz w:val="24"/>
          <w:szCs w:val="24"/>
        </w:rPr>
        <w:t xml:space="preserve">, </w:t>
      </w:r>
      <w:r>
        <w:rPr>
          <w:sz w:val="24"/>
          <w:szCs w:val="24"/>
        </w:rPr>
        <w:t xml:space="preserve">jednorazové zvýšenie prídavku na dieťa za mesiac máj, humanitárna pomoc a ďalšie. </w:t>
      </w:r>
    </w:p>
    <w:p w14:paraId="5F3218BC" w14:textId="77777777" w:rsidR="003A0696" w:rsidRPr="00F00722" w:rsidRDefault="003A0696" w:rsidP="003A0696">
      <w:pPr>
        <w:spacing w:line="240" w:lineRule="auto"/>
        <w:rPr>
          <w:sz w:val="24"/>
          <w:szCs w:val="24"/>
        </w:rPr>
      </w:pPr>
      <w:r w:rsidRPr="00F00722">
        <w:rPr>
          <w:sz w:val="24"/>
          <w:szCs w:val="24"/>
        </w:rPr>
        <w:t>Podpora podnikateľov sa riešila aj schémou poskytovania dotácií na nájomné,</w:t>
      </w:r>
      <w:r>
        <w:rPr>
          <w:sz w:val="24"/>
          <w:szCs w:val="24"/>
        </w:rPr>
        <w:t xml:space="preserve"> dotácií na podnikanie v cestovnom ruchu a v oblasti gastronómie, preplácaním nákladov zamestnávateľom spojených s testovaním, </w:t>
      </w:r>
      <w:r w:rsidRPr="00F00722">
        <w:rPr>
          <w:sz w:val="24"/>
          <w:szCs w:val="24"/>
        </w:rPr>
        <w:t xml:space="preserve">finančnou pomocou na zabezpečenie likvidity malých, stredných a veľkých podnikov prostredníctvom úverov alebo poskytovaním záruk za tieto úvery. </w:t>
      </w:r>
    </w:p>
    <w:p w14:paraId="1FEBDF08" w14:textId="77777777" w:rsidR="003A0696" w:rsidRPr="00F021B5" w:rsidRDefault="003A0696" w:rsidP="003A0696">
      <w:pPr>
        <w:spacing w:line="240" w:lineRule="auto"/>
        <w:rPr>
          <w:sz w:val="24"/>
          <w:szCs w:val="24"/>
        </w:rPr>
      </w:pPr>
      <w:r w:rsidRPr="00F021B5">
        <w:rPr>
          <w:sz w:val="24"/>
          <w:szCs w:val="24"/>
        </w:rPr>
        <w:t>V oblasti zdravotníctva išlo najmä o úhradu zvýšených výkonov zdravotníckych zariadení, mzdové výdavky na pracovníkov v prvej línii, úhradu mobilných odberových miest ako nových poskytovateľov zdravotnej starostlivosti</w:t>
      </w:r>
      <w:r>
        <w:rPr>
          <w:sz w:val="24"/>
          <w:szCs w:val="24"/>
        </w:rPr>
        <w:t xml:space="preserve">, o dotáciu na tzv. infekčný príplatok </w:t>
      </w:r>
      <w:r w:rsidRPr="00F021B5">
        <w:rPr>
          <w:sz w:val="24"/>
          <w:szCs w:val="24"/>
        </w:rPr>
        <w:t xml:space="preserve"> a ďalšie.</w:t>
      </w:r>
    </w:p>
    <w:p w14:paraId="36D7FD9D" w14:textId="77777777" w:rsidR="003A0696" w:rsidRPr="00F021B5" w:rsidRDefault="003A0696" w:rsidP="003A0696">
      <w:pPr>
        <w:spacing w:line="240" w:lineRule="auto"/>
        <w:rPr>
          <w:sz w:val="24"/>
          <w:szCs w:val="24"/>
        </w:rPr>
      </w:pPr>
      <w:r w:rsidRPr="00F021B5">
        <w:rPr>
          <w:sz w:val="24"/>
          <w:szCs w:val="24"/>
        </w:rPr>
        <w:t xml:space="preserve">Ďalej boli financované nákupy pohotovostných rezerv, ochranných pomôcok, dezinfekcie, testov, liekov, vakcín, pľúcnych ventilátorov, masiek a respirátorov, výdavky na štátne karanténne zariadenia, na kampaň pre očkovanie populácie, </w:t>
      </w:r>
      <w:r w:rsidRPr="000C0524">
        <w:rPr>
          <w:sz w:val="24"/>
          <w:szCs w:val="24"/>
        </w:rPr>
        <w:t>výdavky spojené s vyplácaním finančnej pomoci pre seniorov</w:t>
      </w:r>
      <w:r w:rsidRPr="00F021B5">
        <w:rPr>
          <w:sz w:val="24"/>
          <w:szCs w:val="24"/>
        </w:rPr>
        <w:t>, výdavky na očkovaciu prémiu a sprostredkovateľský bonus a podobne.</w:t>
      </w:r>
    </w:p>
    <w:p w14:paraId="1729435C" w14:textId="77777777" w:rsidR="003A0696" w:rsidRDefault="003A0696" w:rsidP="003A0696">
      <w:pPr>
        <w:spacing w:after="0" w:line="240" w:lineRule="auto"/>
        <w:rPr>
          <w:sz w:val="24"/>
          <w:szCs w:val="24"/>
        </w:rPr>
      </w:pPr>
      <w:r w:rsidRPr="00295C08">
        <w:rPr>
          <w:b/>
          <w:sz w:val="24"/>
          <w:szCs w:val="24"/>
        </w:rPr>
        <w:t xml:space="preserve">V nasledovnom prehľade sú prezentované výdavky súvisiace s COVID-19 v metodike ESA 2010. </w:t>
      </w:r>
      <w:r w:rsidRPr="00295C08">
        <w:rPr>
          <w:sz w:val="24"/>
          <w:szCs w:val="24"/>
        </w:rPr>
        <w:t>V tejto metodike nie všetky hotovostné výdavky subjektov verejnej správy ovplyvňujú deficit. Príkladom sú poskytnuté a prijaté transfery v rámci verejnej správy, ktoré po ich vzájomnej konsolidácii sú bez vplyvu na saldo. Vplyv na saldo verejnej správy sa prejavuje vo výdavkoch toho subjektu, ktorý tento transfer prijal a použil ho v čerpaní na bežné alebo kapitálové výdavky.</w:t>
      </w:r>
    </w:p>
    <w:p w14:paraId="2509D34D" w14:textId="77777777" w:rsidR="003A0696" w:rsidRPr="00F174D4" w:rsidRDefault="003A0696" w:rsidP="003A0696">
      <w:pPr>
        <w:spacing w:after="0" w:line="240" w:lineRule="auto"/>
        <w:rPr>
          <w:rFonts w:asciiTheme="minorHAnsi" w:hAnsiTheme="minorHAnsi"/>
        </w:rPr>
      </w:pPr>
      <w:r w:rsidRPr="00F174D4">
        <w:fldChar w:fldCharType="begin"/>
      </w:r>
      <w:r w:rsidRPr="00F174D4">
        <w:instrText xml:space="preserve"> LINK Excel.Sheet.12 "\\\\mf.mfsr.sk\\DfsRoot\\ADRESARE\\OISS_313\\STATVERFIN\\ESA\\EDP\\marec 2022\\podklady\\ŠR\\Záruky\\Covid\\ku ANNEX_8-COVID\\tabuľka do materialu.xlsx" 2021!R2C2:R60C3 \a \f 4 \h  \* MERGEFORMAT </w:instrText>
      </w:r>
      <w:r w:rsidRPr="00F174D4">
        <w:fldChar w:fldCharType="separate"/>
      </w:r>
    </w:p>
    <w:tbl>
      <w:tblPr>
        <w:tblW w:w="9350" w:type="dxa"/>
        <w:tblCellMar>
          <w:left w:w="70" w:type="dxa"/>
          <w:right w:w="70" w:type="dxa"/>
        </w:tblCellMar>
        <w:tblLook w:val="04A0" w:firstRow="1" w:lastRow="0" w:firstColumn="1" w:lastColumn="0" w:noHBand="0" w:noVBand="1"/>
      </w:tblPr>
      <w:tblGrid>
        <w:gridCol w:w="8259"/>
        <w:gridCol w:w="1091"/>
      </w:tblGrid>
      <w:tr w:rsidR="003A0696" w:rsidRPr="00F174D4" w14:paraId="50636B55" w14:textId="77777777" w:rsidTr="003A0696">
        <w:trPr>
          <w:trHeight w:val="316"/>
          <w:tblHeader/>
        </w:trPr>
        <w:tc>
          <w:tcPr>
            <w:tcW w:w="9350" w:type="dxa"/>
            <w:gridSpan w:val="2"/>
            <w:tcBorders>
              <w:top w:val="nil"/>
              <w:left w:val="nil"/>
              <w:bottom w:val="nil"/>
              <w:right w:val="nil"/>
            </w:tcBorders>
            <w:shd w:val="clear" w:color="auto" w:fill="auto"/>
            <w:noWrap/>
            <w:vAlign w:val="center"/>
            <w:hideMark/>
          </w:tcPr>
          <w:p w14:paraId="04FBF144" w14:textId="77777777" w:rsidR="003A0696" w:rsidRPr="00F174D4" w:rsidRDefault="003A0696" w:rsidP="003A0696">
            <w:pPr>
              <w:spacing w:after="0" w:line="240" w:lineRule="auto"/>
              <w:rPr>
                <w:rFonts w:eastAsia="Times New Roman" w:cs="Times New Roman"/>
                <w:b/>
                <w:bCs/>
                <w:color w:val="5B9BD5" w:themeColor="accent1"/>
                <w:sz w:val="20"/>
                <w:szCs w:val="20"/>
                <w:lang w:eastAsia="sk-SK"/>
              </w:rPr>
            </w:pPr>
            <w:r w:rsidRPr="00F174D4">
              <w:rPr>
                <w:rFonts w:eastAsia="Times New Roman" w:cs="Times New Roman"/>
                <w:b/>
                <w:bCs/>
                <w:color w:val="5B9BD5" w:themeColor="accent1"/>
                <w:sz w:val="20"/>
                <w:szCs w:val="20"/>
                <w:lang w:eastAsia="sk-SK"/>
              </w:rPr>
              <w:t xml:space="preserve">Tabuľka </w:t>
            </w:r>
            <w:r>
              <w:rPr>
                <w:rFonts w:eastAsia="Times New Roman" w:cs="Times New Roman"/>
                <w:b/>
                <w:bCs/>
                <w:color w:val="5B9BD5" w:themeColor="accent1"/>
                <w:sz w:val="20"/>
                <w:szCs w:val="20"/>
                <w:lang w:eastAsia="sk-SK"/>
              </w:rPr>
              <w:t>12</w:t>
            </w:r>
            <w:r w:rsidRPr="00F174D4">
              <w:rPr>
                <w:rFonts w:eastAsia="Times New Roman" w:cs="Times New Roman"/>
                <w:b/>
                <w:bCs/>
                <w:color w:val="5B9BD5" w:themeColor="accent1"/>
                <w:sz w:val="20"/>
                <w:szCs w:val="20"/>
                <w:lang w:eastAsia="sk-SK"/>
              </w:rPr>
              <w:t xml:space="preserve"> - Výdavky na COVID opatrenia s vplyvom na saldo VS v metodike ESA                         v tis. eur </w:t>
            </w:r>
          </w:p>
        </w:tc>
      </w:tr>
      <w:tr w:rsidR="003A0696" w:rsidRPr="00F174D4" w14:paraId="0833F1B0" w14:textId="77777777" w:rsidTr="003A0696">
        <w:trPr>
          <w:trHeight w:val="271"/>
        </w:trPr>
        <w:tc>
          <w:tcPr>
            <w:tcW w:w="8259" w:type="dxa"/>
            <w:tcBorders>
              <w:top w:val="nil"/>
              <w:left w:val="nil"/>
              <w:bottom w:val="single" w:sz="8" w:space="0" w:color="auto"/>
              <w:right w:val="nil"/>
            </w:tcBorders>
            <w:shd w:val="clear" w:color="auto" w:fill="auto"/>
            <w:noWrap/>
            <w:vAlign w:val="center"/>
            <w:hideMark/>
          </w:tcPr>
          <w:p w14:paraId="11198D79" w14:textId="77777777" w:rsidR="003A0696" w:rsidRPr="00F174D4" w:rsidRDefault="003A0696" w:rsidP="003A0696">
            <w:pPr>
              <w:spacing w:after="0" w:line="240" w:lineRule="auto"/>
              <w:jc w:val="left"/>
              <w:rPr>
                <w:rFonts w:eastAsia="Times New Roman" w:cs="Times New Roman"/>
                <w:b/>
                <w:bCs/>
                <w:color w:val="000000"/>
                <w:sz w:val="18"/>
                <w:szCs w:val="18"/>
                <w:lang w:eastAsia="sk-SK"/>
              </w:rPr>
            </w:pPr>
            <w:r w:rsidRPr="00F174D4">
              <w:rPr>
                <w:rFonts w:eastAsia="Times New Roman" w:cs="Times New Roman"/>
                <w:b/>
                <w:bCs/>
                <w:color w:val="000000"/>
                <w:sz w:val="18"/>
                <w:szCs w:val="18"/>
                <w:lang w:eastAsia="sk-SK"/>
              </w:rPr>
              <w:t>Podpora udržania zamestnanosti</w:t>
            </w:r>
          </w:p>
        </w:tc>
        <w:tc>
          <w:tcPr>
            <w:tcW w:w="1090" w:type="dxa"/>
            <w:tcBorders>
              <w:top w:val="nil"/>
              <w:left w:val="nil"/>
              <w:bottom w:val="single" w:sz="8" w:space="0" w:color="auto"/>
              <w:right w:val="nil"/>
            </w:tcBorders>
            <w:shd w:val="clear" w:color="auto" w:fill="auto"/>
            <w:noWrap/>
            <w:vAlign w:val="center"/>
            <w:hideMark/>
          </w:tcPr>
          <w:p w14:paraId="1C551C86" w14:textId="77777777" w:rsidR="003A0696" w:rsidRPr="00F174D4" w:rsidRDefault="003A0696" w:rsidP="003A0696">
            <w:pPr>
              <w:spacing w:after="0" w:line="240" w:lineRule="auto"/>
              <w:jc w:val="right"/>
              <w:rPr>
                <w:rFonts w:eastAsia="Times New Roman" w:cs="Times New Roman"/>
                <w:b/>
                <w:bCs/>
                <w:color w:val="000000"/>
                <w:sz w:val="18"/>
                <w:szCs w:val="18"/>
                <w:lang w:eastAsia="sk-SK"/>
              </w:rPr>
            </w:pPr>
            <w:r w:rsidRPr="00F174D4">
              <w:rPr>
                <w:rFonts w:eastAsia="Times New Roman" w:cs="Times New Roman"/>
                <w:b/>
                <w:bCs/>
                <w:color w:val="000000"/>
                <w:sz w:val="18"/>
                <w:szCs w:val="18"/>
                <w:lang w:eastAsia="sk-SK"/>
              </w:rPr>
              <w:t xml:space="preserve"> 253 100</w:t>
            </w:r>
          </w:p>
        </w:tc>
      </w:tr>
      <w:tr w:rsidR="003A0696" w:rsidRPr="00F174D4" w14:paraId="4611E9B1" w14:textId="77777777" w:rsidTr="003A0696">
        <w:trPr>
          <w:trHeight w:val="256"/>
        </w:trPr>
        <w:tc>
          <w:tcPr>
            <w:tcW w:w="8259" w:type="dxa"/>
            <w:tcBorders>
              <w:top w:val="nil"/>
              <w:left w:val="nil"/>
              <w:bottom w:val="nil"/>
              <w:right w:val="nil"/>
            </w:tcBorders>
            <w:shd w:val="clear" w:color="auto" w:fill="auto"/>
            <w:noWrap/>
            <w:vAlign w:val="center"/>
            <w:hideMark/>
          </w:tcPr>
          <w:p w14:paraId="4BCB9878"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Spolu opatrenia 1 až 4B, z toho:</w:t>
            </w:r>
          </w:p>
        </w:tc>
        <w:tc>
          <w:tcPr>
            <w:tcW w:w="1090" w:type="dxa"/>
            <w:tcBorders>
              <w:top w:val="nil"/>
              <w:left w:val="nil"/>
              <w:bottom w:val="nil"/>
              <w:right w:val="nil"/>
            </w:tcBorders>
            <w:shd w:val="clear" w:color="auto" w:fill="auto"/>
            <w:noWrap/>
            <w:vAlign w:val="center"/>
            <w:hideMark/>
          </w:tcPr>
          <w:p w14:paraId="5CA521E3"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174 300</w:t>
            </w:r>
          </w:p>
        </w:tc>
      </w:tr>
      <w:tr w:rsidR="003A0696" w:rsidRPr="00F174D4" w14:paraId="0A619B0F" w14:textId="77777777" w:rsidTr="003A0696">
        <w:trPr>
          <w:trHeight w:val="256"/>
        </w:trPr>
        <w:tc>
          <w:tcPr>
            <w:tcW w:w="8259" w:type="dxa"/>
            <w:tcBorders>
              <w:top w:val="nil"/>
              <w:left w:val="nil"/>
              <w:bottom w:val="nil"/>
              <w:right w:val="nil"/>
            </w:tcBorders>
            <w:shd w:val="clear" w:color="auto" w:fill="auto"/>
            <w:noWrap/>
            <w:vAlign w:val="center"/>
            <w:hideMark/>
          </w:tcPr>
          <w:p w14:paraId="383EF82E" w14:textId="77777777" w:rsidR="003A0696" w:rsidRPr="00F174D4" w:rsidRDefault="003A0696" w:rsidP="003A0696">
            <w:pPr>
              <w:spacing w:after="0" w:line="240" w:lineRule="auto"/>
              <w:ind w:firstLineChars="100" w:firstLine="180"/>
              <w:jc w:val="left"/>
              <w:rPr>
                <w:rFonts w:eastAsia="Times New Roman" w:cs="Times New Roman"/>
                <w:i/>
                <w:iCs/>
                <w:color w:val="000000"/>
                <w:sz w:val="18"/>
                <w:szCs w:val="18"/>
                <w:lang w:eastAsia="sk-SK"/>
              </w:rPr>
            </w:pPr>
            <w:proofErr w:type="spellStart"/>
            <w:r w:rsidRPr="00F174D4">
              <w:rPr>
                <w:rFonts w:eastAsia="Times New Roman" w:cs="Times New Roman"/>
                <w:color w:val="000000"/>
                <w:sz w:val="18"/>
                <w:szCs w:val="18"/>
                <w:lang w:eastAsia="sk-SK"/>
              </w:rPr>
              <w:t>Kurzarbeit</w:t>
            </w:r>
            <w:proofErr w:type="spellEnd"/>
            <w:r w:rsidRPr="00F174D4">
              <w:rPr>
                <w:rFonts w:eastAsia="Times New Roman" w:cs="Times New Roman"/>
                <w:color w:val="000000"/>
                <w:sz w:val="18"/>
                <w:szCs w:val="18"/>
                <w:lang w:eastAsia="sk-SK"/>
              </w:rPr>
              <w:t xml:space="preserve"> pre materské školy a ZUŠ</w:t>
            </w:r>
          </w:p>
        </w:tc>
        <w:tc>
          <w:tcPr>
            <w:tcW w:w="1090" w:type="dxa"/>
            <w:tcBorders>
              <w:top w:val="nil"/>
              <w:left w:val="nil"/>
              <w:bottom w:val="nil"/>
              <w:right w:val="nil"/>
            </w:tcBorders>
            <w:shd w:val="clear" w:color="auto" w:fill="auto"/>
            <w:noWrap/>
            <w:vAlign w:val="center"/>
            <w:hideMark/>
          </w:tcPr>
          <w:p w14:paraId="62C3BE1F"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6CD6F084" w14:textId="77777777" w:rsidTr="003A0696">
        <w:trPr>
          <w:trHeight w:val="256"/>
        </w:trPr>
        <w:tc>
          <w:tcPr>
            <w:tcW w:w="8259" w:type="dxa"/>
            <w:tcBorders>
              <w:top w:val="nil"/>
              <w:left w:val="nil"/>
              <w:bottom w:val="nil"/>
              <w:right w:val="nil"/>
            </w:tcBorders>
            <w:shd w:val="clear" w:color="auto" w:fill="auto"/>
            <w:noWrap/>
            <w:vAlign w:val="center"/>
            <w:hideMark/>
          </w:tcPr>
          <w:p w14:paraId="5D864239" w14:textId="77777777" w:rsidR="003A0696" w:rsidRPr="00F174D4" w:rsidRDefault="003A0696" w:rsidP="003A0696">
            <w:pPr>
              <w:spacing w:after="0" w:line="240" w:lineRule="auto"/>
              <w:ind w:firstLineChars="100" w:firstLine="180"/>
              <w:jc w:val="left"/>
              <w:rPr>
                <w:rFonts w:eastAsia="Times New Roman" w:cs="Times New Roman"/>
                <w:i/>
                <w:iCs/>
                <w:color w:val="000000"/>
                <w:sz w:val="18"/>
                <w:szCs w:val="18"/>
                <w:lang w:eastAsia="sk-SK"/>
              </w:rPr>
            </w:pPr>
            <w:r w:rsidRPr="00F174D4">
              <w:rPr>
                <w:rFonts w:eastAsia="Times New Roman" w:cs="Times New Roman"/>
                <w:color w:val="000000"/>
                <w:sz w:val="18"/>
                <w:szCs w:val="18"/>
                <w:lang w:eastAsia="sk-SK"/>
              </w:rPr>
              <w:t>Podpora podnikania v cestovnom ruchu</w:t>
            </w:r>
          </w:p>
        </w:tc>
        <w:tc>
          <w:tcPr>
            <w:tcW w:w="1090" w:type="dxa"/>
            <w:tcBorders>
              <w:top w:val="nil"/>
              <w:left w:val="nil"/>
              <w:bottom w:val="nil"/>
              <w:right w:val="nil"/>
            </w:tcBorders>
            <w:shd w:val="clear" w:color="auto" w:fill="auto"/>
            <w:noWrap/>
            <w:vAlign w:val="center"/>
            <w:hideMark/>
          </w:tcPr>
          <w:p w14:paraId="02A77242"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65 000</w:t>
            </w:r>
          </w:p>
        </w:tc>
      </w:tr>
      <w:tr w:rsidR="003A0696" w:rsidRPr="00F174D4" w14:paraId="2C356D36" w14:textId="77777777" w:rsidTr="003A0696">
        <w:trPr>
          <w:trHeight w:val="256"/>
        </w:trPr>
        <w:tc>
          <w:tcPr>
            <w:tcW w:w="8259" w:type="dxa"/>
            <w:tcBorders>
              <w:top w:val="nil"/>
              <w:left w:val="nil"/>
              <w:bottom w:val="nil"/>
              <w:right w:val="nil"/>
            </w:tcBorders>
            <w:shd w:val="clear" w:color="auto" w:fill="auto"/>
            <w:noWrap/>
            <w:vAlign w:val="center"/>
            <w:hideMark/>
          </w:tcPr>
          <w:p w14:paraId="0CD5EE0C" w14:textId="77777777" w:rsidR="003A0696" w:rsidRPr="00F174D4" w:rsidRDefault="003A0696" w:rsidP="003A0696">
            <w:pPr>
              <w:spacing w:after="0" w:line="240" w:lineRule="auto"/>
              <w:ind w:firstLineChars="100" w:firstLine="180"/>
              <w:jc w:val="left"/>
              <w:rPr>
                <w:rFonts w:eastAsia="Times New Roman" w:cs="Times New Roman"/>
                <w:i/>
                <w:iCs/>
                <w:color w:val="000000"/>
                <w:sz w:val="18"/>
                <w:szCs w:val="18"/>
                <w:lang w:eastAsia="sk-SK"/>
              </w:rPr>
            </w:pPr>
            <w:r w:rsidRPr="00F174D4">
              <w:rPr>
                <w:rFonts w:eastAsia="Times New Roman" w:cs="Times New Roman"/>
                <w:color w:val="000000"/>
                <w:sz w:val="18"/>
                <w:szCs w:val="18"/>
                <w:lang w:eastAsia="sk-SK"/>
              </w:rPr>
              <w:t>Podpora podnikania v oblasti kultúry a kreatívneho priemyslu</w:t>
            </w:r>
          </w:p>
        </w:tc>
        <w:tc>
          <w:tcPr>
            <w:tcW w:w="1090" w:type="dxa"/>
            <w:tcBorders>
              <w:top w:val="nil"/>
              <w:left w:val="nil"/>
              <w:bottom w:val="nil"/>
              <w:right w:val="nil"/>
            </w:tcBorders>
            <w:shd w:val="clear" w:color="auto" w:fill="auto"/>
            <w:noWrap/>
            <w:vAlign w:val="center"/>
            <w:hideMark/>
          </w:tcPr>
          <w:p w14:paraId="0619F0BE"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00</w:t>
            </w:r>
          </w:p>
        </w:tc>
      </w:tr>
      <w:tr w:rsidR="003A0696" w:rsidRPr="00F174D4" w14:paraId="0075E752" w14:textId="77777777" w:rsidTr="003A0696">
        <w:trPr>
          <w:trHeight w:val="256"/>
        </w:trPr>
        <w:tc>
          <w:tcPr>
            <w:tcW w:w="8259" w:type="dxa"/>
            <w:tcBorders>
              <w:top w:val="nil"/>
              <w:left w:val="nil"/>
              <w:bottom w:val="nil"/>
              <w:right w:val="nil"/>
            </w:tcBorders>
            <w:shd w:val="clear" w:color="auto" w:fill="auto"/>
            <w:noWrap/>
            <w:vAlign w:val="center"/>
            <w:hideMark/>
          </w:tcPr>
          <w:p w14:paraId="18AB6F56" w14:textId="77777777" w:rsidR="003A0696" w:rsidRPr="00F174D4" w:rsidRDefault="003A0696" w:rsidP="003A0696">
            <w:pPr>
              <w:spacing w:after="0" w:line="240" w:lineRule="auto"/>
              <w:ind w:firstLineChars="100" w:firstLine="180"/>
              <w:jc w:val="left"/>
              <w:rPr>
                <w:rFonts w:eastAsia="Times New Roman" w:cs="Times New Roman"/>
                <w:i/>
                <w:iCs/>
                <w:color w:val="000000"/>
                <w:sz w:val="18"/>
                <w:szCs w:val="18"/>
                <w:lang w:eastAsia="sk-SK"/>
              </w:rPr>
            </w:pPr>
            <w:r w:rsidRPr="00F174D4">
              <w:rPr>
                <w:rFonts w:eastAsia="Times New Roman" w:cs="Times New Roman"/>
                <w:color w:val="000000"/>
                <w:sz w:val="18"/>
                <w:szCs w:val="18"/>
                <w:lang w:eastAsia="sk-SK"/>
              </w:rPr>
              <w:t>Preplácanie nájmu</w:t>
            </w:r>
          </w:p>
        </w:tc>
        <w:tc>
          <w:tcPr>
            <w:tcW w:w="1090" w:type="dxa"/>
            <w:tcBorders>
              <w:top w:val="nil"/>
              <w:left w:val="nil"/>
              <w:bottom w:val="nil"/>
              <w:right w:val="nil"/>
            </w:tcBorders>
            <w:shd w:val="clear" w:color="auto" w:fill="auto"/>
            <w:noWrap/>
            <w:vAlign w:val="center"/>
            <w:hideMark/>
          </w:tcPr>
          <w:p w14:paraId="03DAEAFF"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13 800</w:t>
            </w:r>
          </w:p>
        </w:tc>
      </w:tr>
      <w:tr w:rsidR="003A0696" w:rsidRPr="00F174D4" w14:paraId="1DC47EA8" w14:textId="77777777" w:rsidTr="003A0696">
        <w:trPr>
          <w:trHeight w:val="256"/>
        </w:trPr>
        <w:tc>
          <w:tcPr>
            <w:tcW w:w="8259" w:type="dxa"/>
            <w:tcBorders>
              <w:top w:val="nil"/>
              <w:left w:val="nil"/>
              <w:bottom w:val="nil"/>
              <w:right w:val="nil"/>
            </w:tcBorders>
            <w:shd w:val="clear" w:color="auto" w:fill="auto"/>
            <w:noWrap/>
            <w:vAlign w:val="center"/>
          </w:tcPr>
          <w:p w14:paraId="4637EE7C" w14:textId="77777777" w:rsidR="003A0696" w:rsidRPr="00F174D4" w:rsidRDefault="003A0696" w:rsidP="003A0696">
            <w:pPr>
              <w:spacing w:after="0" w:line="240" w:lineRule="auto"/>
              <w:ind w:firstLineChars="100" w:firstLine="180"/>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Podpora uchádzačov o zamestnanie</w:t>
            </w:r>
          </w:p>
        </w:tc>
        <w:tc>
          <w:tcPr>
            <w:tcW w:w="1090" w:type="dxa"/>
            <w:tcBorders>
              <w:top w:val="nil"/>
              <w:left w:val="nil"/>
              <w:bottom w:val="nil"/>
              <w:right w:val="nil"/>
            </w:tcBorders>
            <w:shd w:val="clear" w:color="auto" w:fill="auto"/>
            <w:noWrap/>
            <w:vAlign w:val="center"/>
          </w:tcPr>
          <w:p w14:paraId="6AC4DFA4"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6FF1F61B" w14:textId="77777777" w:rsidTr="003A0696">
        <w:trPr>
          <w:trHeight w:val="256"/>
        </w:trPr>
        <w:tc>
          <w:tcPr>
            <w:tcW w:w="8259" w:type="dxa"/>
            <w:tcBorders>
              <w:top w:val="single" w:sz="8" w:space="0" w:color="auto"/>
              <w:left w:val="nil"/>
              <w:bottom w:val="single" w:sz="8" w:space="0" w:color="auto"/>
              <w:right w:val="nil"/>
            </w:tcBorders>
            <w:shd w:val="clear" w:color="auto" w:fill="auto"/>
            <w:noWrap/>
            <w:vAlign w:val="center"/>
            <w:hideMark/>
          </w:tcPr>
          <w:p w14:paraId="163BB20C" w14:textId="77777777" w:rsidR="003A0696" w:rsidRPr="00F174D4" w:rsidRDefault="003A0696" w:rsidP="003A0696">
            <w:pPr>
              <w:spacing w:after="0" w:line="240" w:lineRule="auto"/>
              <w:jc w:val="left"/>
              <w:rPr>
                <w:rFonts w:eastAsia="Times New Roman" w:cs="Times New Roman"/>
                <w:i/>
                <w:iCs/>
                <w:color w:val="000000"/>
                <w:sz w:val="18"/>
                <w:szCs w:val="18"/>
                <w:lang w:eastAsia="sk-SK"/>
              </w:rPr>
            </w:pPr>
            <w:r w:rsidRPr="00F174D4">
              <w:rPr>
                <w:rFonts w:eastAsia="Times New Roman" w:cs="Times New Roman"/>
                <w:b/>
                <w:color w:val="000000"/>
                <w:sz w:val="18"/>
                <w:szCs w:val="18"/>
                <w:lang w:eastAsia="sk-SK"/>
              </w:rPr>
              <w:t>Sociálna pomoc (vrátane</w:t>
            </w:r>
            <w:r w:rsidRPr="00F174D4">
              <w:rPr>
                <w:rFonts w:eastAsia="Times New Roman" w:cs="Times New Roman"/>
                <w:b/>
                <w:bCs/>
                <w:color w:val="000000"/>
                <w:sz w:val="18"/>
                <w:szCs w:val="18"/>
                <w:lang w:eastAsia="sk-SK"/>
              </w:rPr>
              <w:t xml:space="preserve"> </w:t>
            </w:r>
            <w:proofErr w:type="spellStart"/>
            <w:r w:rsidRPr="00F174D4">
              <w:rPr>
                <w:rFonts w:eastAsia="Times New Roman" w:cs="Times New Roman"/>
                <w:b/>
                <w:bCs/>
                <w:color w:val="000000"/>
                <w:sz w:val="18"/>
                <w:szCs w:val="18"/>
                <w:lang w:eastAsia="sk-SK"/>
              </w:rPr>
              <w:t>pandemických</w:t>
            </w:r>
            <w:proofErr w:type="spellEnd"/>
            <w:r w:rsidRPr="00F174D4">
              <w:rPr>
                <w:rFonts w:eastAsia="Times New Roman" w:cs="Times New Roman"/>
                <w:b/>
                <w:bCs/>
                <w:color w:val="000000"/>
                <w:sz w:val="18"/>
                <w:szCs w:val="18"/>
                <w:lang w:eastAsia="sk-SK"/>
              </w:rPr>
              <w:t xml:space="preserve"> OČR a PN)</w:t>
            </w:r>
          </w:p>
        </w:tc>
        <w:tc>
          <w:tcPr>
            <w:tcW w:w="1090" w:type="dxa"/>
            <w:tcBorders>
              <w:top w:val="single" w:sz="8" w:space="0" w:color="auto"/>
              <w:left w:val="nil"/>
              <w:bottom w:val="single" w:sz="8" w:space="0" w:color="auto"/>
              <w:right w:val="nil"/>
            </w:tcBorders>
            <w:shd w:val="clear" w:color="auto" w:fill="auto"/>
            <w:noWrap/>
            <w:vAlign w:val="center"/>
            <w:hideMark/>
          </w:tcPr>
          <w:p w14:paraId="0B2A46FC"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b/>
                <w:color w:val="000000"/>
                <w:sz w:val="18"/>
                <w:szCs w:val="18"/>
                <w:lang w:eastAsia="sk-SK"/>
              </w:rPr>
              <w:t>62 366</w:t>
            </w:r>
          </w:p>
        </w:tc>
      </w:tr>
      <w:tr w:rsidR="003A0696" w:rsidRPr="00F174D4" w14:paraId="7CC292B0" w14:textId="77777777" w:rsidTr="003A0696">
        <w:trPr>
          <w:trHeight w:val="256"/>
        </w:trPr>
        <w:tc>
          <w:tcPr>
            <w:tcW w:w="8259" w:type="dxa"/>
            <w:tcBorders>
              <w:top w:val="nil"/>
              <w:left w:val="nil"/>
              <w:bottom w:val="nil"/>
              <w:right w:val="nil"/>
            </w:tcBorders>
            <w:shd w:val="clear" w:color="auto" w:fill="auto"/>
            <w:noWrap/>
            <w:vAlign w:val="center"/>
          </w:tcPr>
          <w:p w14:paraId="307B4B5E" w14:textId="77777777" w:rsidR="003A0696" w:rsidRPr="00F174D4" w:rsidRDefault="003A0696" w:rsidP="003A0696">
            <w:pPr>
              <w:spacing w:after="0" w:line="240" w:lineRule="auto"/>
              <w:jc w:val="left"/>
              <w:rPr>
                <w:rFonts w:eastAsia="Times New Roman" w:cs="Times New Roman"/>
                <w:i/>
                <w:iCs/>
                <w:color w:val="000000"/>
                <w:sz w:val="18"/>
                <w:szCs w:val="18"/>
                <w:lang w:eastAsia="sk-SK"/>
              </w:rPr>
            </w:pPr>
            <w:r w:rsidRPr="00F174D4">
              <w:rPr>
                <w:rFonts w:eastAsia="Times New Roman" w:cs="Times New Roman"/>
                <w:color w:val="000000"/>
                <w:sz w:val="18"/>
                <w:szCs w:val="18"/>
                <w:lang w:eastAsia="sk-SK"/>
              </w:rPr>
              <w:t xml:space="preserve">SOS príspevok </w:t>
            </w:r>
          </w:p>
        </w:tc>
        <w:tc>
          <w:tcPr>
            <w:tcW w:w="1090" w:type="dxa"/>
            <w:tcBorders>
              <w:top w:val="nil"/>
              <w:left w:val="nil"/>
              <w:bottom w:val="nil"/>
              <w:right w:val="nil"/>
            </w:tcBorders>
            <w:shd w:val="clear" w:color="auto" w:fill="auto"/>
            <w:noWrap/>
            <w:vAlign w:val="center"/>
          </w:tcPr>
          <w:p w14:paraId="05071BCF"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11 200</w:t>
            </w:r>
          </w:p>
        </w:tc>
      </w:tr>
      <w:tr w:rsidR="003A0696" w:rsidRPr="00F174D4" w14:paraId="1464F7A9" w14:textId="77777777" w:rsidTr="003A0696">
        <w:trPr>
          <w:trHeight w:val="256"/>
        </w:trPr>
        <w:tc>
          <w:tcPr>
            <w:tcW w:w="8259" w:type="dxa"/>
            <w:tcBorders>
              <w:top w:val="nil"/>
              <w:left w:val="nil"/>
              <w:bottom w:val="nil"/>
              <w:right w:val="nil"/>
            </w:tcBorders>
            <w:shd w:val="clear" w:color="auto" w:fill="auto"/>
            <w:noWrap/>
            <w:vAlign w:val="center"/>
            <w:hideMark/>
          </w:tcPr>
          <w:p w14:paraId="4F825682"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Rodičovský príspevok (predĺženie obdobia poberania)</w:t>
            </w:r>
          </w:p>
        </w:tc>
        <w:tc>
          <w:tcPr>
            <w:tcW w:w="1090" w:type="dxa"/>
            <w:tcBorders>
              <w:top w:val="nil"/>
              <w:left w:val="nil"/>
              <w:bottom w:val="nil"/>
              <w:right w:val="nil"/>
            </w:tcBorders>
            <w:shd w:val="clear" w:color="auto" w:fill="auto"/>
            <w:noWrap/>
            <w:vAlign w:val="center"/>
            <w:hideMark/>
          </w:tcPr>
          <w:p w14:paraId="563D9AB5"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757B0636" w14:textId="77777777" w:rsidTr="003A0696">
        <w:trPr>
          <w:trHeight w:val="256"/>
        </w:trPr>
        <w:tc>
          <w:tcPr>
            <w:tcW w:w="8259" w:type="dxa"/>
            <w:tcBorders>
              <w:top w:val="nil"/>
              <w:left w:val="nil"/>
              <w:bottom w:val="nil"/>
              <w:right w:val="nil"/>
            </w:tcBorders>
            <w:shd w:val="clear" w:color="auto" w:fill="auto"/>
            <w:noWrap/>
            <w:vAlign w:val="center"/>
            <w:hideMark/>
          </w:tcPr>
          <w:p w14:paraId="007DC313"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Jednorazový príspevok na dieťa</w:t>
            </w:r>
          </w:p>
        </w:tc>
        <w:tc>
          <w:tcPr>
            <w:tcW w:w="1090" w:type="dxa"/>
            <w:tcBorders>
              <w:top w:val="nil"/>
              <w:left w:val="nil"/>
              <w:bottom w:val="nil"/>
              <w:right w:val="nil"/>
            </w:tcBorders>
            <w:shd w:val="clear" w:color="auto" w:fill="auto"/>
            <w:noWrap/>
            <w:vAlign w:val="center"/>
            <w:hideMark/>
          </w:tcPr>
          <w:p w14:paraId="73B1579D"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5BC35FE1" w14:textId="77777777" w:rsidTr="003A0696">
        <w:trPr>
          <w:trHeight w:val="256"/>
        </w:trPr>
        <w:tc>
          <w:tcPr>
            <w:tcW w:w="8259" w:type="dxa"/>
            <w:tcBorders>
              <w:top w:val="nil"/>
              <w:left w:val="nil"/>
              <w:bottom w:val="nil"/>
              <w:right w:val="nil"/>
            </w:tcBorders>
            <w:shd w:val="clear" w:color="auto" w:fill="auto"/>
            <w:noWrap/>
            <w:vAlign w:val="center"/>
            <w:hideMark/>
          </w:tcPr>
          <w:p w14:paraId="0BAA4BD1"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Dávka v nezamestnanosti (predĺženie obdobia poberania)</w:t>
            </w:r>
          </w:p>
        </w:tc>
        <w:tc>
          <w:tcPr>
            <w:tcW w:w="1090" w:type="dxa"/>
            <w:tcBorders>
              <w:top w:val="nil"/>
              <w:left w:val="nil"/>
              <w:bottom w:val="nil"/>
              <w:right w:val="nil"/>
            </w:tcBorders>
            <w:shd w:val="clear" w:color="auto" w:fill="auto"/>
            <w:noWrap/>
            <w:vAlign w:val="center"/>
            <w:hideMark/>
          </w:tcPr>
          <w:p w14:paraId="1F2B50B1"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2296904E" w14:textId="77777777" w:rsidTr="003A0696">
        <w:trPr>
          <w:trHeight w:val="256"/>
        </w:trPr>
        <w:tc>
          <w:tcPr>
            <w:tcW w:w="8259" w:type="dxa"/>
            <w:tcBorders>
              <w:top w:val="nil"/>
              <w:left w:val="nil"/>
              <w:bottom w:val="nil"/>
              <w:right w:val="nil"/>
            </w:tcBorders>
            <w:shd w:val="clear" w:color="auto" w:fill="auto"/>
            <w:noWrap/>
            <w:vAlign w:val="center"/>
            <w:hideMark/>
          </w:tcPr>
          <w:p w14:paraId="714222D0"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Jednorazový príspevok na dieťa</w:t>
            </w:r>
          </w:p>
        </w:tc>
        <w:tc>
          <w:tcPr>
            <w:tcW w:w="1090" w:type="dxa"/>
            <w:tcBorders>
              <w:top w:val="nil"/>
              <w:left w:val="nil"/>
              <w:bottom w:val="nil"/>
              <w:right w:val="nil"/>
            </w:tcBorders>
            <w:shd w:val="clear" w:color="auto" w:fill="auto"/>
            <w:noWrap/>
            <w:vAlign w:val="center"/>
            <w:hideMark/>
          </w:tcPr>
          <w:p w14:paraId="113E6ADE"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0B235A3F" w14:textId="77777777" w:rsidTr="003A0696">
        <w:trPr>
          <w:trHeight w:val="256"/>
        </w:trPr>
        <w:tc>
          <w:tcPr>
            <w:tcW w:w="8259" w:type="dxa"/>
            <w:tcBorders>
              <w:top w:val="nil"/>
              <w:left w:val="nil"/>
              <w:bottom w:val="nil"/>
              <w:right w:val="nil"/>
            </w:tcBorders>
            <w:shd w:val="clear" w:color="auto" w:fill="auto"/>
            <w:noWrap/>
            <w:vAlign w:val="center"/>
            <w:hideMark/>
          </w:tcPr>
          <w:p w14:paraId="052AC905"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Humanitárna pomoc a úrazový príplatok</w:t>
            </w:r>
          </w:p>
        </w:tc>
        <w:tc>
          <w:tcPr>
            <w:tcW w:w="1090" w:type="dxa"/>
            <w:tcBorders>
              <w:top w:val="nil"/>
              <w:left w:val="nil"/>
              <w:bottom w:val="nil"/>
              <w:right w:val="nil"/>
            </w:tcBorders>
            <w:shd w:val="clear" w:color="auto" w:fill="auto"/>
            <w:noWrap/>
            <w:vAlign w:val="center"/>
            <w:hideMark/>
          </w:tcPr>
          <w:p w14:paraId="556E7FA2"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125D2318" w14:textId="77777777" w:rsidTr="003A0696">
        <w:trPr>
          <w:trHeight w:val="271"/>
        </w:trPr>
        <w:tc>
          <w:tcPr>
            <w:tcW w:w="8259" w:type="dxa"/>
            <w:tcBorders>
              <w:top w:val="nil"/>
              <w:left w:val="nil"/>
              <w:bottom w:val="nil"/>
              <w:right w:val="nil"/>
            </w:tcBorders>
            <w:shd w:val="clear" w:color="auto" w:fill="auto"/>
            <w:noWrap/>
            <w:vAlign w:val="center"/>
          </w:tcPr>
          <w:p w14:paraId="6649E80B" w14:textId="77777777" w:rsidR="003A0696" w:rsidRPr="00F174D4" w:rsidRDefault="003A0696" w:rsidP="003A0696">
            <w:pPr>
              <w:spacing w:after="0" w:line="240" w:lineRule="auto"/>
              <w:jc w:val="left"/>
              <w:rPr>
                <w:rFonts w:eastAsia="Times New Roman" w:cs="Times New Roman"/>
                <w:b/>
                <w:sz w:val="18"/>
                <w:szCs w:val="18"/>
                <w:lang w:eastAsia="sk-SK"/>
              </w:rPr>
            </w:pPr>
            <w:r w:rsidRPr="00F174D4">
              <w:rPr>
                <w:rFonts w:eastAsia="Times New Roman" w:cs="Times New Roman"/>
                <w:color w:val="000000"/>
                <w:sz w:val="18"/>
                <w:szCs w:val="18"/>
                <w:lang w:eastAsia="sk-SK"/>
              </w:rPr>
              <w:t>Nemocenské (PN) - dávky vyplatené nad úrovňou roka 2019 (indexované)</w:t>
            </w:r>
          </w:p>
        </w:tc>
        <w:tc>
          <w:tcPr>
            <w:tcW w:w="1090" w:type="dxa"/>
            <w:tcBorders>
              <w:top w:val="nil"/>
              <w:left w:val="nil"/>
              <w:bottom w:val="nil"/>
              <w:right w:val="nil"/>
            </w:tcBorders>
            <w:shd w:val="clear" w:color="auto" w:fill="auto"/>
            <w:noWrap/>
            <w:vAlign w:val="center"/>
          </w:tcPr>
          <w:p w14:paraId="3C57E0F0" w14:textId="77777777" w:rsidR="003A0696" w:rsidRPr="00F174D4" w:rsidRDefault="003A0696" w:rsidP="003A0696">
            <w:pPr>
              <w:spacing w:after="0" w:line="240" w:lineRule="auto"/>
              <w:jc w:val="right"/>
              <w:rPr>
                <w:rFonts w:eastAsia="Times New Roman" w:cs="Times New Roman"/>
                <w:b/>
                <w:bCs/>
                <w:color w:val="000000"/>
                <w:sz w:val="18"/>
                <w:szCs w:val="18"/>
                <w:lang w:eastAsia="sk-SK"/>
              </w:rPr>
            </w:pPr>
            <w:r w:rsidRPr="00F174D4">
              <w:rPr>
                <w:rFonts w:eastAsia="Times New Roman" w:cs="Times New Roman"/>
                <w:color w:val="000000"/>
                <w:sz w:val="18"/>
                <w:szCs w:val="18"/>
                <w:lang w:eastAsia="sk-SK"/>
              </w:rPr>
              <w:t>42 070</w:t>
            </w:r>
          </w:p>
        </w:tc>
      </w:tr>
      <w:tr w:rsidR="003A0696" w:rsidRPr="00F174D4" w14:paraId="579F6305" w14:textId="77777777" w:rsidTr="003A0696">
        <w:trPr>
          <w:trHeight w:val="271"/>
        </w:trPr>
        <w:tc>
          <w:tcPr>
            <w:tcW w:w="8259" w:type="dxa"/>
            <w:tcBorders>
              <w:top w:val="nil"/>
              <w:left w:val="nil"/>
              <w:bottom w:val="single" w:sz="8" w:space="0" w:color="auto"/>
              <w:right w:val="nil"/>
            </w:tcBorders>
            <w:shd w:val="clear" w:color="auto" w:fill="auto"/>
            <w:noWrap/>
            <w:vAlign w:val="center"/>
          </w:tcPr>
          <w:p w14:paraId="1A180346"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Ošetrovné (OČR) - dávky vyplatené nad úrovňou roka 2019 (indexované)</w:t>
            </w:r>
          </w:p>
        </w:tc>
        <w:tc>
          <w:tcPr>
            <w:tcW w:w="1090" w:type="dxa"/>
            <w:tcBorders>
              <w:top w:val="nil"/>
              <w:left w:val="nil"/>
              <w:bottom w:val="single" w:sz="8" w:space="0" w:color="auto"/>
              <w:right w:val="nil"/>
            </w:tcBorders>
            <w:shd w:val="clear" w:color="auto" w:fill="auto"/>
            <w:noWrap/>
            <w:vAlign w:val="center"/>
          </w:tcPr>
          <w:p w14:paraId="264246B5"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9 096</w:t>
            </w:r>
          </w:p>
        </w:tc>
      </w:tr>
      <w:tr w:rsidR="003A0696" w:rsidRPr="00F174D4" w14:paraId="4E51E533" w14:textId="77777777" w:rsidTr="003A0696">
        <w:trPr>
          <w:trHeight w:val="256"/>
        </w:trPr>
        <w:tc>
          <w:tcPr>
            <w:tcW w:w="8259" w:type="dxa"/>
            <w:tcBorders>
              <w:top w:val="single" w:sz="8" w:space="0" w:color="auto"/>
              <w:left w:val="nil"/>
              <w:bottom w:val="single" w:sz="8" w:space="0" w:color="auto"/>
              <w:right w:val="nil"/>
            </w:tcBorders>
            <w:shd w:val="clear" w:color="auto" w:fill="FFFFFF" w:themeFill="background1"/>
            <w:noWrap/>
            <w:vAlign w:val="center"/>
            <w:hideMark/>
          </w:tcPr>
          <w:p w14:paraId="18A6ABC8"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b/>
                <w:bCs/>
                <w:color w:val="000000"/>
                <w:sz w:val="18"/>
                <w:szCs w:val="18"/>
                <w:lang w:eastAsia="sk-SK"/>
              </w:rPr>
              <w:t>Odpustenie daní a odvodov</w:t>
            </w:r>
          </w:p>
        </w:tc>
        <w:tc>
          <w:tcPr>
            <w:tcW w:w="1090" w:type="dxa"/>
            <w:tcBorders>
              <w:top w:val="single" w:sz="8" w:space="0" w:color="auto"/>
              <w:left w:val="nil"/>
              <w:bottom w:val="single" w:sz="8" w:space="0" w:color="auto"/>
              <w:right w:val="nil"/>
            </w:tcBorders>
            <w:shd w:val="clear" w:color="auto" w:fill="FFFFFF" w:themeFill="background1"/>
            <w:noWrap/>
            <w:vAlign w:val="center"/>
            <w:hideMark/>
          </w:tcPr>
          <w:p w14:paraId="4D18DFE3"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b/>
                <w:bCs/>
                <w:color w:val="000000"/>
                <w:sz w:val="18"/>
                <w:szCs w:val="18"/>
                <w:lang w:eastAsia="sk-SK"/>
              </w:rPr>
              <w:t>1 692</w:t>
            </w:r>
          </w:p>
        </w:tc>
      </w:tr>
      <w:tr w:rsidR="003A0696" w:rsidRPr="00F174D4" w14:paraId="5C95DCAA" w14:textId="77777777" w:rsidTr="003A0696">
        <w:trPr>
          <w:trHeight w:val="256"/>
        </w:trPr>
        <w:tc>
          <w:tcPr>
            <w:tcW w:w="8259" w:type="dxa"/>
            <w:tcBorders>
              <w:top w:val="nil"/>
              <w:left w:val="nil"/>
              <w:right w:val="nil"/>
            </w:tcBorders>
            <w:shd w:val="clear" w:color="auto" w:fill="FFFFFF" w:themeFill="background1"/>
            <w:noWrap/>
            <w:vAlign w:val="center"/>
            <w:hideMark/>
          </w:tcPr>
          <w:p w14:paraId="36D2B849"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Odpustenie sociálnych odvodov za apríl</w:t>
            </w:r>
          </w:p>
        </w:tc>
        <w:tc>
          <w:tcPr>
            <w:tcW w:w="1090" w:type="dxa"/>
            <w:tcBorders>
              <w:top w:val="nil"/>
              <w:left w:val="nil"/>
              <w:right w:val="nil"/>
            </w:tcBorders>
            <w:shd w:val="clear" w:color="auto" w:fill="FFFFFF" w:themeFill="background1"/>
            <w:noWrap/>
            <w:vAlign w:val="center"/>
            <w:hideMark/>
          </w:tcPr>
          <w:p w14:paraId="4CF48B6E"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0E9E710C" w14:textId="77777777" w:rsidTr="003A0696">
        <w:trPr>
          <w:trHeight w:val="256"/>
        </w:trPr>
        <w:tc>
          <w:tcPr>
            <w:tcW w:w="8259" w:type="dxa"/>
            <w:tcBorders>
              <w:top w:val="nil"/>
              <w:left w:val="nil"/>
              <w:right w:val="nil"/>
            </w:tcBorders>
            <w:shd w:val="clear" w:color="auto" w:fill="FFFFFF" w:themeFill="background1"/>
            <w:noWrap/>
            <w:vAlign w:val="center"/>
          </w:tcPr>
          <w:p w14:paraId="7C3F6090"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Odpočet firemných strát z rokov 2015-18</w:t>
            </w:r>
          </w:p>
        </w:tc>
        <w:tc>
          <w:tcPr>
            <w:tcW w:w="1090" w:type="dxa"/>
            <w:tcBorders>
              <w:top w:val="nil"/>
              <w:left w:val="nil"/>
              <w:right w:val="nil"/>
            </w:tcBorders>
            <w:shd w:val="clear" w:color="auto" w:fill="FFFFFF" w:themeFill="background1"/>
            <w:noWrap/>
            <w:vAlign w:val="center"/>
          </w:tcPr>
          <w:p w14:paraId="2668695A"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5FF7D0F6" w14:textId="77777777" w:rsidTr="003A0696">
        <w:trPr>
          <w:trHeight w:val="256"/>
        </w:trPr>
        <w:tc>
          <w:tcPr>
            <w:tcW w:w="8259" w:type="dxa"/>
            <w:tcBorders>
              <w:top w:val="nil"/>
              <w:left w:val="nil"/>
              <w:right w:val="nil"/>
            </w:tcBorders>
            <w:shd w:val="clear" w:color="auto" w:fill="FFFFFF" w:themeFill="background1"/>
            <w:noWrap/>
            <w:vAlign w:val="center"/>
          </w:tcPr>
          <w:p w14:paraId="6F639A8B"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Nesplatenie časti odložených odvodov</w:t>
            </w:r>
          </w:p>
        </w:tc>
        <w:tc>
          <w:tcPr>
            <w:tcW w:w="1090" w:type="dxa"/>
            <w:tcBorders>
              <w:top w:val="nil"/>
              <w:left w:val="nil"/>
              <w:right w:val="nil"/>
            </w:tcBorders>
            <w:shd w:val="clear" w:color="auto" w:fill="FFFFFF" w:themeFill="background1"/>
            <w:noWrap/>
            <w:vAlign w:val="center"/>
          </w:tcPr>
          <w:p w14:paraId="5B2CC7BF"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1 692</w:t>
            </w:r>
          </w:p>
        </w:tc>
      </w:tr>
      <w:tr w:rsidR="003A0696" w:rsidRPr="00F174D4" w14:paraId="6BCCA333" w14:textId="77777777" w:rsidTr="003A0696">
        <w:trPr>
          <w:trHeight w:val="256"/>
        </w:trPr>
        <w:tc>
          <w:tcPr>
            <w:tcW w:w="8259" w:type="dxa"/>
            <w:tcBorders>
              <w:left w:val="nil"/>
              <w:bottom w:val="single" w:sz="4" w:space="0" w:color="auto"/>
              <w:right w:val="nil"/>
            </w:tcBorders>
            <w:shd w:val="clear" w:color="auto" w:fill="FFFFFF" w:themeFill="background1"/>
            <w:noWrap/>
            <w:vAlign w:val="center"/>
            <w:hideMark/>
          </w:tcPr>
          <w:p w14:paraId="411860C2"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bCs/>
                <w:color w:val="000000"/>
                <w:sz w:val="18"/>
                <w:szCs w:val="18"/>
                <w:lang w:eastAsia="sk-SK"/>
              </w:rPr>
              <w:t xml:space="preserve">Nulová daň z pridanej </w:t>
            </w:r>
            <w:r w:rsidRPr="00F174D4">
              <w:rPr>
                <w:rFonts w:eastAsia="Times New Roman" w:cs="Times New Roman"/>
                <w:color w:val="000000"/>
                <w:sz w:val="18"/>
                <w:szCs w:val="18"/>
                <w:lang w:eastAsia="sk-SK"/>
              </w:rPr>
              <w:t xml:space="preserve">hodnoty na respirátory FFP2/3 </w:t>
            </w:r>
          </w:p>
        </w:tc>
        <w:tc>
          <w:tcPr>
            <w:tcW w:w="1090" w:type="dxa"/>
            <w:tcBorders>
              <w:left w:val="nil"/>
              <w:bottom w:val="single" w:sz="4" w:space="0" w:color="auto"/>
              <w:right w:val="nil"/>
            </w:tcBorders>
            <w:shd w:val="clear" w:color="auto" w:fill="FFFFFF" w:themeFill="background1"/>
            <w:noWrap/>
            <w:vAlign w:val="center"/>
            <w:hideMark/>
          </w:tcPr>
          <w:p w14:paraId="5F44C1D3"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bCs/>
                <w:color w:val="000000"/>
                <w:sz w:val="18"/>
                <w:szCs w:val="18"/>
                <w:lang w:eastAsia="sk-SK"/>
              </w:rPr>
              <w:t>0</w:t>
            </w:r>
          </w:p>
        </w:tc>
      </w:tr>
      <w:tr w:rsidR="003A0696" w:rsidRPr="00F174D4" w14:paraId="4060CC0A" w14:textId="77777777" w:rsidTr="003A0696">
        <w:trPr>
          <w:trHeight w:val="256"/>
        </w:trPr>
        <w:tc>
          <w:tcPr>
            <w:tcW w:w="8259" w:type="dxa"/>
            <w:tcBorders>
              <w:top w:val="single" w:sz="4" w:space="0" w:color="auto"/>
              <w:left w:val="nil"/>
              <w:bottom w:val="single" w:sz="4" w:space="0" w:color="auto"/>
              <w:right w:val="nil"/>
            </w:tcBorders>
            <w:shd w:val="clear" w:color="auto" w:fill="FFFFFF" w:themeFill="background1"/>
            <w:noWrap/>
            <w:vAlign w:val="center"/>
            <w:hideMark/>
          </w:tcPr>
          <w:p w14:paraId="249DDCC8"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b/>
                <w:sz w:val="18"/>
                <w:szCs w:val="18"/>
                <w:lang w:eastAsia="sk-SK"/>
              </w:rPr>
              <w:lastRenderedPageBreak/>
              <w:t>Zvýšené výdavky v zdravotníctve</w:t>
            </w:r>
          </w:p>
        </w:tc>
        <w:tc>
          <w:tcPr>
            <w:tcW w:w="1090" w:type="dxa"/>
            <w:tcBorders>
              <w:top w:val="single" w:sz="4" w:space="0" w:color="auto"/>
              <w:left w:val="nil"/>
              <w:bottom w:val="single" w:sz="4" w:space="0" w:color="auto"/>
              <w:right w:val="nil"/>
            </w:tcBorders>
            <w:shd w:val="clear" w:color="auto" w:fill="FFFFFF" w:themeFill="background1"/>
            <w:noWrap/>
            <w:vAlign w:val="center"/>
            <w:hideMark/>
          </w:tcPr>
          <w:p w14:paraId="572BA4DE"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b/>
                <w:color w:val="000000"/>
                <w:sz w:val="18"/>
                <w:szCs w:val="18"/>
                <w:lang w:eastAsia="sk-SK"/>
              </w:rPr>
              <w:t>337 300</w:t>
            </w:r>
          </w:p>
        </w:tc>
      </w:tr>
      <w:tr w:rsidR="003A0696" w:rsidRPr="00F174D4" w14:paraId="01303530" w14:textId="77777777" w:rsidTr="003A0696">
        <w:trPr>
          <w:trHeight w:val="256"/>
        </w:trPr>
        <w:tc>
          <w:tcPr>
            <w:tcW w:w="8259" w:type="dxa"/>
            <w:tcBorders>
              <w:top w:val="single" w:sz="4" w:space="0" w:color="auto"/>
              <w:left w:val="nil"/>
              <w:bottom w:val="nil"/>
              <w:right w:val="nil"/>
            </w:tcBorders>
            <w:shd w:val="clear" w:color="auto" w:fill="FFFFFF" w:themeFill="background1"/>
            <w:noWrap/>
            <w:vAlign w:val="center"/>
            <w:hideMark/>
          </w:tcPr>
          <w:p w14:paraId="5C806AFB"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Odmeny pracovníkom v zdravotníctve z toho:</w:t>
            </w:r>
          </w:p>
        </w:tc>
        <w:tc>
          <w:tcPr>
            <w:tcW w:w="1090" w:type="dxa"/>
            <w:tcBorders>
              <w:top w:val="single" w:sz="4" w:space="0" w:color="auto"/>
              <w:left w:val="nil"/>
              <w:bottom w:val="nil"/>
              <w:right w:val="nil"/>
            </w:tcBorders>
            <w:shd w:val="clear" w:color="auto" w:fill="FFFFFF" w:themeFill="background1"/>
            <w:noWrap/>
            <w:vAlign w:val="center"/>
            <w:hideMark/>
          </w:tcPr>
          <w:p w14:paraId="459506BC"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8 500</w:t>
            </w:r>
          </w:p>
        </w:tc>
      </w:tr>
      <w:tr w:rsidR="003A0696" w:rsidRPr="00F174D4" w14:paraId="4FDF06A0" w14:textId="77777777" w:rsidTr="003A0696">
        <w:trPr>
          <w:trHeight w:val="256"/>
        </w:trPr>
        <w:tc>
          <w:tcPr>
            <w:tcW w:w="8259" w:type="dxa"/>
            <w:tcBorders>
              <w:top w:val="nil"/>
              <w:left w:val="nil"/>
              <w:bottom w:val="nil"/>
              <w:right w:val="nil"/>
            </w:tcBorders>
            <w:shd w:val="clear" w:color="auto" w:fill="FFFFFF" w:themeFill="background1"/>
            <w:noWrap/>
            <w:vAlign w:val="center"/>
            <w:hideMark/>
          </w:tcPr>
          <w:p w14:paraId="31753294"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sz w:val="18"/>
                <w:szCs w:val="18"/>
                <w:lang w:eastAsia="sk-SK"/>
              </w:rPr>
              <w:t>Platba doktorom špecialistom</w:t>
            </w:r>
          </w:p>
        </w:tc>
        <w:tc>
          <w:tcPr>
            <w:tcW w:w="1090" w:type="dxa"/>
            <w:tcBorders>
              <w:top w:val="nil"/>
              <w:left w:val="nil"/>
              <w:bottom w:val="nil"/>
              <w:right w:val="nil"/>
            </w:tcBorders>
            <w:shd w:val="clear" w:color="auto" w:fill="FFFFFF" w:themeFill="background1"/>
            <w:noWrap/>
            <w:vAlign w:val="center"/>
            <w:hideMark/>
          </w:tcPr>
          <w:p w14:paraId="78221DD2"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1A9B5DE6" w14:textId="77777777" w:rsidTr="003A0696">
        <w:trPr>
          <w:trHeight w:val="256"/>
        </w:trPr>
        <w:tc>
          <w:tcPr>
            <w:tcW w:w="8259" w:type="dxa"/>
            <w:tcBorders>
              <w:top w:val="nil"/>
              <w:left w:val="nil"/>
              <w:bottom w:val="nil"/>
              <w:right w:val="nil"/>
            </w:tcBorders>
            <w:shd w:val="clear" w:color="auto" w:fill="FFFFFF" w:themeFill="background1"/>
            <w:noWrap/>
            <w:vAlign w:val="center"/>
          </w:tcPr>
          <w:p w14:paraId="3A0DF7A0"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006F2B">
              <w:rPr>
                <w:rFonts w:eastAsia="Times New Roman" w:cs="Times New Roman"/>
                <w:color w:val="000000"/>
                <w:sz w:val="20"/>
                <w:szCs w:val="20"/>
                <w:lang w:eastAsia="sk-SK"/>
              </w:rPr>
              <w:t>Zvýšené</w:t>
            </w:r>
            <w:r w:rsidRPr="00F174D4">
              <w:rPr>
                <w:rFonts w:eastAsia="Times New Roman" w:cs="Times New Roman"/>
                <w:color w:val="000000"/>
                <w:sz w:val="18"/>
                <w:szCs w:val="18"/>
                <w:lang w:eastAsia="sk-SK"/>
              </w:rPr>
              <w:t xml:space="preserve"> výdavky - ventilátory a iné</w:t>
            </w:r>
          </w:p>
        </w:tc>
        <w:tc>
          <w:tcPr>
            <w:tcW w:w="1090" w:type="dxa"/>
            <w:tcBorders>
              <w:top w:val="nil"/>
              <w:left w:val="nil"/>
              <w:bottom w:val="nil"/>
              <w:right w:val="nil"/>
            </w:tcBorders>
            <w:shd w:val="clear" w:color="auto" w:fill="FFFFFF" w:themeFill="background1"/>
            <w:noWrap/>
            <w:vAlign w:val="center"/>
          </w:tcPr>
          <w:p w14:paraId="44E18440"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6B871995" w14:textId="77777777" w:rsidTr="003A0696">
        <w:trPr>
          <w:trHeight w:val="271"/>
        </w:trPr>
        <w:tc>
          <w:tcPr>
            <w:tcW w:w="8259" w:type="dxa"/>
            <w:tcBorders>
              <w:top w:val="nil"/>
              <w:left w:val="nil"/>
              <w:bottom w:val="nil"/>
              <w:right w:val="nil"/>
            </w:tcBorders>
            <w:shd w:val="clear" w:color="auto" w:fill="FFFFFF" w:themeFill="background1"/>
            <w:noWrap/>
            <w:vAlign w:val="center"/>
            <w:hideMark/>
          </w:tcPr>
          <w:p w14:paraId="556E0171" w14:textId="77777777" w:rsidR="003A0696" w:rsidRPr="00F174D4" w:rsidRDefault="003A0696" w:rsidP="003A0696">
            <w:pPr>
              <w:spacing w:after="0" w:line="240" w:lineRule="auto"/>
              <w:jc w:val="left"/>
              <w:rPr>
                <w:rFonts w:eastAsia="Times New Roman" w:cs="Times New Roman"/>
                <w:b/>
                <w:bCs/>
                <w:color w:val="000000"/>
                <w:sz w:val="18"/>
                <w:szCs w:val="18"/>
                <w:lang w:eastAsia="sk-SK"/>
              </w:rPr>
            </w:pPr>
            <w:r w:rsidRPr="00F174D4">
              <w:rPr>
                <w:rFonts w:eastAsia="Times New Roman" w:cs="Times New Roman"/>
                <w:sz w:val="18"/>
                <w:szCs w:val="18"/>
                <w:lang w:eastAsia="sk-SK"/>
              </w:rPr>
              <w:t>Výdavky na testovanie</w:t>
            </w:r>
          </w:p>
        </w:tc>
        <w:tc>
          <w:tcPr>
            <w:tcW w:w="1090" w:type="dxa"/>
            <w:tcBorders>
              <w:top w:val="nil"/>
              <w:left w:val="nil"/>
              <w:bottom w:val="nil"/>
              <w:right w:val="nil"/>
            </w:tcBorders>
            <w:shd w:val="clear" w:color="auto" w:fill="FFFFFF" w:themeFill="background1"/>
            <w:noWrap/>
            <w:vAlign w:val="center"/>
            <w:hideMark/>
          </w:tcPr>
          <w:p w14:paraId="783A316D" w14:textId="77777777" w:rsidR="003A0696" w:rsidRPr="00F174D4" w:rsidRDefault="003A0696" w:rsidP="003A0696">
            <w:pPr>
              <w:spacing w:after="0" w:line="240" w:lineRule="auto"/>
              <w:jc w:val="right"/>
              <w:rPr>
                <w:rFonts w:eastAsia="Times New Roman" w:cs="Times New Roman"/>
                <w:b/>
                <w:bCs/>
                <w:color w:val="000000"/>
                <w:sz w:val="18"/>
                <w:szCs w:val="18"/>
                <w:lang w:eastAsia="sk-SK"/>
              </w:rPr>
            </w:pPr>
            <w:r w:rsidRPr="00F174D4">
              <w:rPr>
                <w:rFonts w:eastAsia="Times New Roman" w:cs="Times New Roman"/>
                <w:color w:val="000000"/>
                <w:sz w:val="18"/>
                <w:szCs w:val="18"/>
                <w:lang w:eastAsia="sk-SK"/>
              </w:rPr>
              <w:t>83 700</w:t>
            </w:r>
          </w:p>
        </w:tc>
      </w:tr>
      <w:tr w:rsidR="003A0696" w:rsidRPr="00F174D4" w14:paraId="38506889" w14:textId="77777777" w:rsidTr="003A0696">
        <w:trPr>
          <w:trHeight w:val="271"/>
        </w:trPr>
        <w:tc>
          <w:tcPr>
            <w:tcW w:w="8259" w:type="dxa"/>
            <w:tcBorders>
              <w:top w:val="nil"/>
              <w:left w:val="nil"/>
              <w:right w:val="nil"/>
            </w:tcBorders>
            <w:shd w:val="clear" w:color="auto" w:fill="FFFFFF" w:themeFill="background1"/>
            <w:noWrap/>
            <w:vAlign w:val="center"/>
            <w:hideMark/>
          </w:tcPr>
          <w:p w14:paraId="38ED540D"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color w:val="000000"/>
                <w:sz w:val="18"/>
                <w:szCs w:val="18"/>
                <w:lang w:eastAsia="sk-SK"/>
              </w:rPr>
              <w:t>Náklady na lieky a vakcináciu</w:t>
            </w:r>
          </w:p>
        </w:tc>
        <w:tc>
          <w:tcPr>
            <w:tcW w:w="1090" w:type="dxa"/>
            <w:tcBorders>
              <w:top w:val="nil"/>
              <w:left w:val="nil"/>
              <w:right w:val="nil"/>
            </w:tcBorders>
            <w:shd w:val="clear" w:color="auto" w:fill="FFFFFF" w:themeFill="background1"/>
            <w:noWrap/>
            <w:vAlign w:val="center"/>
            <w:hideMark/>
          </w:tcPr>
          <w:p w14:paraId="03BE585C"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245 100</w:t>
            </w:r>
          </w:p>
        </w:tc>
      </w:tr>
      <w:tr w:rsidR="003A0696" w:rsidRPr="00F174D4" w14:paraId="4C7582A3" w14:textId="77777777" w:rsidTr="003A0696">
        <w:trPr>
          <w:trHeight w:val="271"/>
        </w:trPr>
        <w:tc>
          <w:tcPr>
            <w:tcW w:w="8259" w:type="dxa"/>
            <w:tcBorders>
              <w:left w:val="nil"/>
              <w:bottom w:val="single" w:sz="4" w:space="0" w:color="auto"/>
              <w:right w:val="nil"/>
            </w:tcBorders>
            <w:shd w:val="clear" w:color="auto" w:fill="FFFFFF" w:themeFill="background1"/>
            <w:noWrap/>
            <w:vAlign w:val="center"/>
            <w:hideMark/>
          </w:tcPr>
          <w:p w14:paraId="7FC72290"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bCs/>
                <w:color w:val="000000"/>
                <w:sz w:val="18"/>
                <w:szCs w:val="18"/>
                <w:lang w:eastAsia="sk-SK"/>
              </w:rPr>
              <w:t>Zariadenie a iné výdavky ZZ</w:t>
            </w:r>
          </w:p>
        </w:tc>
        <w:tc>
          <w:tcPr>
            <w:tcW w:w="1090" w:type="dxa"/>
            <w:tcBorders>
              <w:left w:val="nil"/>
              <w:bottom w:val="single" w:sz="4" w:space="0" w:color="auto"/>
              <w:right w:val="nil"/>
            </w:tcBorders>
            <w:shd w:val="clear" w:color="auto" w:fill="FFFFFF" w:themeFill="background1"/>
            <w:noWrap/>
            <w:vAlign w:val="center"/>
            <w:hideMark/>
          </w:tcPr>
          <w:p w14:paraId="1585E381" w14:textId="77777777" w:rsidR="003A0696" w:rsidRPr="00F174D4" w:rsidRDefault="003A0696" w:rsidP="003A0696">
            <w:pPr>
              <w:spacing w:after="0" w:line="240" w:lineRule="auto"/>
              <w:jc w:val="right"/>
              <w:rPr>
                <w:rFonts w:eastAsia="Times New Roman" w:cs="Times New Roman"/>
                <w:bCs/>
                <w:color w:val="000000"/>
                <w:sz w:val="18"/>
                <w:szCs w:val="18"/>
                <w:lang w:eastAsia="sk-SK"/>
              </w:rPr>
            </w:pPr>
            <w:r w:rsidRPr="00F174D4">
              <w:rPr>
                <w:rFonts w:eastAsia="Times New Roman" w:cs="Times New Roman"/>
                <w:bCs/>
                <w:color w:val="000000"/>
                <w:sz w:val="18"/>
                <w:szCs w:val="18"/>
                <w:lang w:eastAsia="sk-SK"/>
              </w:rPr>
              <w:t>0</w:t>
            </w:r>
          </w:p>
        </w:tc>
      </w:tr>
      <w:tr w:rsidR="003A0696" w:rsidRPr="00F174D4" w14:paraId="39C77939" w14:textId="77777777" w:rsidTr="003A0696">
        <w:trPr>
          <w:trHeight w:val="256"/>
        </w:trPr>
        <w:tc>
          <w:tcPr>
            <w:tcW w:w="8259" w:type="dxa"/>
            <w:tcBorders>
              <w:top w:val="single" w:sz="4" w:space="0" w:color="auto"/>
              <w:left w:val="nil"/>
              <w:bottom w:val="single" w:sz="4" w:space="0" w:color="auto"/>
              <w:right w:val="nil"/>
            </w:tcBorders>
            <w:shd w:val="clear" w:color="auto" w:fill="FFFFFF" w:themeFill="background1"/>
            <w:noWrap/>
            <w:vAlign w:val="center"/>
            <w:hideMark/>
          </w:tcPr>
          <w:p w14:paraId="53217896" w14:textId="77777777" w:rsidR="003A0696" w:rsidRPr="00F174D4" w:rsidRDefault="003A0696" w:rsidP="003A0696">
            <w:pPr>
              <w:spacing w:after="0" w:line="240" w:lineRule="auto"/>
              <w:jc w:val="left"/>
              <w:rPr>
                <w:rFonts w:eastAsia="Times New Roman" w:cs="Times New Roman"/>
                <w:b/>
                <w:sz w:val="18"/>
                <w:szCs w:val="18"/>
                <w:lang w:eastAsia="sk-SK"/>
              </w:rPr>
            </w:pPr>
            <w:r w:rsidRPr="00F174D4">
              <w:rPr>
                <w:rFonts w:eastAsia="Times New Roman" w:cs="Times New Roman"/>
                <w:b/>
                <w:iCs/>
                <w:color w:val="000000"/>
                <w:sz w:val="18"/>
                <w:szCs w:val="18"/>
                <w:lang w:eastAsia="sk-SK"/>
              </w:rPr>
              <w:t>I</w:t>
            </w:r>
            <w:r w:rsidRPr="00F174D4">
              <w:rPr>
                <w:rFonts w:eastAsia="Times New Roman" w:cs="Times New Roman"/>
                <w:b/>
                <w:sz w:val="18"/>
                <w:szCs w:val="18"/>
                <w:lang w:eastAsia="sk-SK"/>
              </w:rPr>
              <w:t>né opatrenia</w:t>
            </w:r>
          </w:p>
        </w:tc>
        <w:tc>
          <w:tcPr>
            <w:tcW w:w="1090" w:type="dxa"/>
            <w:tcBorders>
              <w:top w:val="single" w:sz="4" w:space="0" w:color="auto"/>
              <w:left w:val="nil"/>
              <w:bottom w:val="single" w:sz="4" w:space="0" w:color="auto"/>
              <w:right w:val="nil"/>
            </w:tcBorders>
            <w:shd w:val="clear" w:color="auto" w:fill="FFFFFF" w:themeFill="background1"/>
            <w:noWrap/>
            <w:vAlign w:val="center"/>
            <w:hideMark/>
          </w:tcPr>
          <w:p w14:paraId="461BF65F" w14:textId="77777777" w:rsidR="003A0696" w:rsidRPr="00F174D4" w:rsidRDefault="003A0696" w:rsidP="003A0696">
            <w:pPr>
              <w:spacing w:after="0" w:line="240" w:lineRule="auto"/>
              <w:jc w:val="right"/>
              <w:rPr>
                <w:rFonts w:eastAsia="Times New Roman" w:cs="Times New Roman"/>
                <w:b/>
                <w:color w:val="000000"/>
                <w:sz w:val="18"/>
                <w:szCs w:val="18"/>
                <w:lang w:eastAsia="sk-SK"/>
              </w:rPr>
            </w:pPr>
            <w:r w:rsidRPr="00F174D4">
              <w:rPr>
                <w:rFonts w:eastAsia="Times New Roman" w:cs="Times New Roman"/>
                <w:b/>
                <w:iCs/>
                <w:color w:val="000000"/>
                <w:sz w:val="18"/>
                <w:szCs w:val="18"/>
                <w:lang w:eastAsia="sk-SK"/>
              </w:rPr>
              <w:t>239 253</w:t>
            </w:r>
          </w:p>
        </w:tc>
      </w:tr>
      <w:tr w:rsidR="003A0696" w:rsidRPr="00F174D4" w14:paraId="3E872E8A" w14:textId="77777777" w:rsidTr="003A0696">
        <w:trPr>
          <w:trHeight w:val="256"/>
        </w:trPr>
        <w:tc>
          <w:tcPr>
            <w:tcW w:w="8259" w:type="dxa"/>
            <w:tcBorders>
              <w:top w:val="single" w:sz="4" w:space="0" w:color="auto"/>
              <w:left w:val="nil"/>
              <w:bottom w:val="nil"/>
              <w:right w:val="nil"/>
            </w:tcBorders>
            <w:shd w:val="clear" w:color="auto" w:fill="FFFFFF" w:themeFill="background1"/>
            <w:noWrap/>
            <w:vAlign w:val="center"/>
            <w:hideMark/>
          </w:tcPr>
          <w:p w14:paraId="348249F6"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iCs/>
                <w:color w:val="000000"/>
                <w:sz w:val="18"/>
                <w:szCs w:val="18"/>
                <w:lang w:eastAsia="sk-SK"/>
              </w:rPr>
              <w:t>Tvorba pohotovostných zásob (mimo testov)</w:t>
            </w:r>
          </w:p>
        </w:tc>
        <w:tc>
          <w:tcPr>
            <w:tcW w:w="1090" w:type="dxa"/>
            <w:tcBorders>
              <w:top w:val="single" w:sz="4" w:space="0" w:color="auto"/>
              <w:left w:val="nil"/>
              <w:bottom w:val="nil"/>
              <w:right w:val="nil"/>
            </w:tcBorders>
            <w:shd w:val="clear" w:color="auto" w:fill="FFFFFF" w:themeFill="background1"/>
            <w:noWrap/>
            <w:vAlign w:val="center"/>
            <w:hideMark/>
          </w:tcPr>
          <w:p w14:paraId="055C3C6F"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iCs/>
                <w:color w:val="000000"/>
                <w:sz w:val="18"/>
                <w:szCs w:val="18"/>
                <w:lang w:eastAsia="sk-SK"/>
              </w:rPr>
              <w:t>64 500</w:t>
            </w:r>
          </w:p>
        </w:tc>
      </w:tr>
      <w:tr w:rsidR="003A0696" w:rsidRPr="00F174D4" w14:paraId="49DD4F13" w14:textId="77777777" w:rsidTr="003A0696">
        <w:trPr>
          <w:trHeight w:val="271"/>
        </w:trPr>
        <w:tc>
          <w:tcPr>
            <w:tcW w:w="8259" w:type="dxa"/>
            <w:tcBorders>
              <w:top w:val="nil"/>
              <w:left w:val="nil"/>
              <w:bottom w:val="nil"/>
              <w:right w:val="nil"/>
            </w:tcBorders>
            <w:shd w:val="clear" w:color="auto" w:fill="auto"/>
            <w:noWrap/>
            <w:vAlign w:val="center"/>
            <w:hideMark/>
          </w:tcPr>
          <w:p w14:paraId="63113128" w14:textId="77777777" w:rsidR="003A0696" w:rsidRPr="00F174D4" w:rsidRDefault="003A0696" w:rsidP="003A0696">
            <w:pPr>
              <w:spacing w:after="0" w:line="240" w:lineRule="auto"/>
              <w:jc w:val="left"/>
              <w:rPr>
                <w:rFonts w:ascii="Arial Narrow" w:eastAsia="Times New Roman" w:hAnsi="Arial Narrow" w:cs="Arial"/>
                <w:iCs/>
                <w:color w:val="000000"/>
                <w:sz w:val="18"/>
                <w:szCs w:val="18"/>
                <w:lang w:eastAsia="sk-SK"/>
              </w:rPr>
            </w:pPr>
            <w:r w:rsidRPr="00F174D4">
              <w:rPr>
                <w:rFonts w:eastAsia="Times New Roman" w:cs="Times New Roman"/>
                <w:iCs/>
                <w:color w:val="000000"/>
                <w:sz w:val="18"/>
                <w:szCs w:val="18"/>
                <w:lang w:eastAsia="sk-SK"/>
              </w:rPr>
              <w:t>Odmeny pracovníkom v prvej línii (mimo MZ)</w:t>
            </w:r>
          </w:p>
        </w:tc>
        <w:tc>
          <w:tcPr>
            <w:tcW w:w="1090" w:type="dxa"/>
            <w:tcBorders>
              <w:top w:val="nil"/>
              <w:left w:val="nil"/>
              <w:bottom w:val="nil"/>
              <w:right w:val="nil"/>
            </w:tcBorders>
            <w:shd w:val="clear" w:color="auto" w:fill="auto"/>
            <w:noWrap/>
            <w:vAlign w:val="center"/>
            <w:hideMark/>
          </w:tcPr>
          <w:p w14:paraId="2597C13F" w14:textId="77777777" w:rsidR="003A0696" w:rsidRPr="00F174D4" w:rsidRDefault="003A0696" w:rsidP="003A0696">
            <w:pPr>
              <w:spacing w:after="0" w:line="240" w:lineRule="auto"/>
              <w:jc w:val="right"/>
              <w:rPr>
                <w:rFonts w:eastAsia="Times New Roman" w:cs="Times New Roman"/>
                <w:iCs/>
                <w:color w:val="000000"/>
                <w:sz w:val="18"/>
                <w:szCs w:val="18"/>
                <w:lang w:eastAsia="sk-SK"/>
              </w:rPr>
            </w:pPr>
            <w:r w:rsidRPr="00F174D4">
              <w:rPr>
                <w:rFonts w:eastAsia="Times New Roman" w:cs="Times New Roman"/>
                <w:iCs/>
                <w:color w:val="000000"/>
                <w:sz w:val="18"/>
                <w:szCs w:val="18"/>
                <w:lang w:eastAsia="sk-SK"/>
              </w:rPr>
              <w:t>0</w:t>
            </w:r>
          </w:p>
        </w:tc>
      </w:tr>
      <w:tr w:rsidR="003A0696" w:rsidRPr="00F174D4" w14:paraId="39C47F86" w14:textId="77777777" w:rsidTr="003A0696">
        <w:trPr>
          <w:trHeight w:val="256"/>
        </w:trPr>
        <w:tc>
          <w:tcPr>
            <w:tcW w:w="8259" w:type="dxa"/>
            <w:tcBorders>
              <w:top w:val="nil"/>
              <w:left w:val="nil"/>
              <w:bottom w:val="nil"/>
              <w:right w:val="nil"/>
            </w:tcBorders>
            <w:shd w:val="clear" w:color="auto" w:fill="auto"/>
            <w:noWrap/>
            <w:vAlign w:val="center"/>
            <w:hideMark/>
          </w:tcPr>
          <w:p w14:paraId="4A2F66CA" w14:textId="77777777" w:rsidR="003A0696" w:rsidRPr="00F174D4" w:rsidRDefault="003A0696" w:rsidP="003A0696">
            <w:pPr>
              <w:spacing w:after="0" w:line="240" w:lineRule="auto"/>
              <w:jc w:val="left"/>
              <w:rPr>
                <w:rFonts w:eastAsia="Times New Roman" w:cs="Times New Roman"/>
                <w:sz w:val="18"/>
                <w:szCs w:val="18"/>
                <w:lang w:eastAsia="sk-SK"/>
              </w:rPr>
            </w:pPr>
            <w:r w:rsidRPr="00F174D4">
              <w:rPr>
                <w:rFonts w:eastAsia="Times New Roman" w:cs="Times New Roman"/>
                <w:iCs/>
                <w:color w:val="000000"/>
                <w:sz w:val="18"/>
                <w:szCs w:val="18"/>
                <w:lang w:eastAsia="sk-SK"/>
              </w:rPr>
              <w:t>Tovary a služby súvisiace s COVID-19 (dezinfekcia, iné)</w:t>
            </w:r>
          </w:p>
        </w:tc>
        <w:tc>
          <w:tcPr>
            <w:tcW w:w="1090" w:type="dxa"/>
            <w:tcBorders>
              <w:top w:val="nil"/>
              <w:left w:val="nil"/>
              <w:bottom w:val="nil"/>
              <w:right w:val="nil"/>
            </w:tcBorders>
            <w:shd w:val="clear" w:color="auto" w:fill="auto"/>
            <w:noWrap/>
            <w:vAlign w:val="center"/>
            <w:hideMark/>
          </w:tcPr>
          <w:p w14:paraId="178739E3"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34B05698" w14:textId="77777777" w:rsidTr="003A0696">
        <w:trPr>
          <w:trHeight w:val="256"/>
        </w:trPr>
        <w:tc>
          <w:tcPr>
            <w:tcW w:w="8259" w:type="dxa"/>
            <w:tcBorders>
              <w:top w:val="nil"/>
              <w:left w:val="nil"/>
              <w:bottom w:val="nil"/>
              <w:right w:val="nil"/>
            </w:tcBorders>
            <w:shd w:val="clear" w:color="auto" w:fill="auto"/>
            <w:noWrap/>
            <w:vAlign w:val="center"/>
            <w:hideMark/>
          </w:tcPr>
          <w:p w14:paraId="425D0B26" w14:textId="77777777" w:rsidR="003A0696" w:rsidRPr="00F174D4" w:rsidRDefault="003A0696" w:rsidP="003A0696">
            <w:pPr>
              <w:spacing w:after="0" w:line="240" w:lineRule="auto"/>
              <w:jc w:val="left"/>
              <w:rPr>
                <w:rFonts w:eastAsia="Times New Roman" w:cs="Times New Roman"/>
                <w:sz w:val="18"/>
                <w:szCs w:val="18"/>
                <w:lang w:eastAsia="sk-SK"/>
              </w:rPr>
            </w:pPr>
            <w:r w:rsidRPr="00F174D4">
              <w:rPr>
                <w:rFonts w:eastAsia="Times New Roman" w:cs="Times New Roman"/>
                <w:iCs/>
                <w:color w:val="000000"/>
                <w:sz w:val="18"/>
                <w:szCs w:val="18"/>
                <w:lang w:eastAsia="sk-SK"/>
              </w:rPr>
              <w:t>Dotačné schémy rôznym sektorom / subjektom</w:t>
            </w:r>
          </w:p>
        </w:tc>
        <w:tc>
          <w:tcPr>
            <w:tcW w:w="1090" w:type="dxa"/>
            <w:tcBorders>
              <w:top w:val="nil"/>
              <w:left w:val="nil"/>
              <w:bottom w:val="nil"/>
              <w:right w:val="nil"/>
            </w:tcBorders>
            <w:shd w:val="clear" w:color="auto" w:fill="auto"/>
            <w:noWrap/>
            <w:vAlign w:val="center"/>
            <w:hideMark/>
          </w:tcPr>
          <w:p w14:paraId="068197FC"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iCs/>
                <w:color w:val="000000"/>
                <w:sz w:val="18"/>
                <w:szCs w:val="18"/>
                <w:lang w:eastAsia="sk-SK"/>
              </w:rPr>
              <w:t>0</w:t>
            </w:r>
          </w:p>
        </w:tc>
      </w:tr>
      <w:tr w:rsidR="003A0696" w:rsidRPr="00F174D4" w14:paraId="49D4A23C" w14:textId="77777777" w:rsidTr="003A0696">
        <w:trPr>
          <w:trHeight w:val="271"/>
        </w:trPr>
        <w:tc>
          <w:tcPr>
            <w:tcW w:w="8259" w:type="dxa"/>
            <w:tcBorders>
              <w:top w:val="nil"/>
              <w:left w:val="nil"/>
              <w:bottom w:val="nil"/>
              <w:right w:val="nil"/>
            </w:tcBorders>
            <w:shd w:val="clear" w:color="auto" w:fill="auto"/>
            <w:noWrap/>
            <w:vAlign w:val="center"/>
            <w:hideMark/>
          </w:tcPr>
          <w:p w14:paraId="6BF6D9F6"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iCs/>
                <w:color w:val="000000"/>
                <w:sz w:val="18"/>
                <w:szCs w:val="18"/>
                <w:lang w:eastAsia="sk-SK"/>
              </w:rPr>
              <w:t>Opatrenia hospodárskej mobilizácie</w:t>
            </w:r>
          </w:p>
        </w:tc>
        <w:tc>
          <w:tcPr>
            <w:tcW w:w="1090" w:type="dxa"/>
            <w:tcBorders>
              <w:top w:val="nil"/>
              <w:left w:val="nil"/>
              <w:bottom w:val="nil"/>
              <w:right w:val="nil"/>
            </w:tcBorders>
            <w:shd w:val="clear" w:color="auto" w:fill="auto"/>
            <w:noWrap/>
            <w:vAlign w:val="center"/>
            <w:hideMark/>
          </w:tcPr>
          <w:p w14:paraId="78149CEA"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iCs/>
                <w:color w:val="000000"/>
                <w:sz w:val="18"/>
                <w:szCs w:val="18"/>
                <w:lang w:eastAsia="sk-SK"/>
              </w:rPr>
              <w:t>80 300</w:t>
            </w:r>
          </w:p>
        </w:tc>
      </w:tr>
      <w:tr w:rsidR="003A0696" w:rsidRPr="00F174D4" w14:paraId="419EBEB3" w14:textId="77777777" w:rsidTr="003A0696">
        <w:trPr>
          <w:trHeight w:val="271"/>
        </w:trPr>
        <w:tc>
          <w:tcPr>
            <w:tcW w:w="8259" w:type="dxa"/>
            <w:tcBorders>
              <w:top w:val="nil"/>
              <w:left w:val="nil"/>
              <w:bottom w:val="nil"/>
              <w:right w:val="nil"/>
            </w:tcBorders>
            <w:shd w:val="clear" w:color="auto" w:fill="auto"/>
            <w:noWrap/>
            <w:vAlign w:val="center"/>
            <w:hideMark/>
          </w:tcPr>
          <w:p w14:paraId="7D60C0EB"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iCs/>
                <w:color w:val="000000"/>
                <w:sz w:val="18"/>
                <w:szCs w:val="18"/>
                <w:lang w:eastAsia="sk-SK"/>
              </w:rPr>
              <w:t>Vklad do základného imania Slovenskej záručnej a rozvojovej banky</w:t>
            </w:r>
          </w:p>
        </w:tc>
        <w:tc>
          <w:tcPr>
            <w:tcW w:w="1090" w:type="dxa"/>
            <w:tcBorders>
              <w:top w:val="nil"/>
              <w:left w:val="nil"/>
              <w:bottom w:val="nil"/>
              <w:right w:val="nil"/>
            </w:tcBorders>
            <w:shd w:val="clear" w:color="auto" w:fill="auto"/>
            <w:noWrap/>
            <w:vAlign w:val="center"/>
            <w:hideMark/>
          </w:tcPr>
          <w:p w14:paraId="03D5F182" w14:textId="77777777" w:rsidR="003A0696" w:rsidRPr="00F174D4" w:rsidRDefault="003A0696" w:rsidP="003A0696">
            <w:pPr>
              <w:spacing w:after="0" w:line="240" w:lineRule="auto"/>
              <w:jc w:val="right"/>
              <w:rPr>
                <w:rFonts w:eastAsia="Times New Roman" w:cs="Times New Roman"/>
                <w:bCs/>
                <w:color w:val="000000"/>
                <w:sz w:val="18"/>
                <w:szCs w:val="18"/>
                <w:lang w:eastAsia="sk-SK"/>
              </w:rPr>
            </w:pPr>
            <w:r w:rsidRPr="00F174D4">
              <w:rPr>
                <w:rFonts w:eastAsia="Times New Roman" w:cs="Times New Roman"/>
                <w:iCs/>
                <w:color w:val="000000"/>
                <w:sz w:val="18"/>
                <w:szCs w:val="18"/>
                <w:lang w:eastAsia="sk-SK"/>
              </w:rPr>
              <w:t>0</w:t>
            </w:r>
          </w:p>
        </w:tc>
      </w:tr>
      <w:tr w:rsidR="003A0696" w:rsidRPr="00F174D4" w14:paraId="4A340E3A" w14:textId="77777777" w:rsidTr="003A0696">
        <w:trPr>
          <w:trHeight w:val="256"/>
        </w:trPr>
        <w:tc>
          <w:tcPr>
            <w:tcW w:w="8259" w:type="dxa"/>
            <w:tcBorders>
              <w:top w:val="nil"/>
              <w:left w:val="nil"/>
              <w:bottom w:val="nil"/>
              <w:right w:val="nil"/>
            </w:tcBorders>
            <w:shd w:val="clear" w:color="auto" w:fill="auto"/>
            <w:noWrap/>
            <w:vAlign w:val="center"/>
            <w:hideMark/>
          </w:tcPr>
          <w:p w14:paraId="0206B4E5" w14:textId="77777777" w:rsidR="003A0696" w:rsidRPr="00F174D4" w:rsidRDefault="003A0696" w:rsidP="003A0696">
            <w:pPr>
              <w:spacing w:after="0" w:line="240" w:lineRule="auto"/>
              <w:jc w:val="left"/>
              <w:rPr>
                <w:rFonts w:eastAsia="Times New Roman" w:cs="Times New Roman"/>
                <w:b/>
                <w:iCs/>
                <w:color w:val="000000"/>
                <w:sz w:val="18"/>
                <w:szCs w:val="18"/>
                <w:lang w:eastAsia="sk-SK"/>
              </w:rPr>
            </w:pPr>
            <w:r w:rsidRPr="00F174D4">
              <w:rPr>
                <w:rFonts w:eastAsia="Times New Roman" w:cs="Times New Roman"/>
                <w:color w:val="000000"/>
                <w:sz w:val="18"/>
                <w:szCs w:val="18"/>
                <w:lang w:eastAsia="sk-SK"/>
              </w:rPr>
              <w:t>Vklad do základného imania Letových prevádzkových služieb</w:t>
            </w:r>
          </w:p>
        </w:tc>
        <w:tc>
          <w:tcPr>
            <w:tcW w:w="1090" w:type="dxa"/>
            <w:tcBorders>
              <w:top w:val="nil"/>
              <w:left w:val="nil"/>
              <w:bottom w:val="nil"/>
              <w:right w:val="nil"/>
            </w:tcBorders>
            <w:shd w:val="clear" w:color="auto" w:fill="auto"/>
            <w:noWrap/>
            <w:vAlign w:val="center"/>
            <w:hideMark/>
          </w:tcPr>
          <w:p w14:paraId="56565CD4" w14:textId="77777777" w:rsidR="003A0696" w:rsidRPr="00F174D4" w:rsidRDefault="003A0696" w:rsidP="003A0696">
            <w:pPr>
              <w:spacing w:after="0" w:line="240" w:lineRule="auto"/>
              <w:jc w:val="right"/>
              <w:rPr>
                <w:rFonts w:eastAsia="Times New Roman" w:cs="Times New Roman"/>
                <w:b/>
                <w:iCs/>
                <w:color w:val="000000"/>
                <w:sz w:val="18"/>
                <w:szCs w:val="18"/>
                <w:lang w:eastAsia="sk-SK"/>
              </w:rPr>
            </w:pPr>
            <w:r w:rsidRPr="00F174D4">
              <w:rPr>
                <w:rFonts w:eastAsia="Times New Roman" w:cs="Times New Roman"/>
                <w:color w:val="000000"/>
                <w:sz w:val="18"/>
                <w:szCs w:val="18"/>
                <w:lang w:eastAsia="sk-SK"/>
              </w:rPr>
              <w:t>0</w:t>
            </w:r>
          </w:p>
        </w:tc>
      </w:tr>
      <w:tr w:rsidR="003A0696" w:rsidRPr="00F174D4" w14:paraId="7B089F6F" w14:textId="77777777" w:rsidTr="003A0696">
        <w:trPr>
          <w:trHeight w:val="256"/>
        </w:trPr>
        <w:tc>
          <w:tcPr>
            <w:tcW w:w="8259" w:type="dxa"/>
            <w:tcBorders>
              <w:top w:val="nil"/>
              <w:left w:val="nil"/>
              <w:bottom w:val="nil"/>
              <w:right w:val="nil"/>
            </w:tcBorders>
            <w:shd w:val="clear" w:color="auto" w:fill="auto"/>
            <w:noWrap/>
            <w:vAlign w:val="center"/>
            <w:hideMark/>
          </w:tcPr>
          <w:p w14:paraId="4A12B66A" w14:textId="77777777" w:rsidR="003A0696" w:rsidRPr="00F174D4" w:rsidRDefault="003A0696" w:rsidP="003A0696">
            <w:pPr>
              <w:spacing w:after="0" w:line="240" w:lineRule="auto"/>
              <w:ind w:leftChars="-34" w:left="-1" w:hangingChars="41" w:hanging="74"/>
              <w:jc w:val="left"/>
              <w:rPr>
                <w:rFonts w:eastAsia="Times New Roman" w:cs="Times New Roman"/>
                <w:sz w:val="18"/>
                <w:szCs w:val="18"/>
                <w:lang w:eastAsia="sk-SK"/>
              </w:rPr>
            </w:pPr>
            <w:r w:rsidRPr="00F174D4">
              <w:rPr>
                <w:rFonts w:eastAsia="Times New Roman" w:cs="Times New Roman"/>
                <w:iCs/>
                <w:color w:val="000000"/>
                <w:sz w:val="18"/>
                <w:szCs w:val="18"/>
                <w:lang w:eastAsia="sk-SK"/>
              </w:rPr>
              <w:t xml:space="preserve">  Očkovacia prémia a sprostredkovateľský bonus</w:t>
            </w:r>
          </w:p>
        </w:tc>
        <w:tc>
          <w:tcPr>
            <w:tcW w:w="1090" w:type="dxa"/>
            <w:tcBorders>
              <w:top w:val="nil"/>
              <w:left w:val="nil"/>
              <w:bottom w:val="nil"/>
              <w:right w:val="nil"/>
            </w:tcBorders>
            <w:shd w:val="clear" w:color="auto" w:fill="auto"/>
            <w:noWrap/>
            <w:vAlign w:val="center"/>
            <w:hideMark/>
          </w:tcPr>
          <w:p w14:paraId="4AECD733" w14:textId="77777777" w:rsidR="003A0696" w:rsidRPr="00F174D4" w:rsidRDefault="003A0696" w:rsidP="003A0696">
            <w:pPr>
              <w:spacing w:after="0" w:line="240" w:lineRule="auto"/>
              <w:jc w:val="right"/>
              <w:rPr>
                <w:rFonts w:eastAsia="Times New Roman" w:cs="Times New Roman"/>
                <w:iCs/>
                <w:color w:val="000000"/>
                <w:sz w:val="18"/>
                <w:szCs w:val="18"/>
                <w:lang w:eastAsia="sk-SK"/>
              </w:rPr>
            </w:pPr>
            <w:r w:rsidRPr="00F174D4">
              <w:rPr>
                <w:rFonts w:eastAsia="Times New Roman" w:cs="Times New Roman"/>
                <w:iCs/>
                <w:color w:val="000000"/>
                <w:sz w:val="18"/>
                <w:szCs w:val="18"/>
                <w:lang w:eastAsia="sk-SK"/>
              </w:rPr>
              <w:t>0</w:t>
            </w:r>
          </w:p>
        </w:tc>
      </w:tr>
      <w:tr w:rsidR="003A0696" w:rsidRPr="00F174D4" w14:paraId="50CBEABB" w14:textId="77777777" w:rsidTr="003A0696">
        <w:trPr>
          <w:trHeight w:val="256"/>
        </w:trPr>
        <w:tc>
          <w:tcPr>
            <w:tcW w:w="8259" w:type="dxa"/>
            <w:tcBorders>
              <w:top w:val="nil"/>
              <w:left w:val="nil"/>
              <w:bottom w:val="nil"/>
              <w:right w:val="nil"/>
            </w:tcBorders>
            <w:shd w:val="clear" w:color="auto" w:fill="auto"/>
            <w:noWrap/>
            <w:vAlign w:val="center"/>
            <w:hideMark/>
          </w:tcPr>
          <w:p w14:paraId="14D95259" w14:textId="77777777" w:rsidR="003A0696" w:rsidRPr="00F174D4" w:rsidRDefault="003A0696" w:rsidP="003A0696">
            <w:pPr>
              <w:spacing w:after="0" w:line="240" w:lineRule="auto"/>
              <w:ind w:leftChars="-34" w:left="-1" w:hangingChars="41" w:hanging="74"/>
              <w:jc w:val="left"/>
              <w:rPr>
                <w:rFonts w:eastAsia="Times New Roman" w:cs="Times New Roman"/>
                <w:iCs/>
                <w:color w:val="000000"/>
                <w:sz w:val="18"/>
                <w:szCs w:val="18"/>
                <w:lang w:eastAsia="sk-SK"/>
              </w:rPr>
            </w:pPr>
            <w:r w:rsidRPr="00F174D4">
              <w:rPr>
                <w:rFonts w:eastAsia="Times New Roman" w:cs="Times New Roman"/>
                <w:iCs/>
                <w:color w:val="000000"/>
                <w:sz w:val="18"/>
                <w:szCs w:val="18"/>
                <w:lang w:eastAsia="sk-SK"/>
              </w:rPr>
              <w:t xml:space="preserve">  Finančná pomoc pre seniorov, ktorí sa dali zaočkovať</w:t>
            </w:r>
          </w:p>
        </w:tc>
        <w:tc>
          <w:tcPr>
            <w:tcW w:w="1090" w:type="dxa"/>
            <w:tcBorders>
              <w:top w:val="nil"/>
              <w:left w:val="nil"/>
              <w:bottom w:val="nil"/>
              <w:right w:val="nil"/>
            </w:tcBorders>
            <w:shd w:val="clear" w:color="auto" w:fill="auto"/>
            <w:noWrap/>
            <w:vAlign w:val="center"/>
            <w:hideMark/>
          </w:tcPr>
          <w:p w14:paraId="7038DEE5" w14:textId="77777777" w:rsidR="003A0696" w:rsidRPr="00F174D4" w:rsidRDefault="003A0696" w:rsidP="003A0696">
            <w:pPr>
              <w:spacing w:after="0" w:line="240" w:lineRule="auto"/>
              <w:jc w:val="right"/>
              <w:rPr>
                <w:rFonts w:eastAsia="Times New Roman" w:cs="Times New Roman"/>
                <w:iCs/>
                <w:color w:val="000000"/>
                <w:sz w:val="18"/>
                <w:szCs w:val="18"/>
                <w:lang w:eastAsia="sk-SK"/>
              </w:rPr>
            </w:pPr>
            <w:r w:rsidRPr="00F174D4">
              <w:rPr>
                <w:rFonts w:eastAsia="Times New Roman" w:cs="Times New Roman"/>
                <w:iCs/>
                <w:color w:val="000000"/>
                <w:sz w:val="18"/>
                <w:szCs w:val="18"/>
                <w:lang w:eastAsia="sk-SK"/>
              </w:rPr>
              <w:t>65 300</w:t>
            </w:r>
          </w:p>
        </w:tc>
      </w:tr>
      <w:tr w:rsidR="003A0696" w:rsidRPr="00F174D4" w14:paraId="16DADA17" w14:textId="77777777" w:rsidTr="003A0696">
        <w:trPr>
          <w:trHeight w:val="256"/>
        </w:trPr>
        <w:tc>
          <w:tcPr>
            <w:tcW w:w="8259" w:type="dxa"/>
            <w:tcBorders>
              <w:top w:val="nil"/>
              <w:left w:val="nil"/>
              <w:bottom w:val="nil"/>
              <w:right w:val="nil"/>
            </w:tcBorders>
            <w:shd w:val="clear" w:color="auto" w:fill="auto"/>
            <w:noWrap/>
            <w:vAlign w:val="center"/>
            <w:hideMark/>
          </w:tcPr>
          <w:p w14:paraId="39F8E55F"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iCs/>
                <w:color w:val="000000"/>
                <w:sz w:val="18"/>
                <w:szCs w:val="18"/>
                <w:lang w:eastAsia="sk-SK"/>
              </w:rPr>
              <w:t>Ostatné</w:t>
            </w:r>
          </w:p>
        </w:tc>
        <w:tc>
          <w:tcPr>
            <w:tcW w:w="1090" w:type="dxa"/>
            <w:tcBorders>
              <w:top w:val="nil"/>
              <w:left w:val="nil"/>
              <w:bottom w:val="nil"/>
              <w:right w:val="nil"/>
            </w:tcBorders>
            <w:shd w:val="clear" w:color="auto" w:fill="auto"/>
            <w:noWrap/>
            <w:vAlign w:val="center"/>
            <w:hideMark/>
          </w:tcPr>
          <w:p w14:paraId="1C843465" w14:textId="77777777" w:rsidR="003A0696" w:rsidRPr="00F174D4" w:rsidRDefault="003A0696" w:rsidP="003A0696">
            <w:pPr>
              <w:spacing w:after="0" w:line="240" w:lineRule="auto"/>
              <w:jc w:val="right"/>
              <w:rPr>
                <w:rFonts w:eastAsia="Times New Roman" w:cs="Times New Roman"/>
                <w:iCs/>
                <w:color w:val="000000"/>
                <w:sz w:val="18"/>
                <w:szCs w:val="18"/>
                <w:lang w:eastAsia="sk-SK"/>
              </w:rPr>
            </w:pPr>
            <w:r w:rsidRPr="00F174D4">
              <w:rPr>
                <w:rFonts w:eastAsia="Times New Roman" w:cs="Times New Roman"/>
                <w:iCs/>
                <w:color w:val="000000"/>
                <w:sz w:val="18"/>
                <w:szCs w:val="18"/>
                <w:lang w:eastAsia="sk-SK"/>
              </w:rPr>
              <w:t>2</w:t>
            </w:r>
            <w:r>
              <w:rPr>
                <w:rFonts w:eastAsia="Times New Roman" w:cs="Times New Roman"/>
                <w:iCs/>
                <w:color w:val="000000"/>
                <w:sz w:val="18"/>
                <w:szCs w:val="18"/>
                <w:lang w:eastAsia="sk-SK"/>
              </w:rPr>
              <w:t>6</w:t>
            </w:r>
            <w:r w:rsidRPr="00F174D4">
              <w:rPr>
                <w:rFonts w:eastAsia="Times New Roman" w:cs="Times New Roman"/>
                <w:iCs/>
                <w:color w:val="000000"/>
                <w:sz w:val="18"/>
                <w:szCs w:val="18"/>
                <w:lang w:eastAsia="sk-SK"/>
              </w:rPr>
              <w:t xml:space="preserve"> </w:t>
            </w:r>
            <w:r>
              <w:rPr>
                <w:rFonts w:eastAsia="Times New Roman" w:cs="Times New Roman"/>
                <w:iCs/>
                <w:color w:val="000000"/>
                <w:sz w:val="18"/>
                <w:szCs w:val="18"/>
                <w:lang w:eastAsia="sk-SK"/>
              </w:rPr>
              <w:t>800</w:t>
            </w:r>
          </w:p>
        </w:tc>
      </w:tr>
      <w:tr w:rsidR="003A0696" w:rsidRPr="00F174D4" w14:paraId="1C52ECD2" w14:textId="77777777" w:rsidTr="003A0696">
        <w:trPr>
          <w:trHeight w:val="256"/>
        </w:trPr>
        <w:tc>
          <w:tcPr>
            <w:tcW w:w="8259" w:type="dxa"/>
            <w:tcBorders>
              <w:top w:val="single" w:sz="4" w:space="0" w:color="auto"/>
              <w:left w:val="nil"/>
              <w:bottom w:val="single" w:sz="4" w:space="0" w:color="auto"/>
              <w:right w:val="nil"/>
            </w:tcBorders>
            <w:shd w:val="clear" w:color="auto" w:fill="auto"/>
            <w:noWrap/>
            <w:vAlign w:val="center"/>
            <w:hideMark/>
          </w:tcPr>
          <w:p w14:paraId="64ED5E33" w14:textId="77777777" w:rsidR="003A0696" w:rsidRPr="00F174D4" w:rsidRDefault="003A0696" w:rsidP="003A0696">
            <w:pPr>
              <w:spacing w:after="0" w:line="240" w:lineRule="auto"/>
              <w:jc w:val="left"/>
              <w:rPr>
                <w:rFonts w:eastAsia="Times New Roman" w:cs="Times New Roman"/>
                <w:iCs/>
                <w:color w:val="000000"/>
                <w:sz w:val="18"/>
                <w:szCs w:val="18"/>
                <w:lang w:eastAsia="sk-SK"/>
              </w:rPr>
            </w:pPr>
            <w:r w:rsidRPr="00F174D4">
              <w:rPr>
                <w:rFonts w:eastAsia="Times New Roman" w:cs="Times New Roman"/>
                <w:b/>
                <w:bCs/>
                <w:sz w:val="18"/>
                <w:szCs w:val="18"/>
                <w:lang w:eastAsia="sk-SK"/>
              </w:rPr>
              <w:t xml:space="preserve">Bankové záruky (s vplyvom na deficit)                                                                </w:t>
            </w:r>
          </w:p>
        </w:tc>
        <w:tc>
          <w:tcPr>
            <w:tcW w:w="1090" w:type="dxa"/>
            <w:tcBorders>
              <w:top w:val="single" w:sz="4" w:space="0" w:color="auto"/>
              <w:left w:val="nil"/>
              <w:bottom w:val="single" w:sz="4" w:space="0" w:color="auto"/>
              <w:right w:val="nil"/>
            </w:tcBorders>
            <w:shd w:val="clear" w:color="auto" w:fill="auto"/>
            <w:noWrap/>
            <w:vAlign w:val="center"/>
            <w:hideMark/>
          </w:tcPr>
          <w:p w14:paraId="0143AD10" w14:textId="77777777" w:rsidR="003A0696" w:rsidRPr="00F174D4" w:rsidRDefault="003A0696" w:rsidP="003A0696">
            <w:pPr>
              <w:spacing w:after="0" w:line="240" w:lineRule="auto"/>
              <w:jc w:val="right"/>
              <w:rPr>
                <w:rFonts w:eastAsia="Times New Roman" w:cs="Times New Roman"/>
                <w:color w:val="000000"/>
                <w:sz w:val="18"/>
                <w:szCs w:val="18"/>
                <w:lang w:eastAsia="sk-SK"/>
              </w:rPr>
            </w:pPr>
            <w:r w:rsidRPr="00F174D4">
              <w:rPr>
                <w:rFonts w:eastAsia="Times New Roman" w:cs="Times New Roman"/>
                <w:b/>
                <w:iCs/>
                <w:color w:val="000000"/>
                <w:sz w:val="18"/>
                <w:szCs w:val="18"/>
                <w:lang w:eastAsia="sk-SK"/>
              </w:rPr>
              <w:t>0</w:t>
            </w:r>
          </w:p>
        </w:tc>
      </w:tr>
      <w:tr w:rsidR="003A0696" w:rsidRPr="00F174D4" w14:paraId="6D0A2464" w14:textId="77777777" w:rsidTr="003A0696">
        <w:trPr>
          <w:trHeight w:val="256"/>
        </w:trPr>
        <w:tc>
          <w:tcPr>
            <w:tcW w:w="8259" w:type="dxa"/>
            <w:tcBorders>
              <w:top w:val="single" w:sz="4" w:space="0" w:color="auto"/>
              <w:left w:val="nil"/>
              <w:bottom w:val="single" w:sz="4" w:space="0" w:color="auto"/>
              <w:right w:val="nil"/>
            </w:tcBorders>
            <w:shd w:val="clear" w:color="auto" w:fill="auto"/>
            <w:noWrap/>
            <w:vAlign w:val="bottom"/>
            <w:hideMark/>
          </w:tcPr>
          <w:p w14:paraId="3453FBFF" w14:textId="77777777" w:rsidR="003A0696" w:rsidRPr="00F174D4" w:rsidRDefault="003A0696" w:rsidP="003A0696">
            <w:pPr>
              <w:spacing w:after="0" w:line="240" w:lineRule="auto"/>
              <w:jc w:val="left"/>
              <w:rPr>
                <w:rFonts w:eastAsia="Times New Roman" w:cs="Times New Roman"/>
                <w:sz w:val="18"/>
                <w:szCs w:val="18"/>
                <w:lang w:eastAsia="sk-SK"/>
              </w:rPr>
            </w:pPr>
            <w:proofErr w:type="spellStart"/>
            <w:r w:rsidRPr="00F174D4">
              <w:rPr>
                <w:rFonts w:eastAsia="Times New Roman" w:cs="Times New Roman"/>
                <w:bCs/>
                <w:color w:val="000000"/>
                <w:sz w:val="18"/>
                <w:szCs w:val="18"/>
                <w:lang w:eastAsia="sk-SK"/>
              </w:rPr>
              <w:t>p.m</w:t>
            </w:r>
            <w:proofErr w:type="spellEnd"/>
            <w:r w:rsidRPr="00F174D4">
              <w:rPr>
                <w:rFonts w:eastAsia="Times New Roman" w:cs="Times New Roman"/>
                <w:bCs/>
                <w:color w:val="000000"/>
                <w:sz w:val="18"/>
                <w:szCs w:val="18"/>
                <w:lang w:eastAsia="sk-SK"/>
              </w:rPr>
              <w:t>. zlyhané úvery</w:t>
            </w:r>
            <w:r w:rsidRPr="00F174D4">
              <w:rPr>
                <w:rFonts w:eastAsia="Times New Roman" w:cs="Times New Roman"/>
                <w:sz w:val="20"/>
                <w:szCs w:val="20"/>
                <w:lang w:eastAsia="sk-SK"/>
              </w:rPr>
              <w:t xml:space="preserve"> (vplyv na deficit) </w:t>
            </w:r>
          </w:p>
        </w:tc>
        <w:tc>
          <w:tcPr>
            <w:tcW w:w="1090" w:type="dxa"/>
            <w:tcBorders>
              <w:top w:val="single" w:sz="4" w:space="0" w:color="auto"/>
              <w:left w:val="nil"/>
              <w:bottom w:val="single" w:sz="4" w:space="0" w:color="auto"/>
              <w:right w:val="nil"/>
            </w:tcBorders>
            <w:shd w:val="clear" w:color="auto" w:fill="auto"/>
            <w:noWrap/>
            <w:vAlign w:val="center"/>
            <w:hideMark/>
          </w:tcPr>
          <w:p w14:paraId="14F74476" w14:textId="77777777" w:rsidR="003A0696" w:rsidRPr="00F174D4" w:rsidRDefault="003A0696" w:rsidP="003A0696">
            <w:pPr>
              <w:spacing w:after="0" w:line="240" w:lineRule="auto"/>
              <w:jc w:val="right"/>
              <w:rPr>
                <w:rFonts w:eastAsia="Times New Roman" w:cs="Times New Roman"/>
                <w:iCs/>
                <w:color w:val="000000"/>
                <w:sz w:val="18"/>
                <w:szCs w:val="18"/>
                <w:lang w:eastAsia="sk-SK"/>
              </w:rPr>
            </w:pPr>
            <w:r w:rsidRPr="00F174D4">
              <w:rPr>
                <w:rFonts w:eastAsia="Times New Roman" w:cs="Times New Roman"/>
                <w:bCs/>
                <w:color w:val="000000"/>
                <w:sz w:val="18"/>
                <w:szCs w:val="18"/>
                <w:lang w:eastAsia="sk-SK"/>
              </w:rPr>
              <w:t>2 353</w:t>
            </w:r>
          </w:p>
        </w:tc>
      </w:tr>
      <w:tr w:rsidR="003A0696" w:rsidRPr="00F174D4" w14:paraId="0DC29947" w14:textId="77777777" w:rsidTr="003A0696">
        <w:trPr>
          <w:trHeight w:val="256"/>
        </w:trPr>
        <w:tc>
          <w:tcPr>
            <w:tcW w:w="8259" w:type="dxa"/>
            <w:tcBorders>
              <w:top w:val="single" w:sz="4" w:space="0" w:color="auto"/>
              <w:left w:val="nil"/>
              <w:bottom w:val="single" w:sz="4" w:space="0" w:color="auto"/>
              <w:right w:val="nil"/>
            </w:tcBorders>
            <w:shd w:val="clear" w:color="auto" w:fill="auto"/>
            <w:noWrap/>
            <w:vAlign w:val="bottom"/>
            <w:hideMark/>
          </w:tcPr>
          <w:p w14:paraId="3922F765" w14:textId="77777777" w:rsidR="003A0696" w:rsidRPr="00F174D4" w:rsidRDefault="003A0696" w:rsidP="003A0696">
            <w:pPr>
              <w:spacing w:after="0" w:line="240" w:lineRule="auto"/>
              <w:jc w:val="left"/>
              <w:rPr>
                <w:rFonts w:eastAsia="Times New Roman" w:cs="Times New Roman"/>
                <w:color w:val="000000"/>
                <w:sz w:val="18"/>
                <w:szCs w:val="18"/>
                <w:lang w:eastAsia="sk-SK"/>
              </w:rPr>
            </w:pPr>
            <w:r w:rsidRPr="00F174D4">
              <w:rPr>
                <w:rFonts w:eastAsia="Times New Roman" w:cs="Times New Roman"/>
                <w:b/>
                <w:bCs/>
                <w:color w:val="000000"/>
                <w:sz w:val="18"/>
                <w:szCs w:val="18"/>
                <w:lang w:eastAsia="sk-SK"/>
              </w:rPr>
              <w:t>Spolu</w:t>
            </w:r>
          </w:p>
        </w:tc>
        <w:tc>
          <w:tcPr>
            <w:tcW w:w="1090" w:type="dxa"/>
            <w:tcBorders>
              <w:top w:val="single" w:sz="4" w:space="0" w:color="auto"/>
              <w:left w:val="nil"/>
              <w:bottom w:val="single" w:sz="4" w:space="0" w:color="auto"/>
              <w:right w:val="nil"/>
            </w:tcBorders>
            <w:shd w:val="clear" w:color="auto" w:fill="auto"/>
            <w:noWrap/>
            <w:vAlign w:val="center"/>
            <w:hideMark/>
          </w:tcPr>
          <w:p w14:paraId="0D799E82" w14:textId="77777777" w:rsidR="003A0696" w:rsidRPr="00F174D4" w:rsidRDefault="003A0696" w:rsidP="003A0696">
            <w:pPr>
              <w:spacing w:after="0" w:line="240" w:lineRule="auto"/>
              <w:jc w:val="right"/>
              <w:rPr>
                <w:rFonts w:eastAsia="Times New Roman" w:cs="Times New Roman"/>
                <w:iCs/>
                <w:color w:val="000000"/>
                <w:sz w:val="18"/>
                <w:szCs w:val="18"/>
                <w:lang w:eastAsia="sk-SK"/>
              </w:rPr>
            </w:pPr>
            <w:r w:rsidRPr="00F174D4">
              <w:rPr>
                <w:rFonts w:eastAsia="Times New Roman" w:cs="Times New Roman"/>
                <w:b/>
                <w:bCs/>
                <w:color w:val="000000"/>
                <w:sz w:val="18"/>
                <w:szCs w:val="18"/>
                <w:lang w:eastAsia="sk-SK"/>
              </w:rPr>
              <w:t>89</w:t>
            </w:r>
            <w:r>
              <w:rPr>
                <w:rFonts w:eastAsia="Times New Roman" w:cs="Times New Roman"/>
                <w:b/>
                <w:bCs/>
                <w:color w:val="000000"/>
                <w:sz w:val="18"/>
                <w:szCs w:val="18"/>
                <w:lang w:eastAsia="sk-SK"/>
              </w:rPr>
              <w:t>3</w:t>
            </w:r>
            <w:r w:rsidRPr="00F174D4">
              <w:rPr>
                <w:rFonts w:eastAsia="Times New Roman" w:cs="Times New Roman"/>
                <w:b/>
                <w:bCs/>
                <w:color w:val="000000"/>
                <w:sz w:val="18"/>
                <w:szCs w:val="18"/>
                <w:lang w:eastAsia="sk-SK"/>
              </w:rPr>
              <w:t xml:space="preserve"> </w:t>
            </w:r>
            <w:r>
              <w:rPr>
                <w:rFonts w:eastAsia="Times New Roman" w:cs="Times New Roman"/>
                <w:b/>
                <w:bCs/>
                <w:color w:val="000000"/>
                <w:sz w:val="18"/>
                <w:szCs w:val="18"/>
                <w:lang w:eastAsia="sk-SK"/>
              </w:rPr>
              <w:t>711</w:t>
            </w:r>
          </w:p>
        </w:tc>
      </w:tr>
      <w:tr w:rsidR="003A0696" w:rsidRPr="00F174D4" w14:paraId="68B1DFA2" w14:textId="77777777" w:rsidTr="003A0696">
        <w:trPr>
          <w:trHeight w:val="271"/>
        </w:trPr>
        <w:tc>
          <w:tcPr>
            <w:tcW w:w="8259" w:type="dxa"/>
            <w:tcBorders>
              <w:top w:val="single" w:sz="4" w:space="0" w:color="auto"/>
              <w:left w:val="nil"/>
              <w:bottom w:val="single" w:sz="4" w:space="0" w:color="auto"/>
              <w:right w:val="nil"/>
            </w:tcBorders>
            <w:shd w:val="clear" w:color="auto" w:fill="auto"/>
            <w:noWrap/>
            <w:vAlign w:val="bottom"/>
            <w:hideMark/>
          </w:tcPr>
          <w:p w14:paraId="7D7EE72C" w14:textId="77777777" w:rsidR="003A0696" w:rsidRPr="00F174D4" w:rsidRDefault="003A0696" w:rsidP="003A0696">
            <w:pPr>
              <w:spacing w:after="0" w:line="240" w:lineRule="auto"/>
              <w:jc w:val="left"/>
              <w:rPr>
                <w:rFonts w:eastAsia="Times New Roman" w:cs="Times New Roman"/>
                <w:i/>
                <w:iCs/>
                <w:color w:val="000000"/>
                <w:sz w:val="18"/>
                <w:szCs w:val="18"/>
                <w:lang w:eastAsia="sk-SK"/>
              </w:rPr>
            </w:pPr>
            <w:r w:rsidRPr="00F174D4">
              <w:rPr>
                <w:rFonts w:eastAsia="Times New Roman" w:cs="Times New Roman"/>
                <w:bCs/>
                <w:i/>
                <w:color w:val="000000"/>
                <w:sz w:val="18"/>
                <w:szCs w:val="18"/>
                <w:lang w:eastAsia="sk-SK"/>
              </w:rPr>
              <w:t>Výdavky refundované z EU zdroja</w:t>
            </w:r>
          </w:p>
        </w:tc>
        <w:tc>
          <w:tcPr>
            <w:tcW w:w="1090" w:type="dxa"/>
            <w:tcBorders>
              <w:top w:val="single" w:sz="4" w:space="0" w:color="auto"/>
              <w:left w:val="nil"/>
              <w:bottom w:val="single" w:sz="4" w:space="0" w:color="auto"/>
              <w:right w:val="nil"/>
            </w:tcBorders>
            <w:shd w:val="clear" w:color="auto" w:fill="auto"/>
            <w:noWrap/>
            <w:vAlign w:val="center"/>
            <w:hideMark/>
          </w:tcPr>
          <w:p w14:paraId="08776D89" w14:textId="77777777" w:rsidR="003A0696" w:rsidRPr="00F174D4" w:rsidRDefault="003A0696" w:rsidP="003A0696">
            <w:pPr>
              <w:spacing w:after="0" w:line="240" w:lineRule="auto"/>
              <w:jc w:val="right"/>
              <w:rPr>
                <w:rFonts w:eastAsia="Times New Roman" w:cs="Times New Roman"/>
                <w:i/>
                <w:iCs/>
                <w:color w:val="000000"/>
                <w:sz w:val="18"/>
                <w:szCs w:val="18"/>
                <w:lang w:eastAsia="sk-SK"/>
              </w:rPr>
            </w:pPr>
            <w:r>
              <w:rPr>
                <w:rFonts w:eastAsia="Times New Roman" w:cs="Times New Roman"/>
                <w:bCs/>
                <w:color w:val="000000"/>
                <w:sz w:val="18"/>
                <w:szCs w:val="18"/>
                <w:lang w:eastAsia="sk-SK"/>
              </w:rPr>
              <w:t>195</w:t>
            </w:r>
            <w:r w:rsidRPr="00F174D4">
              <w:rPr>
                <w:rFonts w:eastAsia="Times New Roman" w:cs="Times New Roman"/>
                <w:bCs/>
                <w:color w:val="000000"/>
                <w:sz w:val="18"/>
                <w:szCs w:val="18"/>
                <w:lang w:eastAsia="sk-SK"/>
              </w:rPr>
              <w:t xml:space="preserve"> </w:t>
            </w:r>
            <w:r>
              <w:rPr>
                <w:rFonts w:eastAsia="Times New Roman" w:cs="Times New Roman"/>
                <w:bCs/>
                <w:color w:val="000000"/>
                <w:sz w:val="18"/>
                <w:szCs w:val="18"/>
                <w:lang w:eastAsia="sk-SK"/>
              </w:rPr>
              <w:t>837</w:t>
            </w:r>
          </w:p>
        </w:tc>
      </w:tr>
      <w:tr w:rsidR="003A0696" w:rsidRPr="00F174D4" w14:paraId="28B437A7" w14:textId="77777777" w:rsidTr="003A0696">
        <w:trPr>
          <w:trHeight w:val="271"/>
        </w:trPr>
        <w:tc>
          <w:tcPr>
            <w:tcW w:w="8259" w:type="dxa"/>
            <w:tcBorders>
              <w:top w:val="single" w:sz="4" w:space="0" w:color="auto"/>
              <w:left w:val="nil"/>
              <w:bottom w:val="single" w:sz="8" w:space="0" w:color="auto"/>
              <w:right w:val="nil"/>
            </w:tcBorders>
            <w:shd w:val="clear" w:color="auto" w:fill="auto"/>
            <w:noWrap/>
            <w:vAlign w:val="bottom"/>
            <w:hideMark/>
          </w:tcPr>
          <w:p w14:paraId="0ADD32E8" w14:textId="77777777" w:rsidR="003A0696" w:rsidRPr="00F174D4" w:rsidRDefault="003A0696" w:rsidP="003A0696">
            <w:pPr>
              <w:spacing w:after="0" w:line="240" w:lineRule="auto"/>
              <w:ind w:firstLine="209"/>
              <w:jc w:val="left"/>
              <w:rPr>
                <w:rFonts w:eastAsia="Times New Roman" w:cs="Times New Roman"/>
                <w:i/>
                <w:iCs/>
                <w:color w:val="000000"/>
                <w:sz w:val="18"/>
                <w:szCs w:val="18"/>
                <w:lang w:eastAsia="sk-SK"/>
              </w:rPr>
            </w:pPr>
            <w:r w:rsidRPr="00F174D4">
              <w:rPr>
                <w:rFonts w:eastAsia="Times New Roman" w:cs="Times New Roman"/>
                <w:b/>
                <w:bCs/>
                <w:color w:val="000000"/>
                <w:sz w:val="18"/>
                <w:szCs w:val="18"/>
                <w:lang w:eastAsia="sk-SK"/>
              </w:rPr>
              <w:t>Vplyv výdavkov na saldo VS</w:t>
            </w:r>
          </w:p>
        </w:tc>
        <w:tc>
          <w:tcPr>
            <w:tcW w:w="1090" w:type="dxa"/>
            <w:tcBorders>
              <w:top w:val="single" w:sz="4" w:space="0" w:color="auto"/>
              <w:left w:val="nil"/>
              <w:bottom w:val="single" w:sz="8" w:space="0" w:color="auto"/>
              <w:right w:val="nil"/>
            </w:tcBorders>
            <w:shd w:val="clear" w:color="auto" w:fill="auto"/>
            <w:noWrap/>
            <w:vAlign w:val="center"/>
            <w:hideMark/>
          </w:tcPr>
          <w:p w14:paraId="62F694B8" w14:textId="77777777" w:rsidR="003A0696" w:rsidRPr="00F174D4" w:rsidRDefault="003A0696" w:rsidP="003A0696">
            <w:pPr>
              <w:spacing w:after="0" w:line="240" w:lineRule="auto"/>
              <w:ind w:firstLine="209"/>
              <w:jc w:val="right"/>
              <w:rPr>
                <w:rFonts w:eastAsia="Times New Roman" w:cs="Times New Roman"/>
                <w:bCs/>
                <w:i/>
                <w:color w:val="000000"/>
                <w:sz w:val="18"/>
                <w:szCs w:val="18"/>
                <w:lang w:eastAsia="sk-SK"/>
              </w:rPr>
            </w:pPr>
            <w:r>
              <w:rPr>
                <w:rFonts w:eastAsia="Times New Roman" w:cs="Times New Roman"/>
                <w:b/>
                <w:bCs/>
                <w:color w:val="000000"/>
                <w:sz w:val="18"/>
                <w:szCs w:val="18"/>
                <w:lang w:eastAsia="sk-SK"/>
              </w:rPr>
              <w:t>697 874</w:t>
            </w:r>
          </w:p>
        </w:tc>
      </w:tr>
    </w:tbl>
    <w:p w14:paraId="24C7CF39" w14:textId="77777777" w:rsidR="003A0696" w:rsidRPr="00F174D4" w:rsidRDefault="003A0696" w:rsidP="003A0696">
      <w:pPr>
        <w:ind w:right="-284"/>
        <w:contextualSpacing/>
        <w:jc w:val="left"/>
        <w:rPr>
          <w:i/>
          <w:sz w:val="18"/>
          <w:szCs w:val="18"/>
        </w:rPr>
      </w:pPr>
      <w:r w:rsidRPr="00F174D4">
        <w:rPr>
          <w:sz w:val="18"/>
          <w:szCs w:val="18"/>
        </w:rPr>
        <w:fldChar w:fldCharType="end"/>
      </w:r>
      <w:r>
        <w:rPr>
          <w:sz w:val="18"/>
          <w:szCs w:val="18"/>
        </w:rPr>
        <w:t xml:space="preserve">                                                                                                                                                              </w:t>
      </w:r>
      <w:r w:rsidRPr="00F174D4">
        <w:rPr>
          <w:sz w:val="18"/>
          <w:szCs w:val="18"/>
        </w:rPr>
        <w:t>Z</w:t>
      </w:r>
      <w:r w:rsidRPr="00F174D4">
        <w:rPr>
          <w:sz w:val="16"/>
          <w:szCs w:val="16"/>
        </w:rPr>
        <w:t xml:space="preserve">droj: ŠÚSR, IFP, </w:t>
      </w:r>
      <w:r>
        <w:rPr>
          <w:sz w:val="16"/>
          <w:szCs w:val="16"/>
        </w:rPr>
        <w:t xml:space="preserve">MIRRI, </w:t>
      </w:r>
      <w:r w:rsidRPr="00F174D4">
        <w:rPr>
          <w:sz w:val="16"/>
          <w:szCs w:val="16"/>
        </w:rPr>
        <w:t>MFSR</w:t>
      </w:r>
    </w:p>
    <w:p w14:paraId="43B32BE7" w14:textId="77777777" w:rsidR="00006F2B" w:rsidRDefault="00006F2B" w:rsidP="00006F2B">
      <w:pPr>
        <w:spacing w:after="0" w:line="240" w:lineRule="auto"/>
        <w:rPr>
          <w:b/>
          <w:sz w:val="24"/>
          <w:szCs w:val="24"/>
        </w:rPr>
      </w:pPr>
    </w:p>
    <w:p w14:paraId="2065711C" w14:textId="63F1861E" w:rsidR="003A0696" w:rsidRPr="00640CB6" w:rsidRDefault="003A0696" w:rsidP="003A0696">
      <w:pPr>
        <w:spacing w:line="240" w:lineRule="auto"/>
        <w:rPr>
          <w:sz w:val="24"/>
          <w:szCs w:val="24"/>
        </w:rPr>
      </w:pPr>
      <w:r w:rsidRPr="00640CB6">
        <w:rPr>
          <w:b/>
          <w:sz w:val="24"/>
          <w:szCs w:val="24"/>
        </w:rPr>
        <w:t>Opatrenia, ktoré nemali v roku 2022 vplyv na saldo verejnej správy v metodike ESA boli realizované s cieľom zabezpečiť likviditu podnikateľského sektora.</w:t>
      </w:r>
      <w:r w:rsidRPr="00640CB6">
        <w:rPr>
          <w:sz w:val="24"/>
          <w:szCs w:val="24"/>
        </w:rPr>
        <w:t xml:space="preserve"> Išlo napríklad o poskytovanie úverov štátnymi finančnými inštitúciami ako je Slovenská záručná a rozvojová banka a Eximbanka SR, poskytovanie záruk za úvery čerpané komerčnými bankami a ďalšie nástroje. </w:t>
      </w:r>
    </w:p>
    <w:tbl>
      <w:tblPr>
        <w:tblW w:w="9214" w:type="dxa"/>
        <w:tblCellMar>
          <w:left w:w="70" w:type="dxa"/>
          <w:right w:w="70" w:type="dxa"/>
        </w:tblCellMar>
        <w:tblLook w:val="04A0" w:firstRow="1" w:lastRow="0" w:firstColumn="1" w:lastColumn="0" w:noHBand="0" w:noVBand="1"/>
      </w:tblPr>
      <w:tblGrid>
        <w:gridCol w:w="8036"/>
        <w:gridCol w:w="1178"/>
      </w:tblGrid>
      <w:tr w:rsidR="003A0696" w:rsidRPr="00D50C99" w14:paraId="3305D951" w14:textId="77777777" w:rsidTr="003A0696">
        <w:trPr>
          <w:trHeight w:val="348"/>
        </w:trPr>
        <w:tc>
          <w:tcPr>
            <w:tcW w:w="9214" w:type="dxa"/>
            <w:gridSpan w:val="2"/>
            <w:tcBorders>
              <w:left w:val="nil"/>
              <w:bottom w:val="single" w:sz="4" w:space="0" w:color="auto"/>
              <w:right w:val="nil"/>
            </w:tcBorders>
            <w:shd w:val="clear" w:color="auto" w:fill="auto"/>
            <w:noWrap/>
            <w:vAlign w:val="center"/>
            <w:hideMark/>
          </w:tcPr>
          <w:p w14:paraId="6EB109DF" w14:textId="77777777" w:rsidR="003A0696" w:rsidRDefault="003A0696" w:rsidP="003A0696">
            <w:pPr>
              <w:spacing w:after="0" w:line="240" w:lineRule="auto"/>
              <w:jc w:val="left"/>
              <w:rPr>
                <w:rFonts w:eastAsia="Times New Roman" w:cs="Times New Roman"/>
                <w:b/>
                <w:bCs/>
                <w:color w:val="5B9BD5" w:themeColor="accent1"/>
                <w:sz w:val="20"/>
                <w:szCs w:val="20"/>
                <w:lang w:eastAsia="sk-SK"/>
              </w:rPr>
            </w:pPr>
            <w:r w:rsidRPr="00D50C99">
              <w:rPr>
                <w:rFonts w:eastAsia="Times New Roman" w:cs="Times New Roman"/>
                <w:b/>
                <w:bCs/>
                <w:color w:val="5B9BD5" w:themeColor="accent1"/>
                <w:sz w:val="20"/>
                <w:szCs w:val="20"/>
                <w:lang w:eastAsia="sk-SK"/>
              </w:rPr>
              <w:t>Tabuľka 13 - Opat</w:t>
            </w:r>
            <w:r>
              <w:rPr>
                <w:rFonts w:eastAsia="Times New Roman" w:cs="Times New Roman"/>
                <w:b/>
                <w:bCs/>
                <w:color w:val="5B9BD5" w:themeColor="accent1"/>
                <w:sz w:val="20"/>
                <w:szCs w:val="20"/>
                <w:lang w:eastAsia="sk-SK"/>
              </w:rPr>
              <w:t>renia na zabezpečenie likvidity</w:t>
            </w:r>
          </w:p>
          <w:p w14:paraId="18D4B3E3" w14:textId="77777777" w:rsidR="003A0696" w:rsidRPr="00D50C99" w:rsidRDefault="003A0696" w:rsidP="003A0696">
            <w:pPr>
              <w:spacing w:after="0" w:line="240" w:lineRule="auto"/>
              <w:jc w:val="left"/>
              <w:rPr>
                <w:rFonts w:eastAsia="Times New Roman" w:cs="Times New Roman"/>
                <w:b/>
                <w:bCs/>
                <w:color w:val="5B9BD5" w:themeColor="accent1"/>
                <w:sz w:val="20"/>
                <w:szCs w:val="20"/>
                <w:lang w:eastAsia="sk-SK"/>
              </w:rPr>
            </w:pPr>
            <w:r w:rsidRPr="00D50C99">
              <w:rPr>
                <w:rFonts w:eastAsia="Times New Roman" w:cs="Times New Roman"/>
                <w:b/>
                <w:bCs/>
                <w:color w:val="5B9BD5" w:themeColor="accent1"/>
                <w:sz w:val="20"/>
                <w:szCs w:val="20"/>
                <w:lang w:eastAsia="sk-SK"/>
              </w:rPr>
              <w:t xml:space="preserve">a bankové garancie bez vplyvu na deficit                           </w:t>
            </w:r>
            <w:r>
              <w:rPr>
                <w:rFonts w:eastAsia="Times New Roman" w:cs="Times New Roman"/>
                <w:b/>
                <w:bCs/>
                <w:color w:val="5B9BD5" w:themeColor="accent1"/>
                <w:sz w:val="20"/>
                <w:szCs w:val="20"/>
                <w:lang w:eastAsia="sk-SK"/>
              </w:rPr>
              <w:t xml:space="preserve">                                                                    </w:t>
            </w:r>
            <w:r w:rsidRPr="00D50C99">
              <w:rPr>
                <w:rFonts w:eastAsia="Times New Roman" w:cs="Times New Roman"/>
                <w:b/>
                <w:bCs/>
                <w:color w:val="5B9BD5" w:themeColor="accent1"/>
                <w:sz w:val="20"/>
                <w:szCs w:val="20"/>
                <w:lang w:eastAsia="sk-SK"/>
              </w:rPr>
              <w:t xml:space="preserve"> v tis. eur</w:t>
            </w:r>
          </w:p>
        </w:tc>
      </w:tr>
      <w:tr w:rsidR="003A0696" w:rsidRPr="000B4F5D" w14:paraId="080785B0" w14:textId="77777777" w:rsidTr="003A0696">
        <w:trPr>
          <w:trHeight w:val="278"/>
        </w:trPr>
        <w:tc>
          <w:tcPr>
            <w:tcW w:w="8036" w:type="dxa"/>
            <w:tcBorders>
              <w:top w:val="nil"/>
              <w:left w:val="nil"/>
              <w:bottom w:val="single" w:sz="4" w:space="0" w:color="auto"/>
            </w:tcBorders>
            <w:shd w:val="clear" w:color="auto" w:fill="auto"/>
            <w:noWrap/>
            <w:vAlign w:val="center"/>
            <w:hideMark/>
          </w:tcPr>
          <w:p w14:paraId="026EC7B4" w14:textId="77777777" w:rsidR="003A0696" w:rsidRPr="000B4F5D" w:rsidRDefault="003A0696" w:rsidP="003A0696">
            <w:pPr>
              <w:spacing w:after="0" w:line="240" w:lineRule="auto"/>
              <w:jc w:val="left"/>
              <w:rPr>
                <w:rFonts w:eastAsia="Times New Roman" w:cs="Times New Roman"/>
                <w:b/>
                <w:bCs/>
                <w:color w:val="000000"/>
                <w:sz w:val="20"/>
                <w:szCs w:val="20"/>
                <w:lang w:eastAsia="sk-SK"/>
              </w:rPr>
            </w:pPr>
            <w:r w:rsidRPr="000B4F5D">
              <w:rPr>
                <w:rFonts w:eastAsia="Times New Roman" w:cs="Times New Roman"/>
                <w:b/>
                <w:bCs/>
                <w:sz w:val="20"/>
                <w:szCs w:val="20"/>
                <w:lang w:eastAsia="sk-SK"/>
              </w:rPr>
              <w:t>Odklad daní a odvodov - bez vplyvu na deficit  (v tis. eur)</w:t>
            </w:r>
          </w:p>
        </w:tc>
        <w:tc>
          <w:tcPr>
            <w:tcW w:w="1178" w:type="dxa"/>
            <w:tcBorders>
              <w:top w:val="nil"/>
              <w:left w:val="nil"/>
              <w:bottom w:val="single" w:sz="4" w:space="0" w:color="auto"/>
              <w:right w:val="nil"/>
            </w:tcBorders>
            <w:shd w:val="clear" w:color="auto" w:fill="auto"/>
            <w:noWrap/>
            <w:vAlign w:val="center"/>
            <w:hideMark/>
          </w:tcPr>
          <w:p w14:paraId="6EEFFE9B" w14:textId="77777777" w:rsidR="003A0696" w:rsidRPr="000B4F5D" w:rsidRDefault="003A0696" w:rsidP="003A0696">
            <w:pPr>
              <w:spacing w:after="0" w:line="240" w:lineRule="auto"/>
              <w:jc w:val="right"/>
              <w:rPr>
                <w:rFonts w:eastAsia="Times New Roman" w:cs="Times New Roman"/>
                <w:b/>
                <w:bCs/>
                <w:color w:val="000000"/>
                <w:sz w:val="20"/>
                <w:szCs w:val="20"/>
                <w:lang w:eastAsia="sk-SK"/>
              </w:rPr>
            </w:pPr>
            <w:r w:rsidRPr="000B4F5D">
              <w:rPr>
                <w:rFonts w:eastAsia="Times New Roman" w:cs="Times New Roman"/>
                <w:b/>
                <w:bCs/>
                <w:color w:val="000000"/>
                <w:sz w:val="20"/>
                <w:szCs w:val="20"/>
                <w:lang w:eastAsia="sk-SK"/>
              </w:rPr>
              <w:t>6 768</w:t>
            </w:r>
          </w:p>
        </w:tc>
      </w:tr>
      <w:tr w:rsidR="003A0696" w:rsidRPr="0032592F" w14:paraId="7AFB1A78" w14:textId="77777777" w:rsidTr="003A0696">
        <w:trPr>
          <w:trHeight w:val="278"/>
        </w:trPr>
        <w:tc>
          <w:tcPr>
            <w:tcW w:w="8036" w:type="dxa"/>
            <w:tcBorders>
              <w:top w:val="nil"/>
              <w:left w:val="nil"/>
              <w:bottom w:val="nil"/>
            </w:tcBorders>
            <w:shd w:val="clear" w:color="auto" w:fill="auto"/>
            <w:noWrap/>
            <w:vAlign w:val="bottom"/>
            <w:hideMark/>
          </w:tcPr>
          <w:p w14:paraId="23A0616B" w14:textId="77777777" w:rsidR="003A0696" w:rsidRPr="0032592F" w:rsidRDefault="003A0696" w:rsidP="003A0696">
            <w:pPr>
              <w:spacing w:after="0" w:line="240" w:lineRule="auto"/>
              <w:jc w:val="left"/>
              <w:rPr>
                <w:rFonts w:eastAsia="Times New Roman" w:cs="Times New Roman"/>
                <w:bCs/>
                <w:color w:val="000000"/>
                <w:sz w:val="20"/>
                <w:szCs w:val="20"/>
                <w:lang w:eastAsia="sk-SK"/>
              </w:rPr>
            </w:pPr>
            <w:r w:rsidRPr="0032592F">
              <w:rPr>
                <w:rFonts w:eastAsia="Times New Roman" w:cs="Times New Roman"/>
                <w:color w:val="000000"/>
                <w:sz w:val="20"/>
                <w:szCs w:val="20"/>
                <w:lang w:eastAsia="sk-SK"/>
              </w:rPr>
              <w:t>Odklad daňového priznania DPPO</w:t>
            </w:r>
          </w:p>
        </w:tc>
        <w:tc>
          <w:tcPr>
            <w:tcW w:w="1178" w:type="dxa"/>
            <w:tcBorders>
              <w:top w:val="nil"/>
              <w:left w:val="nil"/>
              <w:bottom w:val="nil"/>
              <w:right w:val="nil"/>
            </w:tcBorders>
            <w:shd w:val="clear" w:color="auto" w:fill="auto"/>
            <w:noWrap/>
            <w:vAlign w:val="bottom"/>
            <w:hideMark/>
          </w:tcPr>
          <w:p w14:paraId="5AC60D5A" w14:textId="77777777" w:rsidR="003A0696" w:rsidRPr="0032592F" w:rsidRDefault="003A0696" w:rsidP="003A0696">
            <w:pPr>
              <w:spacing w:after="0" w:line="240" w:lineRule="auto"/>
              <w:jc w:val="right"/>
              <w:rPr>
                <w:rFonts w:eastAsia="Times New Roman" w:cs="Times New Roman"/>
                <w:bCs/>
                <w:color w:val="000000"/>
                <w:sz w:val="20"/>
                <w:szCs w:val="20"/>
                <w:lang w:eastAsia="sk-SK"/>
              </w:rPr>
            </w:pPr>
            <w:r w:rsidRPr="0032592F">
              <w:rPr>
                <w:rFonts w:eastAsia="Times New Roman" w:cs="Times New Roman"/>
                <w:color w:val="000000"/>
                <w:sz w:val="20"/>
                <w:szCs w:val="20"/>
                <w:lang w:eastAsia="sk-SK"/>
              </w:rPr>
              <w:t>0</w:t>
            </w:r>
          </w:p>
        </w:tc>
      </w:tr>
      <w:tr w:rsidR="003A0696" w:rsidRPr="0032592F" w14:paraId="7CA84EE0" w14:textId="77777777" w:rsidTr="003A0696">
        <w:trPr>
          <w:trHeight w:val="278"/>
        </w:trPr>
        <w:tc>
          <w:tcPr>
            <w:tcW w:w="8036" w:type="dxa"/>
            <w:tcBorders>
              <w:top w:val="nil"/>
              <w:left w:val="nil"/>
              <w:bottom w:val="nil"/>
            </w:tcBorders>
            <w:shd w:val="clear" w:color="auto" w:fill="auto"/>
            <w:noWrap/>
            <w:vAlign w:val="bottom"/>
            <w:hideMark/>
          </w:tcPr>
          <w:p w14:paraId="0E337990" w14:textId="77777777" w:rsidR="003A0696" w:rsidRPr="0032592F" w:rsidRDefault="003A0696" w:rsidP="003A0696">
            <w:pPr>
              <w:spacing w:after="0" w:line="240" w:lineRule="auto"/>
              <w:jc w:val="left"/>
              <w:rPr>
                <w:rFonts w:eastAsia="Times New Roman" w:cs="Times New Roman"/>
                <w:i/>
                <w:iCs/>
                <w:color w:val="000000"/>
                <w:sz w:val="20"/>
                <w:szCs w:val="20"/>
                <w:lang w:eastAsia="sk-SK"/>
              </w:rPr>
            </w:pPr>
            <w:r w:rsidRPr="0032592F">
              <w:rPr>
                <w:rFonts w:eastAsia="Times New Roman" w:cs="Times New Roman"/>
                <w:color w:val="000000"/>
                <w:sz w:val="20"/>
                <w:szCs w:val="20"/>
                <w:lang w:eastAsia="sk-SK"/>
              </w:rPr>
              <w:t>Posun platenia preddavkov DPPO/DPFO pri pokles tržieb o 40 %</w:t>
            </w:r>
          </w:p>
        </w:tc>
        <w:tc>
          <w:tcPr>
            <w:tcW w:w="1178" w:type="dxa"/>
            <w:tcBorders>
              <w:top w:val="nil"/>
              <w:left w:val="nil"/>
              <w:bottom w:val="nil"/>
              <w:right w:val="nil"/>
            </w:tcBorders>
            <w:shd w:val="clear" w:color="auto" w:fill="auto"/>
            <w:noWrap/>
            <w:vAlign w:val="bottom"/>
            <w:hideMark/>
          </w:tcPr>
          <w:p w14:paraId="67CB487A" w14:textId="77777777" w:rsidR="003A0696" w:rsidRPr="0032592F" w:rsidRDefault="003A0696" w:rsidP="003A0696">
            <w:pPr>
              <w:spacing w:after="0" w:line="240" w:lineRule="auto"/>
              <w:jc w:val="right"/>
              <w:rPr>
                <w:rFonts w:eastAsia="Times New Roman" w:cs="Times New Roman"/>
                <w:color w:val="000000"/>
                <w:sz w:val="20"/>
                <w:szCs w:val="20"/>
                <w:lang w:eastAsia="sk-SK"/>
              </w:rPr>
            </w:pPr>
            <w:r w:rsidRPr="0032592F">
              <w:rPr>
                <w:rFonts w:eastAsia="Times New Roman" w:cs="Times New Roman"/>
                <w:color w:val="000000"/>
                <w:sz w:val="20"/>
                <w:szCs w:val="20"/>
                <w:lang w:eastAsia="sk-SK"/>
              </w:rPr>
              <w:t>0</w:t>
            </w:r>
          </w:p>
        </w:tc>
      </w:tr>
      <w:tr w:rsidR="003A0696" w:rsidRPr="0032592F" w14:paraId="1AFC530C" w14:textId="77777777" w:rsidTr="003A0696">
        <w:trPr>
          <w:trHeight w:val="278"/>
        </w:trPr>
        <w:tc>
          <w:tcPr>
            <w:tcW w:w="8036" w:type="dxa"/>
            <w:tcBorders>
              <w:top w:val="nil"/>
              <w:left w:val="nil"/>
              <w:bottom w:val="nil"/>
            </w:tcBorders>
            <w:shd w:val="clear" w:color="auto" w:fill="auto"/>
            <w:noWrap/>
            <w:vAlign w:val="bottom"/>
            <w:hideMark/>
          </w:tcPr>
          <w:p w14:paraId="5FE6F06B" w14:textId="77777777" w:rsidR="003A0696" w:rsidRPr="0032592F" w:rsidRDefault="003A0696" w:rsidP="003A0696">
            <w:pPr>
              <w:spacing w:after="0" w:line="240" w:lineRule="auto"/>
              <w:jc w:val="left"/>
              <w:rPr>
                <w:rFonts w:eastAsia="Times New Roman" w:cs="Times New Roman"/>
                <w:i/>
                <w:iCs/>
                <w:color w:val="000000"/>
                <w:sz w:val="20"/>
                <w:szCs w:val="20"/>
                <w:lang w:eastAsia="sk-SK"/>
              </w:rPr>
            </w:pPr>
            <w:r w:rsidRPr="0032592F">
              <w:rPr>
                <w:rFonts w:eastAsia="Times New Roman" w:cs="Times New Roman"/>
                <w:color w:val="000000"/>
                <w:sz w:val="20"/>
                <w:szCs w:val="20"/>
                <w:lang w:eastAsia="sk-SK"/>
              </w:rPr>
              <w:t>Odklad zdravotných odvodov</w:t>
            </w:r>
          </w:p>
        </w:tc>
        <w:tc>
          <w:tcPr>
            <w:tcW w:w="1178" w:type="dxa"/>
            <w:tcBorders>
              <w:top w:val="nil"/>
              <w:left w:val="nil"/>
              <w:bottom w:val="nil"/>
              <w:right w:val="nil"/>
            </w:tcBorders>
            <w:shd w:val="clear" w:color="auto" w:fill="auto"/>
            <w:noWrap/>
            <w:vAlign w:val="bottom"/>
            <w:hideMark/>
          </w:tcPr>
          <w:p w14:paraId="39A21B41" w14:textId="77777777" w:rsidR="003A0696" w:rsidRPr="0032592F" w:rsidRDefault="003A0696" w:rsidP="003A0696">
            <w:pPr>
              <w:spacing w:after="0" w:line="240" w:lineRule="auto"/>
              <w:jc w:val="right"/>
              <w:rPr>
                <w:rFonts w:eastAsia="Times New Roman" w:cs="Times New Roman"/>
                <w:color w:val="000000"/>
                <w:sz w:val="20"/>
                <w:szCs w:val="20"/>
                <w:lang w:eastAsia="sk-SK"/>
              </w:rPr>
            </w:pPr>
            <w:r w:rsidRPr="0032592F">
              <w:rPr>
                <w:rFonts w:eastAsia="Times New Roman" w:cs="Times New Roman"/>
                <w:color w:val="000000"/>
                <w:sz w:val="20"/>
                <w:szCs w:val="20"/>
                <w:lang w:eastAsia="sk-SK"/>
              </w:rPr>
              <w:t>0</w:t>
            </w:r>
          </w:p>
        </w:tc>
      </w:tr>
      <w:tr w:rsidR="003A0696" w:rsidRPr="0032592F" w14:paraId="188CB75A" w14:textId="77777777" w:rsidTr="003A0696">
        <w:trPr>
          <w:trHeight w:val="278"/>
        </w:trPr>
        <w:tc>
          <w:tcPr>
            <w:tcW w:w="8036" w:type="dxa"/>
            <w:tcBorders>
              <w:top w:val="nil"/>
              <w:left w:val="nil"/>
              <w:bottom w:val="nil"/>
            </w:tcBorders>
            <w:shd w:val="clear" w:color="auto" w:fill="auto"/>
            <w:noWrap/>
            <w:vAlign w:val="bottom"/>
            <w:hideMark/>
          </w:tcPr>
          <w:p w14:paraId="5D0AC34E" w14:textId="77777777" w:rsidR="003A0696" w:rsidRPr="0032592F" w:rsidRDefault="003A0696" w:rsidP="003A0696">
            <w:pPr>
              <w:spacing w:after="0" w:line="240" w:lineRule="auto"/>
              <w:jc w:val="left"/>
              <w:rPr>
                <w:rFonts w:eastAsia="Times New Roman" w:cs="Times New Roman"/>
                <w:i/>
                <w:iCs/>
                <w:color w:val="000000"/>
                <w:sz w:val="20"/>
                <w:szCs w:val="20"/>
                <w:lang w:eastAsia="sk-SK"/>
              </w:rPr>
            </w:pPr>
            <w:r w:rsidRPr="0032592F">
              <w:rPr>
                <w:rFonts w:eastAsia="Times New Roman" w:cs="Times New Roman"/>
                <w:color w:val="000000"/>
                <w:sz w:val="20"/>
                <w:szCs w:val="20"/>
                <w:lang w:eastAsia="sk-SK"/>
              </w:rPr>
              <w:t>Odklad sociálnych odvodov</w:t>
            </w:r>
          </w:p>
        </w:tc>
        <w:tc>
          <w:tcPr>
            <w:tcW w:w="1178" w:type="dxa"/>
            <w:tcBorders>
              <w:top w:val="nil"/>
              <w:left w:val="nil"/>
              <w:bottom w:val="nil"/>
              <w:right w:val="nil"/>
            </w:tcBorders>
            <w:shd w:val="clear" w:color="auto" w:fill="auto"/>
            <w:noWrap/>
            <w:vAlign w:val="bottom"/>
            <w:hideMark/>
          </w:tcPr>
          <w:p w14:paraId="00F38046" w14:textId="77777777" w:rsidR="003A0696" w:rsidRPr="0032592F" w:rsidRDefault="003A0696" w:rsidP="003A0696">
            <w:pPr>
              <w:spacing w:after="0" w:line="240" w:lineRule="auto"/>
              <w:jc w:val="right"/>
              <w:rPr>
                <w:rFonts w:eastAsia="Times New Roman" w:cs="Times New Roman"/>
                <w:color w:val="000000"/>
                <w:sz w:val="20"/>
                <w:szCs w:val="20"/>
                <w:lang w:eastAsia="sk-SK"/>
              </w:rPr>
            </w:pPr>
            <w:r w:rsidRPr="0032592F">
              <w:rPr>
                <w:rFonts w:eastAsia="Times New Roman" w:cs="Times New Roman"/>
                <w:color w:val="000000"/>
                <w:sz w:val="20"/>
                <w:szCs w:val="20"/>
                <w:lang w:eastAsia="sk-SK"/>
              </w:rPr>
              <w:t>6 768</w:t>
            </w:r>
          </w:p>
        </w:tc>
      </w:tr>
      <w:tr w:rsidR="003A0696" w:rsidRPr="0032592F" w14:paraId="07B61DC2" w14:textId="77777777" w:rsidTr="003A0696">
        <w:trPr>
          <w:trHeight w:val="278"/>
        </w:trPr>
        <w:tc>
          <w:tcPr>
            <w:tcW w:w="8036" w:type="dxa"/>
            <w:tcBorders>
              <w:top w:val="nil"/>
              <w:left w:val="nil"/>
              <w:bottom w:val="nil"/>
            </w:tcBorders>
            <w:shd w:val="clear" w:color="auto" w:fill="auto"/>
            <w:noWrap/>
            <w:vAlign w:val="bottom"/>
          </w:tcPr>
          <w:p w14:paraId="6962BAD4" w14:textId="77777777" w:rsidR="003A0696" w:rsidRPr="0032592F" w:rsidRDefault="003A0696" w:rsidP="003A0696">
            <w:pPr>
              <w:spacing w:after="0" w:line="240" w:lineRule="auto"/>
              <w:jc w:val="left"/>
              <w:rPr>
                <w:rFonts w:eastAsia="Times New Roman" w:cs="Times New Roman"/>
                <w:color w:val="000000"/>
                <w:sz w:val="20"/>
                <w:szCs w:val="20"/>
                <w:lang w:eastAsia="sk-SK"/>
              </w:rPr>
            </w:pPr>
            <w:proofErr w:type="spellStart"/>
            <w:r w:rsidRPr="0032592F">
              <w:rPr>
                <w:rFonts w:eastAsia="Times New Roman" w:cs="Times New Roman"/>
                <w:color w:val="000000"/>
                <w:sz w:val="20"/>
                <w:szCs w:val="20"/>
                <w:lang w:eastAsia="sk-SK"/>
              </w:rPr>
              <w:t>Akrualizácia</w:t>
            </w:r>
            <w:proofErr w:type="spellEnd"/>
            <w:r w:rsidRPr="0032592F">
              <w:rPr>
                <w:rFonts w:eastAsia="Times New Roman" w:cs="Times New Roman"/>
                <w:color w:val="000000"/>
                <w:sz w:val="20"/>
                <w:szCs w:val="20"/>
                <w:lang w:eastAsia="sk-SK"/>
              </w:rPr>
              <w:t xml:space="preserve"> odvodov</w:t>
            </w:r>
          </w:p>
        </w:tc>
        <w:tc>
          <w:tcPr>
            <w:tcW w:w="1178" w:type="dxa"/>
            <w:tcBorders>
              <w:top w:val="nil"/>
              <w:left w:val="nil"/>
              <w:bottom w:val="nil"/>
              <w:right w:val="nil"/>
            </w:tcBorders>
            <w:shd w:val="clear" w:color="auto" w:fill="auto"/>
            <w:noWrap/>
            <w:vAlign w:val="bottom"/>
          </w:tcPr>
          <w:p w14:paraId="0BA65922" w14:textId="77777777" w:rsidR="003A0696" w:rsidRPr="0032592F" w:rsidRDefault="003A0696" w:rsidP="003A0696">
            <w:pPr>
              <w:spacing w:after="0" w:line="240" w:lineRule="auto"/>
              <w:jc w:val="right"/>
              <w:rPr>
                <w:rFonts w:eastAsia="Times New Roman" w:cs="Times New Roman"/>
                <w:color w:val="000000"/>
                <w:sz w:val="20"/>
                <w:szCs w:val="20"/>
                <w:lang w:eastAsia="sk-SK"/>
              </w:rPr>
            </w:pPr>
            <w:r w:rsidRPr="0032592F">
              <w:rPr>
                <w:rFonts w:eastAsia="Times New Roman" w:cs="Times New Roman"/>
                <w:color w:val="000000"/>
                <w:sz w:val="20"/>
                <w:szCs w:val="20"/>
                <w:lang w:eastAsia="sk-SK"/>
              </w:rPr>
              <w:t>0</w:t>
            </w:r>
          </w:p>
        </w:tc>
      </w:tr>
      <w:tr w:rsidR="003A0696" w:rsidRPr="000B4F5D" w14:paraId="3DE4A76E" w14:textId="77777777" w:rsidTr="003A0696">
        <w:trPr>
          <w:trHeight w:val="278"/>
        </w:trPr>
        <w:tc>
          <w:tcPr>
            <w:tcW w:w="8036" w:type="dxa"/>
            <w:tcBorders>
              <w:top w:val="single" w:sz="4" w:space="0" w:color="auto"/>
              <w:left w:val="nil"/>
              <w:bottom w:val="single" w:sz="4" w:space="0" w:color="auto"/>
            </w:tcBorders>
            <w:shd w:val="clear" w:color="auto" w:fill="auto"/>
            <w:noWrap/>
            <w:vAlign w:val="center"/>
            <w:hideMark/>
          </w:tcPr>
          <w:p w14:paraId="70A05BFD" w14:textId="77777777" w:rsidR="003A0696" w:rsidRPr="000B4F5D" w:rsidRDefault="003A0696" w:rsidP="003A0696">
            <w:pPr>
              <w:spacing w:after="0" w:line="240" w:lineRule="auto"/>
              <w:jc w:val="left"/>
              <w:rPr>
                <w:rFonts w:eastAsia="Times New Roman" w:cs="Times New Roman"/>
                <w:b/>
                <w:bCs/>
                <w:color w:val="000000"/>
                <w:sz w:val="20"/>
                <w:szCs w:val="20"/>
                <w:lang w:eastAsia="sk-SK"/>
              </w:rPr>
            </w:pPr>
            <w:r w:rsidRPr="000B4F5D">
              <w:rPr>
                <w:rFonts w:eastAsia="Times New Roman" w:cs="Times New Roman"/>
                <w:b/>
                <w:bCs/>
                <w:sz w:val="20"/>
                <w:szCs w:val="20"/>
                <w:lang w:eastAsia="sk-SK"/>
              </w:rPr>
              <w:t xml:space="preserve">Bankové záruky - bez priameho vplyvu na deficit (v tis. eur)                                                                </w:t>
            </w:r>
          </w:p>
        </w:tc>
        <w:tc>
          <w:tcPr>
            <w:tcW w:w="1178" w:type="dxa"/>
            <w:tcBorders>
              <w:top w:val="single" w:sz="4" w:space="0" w:color="auto"/>
              <w:left w:val="nil"/>
              <w:bottom w:val="single" w:sz="4" w:space="0" w:color="auto"/>
              <w:right w:val="nil"/>
            </w:tcBorders>
            <w:shd w:val="clear" w:color="auto" w:fill="auto"/>
            <w:noWrap/>
            <w:vAlign w:val="center"/>
            <w:hideMark/>
          </w:tcPr>
          <w:p w14:paraId="52F5E1CF" w14:textId="77777777" w:rsidR="003A0696" w:rsidRPr="000B4F5D" w:rsidRDefault="003A0696" w:rsidP="003A0696">
            <w:pPr>
              <w:spacing w:after="0" w:line="240" w:lineRule="auto"/>
              <w:jc w:val="right"/>
              <w:rPr>
                <w:rFonts w:eastAsia="Times New Roman" w:cs="Times New Roman"/>
                <w:b/>
                <w:bCs/>
                <w:color w:val="000000"/>
                <w:sz w:val="20"/>
                <w:szCs w:val="20"/>
                <w:lang w:eastAsia="sk-SK"/>
              </w:rPr>
            </w:pPr>
            <w:r w:rsidRPr="000B4F5D">
              <w:rPr>
                <w:rFonts w:eastAsia="Times New Roman" w:cs="Times New Roman"/>
                <w:b/>
                <w:bCs/>
                <w:color w:val="000000"/>
                <w:sz w:val="20"/>
                <w:szCs w:val="20"/>
                <w:lang w:eastAsia="sk-SK"/>
              </w:rPr>
              <w:t>0</w:t>
            </w:r>
          </w:p>
        </w:tc>
      </w:tr>
      <w:tr w:rsidR="003A0696" w:rsidRPr="0032592F" w14:paraId="2F19B69E" w14:textId="77777777" w:rsidTr="003A0696">
        <w:trPr>
          <w:trHeight w:val="278"/>
        </w:trPr>
        <w:tc>
          <w:tcPr>
            <w:tcW w:w="8036" w:type="dxa"/>
            <w:tcBorders>
              <w:top w:val="nil"/>
              <w:left w:val="nil"/>
              <w:bottom w:val="nil"/>
            </w:tcBorders>
            <w:shd w:val="clear" w:color="auto" w:fill="auto"/>
            <w:noWrap/>
            <w:vAlign w:val="center"/>
            <w:hideMark/>
          </w:tcPr>
          <w:p w14:paraId="07F7E9A7" w14:textId="77777777" w:rsidR="003A0696" w:rsidRPr="0032592F" w:rsidRDefault="003A0696" w:rsidP="003A0696">
            <w:pPr>
              <w:spacing w:after="0" w:line="240" w:lineRule="auto"/>
              <w:jc w:val="left"/>
              <w:rPr>
                <w:rFonts w:eastAsia="Times New Roman" w:cs="Times New Roman"/>
                <w:bCs/>
                <w:color w:val="000000"/>
                <w:sz w:val="20"/>
                <w:szCs w:val="20"/>
                <w:lang w:eastAsia="sk-SK"/>
              </w:rPr>
            </w:pPr>
            <w:r w:rsidRPr="0032592F">
              <w:rPr>
                <w:rFonts w:eastAsia="Times New Roman" w:cs="Times New Roman"/>
                <w:color w:val="000000"/>
                <w:sz w:val="20"/>
                <w:szCs w:val="20"/>
                <w:lang w:eastAsia="sk-SK"/>
              </w:rPr>
              <w:t xml:space="preserve">SZRB - </w:t>
            </w:r>
            <w:proofErr w:type="spellStart"/>
            <w:r w:rsidRPr="0032592F">
              <w:rPr>
                <w:rFonts w:eastAsia="Times New Roman" w:cs="Times New Roman"/>
                <w:color w:val="000000"/>
                <w:sz w:val="20"/>
                <w:szCs w:val="20"/>
                <w:lang w:eastAsia="sk-SK"/>
              </w:rPr>
              <w:t>zazmluvnená</w:t>
            </w:r>
            <w:proofErr w:type="spellEnd"/>
            <w:r w:rsidRPr="0032592F">
              <w:rPr>
                <w:rFonts w:eastAsia="Times New Roman" w:cs="Times New Roman"/>
                <w:color w:val="000000"/>
                <w:sz w:val="20"/>
                <w:szCs w:val="20"/>
                <w:lang w:eastAsia="sk-SK"/>
              </w:rPr>
              <w:t xml:space="preserve"> schéma de </w:t>
            </w:r>
            <w:proofErr w:type="spellStart"/>
            <w:r w:rsidRPr="0032592F">
              <w:rPr>
                <w:rFonts w:eastAsia="Times New Roman" w:cs="Times New Roman"/>
                <w:color w:val="000000"/>
                <w:sz w:val="20"/>
                <w:szCs w:val="20"/>
                <w:lang w:eastAsia="sk-SK"/>
              </w:rPr>
              <w:t>minimis</w:t>
            </w:r>
            <w:proofErr w:type="spellEnd"/>
          </w:p>
        </w:tc>
        <w:tc>
          <w:tcPr>
            <w:tcW w:w="1178" w:type="dxa"/>
            <w:tcBorders>
              <w:top w:val="nil"/>
              <w:left w:val="nil"/>
              <w:bottom w:val="nil"/>
              <w:right w:val="nil"/>
            </w:tcBorders>
            <w:shd w:val="clear" w:color="auto" w:fill="auto"/>
            <w:noWrap/>
            <w:vAlign w:val="center"/>
            <w:hideMark/>
          </w:tcPr>
          <w:p w14:paraId="4CCB521B" w14:textId="77777777" w:rsidR="003A0696" w:rsidRPr="0032592F" w:rsidRDefault="003A0696" w:rsidP="003A0696">
            <w:pPr>
              <w:spacing w:after="0" w:line="240" w:lineRule="auto"/>
              <w:jc w:val="right"/>
              <w:rPr>
                <w:rFonts w:eastAsia="Times New Roman" w:cs="Times New Roman"/>
                <w:bCs/>
                <w:color w:val="000000"/>
                <w:sz w:val="20"/>
                <w:szCs w:val="20"/>
                <w:lang w:eastAsia="sk-SK"/>
              </w:rPr>
            </w:pPr>
            <w:r w:rsidRPr="0032592F">
              <w:rPr>
                <w:rFonts w:eastAsia="Times New Roman" w:cs="Times New Roman"/>
                <w:color w:val="000000"/>
                <w:sz w:val="20"/>
                <w:szCs w:val="20"/>
                <w:lang w:eastAsia="sk-SK"/>
              </w:rPr>
              <w:t>0</w:t>
            </w:r>
          </w:p>
        </w:tc>
      </w:tr>
      <w:tr w:rsidR="003A0696" w:rsidRPr="0032592F" w14:paraId="13727CB4" w14:textId="77777777" w:rsidTr="003A0696">
        <w:trPr>
          <w:trHeight w:val="278"/>
        </w:trPr>
        <w:tc>
          <w:tcPr>
            <w:tcW w:w="8036" w:type="dxa"/>
            <w:tcBorders>
              <w:top w:val="nil"/>
              <w:left w:val="nil"/>
              <w:bottom w:val="nil"/>
            </w:tcBorders>
            <w:shd w:val="clear" w:color="auto" w:fill="auto"/>
            <w:noWrap/>
            <w:vAlign w:val="center"/>
            <w:hideMark/>
          </w:tcPr>
          <w:p w14:paraId="087F98F4" w14:textId="77777777" w:rsidR="003A0696" w:rsidRPr="0032592F" w:rsidRDefault="003A0696" w:rsidP="003A0696">
            <w:pPr>
              <w:spacing w:after="0" w:line="240" w:lineRule="auto"/>
              <w:jc w:val="left"/>
              <w:rPr>
                <w:rFonts w:eastAsia="Times New Roman" w:cs="Times New Roman"/>
                <w:i/>
                <w:iCs/>
                <w:color w:val="000000"/>
                <w:sz w:val="20"/>
                <w:szCs w:val="20"/>
                <w:lang w:eastAsia="sk-SK"/>
              </w:rPr>
            </w:pPr>
            <w:r w:rsidRPr="0032592F">
              <w:rPr>
                <w:rFonts w:eastAsia="Times New Roman" w:cs="Times New Roman"/>
                <w:color w:val="000000"/>
                <w:sz w:val="20"/>
                <w:szCs w:val="20"/>
                <w:lang w:eastAsia="sk-SK"/>
              </w:rPr>
              <w:t xml:space="preserve">Eximbanka -  </w:t>
            </w:r>
            <w:proofErr w:type="spellStart"/>
            <w:r w:rsidRPr="0032592F">
              <w:rPr>
                <w:rFonts w:eastAsia="Times New Roman" w:cs="Times New Roman"/>
                <w:color w:val="000000"/>
                <w:sz w:val="20"/>
                <w:szCs w:val="20"/>
                <w:lang w:eastAsia="sk-SK"/>
              </w:rPr>
              <w:t>zazmluvnená</w:t>
            </w:r>
            <w:proofErr w:type="spellEnd"/>
            <w:r w:rsidRPr="0032592F">
              <w:rPr>
                <w:rFonts w:eastAsia="Times New Roman" w:cs="Times New Roman"/>
                <w:color w:val="000000"/>
                <w:sz w:val="20"/>
                <w:szCs w:val="20"/>
                <w:lang w:eastAsia="sk-SK"/>
              </w:rPr>
              <w:t xml:space="preserve"> schéma de </w:t>
            </w:r>
            <w:proofErr w:type="spellStart"/>
            <w:r w:rsidRPr="0032592F">
              <w:rPr>
                <w:rFonts w:eastAsia="Times New Roman" w:cs="Times New Roman"/>
                <w:color w:val="000000"/>
                <w:sz w:val="20"/>
                <w:szCs w:val="20"/>
                <w:lang w:eastAsia="sk-SK"/>
              </w:rPr>
              <w:t>minimis</w:t>
            </w:r>
            <w:proofErr w:type="spellEnd"/>
          </w:p>
        </w:tc>
        <w:tc>
          <w:tcPr>
            <w:tcW w:w="1178" w:type="dxa"/>
            <w:tcBorders>
              <w:top w:val="nil"/>
              <w:left w:val="nil"/>
              <w:bottom w:val="nil"/>
              <w:right w:val="nil"/>
            </w:tcBorders>
            <w:shd w:val="clear" w:color="auto" w:fill="auto"/>
            <w:noWrap/>
            <w:vAlign w:val="center"/>
            <w:hideMark/>
          </w:tcPr>
          <w:p w14:paraId="221B7C0B" w14:textId="77777777" w:rsidR="003A0696" w:rsidRPr="0032592F" w:rsidRDefault="003A0696" w:rsidP="003A0696">
            <w:pPr>
              <w:spacing w:after="0" w:line="240" w:lineRule="auto"/>
              <w:jc w:val="right"/>
              <w:rPr>
                <w:rFonts w:eastAsia="Times New Roman" w:cs="Times New Roman"/>
                <w:color w:val="000000"/>
                <w:sz w:val="20"/>
                <w:szCs w:val="20"/>
                <w:lang w:eastAsia="sk-SK"/>
              </w:rPr>
            </w:pPr>
            <w:r w:rsidRPr="0032592F">
              <w:rPr>
                <w:rFonts w:eastAsia="Times New Roman" w:cs="Times New Roman"/>
                <w:color w:val="000000"/>
                <w:sz w:val="20"/>
                <w:szCs w:val="20"/>
                <w:lang w:eastAsia="sk-SK"/>
              </w:rPr>
              <w:t>0</w:t>
            </w:r>
          </w:p>
        </w:tc>
      </w:tr>
      <w:tr w:rsidR="003A0696" w:rsidRPr="0032592F" w14:paraId="63D3DDD2" w14:textId="77777777" w:rsidTr="003A0696">
        <w:trPr>
          <w:trHeight w:val="278"/>
        </w:trPr>
        <w:tc>
          <w:tcPr>
            <w:tcW w:w="8036" w:type="dxa"/>
            <w:tcBorders>
              <w:top w:val="nil"/>
              <w:left w:val="nil"/>
            </w:tcBorders>
            <w:shd w:val="clear" w:color="auto" w:fill="auto"/>
            <w:noWrap/>
            <w:vAlign w:val="center"/>
            <w:hideMark/>
          </w:tcPr>
          <w:p w14:paraId="2A26BC8A" w14:textId="77777777" w:rsidR="003A0696" w:rsidRPr="0032592F" w:rsidRDefault="003A0696" w:rsidP="003A0696">
            <w:pPr>
              <w:spacing w:after="0" w:line="240" w:lineRule="auto"/>
              <w:jc w:val="left"/>
              <w:rPr>
                <w:rFonts w:eastAsia="Times New Roman" w:cs="Times New Roman"/>
                <w:i/>
                <w:iCs/>
                <w:color w:val="000000"/>
                <w:sz w:val="20"/>
                <w:szCs w:val="20"/>
                <w:lang w:eastAsia="sk-SK"/>
              </w:rPr>
            </w:pPr>
            <w:r w:rsidRPr="0032592F">
              <w:rPr>
                <w:rFonts w:eastAsia="Times New Roman" w:cs="Times New Roman"/>
                <w:color w:val="000000"/>
                <w:sz w:val="20"/>
                <w:szCs w:val="20"/>
                <w:lang w:eastAsia="sk-SK"/>
              </w:rPr>
              <w:t xml:space="preserve">SIH - </w:t>
            </w:r>
            <w:proofErr w:type="spellStart"/>
            <w:r w:rsidRPr="0032592F">
              <w:rPr>
                <w:rFonts w:eastAsia="Times New Roman" w:cs="Times New Roman"/>
                <w:color w:val="000000"/>
                <w:sz w:val="20"/>
                <w:szCs w:val="20"/>
                <w:lang w:eastAsia="sk-SK"/>
              </w:rPr>
              <w:t>zazmluvnená</w:t>
            </w:r>
            <w:proofErr w:type="spellEnd"/>
            <w:r w:rsidRPr="0032592F">
              <w:rPr>
                <w:rFonts w:eastAsia="Times New Roman" w:cs="Times New Roman"/>
                <w:color w:val="000000"/>
                <w:sz w:val="20"/>
                <w:szCs w:val="20"/>
                <w:lang w:eastAsia="sk-SK"/>
              </w:rPr>
              <w:t xml:space="preserve"> schéma de </w:t>
            </w:r>
            <w:proofErr w:type="spellStart"/>
            <w:r w:rsidRPr="0032592F">
              <w:rPr>
                <w:rFonts w:eastAsia="Times New Roman" w:cs="Times New Roman"/>
                <w:color w:val="000000"/>
                <w:sz w:val="20"/>
                <w:szCs w:val="20"/>
                <w:lang w:eastAsia="sk-SK"/>
              </w:rPr>
              <w:t>minimis</w:t>
            </w:r>
            <w:proofErr w:type="spellEnd"/>
          </w:p>
        </w:tc>
        <w:tc>
          <w:tcPr>
            <w:tcW w:w="1178" w:type="dxa"/>
            <w:tcBorders>
              <w:top w:val="nil"/>
              <w:left w:val="nil"/>
              <w:right w:val="nil"/>
            </w:tcBorders>
            <w:shd w:val="clear" w:color="auto" w:fill="auto"/>
            <w:noWrap/>
            <w:vAlign w:val="center"/>
            <w:hideMark/>
          </w:tcPr>
          <w:p w14:paraId="2B1BC7FC" w14:textId="77777777" w:rsidR="003A0696" w:rsidRPr="0032592F" w:rsidRDefault="003A0696" w:rsidP="003A0696">
            <w:pPr>
              <w:spacing w:after="0" w:line="240" w:lineRule="auto"/>
              <w:jc w:val="right"/>
              <w:rPr>
                <w:rFonts w:eastAsia="Times New Roman" w:cs="Times New Roman"/>
                <w:color w:val="000000"/>
                <w:sz w:val="20"/>
                <w:szCs w:val="20"/>
                <w:lang w:eastAsia="sk-SK"/>
              </w:rPr>
            </w:pPr>
            <w:r w:rsidRPr="0032592F">
              <w:rPr>
                <w:rFonts w:eastAsia="Times New Roman" w:cs="Times New Roman"/>
                <w:color w:val="000000"/>
                <w:sz w:val="20"/>
                <w:szCs w:val="20"/>
                <w:lang w:eastAsia="sk-SK"/>
              </w:rPr>
              <w:t>0</w:t>
            </w:r>
          </w:p>
        </w:tc>
      </w:tr>
      <w:tr w:rsidR="003A0696" w:rsidRPr="0032592F" w14:paraId="336EF0F2" w14:textId="77777777" w:rsidTr="003A0696">
        <w:trPr>
          <w:trHeight w:val="278"/>
        </w:trPr>
        <w:tc>
          <w:tcPr>
            <w:tcW w:w="8036" w:type="dxa"/>
            <w:tcBorders>
              <w:top w:val="nil"/>
              <w:left w:val="nil"/>
              <w:bottom w:val="single" w:sz="4" w:space="0" w:color="auto"/>
            </w:tcBorders>
            <w:shd w:val="clear" w:color="auto" w:fill="auto"/>
            <w:noWrap/>
            <w:vAlign w:val="center"/>
            <w:hideMark/>
          </w:tcPr>
          <w:p w14:paraId="51F1A1DF" w14:textId="77777777" w:rsidR="003A0696" w:rsidRPr="0032592F" w:rsidRDefault="003A0696" w:rsidP="003A0696">
            <w:pPr>
              <w:spacing w:after="0" w:line="240" w:lineRule="auto"/>
              <w:jc w:val="left"/>
              <w:rPr>
                <w:rFonts w:eastAsia="Times New Roman" w:cs="Times New Roman"/>
                <w:i/>
                <w:iCs/>
                <w:color w:val="000000"/>
                <w:sz w:val="20"/>
                <w:szCs w:val="20"/>
                <w:lang w:eastAsia="sk-SK"/>
              </w:rPr>
            </w:pPr>
            <w:r w:rsidRPr="0032592F">
              <w:rPr>
                <w:rFonts w:eastAsia="Times New Roman" w:cs="Times New Roman"/>
                <w:color w:val="000000"/>
                <w:sz w:val="20"/>
                <w:szCs w:val="20"/>
                <w:lang w:eastAsia="sk-SK"/>
              </w:rPr>
              <w:t xml:space="preserve">Veľká schéma </w:t>
            </w:r>
          </w:p>
        </w:tc>
        <w:tc>
          <w:tcPr>
            <w:tcW w:w="1178" w:type="dxa"/>
            <w:tcBorders>
              <w:top w:val="nil"/>
              <w:left w:val="nil"/>
              <w:bottom w:val="single" w:sz="4" w:space="0" w:color="auto"/>
              <w:right w:val="nil"/>
            </w:tcBorders>
            <w:shd w:val="clear" w:color="auto" w:fill="auto"/>
            <w:noWrap/>
            <w:vAlign w:val="center"/>
            <w:hideMark/>
          </w:tcPr>
          <w:p w14:paraId="3DDBC705" w14:textId="77777777" w:rsidR="003A0696" w:rsidRPr="0032592F" w:rsidRDefault="003A0696" w:rsidP="003A0696">
            <w:pPr>
              <w:spacing w:after="0" w:line="240" w:lineRule="auto"/>
              <w:jc w:val="right"/>
              <w:rPr>
                <w:rFonts w:eastAsia="Times New Roman" w:cs="Times New Roman"/>
                <w:color w:val="000000"/>
                <w:sz w:val="20"/>
                <w:szCs w:val="20"/>
                <w:lang w:eastAsia="sk-SK"/>
              </w:rPr>
            </w:pPr>
            <w:r w:rsidRPr="0032592F">
              <w:rPr>
                <w:rFonts w:eastAsia="Times New Roman" w:cs="Times New Roman"/>
                <w:color w:val="000000"/>
                <w:sz w:val="20"/>
                <w:szCs w:val="20"/>
                <w:lang w:eastAsia="sk-SK"/>
              </w:rPr>
              <w:t>0</w:t>
            </w:r>
          </w:p>
        </w:tc>
      </w:tr>
      <w:tr w:rsidR="003A0696" w:rsidRPr="0032592F" w14:paraId="6D565422" w14:textId="77777777" w:rsidTr="003A0696">
        <w:trPr>
          <w:trHeight w:val="278"/>
        </w:trPr>
        <w:tc>
          <w:tcPr>
            <w:tcW w:w="8036" w:type="dxa"/>
            <w:tcBorders>
              <w:top w:val="nil"/>
              <w:left w:val="nil"/>
              <w:bottom w:val="single" w:sz="4" w:space="0" w:color="auto"/>
            </w:tcBorders>
            <w:shd w:val="clear" w:color="auto" w:fill="auto"/>
            <w:noWrap/>
            <w:vAlign w:val="center"/>
            <w:hideMark/>
          </w:tcPr>
          <w:p w14:paraId="421E3D7E" w14:textId="77777777" w:rsidR="003A0696" w:rsidRPr="0032592F" w:rsidRDefault="003A0696" w:rsidP="003A0696">
            <w:pPr>
              <w:spacing w:after="0" w:line="240" w:lineRule="auto"/>
              <w:jc w:val="left"/>
              <w:rPr>
                <w:rFonts w:eastAsia="Times New Roman" w:cs="Times New Roman"/>
                <w:b/>
                <w:color w:val="000000"/>
                <w:sz w:val="20"/>
                <w:szCs w:val="20"/>
                <w:lang w:eastAsia="sk-SK"/>
              </w:rPr>
            </w:pPr>
            <w:r w:rsidRPr="0032592F">
              <w:rPr>
                <w:rFonts w:eastAsia="Times New Roman" w:cs="Times New Roman"/>
                <w:b/>
                <w:color w:val="000000"/>
                <w:sz w:val="20"/>
                <w:szCs w:val="20"/>
                <w:lang w:eastAsia="sk-SK"/>
              </w:rPr>
              <w:t>Spolu</w:t>
            </w:r>
          </w:p>
        </w:tc>
        <w:tc>
          <w:tcPr>
            <w:tcW w:w="1178" w:type="dxa"/>
            <w:tcBorders>
              <w:top w:val="nil"/>
              <w:left w:val="nil"/>
              <w:bottom w:val="single" w:sz="4" w:space="0" w:color="auto"/>
              <w:right w:val="nil"/>
            </w:tcBorders>
            <w:shd w:val="clear" w:color="auto" w:fill="auto"/>
            <w:noWrap/>
            <w:vAlign w:val="center"/>
            <w:hideMark/>
          </w:tcPr>
          <w:p w14:paraId="1D29F2DA" w14:textId="77777777" w:rsidR="003A0696" w:rsidRPr="0032592F" w:rsidRDefault="003A0696" w:rsidP="003A0696">
            <w:pPr>
              <w:spacing w:after="0" w:line="240" w:lineRule="auto"/>
              <w:jc w:val="right"/>
              <w:rPr>
                <w:rFonts w:eastAsia="Times New Roman" w:cs="Times New Roman"/>
                <w:b/>
                <w:color w:val="000000"/>
                <w:sz w:val="20"/>
                <w:szCs w:val="20"/>
                <w:lang w:eastAsia="sk-SK"/>
              </w:rPr>
            </w:pPr>
            <w:r w:rsidRPr="0032592F">
              <w:rPr>
                <w:rFonts w:eastAsia="Times New Roman" w:cs="Times New Roman"/>
                <w:b/>
                <w:color w:val="000000"/>
                <w:sz w:val="20"/>
                <w:szCs w:val="20"/>
                <w:lang w:eastAsia="sk-SK"/>
              </w:rPr>
              <w:t>6 768</w:t>
            </w:r>
          </w:p>
        </w:tc>
      </w:tr>
    </w:tbl>
    <w:p w14:paraId="23E68C5F" w14:textId="77777777" w:rsidR="003A0696" w:rsidRPr="003747BF" w:rsidRDefault="003A0696" w:rsidP="003A0696">
      <w:pPr>
        <w:spacing w:after="0" w:line="240" w:lineRule="auto"/>
        <w:jc w:val="center"/>
        <w:rPr>
          <w:sz w:val="16"/>
          <w:szCs w:val="16"/>
        </w:rPr>
      </w:pPr>
      <w:r w:rsidRPr="003747BF">
        <w:rPr>
          <w:sz w:val="16"/>
          <w:szCs w:val="16"/>
        </w:rPr>
        <w:t xml:space="preserve">                                                                                                                                                                                                        Zdroj: IFP, MFSR </w:t>
      </w:r>
    </w:p>
    <w:p w14:paraId="5EA3E144" w14:textId="3B9F4293" w:rsidR="003A0696" w:rsidRDefault="003A0696" w:rsidP="003A0696">
      <w:pPr>
        <w:spacing w:before="120" w:line="240" w:lineRule="auto"/>
        <w:rPr>
          <w:sz w:val="24"/>
          <w:szCs w:val="24"/>
        </w:rPr>
      </w:pPr>
      <w:r w:rsidRPr="00F021B5">
        <w:rPr>
          <w:sz w:val="24"/>
          <w:szCs w:val="24"/>
        </w:rPr>
        <w:t xml:space="preserve">Odklad sociálnych odvodov či posun v platení odvodov nemajú vplyv na deficit VS z dôvodu ich </w:t>
      </w:r>
      <w:proofErr w:type="spellStart"/>
      <w:r w:rsidRPr="00F021B5">
        <w:rPr>
          <w:sz w:val="24"/>
          <w:szCs w:val="24"/>
        </w:rPr>
        <w:t>akrualizácie</w:t>
      </w:r>
      <w:proofErr w:type="spellEnd"/>
      <w:r w:rsidRPr="00F021B5">
        <w:rPr>
          <w:sz w:val="24"/>
          <w:szCs w:val="24"/>
        </w:rPr>
        <w:t xml:space="preserve">. Tieto odvody neboli odpustené, iba sa posunula ich hotovostná úhrada. Vplyv na ESA schodok verejnej správy majú len záruky, ktoré sú posúdené ako rizikové, a to v čase ich </w:t>
      </w:r>
      <w:r w:rsidRPr="00F021B5">
        <w:rPr>
          <w:sz w:val="24"/>
          <w:szCs w:val="24"/>
        </w:rPr>
        <w:lastRenderedPageBreak/>
        <w:t>poskytnutia</w:t>
      </w:r>
      <w:r w:rsidRPr="00F174D4">
        <w:rPr>
          <w:sz w:val="24"/>
          <w:szCs w:val="24"/>
        </w:rPr>
        <w:t xml:space="preserve">. Z celkovej hodnoty poskytnutých záruk bolo ocenených ako </w:t>
      </w:r>
      <w:r w:rsidRPr="00327FAE">
        <w:rPr>
          <w:sz w:val="24"/>
          <w:szCs w:val="24"/>
        </w:rPr>
        <w:t>rizikových 8,27 %</w:t>
      </w:r>
      <w:r w:rsidRPr="00F174D4">
        <w:rPr>
          <w:sz w:val="24"/>
          <w:szCs w:val="24"/>
        </w:rPr>
        <w:t xml:space="preserve"> , to znamená že negatívny vplyv na schodok mali záruky vo výške 2 553 tis. eur.</w:t>
      </w:r>
    </w:p>
    <w:p w14:paraId="67C9DEE9" w14:textId="77777777" w:rsidR="00006F2B" w:rsidRDefault="00006F2B" w:rsidP="003A0696">
      <w:pPr>
        <w:spacing w:before="120" w:line="240" w:lineRule="auto"/>
        <w:rPr>
          <w:sz w:val="24"/>
          <w:szCs w:val="24"/>
          <w:highlight w:val="yellow"/>
        </w:rPr>
      </w:pPr>
    </w:p>
    <w:p w14:paraId="5005D5DA" w14:textId="77777777" w:rsidR="003A0696" w:rsidRDefault="003A0696" w:rsidP="003A0696">
      <w:pPr>
        <w:spacing w:before="120" w:line="240" w:lineRule="auto"/>
        <w:rPr>
          <w:sz w:val="24"/>
          <w:szCs w:val="24"/>
        </w:rPr>
      </w:pPr>
      <w:r w:rsidRPr="006C290F">
        <w:rPr>
          <w:sz w:val="24"/>
          <w:szCs w:val="24"/>
        </w:rPr>
        <w:t xml:space="preserve">Členské krajiny EÚ boli </w:t>
      </w:r>
      <w:r>
        <w:rPr>
          <w:sz w:val="24"/>
          <w:szCs w:val="24"/>
        </w:rPr>
        <w:t xml:space="preserve">tiež </w:t>
      </w:r>
      <w:r w:rsidRPr="006C290F">
        <w:rPr>
          <w:sz w:val="24"/>
          <w:szCs w:val="24"/>
        </w:rPr>
        <w:t xml:space="preserve">povinné </w:t>
      </w:r>
      <w:proofErr w:type="spellStart"/>
      <w:r w:rsidRPr="006C290F">
        <w:rPr>
          <w:sz w:val="24"/>
          <w:szCs w:val="24"/>
        </w:rPr>
        <w:t>Eurostatu</w:t>
      </w:r>
      <w:proofErr w:type="spellEnd"/>
      <w:r w:rsidRPr="006C290F">
        <w:rPr>
          <w:sz w:val="24"/>
          <w:szCs w:val="24"/>
        </w:rPr>
        <w:t xml:space="preserve"> poskytnúť v rámci notifikácie výsledkov hospodárenia verejnej správy aj o informácie o výdavkoch </w:t>
      </w:r>
      <w:r>
        <w:rPr>
          <w:sz w:val="24"/>
          <w:szCs w:val="24"/>
        </w:rPr>
        <w:t>na opatrenia</w:t>
      </w:r>
      <w:r w:rsidRPr="006C290F">
        <w:rPr>
          <w:sz w:val="24"/>
          <w:szCs w:val="24"/>
        </w:rPr>
        <w:t xml:space="preserve"> prijat</w:t>
      </w:r>
      <w:r>
        <w:rPr>
          <w:sz w:val="24"/>
          <w:szCs w:val="24"/>
        </w:rPr>
        <w:t>é</w:t>
      </w:r>
      <w:r w:rsidRPr="006C290F">
        <w:rPr>
          <w:sz w:val="24"/>
          <w:szCs w:val="24"/>
        </w:rPr>
        <w:t xml:space="preserve"> </w:t>
      </w:r>
      <w:r>
        <w:rPr>
          <w:sz w:val="24"/>
          <w:szCs w:val="24"/>
        </w:rPr>
        <w:t>v súvislosti s vojenským konfliktom na Ukrajine a o výdavkoch na riešenie energetickej krízy a výrazného nárastu cien energií.</w:t>
      </w:r>
    </w:p>
    <w:p w14:paraId="0AE9F878" w14:textId="77777777" w:rsidR="003A0696" w:rsidRPr="0032592F" w:rsidRDefault="003A0696" w:rsidP="003A0696">
      <w:pPr>
        <w:spacing w:before="120" w:line="240" w:lineRule="auto"/>
        <w:rPr>
          <w:rFonts w:cs="Times New Roman"/>
          <w:b/>
          <w:color w:val="5B9BD5" w:themeColor="accent1"/>
          <w:sz w:val="24"/>
          <w:szCs w:val="24"/>
        </w:rPr>
      </w:pPr>
      <w:r>
        <w:rPr>
          <w:rFonts w:cs="Times New Roman"/>
          <w:b/>
          <w:color w:val="5B9BD5" w:themeColor="accent1"/>
          <w:sz w:val="24"/>
          <w:szCs w:val="24"/>
        </w:rPr>
        <w:t>Výdavky na pomoc Ukrajine</w:t>
      </w:r>
    </w:p>
    <w:p w14:paraId="4CEDD920" w14:textId="77777777" w:rsidR="003A0696" w:rsidRDefault="003A0696" w:rsidP="003A0696">
      <w:pPr>
        <w:spacing w:line="240" w:lineRule="auto"/>
        <w:jc w:val="left"/>
        <w:rPr>
          <w:rFonts w:eastAsia="Times New Roman" w:cs="Times New Roman"/>
          <w:b/>
          <w:bCs/>
          <w:color w:val="5B9BD5" w:themeColor="accent1"/>
          <w:sz w:val="20"/>
          <w:szCs w:val="20"/>
          <w:lang w:eastAsia="sk-SK"/>
        </w:rPr>
      </w:pPr>
      <w:r>
        <w:rPr>
          <w:rFonts w:eastAsia="Times New Roman" w:cs="Times New Roman"/>
          <w:b/>
          <w:bCs/>
          <w:color w:val="5B9BD5" w:themeColor="accent1"/>
          <w:sz w:val="20"/>
          <w:szCs w:val="20"/>
          <w:lang w:eastAsia="sk-SK"/>
        </w:rPr>
        <w:t xml:space="preserve">Tabuľka 14 - </w:t>
      </w:r>
      <w:r w:rsidRPr="003747BF">
        <w:rPr>
          <w:rFonts w:eastAsia="Times New Roman" w:cs="Times New Roman"/>
          <w:b/>
          <w:bCs/>
          <w:color w:val="5B9BD5" w:themeColor="accent1"/>
          <w:sz w:val="20"/>
          <w:szCs w:val="20"/>
          <w:lang w:eastAsia="sk-SK"/>
        </w:rPr>
        <w:t xml:space="preserve">Výdavky na pomoc Ukrajine s vplyvom na saldo VS v metodike ESA 2010     </w:t>
      </w:r>
      <w:r>
        <w:rPr>
          <w:rFonts w:eastAsia="Times New Roman" w:cs="Times New Roman"/>
          <w:b/>
          <w:bCs/>
          <w:color w:val="5B9BD5" w:themeColor="accent1"/>
          <w:sz w:val="20"/>
          <w:szCs w:val="20"/>
          <w:lang w:eastAsia="sk-SK"/>
        </w:rPr>
        <w:t xml:space="preserve">       </w:t>
      </w:r>
      <w:r w:rsidRPr="003747BF">
        <w:rPr>
          <w:rFonts w:eastAsia="Times New Roman" w:cs="Times New Roman"/>
          <w:b/>
          <w:bCs/>
          <w:color w:val="5B9BD5" w:themeColor="accent1"/>
          <w:sz w:val="20"/>
          <w:szCs w:val="20"/>
          <w:lang w:eastAsia="sk-SK"/>
        </w:rPr>
        <w:t xml:space="preserve">   </w:t>
      </w:r>
      <w:r>
        <w:rPr>
          <w:rFonts w:eastAsia="Times New Roman" w:cs="Times New Roman"/>
          <w:b/>
          <w:bCs/>
          <w:color w:val="5B9BD5" w:themeColor="accent1"/>
          <w:sz w:val="20"/>
          <w:szCs w:val="20"/>
          <w:lang w:eastAsia="sk-SK"/>
        </w:rPr>
        <w:t xml:space="preserve">    v </w:t>
      </w:r>
      <w:r w:rsidRPr="003747BF">
        <w:rPr>
          <w:rFonts w:eastAsia="Times New Roman" w:cs="Times New Roman"/>
          <w:b/>
          <w:bCs/>
          <w:color w:val="5B9BD5" w:themeColor="accent1"/>
          <w:sz w:val="20"/>
          <w:szCs w:val="20"/>
          <w:lang w:eastAsia="sk-SK"/>
        </w:rPr>
        <w:t>tis. eur</w:t>
      </w:r>
    </w:p>
    <w:tbl>
      <w:tblPr>
        <w:tblW w:w="9214" w:type="dxa"/>
        <w:tblCellMar>
          <w:left w:w="70" w:type="dxa"/>
          <w:right w:w="70" w:type="dxa"/>
        </w:tblCellMar>
        <w:tblLook w:val="04A0" w:firstRow="1" w:lastRow="0" w:firstColumn="1" w:lastColumn="0" w:noHBand="0" w:noVBand="1"/>
      </w:tblPr>
      <w:tblGrid>
        <w:gridCol w:w="8110"/>
        <w:gridCol w:w="1104"/>
      </w:tblGrid>
      <w:tr w:rsidR="003A0696" w:rsidRPr="009E1EA5" w14:paraId="2105AFD2" w14:textId="77777777" w:rsidTr="003234A0">
        <w:trPr>
          <w:trHeight w:val="170"/>
        </w:trPr>
        <w:tc>
          <w:tcPr>
            <w:tcW w:w="8110" w:type="dxa"/>
            <w:tcBorders>
              <w:top w:val="nil"/>
              <w:left w:val="nil"/>
              <w:bottom w:val="single" w:sz="4" w:space="0" w:color="auto"/>
            </w:tcBorders>
            <w:shd w:val="clear" w:color="auto" w:fill="auto"/>
            <w:noWrap/>
            <w:vAlign w:val="center"/>
            <w:hideMark/>
          </w:tcPr>
          <w:p w14:paraId="5BAF900B" w14:textId="77777777" w:rsidR="003A0696" w:rsidRPr="009E1EA5" w:rsidRDefault="003A0696" w:rsidP="003A0696">
            <w:pPr>
              <w:spacing w:after="0" w:line="240" w:lineRule="auto"/>
              <w:ind w:hanging="75"/>
              <w:jc w:val="left"/>
              <w:rPr>
                <w:rFonts w:eastAsia="Times New Roman" w:cs="Times New Roman"/>
                <w:b/>
                <w:bCs/>
                <w:sz w:val="18"/>
                <w:szCs w:val="18"/>
                <w:lang w:eastAsia="sk-SK"/>
              </w:rPr>
            </w:pPr>
            <w:r w:rsidRPr="009E1EA5">
              <w:rPr>
                <w:rFonts w:eastAsia="Times New Roman" w:cs="Times New Roman"/>
                <w:b/>
                <w:bCs/>
                <w:sz w:val="18"/>
                <w:szCs w:val="18"/>
                <w:lang w:eastAsia="sk-SK"/>
              </w:rPr>
              <w:t>Oblasť výdavkov</w:t>
            </w:r>
          </w:p>
        </w:tc>
        <w:tc>
          <w:tcPr>
            <w:tcW w:w="1104" w:type="dxa"/>
            <w:tcBorders>
              <w:top w:val="nil"/>
              <w:left w:val="nil"/>
              <w:bottom w:val="single" w:sz="4" w:space="0" w:color="auto"/>
              <w:right w:val="nil"/>
            </w:tcBorders>
            <w:shd w:val="clear" w:color="auto" w:fill="auto"/>
            <w:noWrap/>
            <w:vAlign w:val="center"/>
            <w:hideMark/>
          </w:tcPr>
          <w:p w14:paraId="7935D3A7" w14:textId="77777777" w:rsidR="003A0696" w:rsidRPr="009E1EA5" w:rsidRDefault="003A0696" w:rsidP="003A0696">
            <w:pPr>
              <w:spacing w:after="0" w:line="240" w:lineRule="auto"/>
              <w:jc w:val="left"/>
              <w:rPr>
                <w:rFonts w:eastAsia="Times New Roman" w:cs="Times New Roman"/>
                <w:b/>
                <w:bCs/>
                <w:sz w:val="20"/>
                <w:szCs w:val="20"/>
                <w:lang w:eastAsia="sk-SK"/>
              </w:rPr>
            </w:pPr>
          </w:p>
        </w:tc>
      </w:tr>
    </w:tbl>
    <w:p w14:paraId="7236D265" w14:textId="77777777" w:rsidR="003A0696" w:rsidRPr="0032592F" w:rsidRDefault="003A0696" w:rsidP="003A0696">
      <w:pPr>
        <w:spacing w:after="0" w:line="240" w:lineRule="auto"/>
        <w:rPr>
          <w:rFonts w:eastAsia="Times New Roman" w:cs="Times New Roman"/>
          <w:color w:val="000000"/>
          <w:sz w:val="18"/>
          <w:szCs w:val="18"/>
          <w:lang w:eastAsia="sk-SK"/>
        </w:rPr>
      </w:pPr>
      <w:r w:rsidRPr="0032592F">
        <w:rPr>
          <w:rFonts w:eastAsia="Times New Roman" w:cs="Times New Roman"/>
          <w:color w:val="000000"/>
          <w:sz w:val="18"/>
          <w:szCs w:val="18"/>
          <w:lang w:eastAsia="sk-SK"/>
        </w:rPr>
        <w:t>Príspevok na ubytovanie</w:t>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t xml:space="preserve"> 63 800                </w:t>
      </w:r>
    </w:p>
    <w:p w14:paraId="3C3254FE" w14:textId="77777777" w:rsidR="003A0696" w:rsidRPr="0032592F" w:rsidRDefault="003A0696" w:rsidP="003A0696">
      <w:pPr>
        <w:spacing w:after="0" w:line="240" w:lineRule="auto"/>
        <w:jc w:val="center"/>
        <w:rPr>
          <w:rFonts w:eastAsia="Times New Roman" w:cs="Times New Roman"/>
          <w:color w:val="000000"/>
          <w:sz w:val="18"/>
          <w:szCs w:val="18"/>
          <w:lang w:eastAsia="sk-SK"/>
        </w:rPr>
      </w:pPr>
      <w:r w:rsidRPr="0032592F">
        <w:rPr>
          <w:rFonts w:eastAsia="Times New Roman" w:cs="Times New Roman"/>
          <w:color w:val="000000"/>
          <w:sz w:val="18"/>
          <w:szCs w:val="18"/>
          <w:lang w:eastAsia="sk-SK"/>
        </w:rPr>
        <w:t xml:space="preserve">Žiaci v regionálnom školstve    </w:t>
      </w:r>
      <w:r>
        <w:rPr>
          <w:rFonts w:eastAsia="Times New Roman" w:cs="Times New Roman"/>
          <w:color w:val="000000"/>
          <w:sz w:val="18"/>
          <w:szCs w:val="18"/>
          <w:lang w:eastAsia="sk-SK"/>
        </w:rPr>
        <w:t xml:space="preserve"> </w:t>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Pr>
          <w:rFonts w:eastAsia="Times New Roman" w:cs="Times New Roman"/>
          <w:color w:val="000000"/>
          <w:sz w:val="18"/>
          <w:szCs w:val="18"/>
          <w:lang w:eastAsia="sk-SK"/>
        </w:rPr>
        <w:t xml:space="preserve">    </w:t>
      </w:r>
      <w:r w:rsidRPr="0032592F">
        <w:rPr>
          <w:rFonts w:eastAsia="Times New Roman" w:cs="Times New Roman"/>
          <w:color w:val="000000"/>
          <w:sz w:val="18"/>
          <w:szCs w:val="18"/>
          <w:lang w:eastAsia="sk-SK"/>
        </w:rPr>
        <w:tab/>
      </w:r>
      <w:r>
        <w:rPr>
          <w:rFonts w:eastAsia="Times New Roman" w:cs="Times New Roman"/>
          <w:color w:val="000000"/>
          <w:sz w:val="18"/>
          <w:szCs w:val="18"/>
          <w:lang w:eastAsia="sk-SK"/>
        </w:rPr>
        <w:t xml:space="preserve"> </w:t>
      </w:r>
      <w:r w:rsidRPr="0032592F">
        <w:rPr>
          <w:rFonts w:eastAsia="Times New Roman" w:cs="Times New Roman"/>
          <w:color w:val="000000"/>
          <w:sz w:val="18"/>
          <w:szCs w:val="18"/>
          <w:lang w:eastAsia="sk-SK"/>
        </w:rPr>
        <w:t>19 9</w:t>
      </w:r>
      <w:r>
        <w:rPr>
          <w:rFonts w:eastAsia="Times New Roman" w:cs="Times New Roman"/>
          <w:color w:val="000000"/>
          <w:sz w:val="18"/>
          <w:szCs w:val="18"/>
          <w:lang w:eastAsia="sk-SK"/>
        </w:rPr>
        <w:t>83</w:t>
      </w:r>
      <w:r w:rsidRPr="0032592F">
        <w:rPr>
          <w:rFonts w:eastAsia="Times New Roman" w:cs="Times New Roman"/>
          <w:color w:val="000000"/>
          <w:sz w:val="18"/>
          <w:szCs w:val="18"/>
          <w:lang w:eastAsia="sk-SK"/>
        </w:rPr>
        <w:t xml:space="preserve">                                                                                                </w:t>
      </w:r>
    </w:p>
    <w:p w14:paraId="71F3681E" w14:textId="77777777" w:rsidR="003A0696" w:rsidRPr="0032592F" w:rsidRDefault="003A0696" w:rsidP="003A0696">
      <w:pPr>
        <w:spacing w:after="0" w:line="240" w:lineRule="auto"/>
        <w:jc w:val="right"/>
        <w:rPr>
          <w:rFonts w:eastAsia="Times New Roman" w:cs="Times New Roman"/>
          <w:color w:val="000000"/>
          <w:sz w:val="18"/>
          <w:szCs w:val="18"/>
          <w:lang w:eastAsia="sk-SK"/>
        </w:rPr>
      </w:pPr>
      <w:r w:rsidRPr="0032592F">
        <w:rPr>
          <w:rFonts w:eastAsia="Times New Roman" w:cs="Times New Roman"/>
          <w:color w:val="000000"/>
          <w:sz w:val="18"/>
          <w:szCs w:val="18"/>
          <w:lang w:eastAsia="sk-SK"/>
        </w:rPr>
        <w:t xml:space="preserve">Dávky v hmotnej núdzi                                                                                                                                                              4 997                                                                                                                                          </w:t>
      </w:r>
    </w:p>
    <w:p w14:paraId="21EE2A8E" w14:textId="77777777" w:rsidR="003A0696" w:rsidRPr="0032592F" w:rsidRDefault="003A0696" w:rsidP="003A0696">
      <w:pPr>
        <w:spacing w:after="0" w:line="240" w:lineRule="auto"/>
        <w:jc w:val="right"/>
        <w:rPr>
          <w:rFonts w:eastAsia="Times New Roman" w:cs="Times New Roman"/>
          <w:color w:val="000000"/>
          <w:sz w:val="18"/>
          <w:szCs w:val="18"/>
          <w:lang w:eastAsia="sk-SK"/>
        </w:rPr>
      </w:pPr>
      <w:r w:rsidRPr="0032592F">
        <w:rPr>
          <w:rFonts w:eastAsia="Times New Roman" w:cs="Times New Roman"/>
          <w:color w:val="000000"/>
          <w:sz w:val="18"/>
          <w:szCs w:val="18"/>
          <w:lang w:eastAsia="sk-SK"/>
        </w:rPr>
        <w:t xml:space="preserve">Náklady na integráciu (jazyk, školenia, poradenstvo)                                                  </w:t>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t xml:space="preserve">              3 142                </w:t>
      </w:r>
    </w:p>
    <w:p w14:paraId="48E3538A" w14:textId="77777777" w:rsidR="003A0696" w:rsidRPr="0032592F" w:rsidRDefault="003A0696" w:rsidP="003A0696">
      <w:pPr>
        <w:spacing w:after="0" w:line="240" w:lineRule="auto"/>
        <w:jc w:val="right"/>
        <w:rPr>
          <w:rFonts w:eastAsia="Times New Roman" w:cs="Times New Roman"/>
          <w:color w:val="000000"/>
          <w:sz w:val="18"/>
          <w:szCs w:val="18"/>
          <w:lang w:eastAsia="sk-SK"/>
        </w:rPr>
      </w:pPr>
      <w:r w:rsidRPr="0032592F">
        <w:rPr>
          <w:rFonts w:eastAsia="Times New Roman" w:cs="Times New Roman"/>
          <w:color w:val="000000"/>
          <w:sz w:val="18"/>
          <w:szCs w:val="18"/>
          <w:lang w:eastAsia="sk-SK"/>
        </w:rPr>
        <w:t xml:space="preserve">Zdravotná starostlivosť                                                                                                                                                              4 855                </w:t>
      </w:r>
    </w:p>
    <w:p w14:paraId="5408B9B0" w14:textId="77777777" w:rsidR="003A0696" w:rsidRPr="0032592F" w:rsidRDefault="003A0696" w:rsidP="003A0696">
      <w:pPr>
        <w:spacing w:after="0" w:line="240" w:lineRule="auto"/>
        <w:jc w:val="right"/>
        <w:rPr>
          <w:rFonts w:eastAsia="Times New Roman" w:cs="Times New Roman"/>
          <w:color w:val="000000"/>
          <w:sz w:val="18"/>
          <w:szCs w:val="18"/>
          <w:lang w:eastAsia="sk-SK"/>
        </w:rPr>
      </w:pPr>
      <w:r w:rsidRPr="0032592F">
        <w:rPr>
          <w:rFonts w:eastAsia="Times New Roman" w:cs="Times New Roman"/>
          <w:color w:val="000000"/>
          <w:sz w:val="18"/>
          <w:szCs w:val="18"/>
          <w:lang w:eastAsia="sk-SK"/>
        </w:rPr>
        <w:t>Ostatné náklady spojené s utečencami - Ministerstvo vnútra</w:t>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Pr>
          <w:rFonts w:eastAsia="Times New Roman" w:cs="Times New Roman"/>
          <w:color w:val="000000"/>
          <w:sz w:val="18"/>
          <w:szCs w:val="18"/>
          <w:lang w:eastAsia="sk-SK"/>
        </w:rPr>
        <w:t xml:space="preserve"> 45 809</w:t>
      </w:r>
    </w:p>
    <w:p w14:paraId="6DC865A2" w14:textId="77777777" w:rsidR="003A0696" w:rsidRPr="0032592F" w:rsidRDefault="003A0696" w:rsidP="003A0696">
      <w:pPr>
        <w:spacing w:after="0" w:line="240" w:lineRule="auto"/>
        <w:jc w:val="center"/>
        <w:rPr>
          <w:rFonts w:eastAsia="Times New Roman" w:cs="Times New Roman"/>
          <w:color w:val="000000"/>
          <w:sz w:val="18"/>
          <w:szCs w:val="18"/>
          <w:lang w:eastAsia="sk-SK"/>
        </w:rPr>
      </w:pPr>
      <w:r w:rsidRPr="0032592F">
        <w:rPr>
          <w:rFonts w:eastAsia="Times New Roman" w:cs="Times New Roman"/>
          <w:color w:val="000000"/>
          <w:sz w:val="18"/>
          <w:szCs w:val="18"/>
          <w:lang w:eastAsia="sk-SK"/>
        </w:rPr>
        <w:t>Vojenská a humanitárna pomoc</w:t>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Pr>
          <w:rFonts w:eastAsia="Times New Roman" w:cs="Times New Roman"/>
          <w:color w:val="000000"/>
          <w:sz w:val="18"/>
          <w:szCs w:val="18"/>
          <w:lang w:eastAsia="sk-SK"/>
        </w:rPr>
        <w:t xml:space="preserve"> </w:t>
      </w:r>
      <w:r w:rsidRPr="0032592F">
        <w:rPr>
          <w:rFonts w:eastAsia="Times New Roman" w:cs="Times New Roman"/>
          <w:color w:val="000000"/>
          <w:sz w:val="18"/>
          <w:szCs w:val="18"/>
          <w:lang w:eastAsia="sk-SK"/>
        </w:rPr>
        <w:t>22 935</w:t>
      </w:r>
    </w:p>
    <w:p w14:paraId="3BEFE9BE" w14:textId="77777777" w:rsidR="003A0696" w:rsidRPr="0032592F" w:rsidRDefault="003A0696" w:rsidP="003A0696">
      <w:pPr>
        <w:spacing w:after="0" w:line="240" w:lineRule="auto"/>
        <w:jc w:val="center"/>
        <w:rPr>
          <w:rFonts w:eastAsia="Times New Roman" w:cs="Times New Roman"/>
          <w:color w:val="000000"/>
          <w:sz w:val="18"/>
          <w:szCs w:val="18"/>
          <w:lang w:eastAsia="sk-SK"/>
        </w:rPr>
      </w:pPr>
      <w:r w:rsidRPr="0032592F">
        <w:rPr>
          <w:rFonts w:eastAsia="Times New Roman" w:cs="Times New Roman"/>
          <w:color w:val="000000"/>
          <w:sz w:val="18"/>
          <w:szCs w:val="18"/>
          <w:lang w:eastAsia="sk-SK"/>
        </w:rPr>
        <w:t>Vyvolané investície (kontajnerové mestečko pre vojakov NATO a iné)</w:t>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Pr>
          <w:rFonts w:eastAsia="Times New Roman" w:cs="Times New Roman"/>
          <w:color w:val="000000"/>
          <w:sz w:val="18"/>
          <w:szCs w:val="18"/>
          <w:lang w:eastAsia="sk-SK"/>
        </w:rPr>
        <w:t xml:space="preserve"> </w:t>
      </w:r>
      <w:r w:rsidRPr="0032592F">
        <w:rPr>
          <w:rFonts w:eastAsia="Times New Roman" w:cs="Times New Roman"/>
          <w:color w:val="000000"/>
          <w:sz w:val="18"/>
          <w:szCs w:val="18"/>
          <w:lang w:eastAsia="sk-SK"/>
        </w:rPr>
        <w:t>28 170</w:t>
      </w:r>
    </w:p>
    <w:tbl>
      <w:tblPr>
        <w:tblW w:w="9214" w:type="dxa"/>
        <w:tblCellMar>
          <w:left w:w="70" w:type="dxa"/>
          <w:right w:w="70" w:type="dxa"/>
        </w:tblCellMar>
        <w:tblLook w:val="04A0" w:firstRow="1" w:lastRow="0" w:firstColumn="1" w:lastColumn="0" w:noHBand="0" w:noVBand="1"/>
      </w:tblPr>
      <w:tblGrid>
        <w:gridCol w:w="8036"/>
        <w:gridCol w:w="1178"/>
      </w:tblGrid>
      <w:tr w:rsidR="003A0696" w:rsidRPr="009E1EA5" w14:paraId="21422D4C" w14:textId="77777777" w:rsidTr="003234A0">
        <w:trPr>
          <w:trHeight w:val="278"/>
        </w:trPr>
        <w:tc>
          <w:tcPr>
            <w:tcW w:w="8036" w:type="dxa"/>
            <w:tcBorders>
              <w:top w:val="nil"/>
              <w:left w:val="nil"/>
              <w:bottom w:val="single" w:sz="4" w:space="0" w:color="auto"/>
            </w:tcBorders>
            <w:shd w:val="clear" w:color="auto" w:fill="auto"/>
            <w:noWrap/>
            <w:vAlign w:val="center"/>
            <w:hideMark/>
          </w:tcPr>
          <w:p w14:paraId="7DE6FB75" w14:textId="77777777" w:rsidR="003A0696" w:rsidRPr="009E1EA5" w:rsidRDefault="003A0696" w:rsidP="003A0696">
            <w:pPr>
              <w:spacing w:after="0" w:line="240" w:lineRule="auto"/>
              <w:ind w:hanging="75"/>
              <w:jc w:val="left"/>
              <w:rPr>
                <w:rFonts w:eastAsia="Times New Roman" w:cs="Times New Roman"/>
                <w:b/>
                <w:color w:val="000000"/>
                <w:sz w:val="18"/>
                <w:szCs w:val="18"/>
                <w:lang w:eastAsia="sk-SK"/>
              </w:rPr>
            </w:pPr>
            <w:r w:rsidRPr="009E1EA5">
              <w:rPr>
                <w:rFonts w:eastAsia="Times New Roman" w:cs="Times New Roman"/>
                <w:b/>
                <w:color w:val="000000"/>
                <w:sz w:val="18"/>
                <w:szCs w:val="18"/>
                <w:lang w:eastAsia="sk-SK"/>
              </w:rPr>
              <w:t>Spolu</w:t>
            </w:r>
          </w:p>
        </w:tc>
        <w:tc>
          <w:tcPr>
            <w:tcW w:w="1178" w:type="dxa"/>
            <w:tcBorders>
              <w:top w:val="nil"/>
              <w:left w:val="nil"/>
              <w:bottom w:val="single" w:sz="4" w:space="0" w:color="auto"/>
              <w:right w:val="nil"/>
            </w:tcBorders>
            <w:shd w:val="clear" w:color="auto" w:fill="auto"/>
            <w:noWrap/>
            <w:vAlign w:val="center"/>
            <w:hideMark/>
          </w:tcPr>
          <w:p w14:paraId="2149A4C0" w14:textId="2956FC28" w:rsidR="003A0696" w:rsidRPr="009E1EA5" w:rsidRDefault="003A0696" w:rsidP="003234A0">
            <w:pPr>
              <w:spacing w:after="0" w:line="240" w:lineRule="auto"/>
              <w:rPr>
                <w:rFonts w:eastAsia="Times New Roman" w:cs="Times New Roman"/>
                <w:b/>
                <w:color w:val="000000"/>
                <w:sz w:val="18"/>
                <w:szCs w:val="18"/>
                <w:lang w:eastAsia="sk-SK"/>
              </w:rPr>
            </w:pPr>
            <w:r w:rsidRPr="009E1EA5">
              <w:rPr>
                <w:rFonts w:eastAsia="Times New Roman" w:cs="Times New Roman"/>
                <w:b/>
                <w:color w:val="000000"/>
                <w:sz w:val="18"/>
                <w:szCs w:val="18"/>
                <w:lang w:eastAsia="sk-SK"/>
              </w:rPr>
              <w:t xml:space="preserve"> </w:t>
            </w:r>
            <w:r w:rsidR="003234A0">
              <w:rPr>
                <w:rFonts w:eastAsia="Times New Roman" w:cs="Times New Roman"/>
                <w:b/>
                <w:color w:val="000000"/>
                <w:sz w:val="18"/>
                <w:szCs w:val="18"/>
                <w:lang w:eastAsia="sk-SK"/>
              </w:rPr>
              <w:t xml:space="preserve"> </w:t>
            </w:r>
            <w:r w:rsidRPr="009E1EA5">
              <w:rPr>
                <w:rFonts w:eastAsia="Times New Roman" w:cs="Times New Roman"/>
                <w:b/>
                <w:color w:val="000000"/>
                <w:sz w:val="18"/>
                <w:szCs w:val="18"/>
                <w:lang w:eastAsia="sk-SK"/>
              </w:rPr>
              <w:t xml:space="preserve">   </w:t>
            </w:r>
            <w:r>
              <w:rPr>
                <w:rFonts w:eastAsia="Times New Roman" w:cs="Times New Roman"/>
                <w:b/>
                <w:color w:val="000000"/>
                <w:sz w:val="18"/>
                <w:szCs w:val="18"/>
                <w:lang w:eastAsia="sk-SK"/>
              </w:rPr>
              <w:t xml:space="preserve">     193 691</w:t>
            </w:r>
          </w:p>
        </w:tc>
      </w:tr>
    </w:tbl>
    <w:p w14:paraId="02D08465" w14:textId="77777777" w:rsidR="003A0696" w:rsidRPr="0032592F" w:rsidRDefault="003A0696" w:rsidP="003A0696">
      <w:pPr>
        <w:spacing w:after="0" w:line="240" w:lineRule="auto"/>
        <w:rPr>
          <w:rFonts w:eastAsia="Times New Roman" w:cs="Times New Roman"/>
          <w:color w:val="000000"/>
          <w:sz w:val="18"/>
          <w:szCs w:val="18"/>
          <w:lang w:eastAsia="sk-SK"/>
        </w:rPr>
      </w:pPr>
      <w:r>
        <w:rPr>
          <w:rFonts w:eastAsia="Times New Roman" w:cs="Times New Roman"/>
          <w:color w:val="000000"/>
          <w:sz w:val="18"/>
          <w:szCs w:val="18"/>
          <w:lang w:eastAsia="sk-SK"/>
        </w:rPr>
        <w:t>Výdavky refundované</w:t>
      </w:r>
      <w:r w:rsidRPr="0032592F">
        <w:rPr>
          <w:rFonts w:eastAsia="Times New Roman" w:cs="Times New Roman"/>
          <w:color w:val="000000"/>
          <w:sz w:val="18"/>
          <w:szCs w:val="18"/>
          <w:lang w:eastAsia="sk-SK"/>
        </w:rPr>
        <w:t xml:space="preserve"> z EU zdroja </w:t>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sidRPr="0032592F">
        <w:rPr>
          <w:rFonts w:eastAsia="Times New Roman" w:cs="Times New Roman"/>
          <w:color w:val="000000"/>
          <w:sz w:val="18"/>
          <w:szCs w:val="18"/>
          <w:lang w:eastAsia="sk-SK"/>
        </w:rPr>
        <w:tab/>
      </w:r>
      <w:r>
        <w:rPr>
          <w:rFonts w:eastAsia="Times New Roman" w:cs="Times New Roman"/>
          <w:color w:val="000000"/>
          <w:sz w:val="18"/>
          <w:szCs w:val="18"/>
          <w:lang w:eastAsia="sk-SK"/>
        </w:rPr>
        <w:t xml:space="preserve">          0</w:t>
      </w:r>
      <w:r w:rsidRPr="0032592F">
        <w:rPr>
          <w:rFonts w:eastAsia="Times New Roman" w:cs="Times New Roman"/>
          <w:color w:val="000000"/>
          <w:sz w:val="18"/>
          <w:szCs w:val="18"/>
          <w:lang w:eastAsia="sk-SK"/>
        </w:rPr>
        <w:t xml:space="preserve">    </w:t>
      </w:r>
    </w:p>
    <w:tbl>
      <w:tblPr>
        <w:tblW w:w="9214" w:type="dxa"/>
        <w:tblCellMar>
          <w:left w:w="70" w:type="dxa"/>
          <w:right w:w="70" w:type="dxa"/>
        </w:tblCellMar>
        <w:tblLook w:val="04A0" w:firstRow="1" w:lastRow="0" w:firstColumn="1" w:lastColumn="0" w:noHBand="0" w:noVBand="1"/>
      </w:tblPr>
      <w:tblGrid>
        <w:gridCol w:w="8313"/>
        <w:gridCol w:w="901"/>
      </w:tblGrid>
      <w:tr w:rsidR="003A0696" w:rsidRPr="00F174D4" w14:paraId="23BB99FC" w14:textId="77777777" w:rsidTr="003234A0">
        <w:trPr>
          <w:trHeight w:val="293"/>
        </w:trPr>
        <w:tc>
          <w:tcPr>
            <w:tcW w:w="8313" w:type="dxa"/>
            <w:tcBorders>
              <w:top w:val="single" w:sz="4" w:space="0" w:color="auto"/>
              <w:left w:val="nil"/>
              <w:bottom w:val="single" w:sz="8" w:space="0" w:color="auto"/>
              <w:right w:val="nil"/>
            </w:tcBorders>
            <w:shd w:val="clear" w:color="auto" w:fill="auto"/>
            <w:noWrap/>
            <w:vAlign w:val="bottom"/>
            <w:hideMark/>
          </w:tcPr>
          <w:p w14:paraId="1473CA9F" w14:textId="77777777" w:rsidR="003A0696" w:rsidRPr="00F174D4" w:rsidRDefault="003A0696" w:rsidP="003A0696">
            <w:pPr>
              <w:spacing w:after="0" w:line="240" w:lineRule="auto"/>
              <w:ind w:hanging="75"/>
              <w:jc w:val="left"/>
              <w:rPr>
                <w:rFonts w:eastAsia="Times New Roman" w:cs="Times New Roman"/>
                <w:i/>
                <w:iCs/>
                <w:color w:val="000000"/>
                <w:sz w:val="18"/>
                <w:szCs w:val="18"/>
                <w:lang w:eastAsia="sk-SK"/>
              </w:rPr>
            </w:pPr>
            <w:r w:rsidRPr="00F174D4">
              <w:rPr>
                <w:rFonts w:eastAsia="Times New Roman" w:cs="Times New Roman"/>
                <w:b/>
                <w:bCs/>
                <w:color w:val="000000"/>
                <w:sz w:val="18"/>
                <w:szCs w:val="18"/>
                <w:lang w:eastAsia="sk-SK"/>
              </w:rPr>
              <w:t>Vplyv výdavkov na saldo VS</w:t>
            </w:r>
          </w:p>
        </w:tc>
        <w:tc>
          <w:tcPr>
            <w:tcW w:w="901" w:type="dxa"/>
            <w:tcBorders>
              <w:top w:val="single" w:sz="4" w:space="0" w:color="auto"/>
              <w:left w:val="nil"/>
              <w:bottom w:val="single" w:sz="8" w:space="0" w:color="auto"/>
              <w:right w:val="nil"/>
            </w:tcBorders>
            <w:shd w:val="clear" w:color="auto" w:fill="auto"/>
            <w:noWrap/>
            <w:vAlign w:val="center"/>
            <w:hideMark/>
          </w:tcPr>
          <w:p w14:paraId="3930E485" w14:textId="3D315BC7" w:rsidR="003A0696" w:rsidRPr="00F174D4" w:rsidRDefault="003234A0" w:rsidP="003234A0">
            <w:pPr>
              <w:spacing w:after="0" w:line="240" w:lineRule="auto"/>
              <w:rPr>
                <w:rFonts w:eastAsia="Times New Roman" w:cs="Times New Roman"/>
                <w:bCs/>
                <w:i/>
                <w:color w:val="000000"/>
                <w:sz w:val="18"/>
                <w:szCs w:val="18"/>
                <w:lang w:eastAsia="sk-SK"/>
              </w:rPr>
            </w:pPr>
            <w:r>
              <w:rPr>
                <w:rFonts w:eastAsia="Times New Roman" w:cs="Times New Roman"/>
                <w:b/>
                <w:bCs/>
                <w:color w:val="000000"/>
                <w:sz w:val="18"/>
                <w:szCs w:val="18"/>
                <w:lang w:eastAsia="sk-SK"/>
              </w:rPr>
              <w:t xml:space="preserve">    </w:t>
            </w:r>
            <w:r w:rsidR="003A0696">
              <w:rPr>
                <w:rFonts w:eastAsia="Times New Roman" w:cs="Times New Roman"/>
                <w:b/>
                <w:bCs/>
                <w:color w:val="000000"/>
                <w:sz w:val="18"/>
                <w:szCs w:val="18"/>
                <w:lang w:eastAsia="sk-SK"/>
              </w:rPr>
              <w:t>193 691</w:t>
            </w:r>
          </w:p>
        </w:tc>
      </w:tr>
    </w:tbl>
    <w:p w14:paraId="6F0F1FF3" w14:textId="77777777" w:rsidR="003A0696" w:rsidRPr="003747BF" w:rsidRDefault="003A0696" w:rsidP="003A0696">
      <w:pPr>
        <w:spacing w:after="0" w:line="240" w:lineRule="auto"/>
        <w:jc w:val="center"/>
        <w:rPr>
          <w:rFonts w:eastAsia="Times New Roman" w:cs="Times New Roman"/>
          <w:color w:val="000000"/>
          <w:sz w:val="18"/>
          <w:szCs w:val="18"/>
          <w:lang w:eastAsia="sk-SK"/>
        </w:rPr>
      </w:pPr>
      <w:r>
        <w:rPr>
          <w:rFonts w:eastAsia="Times New Roman" w:cs="Times New Roman"/>
          <w:color w:val="000000"/>
          <w:sz w:val="18"/>
          <w:szCs w:val="18"/>
          <w:lang w:eastAsia="sk-SK"/>
        </w:rPr>
        <w:t xml:space="preserve">    </w:t>
      </w:r>
      <w:r w:rsidRPr="003747BF">
        <w:rPr>
          <w:sz w:val="16"/>
          <w:szCs w:val="16"/>
        </w:rPr>
        <w:t xml:space="preserve">                                                                                                                                                                                        </w:t>
      </w:r>
      <w:r>
        <w:rPr>
          <w:sz w:val="16"/>
          <w:szCs w:val="16"/>
        </w:rPr>
        <w:t xml:space="preserve">  </w:t>
      </w:r>
      <w:r w:rsidRPr="003747BF">
        <w:rPr>
          <w:sz w:val="16"/>
          <w:szCs w:val="16"/>
        </w:rPr>
        <w:t xml:space="preserve">          Zdroj: </w:t>
      </w:r>
      <w:r>
        <w:rPr>
          <w:sz w:val="16"/>
          <w:szCs w:val="16"/>
        </w:rPr>
        <w:t xml:space="preserve">IFP, </w:t>
      </w:r>
      <w:r w:rsidRPr="003747BF">
        <w:rPr>
          <w:sz w:val="16"/>
          <w:szCs w:val="16"/>
        </w:rPr>
        <w:t xml:space="preserve">MFSR </w:t>
      </w:r>
      <w:r>
        <w:rPr>
          <w:rFonts w:eastAsia="Times New Roman" w:cs="Times New Roman"/>
          <w:color w:val="000000"/>
          <w:sz w:val="18"/>
          <w:szCs w:val="18"/>
          <w:lang w:eastAsia="sk-SK"/>
        </w:rPr>
        <w:t xml:space="preserve">                                                                                                                                     </w:t>
      </w:r>
    </w:p>
    <w:p w14:paraId="3249B174" w14:textId="77777777" w:rsidR="003A0696" w:rsidRDefault="003A0696" w:rsidP="003A0696">
      <w:pPr>
        <w:spacing w:before="120" w:line="240" w:lineRule="auto"/>
        <w:rPr>
          <w:sz w:val="24"/>
          <w:szCs w:val="24"/>
        </w:rPr>
      </w:pPr>
      <w:r w:rsidRPr="00343ADD">
        <w:rPr>
          <w:sz w:val="24"/>
          <w:szCs w:val="24"/>
        </w:rPr>
        <w:t>Kapitole Ministerstvo obrany SR boli v decembri 2022 poskytnuté prostriedky z Európskeho mierového nástroja EPF (zaradené do príjmov štátneho rozpočtu) v sume 40</w:t>
      </w:r>
      <w:r>
        <w:rPr>
          <w:sz w:val="24"/>
          <w:szCs w:val="24"/>
        </w:rPr>
        <w:t> </w:t>
      </w:r>
      <w:r w:rsidRPr="00343ADD">
        <w:rPr>
          <w:sz w:val="24"/>
          <w:szCs w:val="24"/>
        </w:rPr>
        <w:t>21</w:t>
      </w:r>
      <w:r>
        <w:rPr>
          <w:sz w:val="24"/>
          <w:szCs w:val="24"/>
        </w:rPr>
        <w:t>4 tis. eur</w:t>
      </w:r>
      <w:r w:rsidRPr="00343ADD">
        <w:rPr>
          <w:sz w:val="24"/>
          <w:szCs w:val="24"/>
        </w:rPr>
        <w:t xml:space="preserve"> </w:t>
      </w:r>
      <w:r>
        <w:rPr>
          <w:sz w:val="24"/>
          <w:szCs w:val="24"/>
        </w:rPr>
        <w:t xml:space="preserve">formou transferu v rámci pomoci </w:t>
      </w:r>
      <w:r w:rsidRPr="00343ADD">
        <w:rPr>
          <w:sz w:val="24"/>
          <w:szCs w:val="24"/>
        </w:rPr>
        <w:t>Ukrajine.</w:t>
      </w:r>
      <w:r>
        <w:rPr>
          <w:sz w:val="24"/>
          <w:szCs w:val="24"/>
        </w:rPr>
        <w:t xml:space="preserve"> V súvislosti so vzniknutou situáciou spôsobenou ozbrojeným konfliktom na Ukrajine boli v priebehu roka kapitolami čerpané finančné prostriedky vo forme bežných výdavkov v sume 163 894 tis. eur (mzdy, poistné, tovary a služby, transfery) a kapitálových výdavkov v sume 29 797 tis. eur (obstaranie kapitálových aktív). Podrobnejší rozpis hotovostného čerpania je v kapitole 3.</w:t>
      </w:r>
    </w:p>
    <w:p w14:paraId="50297280" w14:textId="77777777" w:rsidR="003A0696" w:rsidRPr="0032592F" w:rsidRDefault="003A0696" w:rsidP="003A0696">
      <w:pPr>
        <w:spacing w:line="240" w:lineRule="auto"/>
        <w:rPr>
          <w:rFonts w:cs="Times New Roman"/>
          <w:b/>
          <w:color w:val="5B9BD5" w:themeColor="accent1"/>
          <w:sz w:val="24"/>
          <w:szCs w:val="24"/>
        </w:rPr>
      </w:pPr>
      <w:r w:rsidRPr="0032592F">
        <w:rPr>
          <w:rFonts w:cs="Times New Roman"/>
          <w:b/>
          <w:color w:val="5B9BD5" w:themeColor="accent1"/>
          <w:sz w:val="24"/>
          <w:szCs w:val="24"/>
        </w:rPr>
        <w:t>Energetická pomoc</w:t>
      </w:r>
    </w:p>
    <w:p w14:paraId="611A7DA7" w14:textId="77777777" w:rsidR="003A0696" w:rsidRPr="00275080" w:rsidRDefault="003A0696" w:rsidP="003A0696">
      <w:pPr>
        <w:spacing w:before="120" w:line="240" w:lineRule="auto"/>
        <w:rPr>
          <w:sz w:val="24"/>
          <w:szCs w:val="24"/>
        </w:rPr>
      </w:pPr>
      <w:r>
        <w:rPr>
          <w:sz w:val="24"/>
          <w:szCs w:val="24"/>
        </w:rPr>
        <w:t xml:space="preserve">V roku 2022 MH SR spolu s vládou intenzívne riešilo pomoc s vysokými cenami energií pre domácnosti, verejný sektor a podnikateľské subjekty. V závere roka 2022 bola vyplatená čiastka 40 000 tis. eur pre energeticky náročné podniky, pričom celková alokovaná čiastka bola vyplatená spolu 138 firmám. V zmysle schémy pomoci 2.1. Dočasného krízového rámca Európskej Komisie (EK) bola vyhlásená výzva pre všetky subjekty vykonávajúce hospodársku činnosť. </w:t>
      </w:r>
      <w:r w:rsidRPr="00A21F0D">
        <w:rPr>
          <w:sz w:val="24"/>
          <w:szCs w:val="24"/>
        </w:rPr>
        <w:t>O kompenzácie mohli požiadať podniky, ale i verejný sektor, ako sú samosprávy, domovy sociálnych služieb či občianske združenia.</w:t>
      </w:r>
      <w:r>
        <w:rPr>
          <w:b/>
          <w:bCs/>
          <w:sz w:val="24"/>
          <w:szCs w:val="24"/>
        </w:rPr>
        <w:t xml:space="preserve"> </w:t>
      </w:r>
      <w:r>
        <w:rPr>
          <w:sz w:val="24"/>
          <w:szCs w:val="24"/>
        </w:rPr>
        <w:t xml:space="preserve">Ku koncu roka boli vyplatené všetky dotácie zo schémy 2.1. v sume 76 168 tis. eur. Tieto kompenzácie mali vykryť zvýšené náklady na elektrickú energiu a zemný plyn. </w:t>
      </w:r>
      <w:r w:rsidRPr="00275080">
        <w:rPr>
          <w:rFonts w:ascii="Roboto" w:hAnsi="Roboto" w:cs="Roboto"/>
          <w:color w:val="000000"/>
          <w:sz w:val="24"/>
          <w:szCs w:val="24"/>
        </w:rPr>
        <w:t xml:space="preserve"> </w:t>
      </w:r>
    </w:p>
    <w:p w14:paraId="505351C0" w14:textId="77777777" w:rsidR="003A0696" w:rsidRPr="002F39C7" w:rsidRDefault="003A0696" w:rsidP="003A0696">
      <w:pPr>
        <w:spacing w:before="120" w:line="240" w:lineRule="auto"/>
        <w:rPr>
          <w:sz w:val="24"/>
          <w:szCs w:val="24"/>
        </w:rPr>
      </w:pPr>
      <w:r w:rsidRPr="009043B8">
        <w:rPr>
          <w:rFonts w:cs="Times New Roman"/>
        </w:rPr>
        <w:t xml:space="preserve">Európska komisia zásadne zmenila podmienky schémy v zmysle  Dočasného krízového rámca EK v časti 2.4 - Pomoc na dodatočné náklady v dôsledku mimoriadne výrazného zvýšenia cien </w:t>
      </w:r>
      <w:r w:rsidRPr="002F39C7">
        <w:rPr>
          <w:sz w:val="24"/>
          <w:szCs w:val="24"/>
        </w:rPr>
        <w:t xml:space="preserve">zemného plynu a elektriny. Tento nový nástroj bude primárne určený väčším podnikom. </w:t>
      </w:r>
    </w:p>
    <w:p w14:paraId="277403AD" w14:textId="77777777" w:rsidR="003A0696" w:rsidRDefault="003A0696" w:rsidP="003A0696">
      <w:pPr>
        <w:spacing w:before="120" w:line="240" w:lineRule="auto"/>
        <w:rPr>
          <w:rFonts w:cs="Times New Roman"/>
          <w:color w:val="000000"/>
          <w:sz w:val="24"/>
          <w:szCs w:val="24"/>
        </w:rPr>
      </w:pPr>
      <w:r w:rsidRPr="002F39C7">
        <w:rPr>
          <w:sz w:val="24"/>
          <w:szCs w:val="24"/>
        </w:rPr>
        <w:t>C</w:t>
      </w:r>
      <w:r w:rsidRPr="009043B8">
        <w:rPr>
          <w:rFonts w:cs="Times New Roman"/>
          <w:color w:val="000000"/>
          <w:sz w:val="24"/>
          <w:szCs w:val="24"/>
        </w:rPr>
        <w:t>ieľom pomoci je napomôcť podnikom zasiahnutým vysokými cenami energií preklenúť nepriaznivé obdobie spôsobené agresiou Ruska, v dôsledku ktorej dochádza k vysokým nárastom cien elektriny na trhoch EÚ za účelom udržania zamestnanosti, urýchlene podporiť finančnú kondíciu, likviditu</w:t>
      </w:r>
      <w:r>
        <w:rPr>
          <w:rFonts w:cs="Times New Roman"/>
          <w:color w:val="000000"/>
          <w:sz w:val="24"/>
          <w:szCs w:val="24"/>
        </w:rPr>
        <w:t>,</w:t>
      </w:r>
      <w:r w:rsidRPr="009043B8">
        <w:rPr>
          <w:rFonts w:cs="Times New Roman"/>
          <w:color w:val="000000"/>
          <w:sz w:val="24"/>
          <w:szCs w:val="24"/>
        </w:rPr>
        <w:t xml:space="preserve"> peňažný tok podnikov a zamestnancov, zabrániť kolapsu podnikateľského prostredia a zachovať strategické a kritické procesy nutné pre zvládnutie tohto obdobia.</w:t>
      </w:r>
    </w:p>
    <w:p w14:paraId="28BDBDEB" w14:textId="77777777" w:rsidR="003A0696" w:rsidRDefault="003A0696" w:rsidP="003A0696">
      <w:pPr>
        <w:spacing w:after="160" w:line="259" w:lineRule="auto"/>
        <w:jc w:val="left"/>
        <w:rPr>
          <w:rFonts w:cs="Times New Roman"/>
          <w:color w:val="000000"/>
          <w:sz w:val="24"/>
          <w:szCs w:val="24"/>
        </w:rPr>
      </w:pPr>
      <w:r>
        <w:rPr>
          <w:rFonts w:cs="Times New Roman"/>
          <w:color w:val="000000"/>
          <w:sz w:val="24"/>
          <w:szCs w:val="24"/>
        </w:rPr>
        <w:br w:type="page"/>
      </w:r>
    </w:p>
    <w:p w14:paraId="122BB172" w14:textId="77777777" w:rsidR="003A0696" w:rsidRDefault="003A0696" w:rsidP="003A0696">
      <w:pPr>
        <w:pStyle w:val="Nadpis2"/>
        <w:spacing w:line="240" w:lineRule="auto"/>
      </w:pPr>
      <w:bookmarkStart w:id="26" w:name="_Toc6415636"/>
      <w:bookmarkStart w:id="27" w:name="_Toc132929080"/>
      <w:r w:rsidRPr="005D545B">
        <w:lastRenderedPageBreak/>
        <w:t>Dlh verejnej správy</w:t>
      </w:r>
      <w:bookmarkEnd w:id="26"/>
      <w:bookmarkEnd w:id="27"/>
    </w:p>
    <w:p w14:paraId="31432A6C" w14:textId="77777777" w:rsidR="003A0696" w:rsidRDefault="003A0696" w:rsidP="003A0696">
      <w:pPr>
        <w:spacing w:after="160" w:line="259" w:lineRule="auto"/>
        <w:rPr>
          <w:sz w:val="24"/>
          <w:szCs w:val="24"/>
        </w:rPr>
      </w:pPr>
      <w:r w:rsidRPr="00B728E9">
        <w:rPr>
          <w:b/>
          <w:sz w:val="24"/>
          <w:szCs w:val="24"/>
        </w:rPr>
        <w:t>Maastrichtský dlh verejnej správy</w:t>
      </w:r>
      <w:r w:rsidRPr="00B728E9">
        <w:rPr>
          <w:sz w:val="24"/>
          <w:szCs w:val="24"/>
        </w:rPr>
        <w:t xml:space="preserve"> dosiahol k 31.12.2022 hodnotu 63 378 782 tis. eur, čo predstavuje </w:t>
      </w:r>
      <w:r>
        <w:rPr>
          <w:b/>
          <w:sz w:val="24"/>
          <w:szCs w:val="24"/>
        </w:rPr>
        <w:t>57</w:t>
      </w:r>
      <w:r w:rsidRPr="00B728E9">
        <w:rPr>
          <w:b/>
          <w:sz w:val="24"/>
          <w:szCs w:val="24"/>
        </w:rPr>
        <w:t>,8 % HDP.</w:t>
      </w:r>
      <w:r w:rsidRPr="00B728E9">
        <w:rPr>
          <w:sz w:val="24"/>
          <w:szCs w:val="24"/>
        </w:rPr>
        <w:t xml:space="preserve"> </w:t>
      </w:r>
      <w:r w:rsidRPr="00F17020">
        <w:rPr>
          <w:b/>
          <w:sz w:val="24"/>
          <w:szCs w:val="24"/>
        </w:rPr>
        <w:t>V pomere</w:t>
      </w:r>
      <w:r>
        <w:rPr>
          <w:b/>
          <w:sz w:val="24"/>
          <w:szCs w:val="24"/>
        </w:rPr>
        <w:t xml:space="preserve"> k HDP hrubý dlh medziročne klesol o 3,2</w:t>
      </w:r>
      <w:r w:rsidRPr="00F17020">
        <w:rPr>
          <w:b/>
          <w:sz w:val="24"/>
          <w:szCs w:val="24"/>
        </w:rPr>
        <w:t> p. b.</w:t>
      </w:r>
      <w:r w:rsidRPr="00F17020">
        <w:rPr>
          <w:sz w:val="24"/>
          <w:szCs w:val="24"/>
        </w:rPr>
        <w:t xml:space="preserve"> Východiská rozpočtu v decembri 2021 predpokladali dlh </w:t>
      </w:r>
      <w:r>
        <w:rPr>
          <w:sz w:val="24"/>
          <w:szCs w:val="24"/>
        </w:rPr>
        <w:t xml:space="preserve">na konci roka 2022 </w:t>
      </w:r>
      <w:r w:rsidRPr="00F17020">
        <w:rPr>
          <w:sz w:val="24"/>
          <w:szCs w:val="24"/>
        </w:rPr>
        <w:t>na úrovni 61,5 % HDP, čo v absolútnom vyjadrení malo predstavovať 64 884 000 tis. eur. </w:t>
      </w:r>
      <w:r w:rsidRPr="00336198">
        <w:rPr>
          <w:sz w:val="24"/>
          <w:szCs w:val="24"/>
        </w:rPr>
        <w:t>Skutočne dosiahnutý dlh je v pomere k HDP oproti rozpočtu nižší o</w:t>
      </w:r>
      <w:r>
        <w:rPr>
          <w:sz w:val="24"/>
          <w:szCs w:val="24"/>
        </w:rPr>
        <w:t> 3</w:t>
      </w:r>
      <w:r w:rsidRPr="00336198">
        <w:rPr>
          <w:sz w:val="24"/>
          <w:szCs w:val="24"/>
        </w:rPr>
        <w:t>,7 p. b., v absolútnej hodnote je oproti rozpočtu nižší  o 1 505 218 tis. eur. V medziročnom porovnaní dlh verejnej správy vzrástol v nominálnom vyjadrení o 2 141 419 tis. eur (avšak oproti HDP klesol o 3</w:t>
      </w:r>
      <w:r>
        <w:rPr>
          <w:sz w:val="24"/>
          <w:szCs w:val="24"/>
        </w:rPr>
        <w:t>,2</w:t>
      </w:r>
      <w:r w:rsidRPr="00336198">
        <w:rPr>
          <w:sz w:val="24"/>
          <w:szCs w:val="24"/>
        </w:rPr>
        <w:t> p. b.) pričom medziročný nárast HDP spôsobil zníženie dlhu verejnej správy o 5</w:t>
      </w:r>
      <w:r>
        <w:rPr>
          <w:sz w:val="24"/>
          <w:szCs w:val="24"/>
        </w:rPr>
        <w:t>,4</w:t>
      </w:r>
      <w:r w:rsidRPr="00336198">
        <w:rPr>
          <w:sz w:val="24"/>
          <w:szCs w:val="24"/>
        </w:rPr>
        <w:t> p. b.</w:t>
      </w:r>
    </w:p>
    <w:p w14:paraId="78BF3A10" w14:textId="77777777" w:rsidR="003A0696" w:rsidRPr="00872157" w:rsidRDefault="003A0696" w:rsidP="003A0696">
      <w:pPr>
        <w:spacing w:after="160" w:line="22" w:lineRule="atLeast"/>
        <w:contextualSpacing/>
        <w:rPr>
          <w:rFonts w:eastAsia="Calibri"/>
          <w:sz w:val="24"/>
          <w:szCs w:val="24"/>
        </w:rPr>
      </w:pPr>
      <w:r w:rsidRPr="00872157">
        <w:rPr>
          <w:rFonts w:eastAsia="Calibri"/>
          <w:b/>
          <w:sz w:val="24"/>
          <w:szCs w:val="24"/>
        </w:rPr>
        <w:t>Hrubý dlh verejnej správy v roku 2022 klesol na 57,8 % HDP, a to predovšetkým pod</w:t>
      </w:r>
      <w:r>
        <w:rPr>
          <w:rFonts w:eastAsia="Calibri"/>
          <w:b/>
          <w:sz w:val="24"/>
          <w:szCs w:val="24"/>
        </w:rPr>
        <w:t> </w:t>
      </w:r>
      <w:r w:rsidRPr="00872157">
        <w:rPr>
          <w:rFonts w:eastAsia="Calibri"/>
          <w:b/>
          <w:sz w:val="24"/>
          <w:szCs w:val="24"/>
        </w:rPr>
        <w:t xml:space="preserve">vplyvom vysokej inflácie. </w:t>
      </w:r>
      <w:r w:rsidRPr="00872157">
        <w:rPr>
          <w:rFonts w:eastAsia="Calibri"/>
          <w:sz w:val="24"/>
          <w:szCs w:val="24"/>
        </w:rPr>
        <w:t>Projekcia vývoja dlhu v rozpočte na rok 2022</w:t>
      </w:r>
      <w:r>
        <w:rPr>
          <w:rFonts w:eastAsia="Calibri"/>
          <w:sz w:val="24"/>
          <w:szCs w:val="24"/>
        </w:rPr>
        <w:t xml:space="preserve"> indikovala, že </w:t>
      </w:r>
      <w:r w:rsidRPr="00872157">
        <w:rPr>
          <w:rFonts w:eastAsia="Calibri"/>
          <w:sz w:val="24"/>
          <w:szCs w:val="24"/>
        </w:rPr>
        <w:t>dlh sa udrží nad 60 % HDP (</w:t>
      </w:r>
      <w:r w:rsidRPr="007959DE">
        <w:rPr>
          <w:rFonts w:eastAsia="Calibri"/>
          <w:sz w:val="24"/>
          <w:szCs w:val="24"/>
        </w:rPr>
        <w:t>Graf 6). V skutočnosti bol o 3,7 p. b. nižší a dosiahol 57,8 % HDP. Pod jeho pokles v porovnaní s pôvodnou prognózou sa podpísal hlavne nižší deficit verejnej správy. Kým rozpočet očakával, že schodok dosiahne 5 % HDP, v skutočnosti bol 2 %-</w:t>
      </w:r>
      <w:proofErr w:type="spellStart"/>
      <w:r w:rsidRPr="007959DE">
        <w:rPr>
          <w:rFonts w:eastAsia="Calibri"/>
          <w:sz w:val="24"/>
          <w:szCs w:val="24"/>
        </w:rPr>
        <w:t>ný</w:t>
      </w:r>
      <w:proofErr w:type="spellEnd"/>
      <w:r w:rsidRPr="007959DE">
        <w:rPr>
          <w:rFonts w:eastAsia="Calibri"/>
          <w:sz w:val="24"/>
          <w:szCs w:val="24"/>
        </w:rPr>
        <w:t>. Menší deficit pozitívne ovplyvnili v prvom rade priaznivý vývoj daňových a odvodových príjmov, stimulovaný najmä vyššou infláciou (Graf 7).</w:t>
      </w:r>
      <w:r w:rsidRPr="00872157">
        <w:rPr>
          <w:rFonts w:eastAsia="Calibri"/>
          <w:sz w:val="24"/>
          <w:szCs w:val="24"/>
        </w:rPr>
        <w:t xml:space="preserve"> Naopak výdavky boli oproti plánom nižšie, najmä cez nižšie čerpanie výdavkov ŠR na spolufinancovanie programov EÚ,  a nižší odvod do</w:t>
      </w:r>
      <w:r>
        <w:rPr>
          <w:rFonts w:eastAsia="Calibri"/>
          <w:sz w:val="24"/>
          <w:szCs w:val="24"/>
        </w:rPr>
        <w:t> </w:t>
      </w:r>
      <w:r w:rsidRPr="00872157">
        <w:rPr>
          <w:rFonts w:eastAsia="Calibri"/>
          <w:sz w:val="24"/>
          <w:szCs w:val="24"/>
        </w:rPr>
        <w:t>EÚ (spolu za 0,4 % HDP). Časť hotovostných výdavkov z roku 2022 (0,5 % HDP) sa navyše akruálne nezapočítala do roku 2022, keďže samotné dodávky vojenskej techniky prídu n</w:t>
      </w:r>
      <w:r>
        <w:rPr>
          <w:rFonts w:eastAsia="Calibri"/>
          <w:sz w:val="24"/>
          <w:szCs w:val="24"/>
        </w:rPr>
        <w:t>a </w:t>
      </w:r>
      <w:r w:rsidRPr="00872157">
        <w:rPr>
          <w:rFonts w:eastAsia="Calibri"/>
          <w:sz w:val="24"/>
          <w:szCs w:val="24"/>
        </w:rPr>
        <w:t>rozdiel od pôvodných predpokladov neskôr. Vyššia než očakávaná inflácia dodatočne znižovala dlh aj</w:t>
      </w:r>
      <w:r>
        <w:rPr>
          <w:rFonts w:eastAsia="Calibri"/>
          <w:sz w:val="24"/>
          <w:szCs w:val="24"/>
        </w:rPr>
        <w:t> </w:t>
      </w:r>
      <w:r w:rsidRPr="00872157">
        <w:rPr>
          <w:rFonts w:eastAsia="Calibri"/>
          <w:sz w:val="24"/>
          <w:szCs w:val="24"/>
        </w:rPr>
        <w:t>cez efekt menovateľa nominálneho HDP, voči ktorému sa porovnáva. Nominálne HDP bolo totiž oproti rozpočtovanej úrovni v skutočnosti vyššie o viac ako 4 mld. eur.</w:t>
      </w:r>
    </w:p>
    <w:p w14:paraId="5B2366EE" w14:textId="77777777" w:rsidR="003A0696" w:rsidRDefault="003A0696" w:rsidP="003A0696">
      <w:pPr>
        <w:spacing w:after="160" w:line="22" w:lineRule="atLeast"/>
        <w:contextualSpacing/>
        <w:rPr>
          <w:rFonts w:eastAsia="Calibri"/>
        </w:rPr>
      </w:pPr>
    </w:p>
    <w:p w14:paraId="7830A0AF" w14:textId="77777777" w:rsidR="003A0696" w:rsidRPr="00872157" w:rsidRDefault="003A0696" w:rsidP="003A0696">
      <w:pPr>
        <w:spacing w:after="160" w:line="22" w:lineRule="atLeast"/>
        <w:contextualSpacing/>
        <w:rPr>
          <w:rFonts w:eastAsia="Calibri"/>
          <w:sz w:val="24"/>
          <w:szCs w:val="24"/>
        </w:rPr>
      </w:pPr>
      <w:r w:rsidRPr="00872157">
        <w:rPr>
          <w:rFonts w:eastAsia="Calibri"/>
          <w:b/>
          <w:sz w:val="24"/>
          <w:szCs w:val="24"/>
        </w:rPr>
        <w:t>Ďalšiemu poklesu dlhu bránil vývoj likvidity verejnej správy, keďže jej predpokladané čerpanie na financovanie potrieb štátu sa neuskutočnilo.</w:t>
      </w:r>
      <w:r w:rsidRPr="00872157">
        <w:rPr>
          <w:rFonts w:eastAsia="Calibri"/>
          <w:sz w:val="24"/>
          <w:szCs w:val="24"/>
        </w:rPr>
        <w:t xml:space="preserve"> Pokles deficitov voči plánom sa už nestihol plne pretaviť do zníženia plánovaných emisií dlhu v roku 2021 ani 2022, čo reflektuje negatívny vplyv tzv. zosúladenia deficitu a dlhu. Stav likvidných finančných aktív sa tak ku</w:t>
      </w:r>
      <w:r>
        <w:rPr>
          <w:rFonts w:eastAsia="Calibri"/>
          <w:sz w:val="24"/>
          <w:szCs w:val="24"/>
        </w:rPr>
        <w:t> </w:t>
      </w:r>
      <w:r w:rsidRPr="00872157">
        <w:rPr>
          <w:rFonts w:eastAsia="Calibri"/>
          <w:sz w:val="24"/>
          <w:szCs w:val="24"/>
        </w:rPr>
        <w:t>koncu roka 2022 udržal okolo 10 % HDP oproti polovičnej úrovni v predpokladoch rozpočtu.</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4749"/>
        <w:gridCol w:w="146"/>
        <w:gridCol w:w="947"/>
        <w:gridCol w:w="1124"/>
        <w:gridCol w:w="1124"/>
        <w:gridCol w:w="1124"/>
      </w:tblGrid>
      <w:tr w:rsidR="003A0696" w:rsidRPr="00094D9B" w14:paraId="0CAE0A7F" w14:textId="77777777" w:rsidTr="003A0696">
        <w:trPr>
          <w:trHeight w:val="284"/>
          <w:jc w:val="center"/>
        </w:trPr>
        <w:tc>
          <w:tcPr>
            <w:tcW w:w="2554" w:type="pct"/>
            <w:tcBorders>
              <w:top w:val="nil"/>
              <w:left w:val="nil"/>
              <w:bottom w:val="single" w:sz="4" w:space="0" w:color="000000"/>
              <w:right w:val="nil"/>
            </w:tcBorders>
            <w:shd w:val="clear" w:color="auto" w:fill="auto"/>
          </w:tcPr>
          <w:p w14:paraId="7C914CD0" w14:textId="77777777" w:rsidR="003A0696" w:rsidRPr="00094D9B" w:rsidRDefault="003A0696" w:rsidP="003234A0">
            <w:pPr>
              <w:pStyle w:val="Graf"/>
              <w:rPr>
                <w:highlight w:val="yellow"/>
              </w:rPr>
            </w:pPr>
            <w:r w:rsidRPr="007959DE">
              <w:t>Graf </w:t>
            </w:r>
            <w:r w:rsidRPr="007959DE">
              <w:rPr>
                <w:szCs w:val="20"/>
              </w:rPr>
              <w:t>6</w:t>
            </w:r>
            <w:r w:rsidRPr="001C6D66">
              <w:t xml:space="preserve"> – </w:t>
            </w:r>
            <w:r>
              <w:t xml:space="preserve">Príčiny rozdielov </w:t>
            </w:r>
            <w:r w:rsidRPr="00071429">
              <w:t xml:space="preserve">skutočnej </w:t>
            </w:r>
            <w:r>
              <w:t>a</w:t>
            </w:r>
            <w:r w:rsidRPr="00071429">
              <w:t xml:space="preserve"> rozpočtovanej </w:t>
            </w:r>
            <w:r>
              <w:t>úrovne</w:t>
            </w:r>
            <w:r w:rsidRPr="00071429">
              <w:t xml:space="preserve"> hrubého dlhu verejnej správy v 202</w:t>
            </w:r>
            <w:r>
              <w:t>2</w:t>
            </w:r>
            <w:r w:rsidRPr="00071429">
              <w:t xml:space="preserve"> (</w:t>
            </w:r>
            <w:r>
              <w:t>v </w:t>
            </w:r>
            <w:r w:rsidRPr="00071429">
              <w:t>%</w:t>
            </w:r>
            <w:r>
              <w:t> </w:t>
            </w:r>
            <w:r w:rsidRPr="00071429">
              <w:t>HDP)</w:t>
            </w:r>
          </w:p>
        </w:tc>
        <w:tc>
          <w:tcPr>
            <w:tcW w:w="79" w:type="pct"/>
            <w:tcBorders>
              <w:top w:val="nil"/>
              <w:left w:val="nil"/>
              <w:bottom w:val="nil"/>
              <w:right w:val="nil"/>
            </w:tcBorders>
            <w:shd w:val="clear" w:color="auto" w:fill="auto"/>
            <w:vAlign w:val="center"/>
          </w:tcPr>
          <w:p w14:paraId="6D3CAF7C" w14:textId="77777777" w:rsidR="003A0696" w:rsidRPr="00094D9B" w:rsidRDefault="003A0696" w:rsidP="003234A0">
            <w:pPr>
              <w:pStyle w:val="Graf"/>
              <w:rPr>
                <w:highlight w:val="yellow"/>
              </w:rPr>
            </w:pPr>
          </w:p>
        </w:tc>
        <w:tc>
          <w:tcPr>
            <w:tcW w:w="2367" w:type="pct"/>
            <w:gridSpan w:val="4"/>
            <w:tcBorders>
              <w:top w:val="nil"/>
              <w:left w:val="nil"/>
              <w:bottom w:val="single" w:sz="4" w:space="0" w:color="000000"/>
              <w:right w:val="nil"/>
            </w:tcBorders>
            <w:shd w:val="clear" w:color="auto" w:fill="auto"/>
            <w:vAlign w:val="center"/>
          </w:tcPr>
          <w:p w14:paraId="4C2525DA" w14:textId="77777777" w:rsidR="003A0696" w:rsidRDefault="003A0696" w:rsidP="003234A0">
            <w:pPr>
              <w:pStyle w:val="Graf"/>
            </w:pPr>
            <w:r w:rsidRPr="007959DE">
              <w:t>Graf </w:t>
            </w:r>
            <w:r w:rsidRPr="007959DE">
              <w:rPr>
                <w:szCs w:val="20"/>
              </w:rPr>
              <w:t>7</w:t>
            </w:r>
            <w:r w:rsidRPr="00243873">
              <w:t xml:space="preserve"> – </w:t>
            </w:r>
            <w:r>
              <w:t xml:space="preserve">Rozpočtované a skutočné príjmy a výdavky verejnej správy </w:t>
            </w:r>
          </w:p>
          <w:p w14:paraId="4829F523" w14:textId="77777777" w:rsidR="003A0696" w:rsidRPr="00094D9B" w:rsidRDefault="003A0696" w:rsidP="003234A0">
            <w:pPr>
              <w:pStyle w:val="Graf"/>
              <w:rPr>
                <w:highlight w:val="yellow"/>
              </w:rPr>
            </w:pPr>
            <w:r>
              <w:t>(bez EÚ zdrojov, v mil. eur)</w:t>
            </w:r>
            <w:r>
              <w:br/>
            </w:r>
          </w:p>
        </w:tc>
      </w:tr>
      <w:tr w:rsidR="003A0696" w:rsidRPr="00094D9B" w14:paraId="1B363476" w14:textId="77777777" w:rsidTr="003A0696">
        <w:trPr>
          <w:trHeight w:val="20"/>
          <w:jc w:val="center"/>
        </w:trPr>
        <w:tc>
          <w:tcPr>
            <w:tcW w:w="2554" w:type="pct"/>
            <w:tcBorders>
              <w:top w:val="single" w:sz="4" w:space="0" w:color="000000"/>
              <w:left w:val="nil"/>
              <w:bottom w:val="single" w:sz="4" w:space="0" w:color="000000"/>
              <w:right w:val="nil"/>
            </w:tcBorders>
            <w:shd w:val="clear" w:color="auto" w:fill="auto"/>
            <w:vAlign w:val="center"/>
          </w:tcPr>
          <w:p w14:paraId="0BD56841" w14:textId="77777777" w:rsidR="003A0696" w:rsidRPr="00094D9B" w:rsidRDefault="003A0696" w:rsidP="003A0696">
            <w:pPr>
              <w:tabs>
                <w:tab w:val="left" w:pos="2887"/>
              </w:tabs>
              <w:spacing w:before="40" w:after="40"/>
              <w:jc w:val="center"/>
              <w:rPr>
                <w:rFonts w:ascii="Arial Narrow" w:hAnsi="Arial Narrow"/>
                <w:sz w:val="18"/>
                <w:szCs w:val="18"/>
                <w:highlight w:val="yellow"/>
              </w:rPr>
            </w:pPr>
            <w:r>
              <w:rPr>
                <w:noProof/>
                <w:lang w:eastAsia="sk-SK"/>
              </w:rPr>
              <w:drawing>
                <wp:inline distT="0" distB="0" distL="0" distR="0" wp14:anchorId="2AE3CA04" wp14:editId="18AEBD61">
                  <wp:extent cx="3079699" cy="2230654"/>
                  <wp:effectExtent l="0" t="0" r="6985" b="1778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79" w:type="pct"/>
            <w:tcBorders>
              <w:top w:val="nil"/>
              <w:left w:val="nil"/>
              <w:bottom w:val="nil"/>
              <w:right w:val="nil"/>
            </w:tcBorders>
            <w:shd w:val="clear" w:color="auto" w:fill="auto"/>
            <w:vAlign w:val="center"/>
          </w:tcPr>
          <w:p w14:paraId="150D4F58" w14:textId="77777777" w:rsidR="003A0696" w:rsidRPr="00094D9B" w:rsidRDefault="003A0696" w:rsidP="003A0696">
            <w:pPr>
              <w:spacing w:before="40" w:after="40"/>
              <w:jc w:val="center"/>
              <w:rPr>
                <w:rFonts w:ascii="Arial Narrow" w:hAnsi="Arial Narrow"/>
                <w:highlight w:val="yellow"/>
              </w:rPr>
            </w:pPr>
          </w:p>
        </w:tc>
        <w:tc>
          <w:tcPr>
            <w:tcW w:w="2367" w:type="pct"/>
            <w:gridSpan w:val="4"/>
            <w:tcBorders>
              <w:top w:val="single" w:sz="4" w:space="0" w:color="000000"/>
              <w:left w:val="nil"/>
              <w:bottom w:val="single" w:sz="4" w:space="0" w:color="000000"/>
              <w:right w:val="nil"/>
            </w:tcBorders>
            <w:shd w:val="clear" w:color="auto" w:fill="auto"/>
            <w:vAlign w:val="center"/>
          </w:tcPr>
          <w:p w14:paraId="3AA9B29E" w14:textId="77777777" w:rsidR="003A0696" w:rsidRPr="00616C97" w:rsidRDefault="003A0696" w:rsidP="003A0696">
            <w:pPr>
              <w:spacing w:before="40" w:after="40"/>
              <w:rPr>
                <w:rFonts w:ascii="Arial Narrow" w:hAnsi="Arial Narrow"/>
                <w:color w:val="000000" w:themeColor="text1"/>
                <w:sz w:val="18"/>
                <w:szCs w:val="18"/>
                <w:highlight w:val="yellow"/>
              </w:rPr>
            </w:pPr>
            <w:r>
              <w:rPr>
                <w:noProof/>
                <w:lang w:eastAsia="sk-SK"/>
              </w:rPr>
              <w:drawing>
                <wp:inline distT="0" distB="0" distL="0" distR="0" wp14:anchorId="79BE35CF" wp14:editId="1020C03B">
                  <wp:extent cx="2772461" cy="2326233"/>
                  <wp:effectExtent l="0" t="0" r="889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A0696" w:rsidRPr="007959DE" w14:paraId="4DB6161A" w14:textId="77777777" w:rsidTr="003A0696">
        <w:trPr>
          <w:trHeight w:val="260"/>
          <w:jc w:val="center"/>
        </w:trPr>
        <w:tc>
          <w:tcPr>
            <w:tcW w:w="2554" w:type="pct"/>
            <w:tcBorders>
              <w:top w:val="single" w:sz="4" w:space="0" w:color="000000"/>
              <w:left w:val="nil"/>
              <w:bottom w:val="nil"/>
              <w:right w:val="nil"/>
            </w:tcBorders>
            <w:shd w:val="clear" w:color="auto" w:fill="auto"/>
            <w:vAlign w:val="center"/>
          </w:tcPr>
          <w:p w14:paraId="09875D46" w14:textId="77777777" w:rsidR="003A0696" w:rsidRPr="007959DE" w:rsidRDefault="003A0696" w:rsidP="003A0696">
            <w:pPr>
              <w:spacing w:after="0" w:line="240" w:lineRule="auto"/>
              <w:rPr>
                <w:sz w:val="16"/>
                <w:szCs w:val="16"/>
              </w:rPr>
            </w:pPr>
            <w:r w:rsidRPr="003234A0">
              <w:rPr>
                <w:sz w:val="18"/>
                <w:szCs w:val="18"/>
              </w:rPr>
              <w:t xml:space="preserve">Pozn.: Zosúladenie deficitu a dlhu predstavuje najmä zmenu hotovosti na účtoch verejnej správy, </w:t>
            </w:r>
            <w:proofErr w:type="spellStart"/>
            <w:r w:rsidRPr="003234A0">
              <w:rPr>
                <w:sz w:val="18"/>
                <w:szCs w:val="18"/>
              </w:rPr>
              <w:t>akrualizačné</w:t>
            </w:r>
            <w:proofErr w:type="spellEnd"/>
            <w:r w:rsidRPr="003234A0">
              <w:rPr>
                <w:sz w:val="18"/>
                <w:szCs w:val="18"/>
              </w:rPr>
              <w:t xml:space="preserve"> položky a diskonty pri emisii a splatnosti dlhopisov</w:t>
            </w:r>
            <w:r w:rsidRPr="007959DE">
              <w:rPr>
                <w:sz w:val="16"/>
                <w:szCs w:val="16"/>
              </w:rPr>
              <w:t>.</w:t>
            </w:r>
          </w:p>
        </w:tc>
        <w:tc>
          <w:tcPr>
            <w:tcW w:w="79" w:type="pct"/>
            <w:tcBorders>
              <w:top w:val="nil"/>
              <w:left w:val="nil"/>
              <w:bottom w:val="nil"/>
              <w:right w:val="nil"/>
            </w:tcBorders>
            <w:shd w:val="clear" w:color="auto" w:fill="auto"/>
            <w:vAlign w:val="center"/>
          </w:tcPr>
          <w:p w14:paraId="29120812" w14:textId="77777777" w:rsidR="003A0696" w:rsidRPr="007959DE" w:rsidRDefault="003A0696" w:rsidP="003A0696">
            <w:pPr>
              <w:spacing w:after="0" w:line="240" w:lineRule="auto"/>
              <w:jc w:val="center"/>
              <w:rPr>
                <w:sz w:val="16"/>
                <w:szCs w:val="16"/>
              </w:rPr>
            </w:pPr>
          </w:p>
        </w:tc>
        <w:tc>
          <w:tcPr>
            <w:tcW w:w="2367" w:type="pct"/>
            <w:gridSpan w:val="4"/>
            <w:tcBorders>
              <w:top w:val="single" w:sz="4" w:space="0" w:color="000000"/>
              <w:left w:val="nil"/>
              <w:bottom w:val="nil"/>
              <w:right w:val="nil"/>
            </w:tcBorders>
            <w:shd w:val="clear" w:color="auto" w:fill="auto"/>
            <w:vAlign w:val="center"/>
          </w:tcPr>
          <w:p w14:paraId="33CC5283" w14:textId="77777777" w:rsidR="003A0696" w:rsidRDefault="003A0696" w:rsidP="003A0696">
            <w:pPr>
              <w:spacing w:after="0" w:line="240" w:lineRule="auto"/>
              <w:jc w:val="right"/>
              <w:rPr>
                <w:sz w:val="16"/>
                <w:szCs w:val="16"/>
              </w:rPr>
            </w:pPr>
            <w:r w:rsidRPr="007959DE">
              <w:rPr>
                <w:sz w:val="16"/>
                <w:szCs w:val="16"/>
              </w:rPr>
              <w:t>Zdroj: MF SR</w:t>
            </w:r>
          </w:p>
          <w:p w14:paraId="4086395E" w14:textId="77777777" w:rsidR="003A0696" w:rsidRDefault="003A0696" w:rsidP="003A0696">
            <w:pPr>
              <w:spacing w:after="0" w:line="240" w:lineRule="auto"/>
              <w:jc w:val="right"/>
              <w:rPr>
                <w:sz w:val="16"/>
                <w:szCs w:val="16"/>
              </w:rPr>
            </w:pPr>
          </w:p>
          <w:p w14:paraId="78539373" w14:textId="77777777" w:rsidR="003A0696" w:rsidRDefault="003A0696" w:rsidP="003A0696">
            <w:pPr>
              <w:spacing w:after="0" w:line="240" w:lineRule="auto"/>
              <w:jc w:val="right"/>
              <w:rPr>
                <w:sz w:val="16"/>
                <w:szCs w:val="16"/>
              </w:rPr>
            </w:pPr>
          </w:p>
          <w:p w14:paraId="394CADD8" w14:textId="77777777" w:rsidR="003A0696" w:rsidRPr="007959DE" w:rsidRDefault="003A0696" w:rsidP="003A0696">
            <w:pPr>
              <w:spacing w:after="0" w:line="240" w:lineRule="auto"/>
              <w:jc w:val="right"/>
              <w:rPr>
                <w:sz w:val="16"/>
                <w:szCs w:val="16"/>
              </w:rPr>
            </w:pPr>
          </w:p>
        </w:tc>
      </w:tr>
      <w:tr w:rsidR="003A0696" w:rsidRPr="00F3236B" w14:paraId="6FE2B927" w14:textId="77777777" w:rsidTr="003A06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152" w:type="pct"/>
            <w:gridSpan w:val="3"/>
            <w:tcBorders>
              <w:top w:val="nil"/>
              <w:left w:val="nil"/>
              <w:bottom w:val="nil"/>
              <w:right w:val="nil"/>
            </w:tcBorders>
            <w:shd w:val="clear" w:color="auto" w:fill="auto"/>
            <w:noWrap/>
            <w:vAlign w:val="bottom"/>
            <w:hideMark/>
          </w:tcPr>
          <w:p w14:paraId="5D7ACD18" w14:textId="77777777" w:rsidR="003A0696" w:rsidRPr="00F3236B" w:rsidRDefault="003A0696" w:rsidP="003A0696">
            <w:pPr>
              <w:spacing w:after="0" w:line="240" w:lineRule="auto"/>
              <w:jc w:val="left"/>
              <w:rPr>
                <w:rFonts w:eastAsia="Times New Roman" w:cs="Times New Roman"/>
                <w:b/>
                <w:bCs/>
                <w:color w:val="5B9BD5"/>
                <w:sz w:val="20"/>
                <w:szCs w:val="20"/>
                <w:lang w:eastAsia="sk-SK"/>
              </w:rPr>
            </w:pPr>
            <w:r w:rsidRPr="00F3236B">
              <w:rPr>
                <w:rFonts w:eastAsia="Times New Roman" w:cs="Times New Roman"/>
                <w:b/>
                <w:bCs/>
                <w:color w:val="5B9BD5"/>
                <w:sz w:val="20"/>
                <w:szCs w:val="20"/>
                <w:lang w:eastAsia="sk-SK"/>
              </w:rPr>
              <w:lastRenderedPageBreak/>
              <w:t>Tabuľka 1</w:t>
            </w:r>
            <w:r>
              <w:rPr>
                <w:rFonts w:eastAsia="Times New Roman" w:cs="Times New Roman"/>
                <w:b/>
                <w:bCs/>
                <w:color w:val="5B9BD5"/>
                <w:sz w:val="20"/>
                <w:szCs w:val="20"/>
                <w:lang w:eastAsia="sk-SK"/>
              </w:rPr>
              <w:t>5</w:t>
            </w:r>
            <w:r w:rsidRPr="00F3236B">
              <w:rPr>
                <w:rFonts w:eastAsia="Times New Roman" w:cs="Times New Roman"/>
                <w:b/>
                <w:bCs/>
                <w:color w:val="5B9BD5"/>
                <w:sz w:val="20"/>
                <w:szCs w:val="20"/>
                <w:lang w:eastAsia="sk-SK"/>
              </w:rPr>
              <w:t xml:space="preserve"> - Hrubý dlh verejnej správy</w:t>
            </w:r>
          </w:p>
        </w:tc>
        <w:tc>
          <w:tcPr>
            <w:tcW w:w="616" w:type="pct"/>
            <w:tcBorders>
              <w:top w:val="nil"/>
              <w:left w:val="nil"/>
              <w:bottom w:val="nil"/>
              <w:right w:val="nil"/>
            </w:tcBorders>
            <w:shd w:val="clear" w:color="auto" w:fill="auto"/>
            <w:noWrap/>
            <w:vAlign w:val="bottom"/>
            <w:hideMark/>
          </w:tcPr>
          <w:p w14:paraId="4B1AEFE7" w14:textId="77777777" w:rsidR="003A0696" w:rsidRPr="00F3236B" w:rsidRDefault="003A0696" w:rsidP="003A0696">
            <w:pPr>
              <w:spacing w:after="0" w:line="240" w:lineRule="auto"/>
              <w:jc w:val="left"/>
              <w:rPr>
                <w:rFonts w:eastAsia="Times New Roman" w:cs="Times New Roman"/>
                <w:b/>
                <w:bCs/>
                <w:color w:val="5B9BD5"/>
                <w:sz w:val="20"/>
                <w:szCs w:val="20"/>
                <w:lang w:eastAsia="sk-SK"/>
              </w:rPr>
            </w:pPr>
          </w:p>
        </w:tc>
        <w:tc>
          <w:tcPr>
            <w:tcW w:w="616" w:type="pct"/>
            <w:tcBorders>
              <w:top w:val="nil"/>
              <w:left w:val="nil"/>
              <w:bottom w:val="nil"/>
              <w:right w:val="nil"/>
            </w:tcBorders>
            <w:shd w:val="clear" w:color="auto" w:fill="auto"/>
            <w:noWrap/>
            <w:vAlign w:val="bottom"/>
            <w:hideMark/>
          </w:tcPr>
          <w:p w14:paraId="6372571E" w14:textId="77777777" w:rsidR="003A0696" w:rsidRPr="00F3236B" w:rsidRDefault="003A0696" w:rsidP="003A0696">
            <w:pPr>
              <w:spacing w:after="0" w:line="240" w:lineRule="auto"/>
              <w:jc w:val="left"/>
              <w:rPr>
                <w:rFonts w:eastAsia="Times New Roman" w:cs="Times New Roman"/>
                <w:sz w:val="20"/>
                <w:szCs w:val="20"/>
                <w:lang w:eastAsia="sk-SK"/>
              </w:rPr>
            </w:pPr>
          </w:p>
        </w:tc>
        <w:tc>
          <w:tcPr>
            <w:tcW w:w="616" w:type="pct"/>
            <w:tcBorders>
              <w:top w:val="nil"/>
              <w:left w:val="nil"/>
              <w:bottom w:val="nil"/>
              <w:right w:val="nil"/>
            </w:tcBorders>
            <w:shd w:val="clear" w:color="auto" w:fill="auto"/>
            <w:noWrap/>
            <w:vAlign w:val="bottom"/>
            <w:hideMark/>
          </w:tcPr>
          <w:p w14:paraId="348510D0" w14:textId="77777777" w:rsidR="003A0696" w:rsidRPr="00F3236B" w:rsidRDefault="003A0696" w:rsidP="003A0696">
            <w:pPr>
              <w:spacing w:after="0" w:line="240" w:lineRule="auto"/>
              <w:jc w:val="left"/>
              <w:rPr>
                <w:rFonts w:eastAsia="Times New Roman" w:cs="Times New Roman"/>
                <w:sz w:val="20"/>
                <w:szCs w:val="20"/>
                <w:lang w:eastAsia="sk-SK"/>
              </w:rPr>
            </w:pPr>
          </w:p>
        </w:tc>
      </w:tr>
      <w:tr w:rsidR="003A0696" w:rsidRPr="00F3236B" w14:paraId="1EC8F1D6" w14:textId="77777777" w:rsidTr="003A06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152" w:type="pct"/>
            <w:gridSpan w:val="3"/>
            <w:tcBorders>
              <w:top w:val="single" w:sz="4" w:space="0" w:color="auto"/>
              <w:left w:val="nil"/>
              <w:bottom w:val="single" w:sz="4" w:space="0" w:color="auto"/>
              <w:right w:val="nil"/>
            </w:tcBorders>
            <w:shd w:val="clear" w:color="auto" w:fill="auto"/>
            <w:noWrap/>
            <w:vAlign w:val="bottom"/>
            <w:hideMark/>
          </w:tcPr>
          <w:p w14:paraId="67E5F2D8" w14:textId="77777777" w:rsidR="003A0696" w:rsidRPr="00F3236B" w:rsidRDefault="003A0696" w:rsidP="003A0696">
            <w:pPr>
              <w:spacing w:after="0" w:line="240" w:lineRule="auto"/>
              <w:jc w:val="left"/>
              <w:rPr>
                <w:rFonts w:eastAsia="Times New Roman" w:cs="Times New Roman"/>
                <w:b/>
                <w:bCs/>
                <w:color w:val="000000"/>
                <w:sz w:val="20"/>
                <w:szCs w:val="20"/>
                <w:lang w:eastAsia="sk-SK"/>
              </w:rPr>
            </w:pPr>
            <w:r w:rsidRPr="00F3236B">
              <w:rPr>
                <w:rFonts w:eastAsia="Times New Roman" w:cs="Times New Roman"/>
                <w:b/>
                <w:bCs/>
                <w:color w:val="000000"/>
                <w:sz w:val="20"/>
                <w:szCs w:val="20"/>
                <w:lang w:eastAsia="sk-SK"/>
              </w:rPr>
              <w:t>v % HDP</w:t>
            </w:r>
          </w:p>
        </w:tc>
        <w:tc>
          <w:tcPr>
            <w:tcW w:w="616" w:type="pct"/>
            <w:tcBorders>
              <w:top w:val="single" w:sz="4" w:space="0" w:color="auto"/>
              <w:left w:val="nil"/>
              <w:bottom w:val="single" w:sz="4" w:space="0" w:color="auto"/>
              <w:right w:val="nil"/>
            </w:tcBorders>
            <w:shd w:val="clear" w:color="auto" w:fill="auto"/>
            <w:noWrap/>
            <w:vAlign w:val="bottom"/>
            <w:hideMark/>
          </w:tcPr>
          <w:p w14:paraId="7BA23509" w14:textId="77777777" w:rsidR="003A0696" w:rsidRPr="00F3236B" w:rsidRDefault="003A0696" w:rsidP="003A0696">
            <w:pPr>
              <w:spacing w:after="0" w:line="240" w:lineRule="auto"/>
              <w:jc w:val="center"/>
              <w:rPr>
                <w:rFonts w:eastAsia="Times New Roman" w:cs="Times New Roman"/>
                <w:b/>
                <w:bCs/>
                <w:color w:val="000000"/>
                <w:sz w:val="20"/>
                <w:szCs w:val="20"/>
                <w:lang w:eastAsia="sk-SK"/>
              </w:rPr>
            </w:pPr>
            <w:r w:rsidRPr="00F3236B">
              <w:rPr>
                <w:rFonts w:eastAsia="Times New Roman" w:cs="Times New Roman"/>
                <w:b/>
                <w:bCs/>
                <w:color w:val="000000"/>
                <w:sz w:val="20"/>
                <w:szCs w:val="20"/>
                <w:lang w:eastAsia="sk-SK"/>
              </w:rPr>
              <w:t>2020 S</w:t>
            </w:r>
          </w:p>
        </w:tc>
        <w:tc>
          <w:tcPr>
            <w:tcW w:w="616" w:type="pct"/>
            <w:tcBorders>
              <w:top w:val="single" w:sz="4" w:space="0" w:color="auto"/>
              <w:left w:val="nil"/>
              <w:bottom w:val="single" w:sz="4" w:space="0" w:color="auto"/>
              <w:right w:val="nil"/>
            </w:tcBorders>
            <w:shd w:val="clear" w:color="auto" w:fill="auto"/>
            <w:noWrap/>
            <w:vAlign w:val="bottom"/>
            <w:hideMark/>
          </w:tcPr>
          <w:p w14:paraId="18D9A20B" w14:textId="77777777" w:rsidR="003A0696" w:rsidRPr="00F3236B" w:rsidRDefault="003A0696" w:rsidP="003A0696">
            <w:pPr>
              <w:spacing w:after="0" w:line="240" w:lineRule="auto"/>
              <w:jc w:val="center"/>
              <w:rPr>
                <w:rFonts w:eastAsia="Times New Roman" w:cs="Times New Roman"/>
                <w:b/>
                <w:bCs/>
                <w:color w:val="000000"/>
                <w:sz w:val="20"/>
                <w:szCs w:val="20"/>
                <w:lang w:eastAsia="sk-SK"/>
              </w:rPr>
            </w:pPr>
            <w:r w:rsidRPr="00F3236B">
              <w:rPr>
                <w:rFonts w:eastAsia="Times New Roman" w:cs="Times New Roman"/>
                <w:b/>
                <w:bCs/>
                <w:color w:val="000000"/>
                <w:sz w:val="20"/>
                <w:szCs w:val="20"/>
                <w:lang w:eastAsia="sk-SK"/>
              </w:rPr>
              <w:t>2021 S</w:t>
            </w:r>
          </w:p>
        </w:tc>
        <w:tc>
          <w:tcPr>
            <w:tcW w:w="616" w:type="pct"/>
            <w:tcBorders>
              <w:top w:val="single" w:sz="4" w:space="0" w:color="auto"/>
              <w:left w:val="nil"/>
              <w:bottom w:val="single" w:sz="4" w:space="0" w:color="auto"/>
              <w:right w:val="nil"/>
            </w:tcBorders>
            <w:shd w:val="clear" w:color="auto" w:fill="auto"/>
            <w:noWrap/>
            <w:vAlign w:val="bottom"/>
            <w:hideMark/>
          </w:tcPr>
          <w:p w14:paraId="702A3890" w14:textId="77777777" w:rsidR="003A0696" w:rsidRPr="00F3236B" w:rsidRDefault="003A0696" w:rsidP="003A0696">
            <w:pPr>
              <w:spacing w:after="0" w:line="240" w:lineRule="auto"/>
              <w:jc w:val="center"/>
              <w:rPr>
                <w:rFonts w:eastAsia="Times New Roman" w:cs="Times New Roman"/>
                <w:b/>
                <w:bCs/>
                <w:color w:val="000000"/>
                <w:sz w:val="20"/>
                <w:szCs w:val="20"/>
                <w:lang w:eastAsia="sk-SK"/>
              </w:rPr>
            </w:pPr>
            <w:r w:rsidRPr="00F3236B">
              <w:rPr>
                <w:rFonts w:eastAsia="Times New Roman" w:cs="Times New Roman"/>
                <w:b/>
                <w:bCs/>
                <w:color w:val="000000"/>
                <w:sz w:val="20"/>
                <w:szCs w:val="20"/>
                <w:lang w:eastAsia="sk-SK"/>
              </w:rPr>
              <w:t>2022 S</w:t>
            </w:r>
          </w:p>
        </w:tc>
      </w:tr>
      <w:tr w:rsidR="003A0696" w:rsidRPr="00F3236B" w14:paraId="5268F82C" w14:textId="77777777" w:rsidTr="003A06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152" w:type="pct"/>
            <w:gridSpan w:val="3"/>
            <w:tcBorders>
              <w:top w:val="nil"/>
              <w:left w:val="nil"/>
              <w:bottom w:val="nil"/>
              <w:right w:val="nil"/>
            </w:tcBorders>
            <w:shd w:val="clear" w:color="auto" w:fill="auto"/>
            <w:noWrap/>
            <w:vAlign w:val="bottom"/>
            <w:hideMark/>
          </w:tcPr>
          <w:p w14:paraId="1DF26C98" w14:textId="77777777" w:rsidR="003A0696" w:rsidRPr="00F3236B" w:rsidRDefault="003A0696" w:rsidP="003A0696">
            <w:pPr>
              <w:spacing w:after="0" w:line="240" w:lineRule="auto"/>
              <w:jc w:val="left"/>
              <w:rPr>
                <w:rFonts w:eastAsia="Times New Roman" w:cs="Times New Roman"/>
                <w:b/>
                <w:bCs/>
                <w:color w:val="000000"/>
                <w:sz w:val="20"/>
                <w:szCs w:val="20"/>
                <w:lang w:eastAsia="sk-SK"/>
              </w:rPr>
            </w:pPr>
            <w:r w:rsidRPr="00F3236B">
              <w:rPr>
                <w:rFonts w:eastAsia="Times New Roman" w:cs="Times New Roman"/>
                <w:b/>
                <w:bCs/>
                <w:color w:val="000000"/>
                <w:sz w:val="20"/>
                <w:szCs w:val="20"/>
                <w:lang w:eastAsia="sk-SK"/>
              </w:rPr>
              <w:t>Hrubý dlh verejnej správy</w:t>
            </w:r>
          </w:p>
        </w:tc>
        <w:tc>
          <w:tcPr>
            <w:tcW w:w="616" w:type="pct"/>
            <w:tcBorders>
              <w:top w:val="nil"/>
              <w:left w:val="nil"/>
              <w:bottom w:val="nil"/>
              <w:right w:val="nil"/>
            </w:tcBorders>
            <w:shd w:val="clear" w:color="auto" w:fill="auto"/>
            <w:noWrap/>
            <w:vAlign w:val="bottom"/>
            <w:hideMark/>
          </w:tcPr>
          <w:p w14:paraId="783CD27D"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58,9</w:t>
            </w:r>
          </w:p>
        </w:tc>
        <w:tc>
          <w:tcPr>
            <w:tcW w:w="616" w:type="pct"/>
            <w:tcBorders>
              <w:top w:val="nil"/>
              <w:left w:val="nil"/>
              <w:bottom w:val="nil"/>
              <w:right w:val="nil"/>
            </w:tcBorders>
            <w:shd w:val="clear" w:color="auto" w:fill="auto"/>
            <w:noWrap/>
            <w:vAlign w:val="bottom"/>
            <w:hideMark/>
          </w:tcPr>
          <w:p w14:paraId="50640C5B"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61,0</w:t>
            </w:r>
          </w:p>
        </w:tc>
        <w:tc>
          <w:tcPr>
            <w:tcW w:w="616" w:type="pct"/>
            <w:tcBorders>
              <w:top w:val="nil"/>
              <w:left w:val="nil"/>
              <w:bottom w:val="nil"/>
              <w:right w:val="nil"/>
            </w:tcBorders>
            <w:shd w:val="clear" w:color="auto" w:fill="auto"/>
            <w:noWrap/>
            <w:vAlign w:val="bottom"/>
            <w:hideMark/>
          </w:tcPr>
          <w:p w14:paraId="293ADE25"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57,8</w:t>
            </w:r>
          </w:p>
        </w:tc>
      </w:tr>
      <w:tr w:rsidR="003A0696" w:rsidRPr="00F3236B" w14:paraId="21F7A185" w14:textId="77777777" w:rsidTr="003A06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152" w:type="pct"/>
            <w:gridSpan w:val="3"/>
            <w:tcBorders>
              <w:top w:val="nil"/>
              <w:left w:val="nil"/>
              <w:bottom w:val="nil"/>
              <w:right w:val="nil"/>
            </w:tcBorders>
            <w:shd w:val="clear" w:color="auto" w:fill="auto"/>
            <w:noWrap/>
            <w:vAlign w:val="bottom"/>
            <w:hideMark/>
          </w:tcPr>
          <w:p w14:paraId="20059BCF" w14:textId="77777777" w:rsidR="003A0696" w:rsidRPr="00F3236B" w:rsidRDefault="003A0696" w:rsidP="003A0696">
            <w:pPr>
              <w:spacing w:after="0" w:line="240" w:lineRule="auto"/>
              <w:jc w:val="left"/>
              <w:rPr>
                <w:rFonts w:eastAsia="Times New Roman" w:cs="Times New Roman"/>
                <w:color w:val="000000"/>
                <w:sz w:val="20"/>
                <w:szCs w:val="20"/>
                <w:lang w:eastAsia="sk-SK"/>
              </w:rPr>
            </w:pPr>
            <w:r w:rsidRPr="00F3236B">
              <w:rPr>
                <w:rFonts w:eastAsia="Times New Roman" w:cs="Times New Roman"/>
                <w:color w:val="000000"/>
                <w:sz w:val="20"/>
                <w:szCs w:val="20"/>
                <w:lang w:eastAsia="sk-SK"/>
              </w:rPr>
              <w:t xml:space="preserve"> - štátny dlh (bez vplyvu medzinár. záväzkov)</w:t>
            </w:r>
          </w:p>
        </w:tc>
        <w:tc>
          <w:tcPr>
            <w:tcW w:w="616" w:type="pct"/>
            <w:tcBorders>
              <w:top w:val="nil"/>
              <w:left w:val="nil"/>
              <w:bottom w:val="nil"/>
              <w:right w:val="nil"/>
            </w:tcBorders>
            <w:shd w:val="clear" w:color="auto" w:fill="auto"/>
            <w:noWrap/>
            <w:vAlign w:val="bottom"/>
            <w:hideMark/>
          </w:tcPr>
          <w:p w14:paraId="1237164A"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54,6</w:t>
            </w:r>
          </w:p>
        </w:tc>
        <w:tc>
          <w:tcPr>
            <w:tcW w:w="616" w:type="pct"/>
            <w:tcBorders>
              <w:top w:val="nil"/>
              <w:left w:val="nil"/>
              <w:bottom w:val="nil"/>
              <w:right w:val="nil"/>
            </w:tcBorders>
            <w:shd w:val="clear" w:color="auto" w:fill="auto"/>
            <w:noWrap/>
            <w:vAlign w:val="bottom"/>
            <w:hideMark/>
          </w:tcPr>
          <w:p w14:paraId="665ED04D"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57,2</w:t>
            </w:r>
          </w:p>
        </w:tc>
        <w:tc>
          <w:tcPr>
            <w:tcW w:w="616" w:type="pct"/>
            <w:tcBorders>
              <w:top w:val="nil"/>
              <w:left w:val="nil"/>
              <w:bottom w:val="nil"/>
              <w:right w:val="nil"/>
            </w:tcBorders>
            <w:shd w:val="clear" w:color="auto" w:fill="auto"/>
            <w:noWrap/>
            <w:vAlign w:val="bottom"/>
            <w:hideMark/>
          </w:tcPr>
          <w:p w14:paraId="5E69F562"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54,1</w:t>
            </w:r>
          </w:p>
        </w:tc>
      </w:tr>
      <w:tr w:rsidR="003A0696" w:rsidRPr="00F3236B" w14:paraId="7E089ACC" w14:textId="77777777" w:rsidTr="003A06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152" w:type="pct"/>
            <w:gridSpan w:val="3"/>
            <w:tcBorders>
              <w:top w:val="nil"/>
              <w:left w:val="nil"/>
              <w:bottom w:val="nil"/>
              <w:right w:val="nil"/>
            </w:tcBorders>
            <w:shd w:val="clear" w:color="auto" w:fill="auto"/>
            <w:noWrap/>
            <w:vAlign w:val="bottom"/>
            <w:hideMark/>
          </w:tcPr>
          <w:p w14:paraId="33FC3AE4" w14:textId="77777777" w:rsidR="003A0696" w:rsidRPr="00F3236B" w:rsidRDefault="003A0696" w:rsidP="003A0696">
            <w:pPr>
              <w:spacing w:after="0" w:line="240" w:lineRule="auto"/>
              <w:jc w:val="left"/>
              <w:rPr>
                <w:rFonts w:eastAsia="Times New Roman" w:cs="Times New Roman"/>
                <w:color w:val="000000"/>
                <w:sz w:val="20"/>
                <w:szCs w:val="20"/>
                <w:lang w:eastAsia="sk-SK"/>
              </w:rPr>
            </w:pPr>
            <w:r w:rsidRPr="00F3236B">
              <w:rPr>
                <w:rFonts w:eastAsia="Times New Roman" w:cs="Times New Roman"/>
                <w:color w:val="000000"/>
                <w:sz w:val="20"/>
                <w:szCs w:val="20"/>
                <w:lang w:eastAsia="sk-SK"/>
              </w:rPr>
              <w:t xml:space="preserve"> - podiel SR na dlhu EFSF</w:t>
            </w:r>
          </w:p>
        </w:tc>
        <w:tc>
          <w:tcPr>
            <w:tcW w:w="616" w:type="pct"/>
            <w:tcBorders>
              <w:top w:val="nil"/>
              <w:left w:val="nil"/>
              <w:bottom w:val="nil"/>
              <w:right w:val="nil"/>
            </w:tcBorders>
            <w:shd w:val="clear" w:color="auto" w:fill="auto"/>
            <w:noWrap/>
            <w:vAlign w:val="bottom"/>
            <w:hideMark/>
          </w:tcPr>
          <w:p w14:paraId="6E6C12EB"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2,0</w:t>
            </w:r>
          </w:p>
        </w:tc>
        <w:tc>
          <w:tcPr>
            <w:tcW w:w="616" w:type="pct"/>
            <w:tcBorders>
              <w:top w:val="nil"/>
              <w:left w:val="nil"/>
              <w:bottom w:val="nil"/>
              <w:right w:val="nil"/>
            </w:tcBorders>
            <w:shd w:val="clear" w:color="auto" w:fill="auto"/>
            <w:noWrap/>
            <w:vAlign w:val="bottom"/>
            <w:hideMark/>
          </w:tcPr>
          <w:p w14:paraId="431EB642"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1,9</w:t>
            </w:r>
          </w:p>
        </w:tc>
        <w:tc>
          <w:tcPr>
            <w:tcW w:w="616" w:type="pct"/>
            <w:tcBorders>
              <w:top w:val="nil"/>
              <w:left w:val="nil"/>
              <w:bottom w:val="nil"/>
              <w:right w:val="nil"/>
            </w:tcBorders>
            <w:shd w:val="clear" w:color="auto" w:fill="auto"/>
            <w:noWrap/>
            <w:vAlign w:val="bottom"/>
            <w:hideMark/>
          </w:tcPr>
          <w:p w14:paraId="0C42E99B"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1,7</w:t>
            </w:r>
          </w:p>
        </w:tc>
      </w:tr>
      <w:tr w:rsidR="003A0696" w:rsidRPr="00F3236B" w14:paraId="6ABFBC47" w14:textId="77777777" w:rsidTr="003A06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152" w:type="pct"/>
            <w:gridSpan w:val="3"/>
            <w:tcBorders>
              <w:top w:val="nil"/>
              <w:left w:val="nil"/>
              <w:bottom w:val="nil"/>
              <w:right w:val="nil"/>
            </w:tcBorders>
            <w:shd w:val="clear" w:color="auto" w:fill="auto"/>
            <w:noWrap/>
            <w:vAlign w:val="bottom"/>
            <w:hideMark/>
          </w:tcPr>
          <w:p w14:paraId="2B278CDB" w14:textId="77777777" w:rsidR="003A0696" w:rsidRPr="00F3236B" w:rsidRDefault="003A0696" w:rsidP="003A0696">
            <w:pPr>
              <w:spacing w:after="0" w:line="240" w:lineRule="auto"/>
              <w:jc w:val="left"/>
              <w:rPr>
                <w:rFonts w:eastAsia="Times New Roman" w:cs="Times New Roman"/>
                <w:color w:val="000000"/>
                <w:sz w:val="20"/>
                <w:szCs w:val="20"/>
                <w:lang w:eastAsia="sk-SK"/>
              </w:rPr>
            </w:pPr>
            <w:r w:rsidRPr="00F3236B">
              <w:rPr>
                <w:rFonts w:eastAsia="Times New Roman" w:cs="Times New Roman"/>
                <w:color w:val="000000"/>
                <w:sz w:val="20"/>
                <w:szCs w:val="20"/>
                <w:lang w:eastAsia="sk-SK"/>
              </w:rPr>
              <w:t xml:space="preserve"> - dlh ostatných subjektov verejnej správy</w:t>
            </w:r>
          </w:p>
        </w:tc>
        <w:tc>
          <w:tcPr>
            <w:tcW w:w="616" w:type="pct"/>
            <w:tcBorders>
              <w:top w:val="nil"/>
              <w:left w:val="nil"/>
              <w:bottom w:val="nil"/>
              <w:right w:val="nil"/>
            </w:tcBorders>
            <w:shd w:val="clear" w:color="auto" w:fill="auto"/>
            <w:noWrap/>
            <w:vAlign w:val="bottom"/>
            <w:hideMark/>
          </w:tcPr>
          <w:p w14:paraId="27537411"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2,3</w:t>
            </w:r>
          </w:p>
        </w:tc>
        <w:tc>
          <w:tcPr>
            <w:tcW w:w="616" w:type="pct"/>
            <w:tcBorders>
              <w:top w:val="nil"/>
              <w:left w:val="nil"/>
              <w:bottom w:val="nil"/>
              <w:right w:val="nil"/>
            </w:tcBorders>
            <w:shd w:val="clear" w:color="auto" w:fill="auto"/>
            <w:noWrap/>
            <w:vAlign w:val="bottom"/>
            <w:hideMark/>
          </w:tcPr>
          <w:p w14:paraId="47988718"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2,0</w:t>
            </w:r>
          </w:p>
        </w:tc>
        <w:tc>
          <w:tcPr>
            <w:tcW w:w="616" w:type="pct"/>
            <w:tcBorders>
              <w:top w:val="nil"/>
              <w:left w:val="nil"/>
              <w:bottom w:val="nil"/>
              <w:right w:val="nil"/>
            </w:tcBorders>
            <w:shd w:val="clear" w:color="auto" w:fill="auto"/>
            <w:noWrap/>
            <w:vAlign w:val="bottom"/>
            <w:hideMark/>
          </w:tcPr>
          <w:p w14:paraId="4183722B"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2,0</w:t>
            </w:r>
          </w:p>
        </w:tc>
      </w:tr>
      <w:tr w:rsidR="003A0696" w:rsidRPr="00F3236B" w14:paraId="02A763E3" w14:textId="77777777" w:rsidTr="003A06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152" w:type="pct"/>
            <w:gridSpan w:val="3"/>
            <w:tcBorders>
              <w:top w:val="nil"/>
              <w:left w:val="nil"/>
              <w:bottom w:val="single" w:sz="4" w:space="0" w:color="auto"/>
              <w:right w:val="nil"/>
            </w:tcBorders>
            <w:shd w:val="clear" w:color="auto" w:fill="auto"/>
            <w:noWrap/>
            <w:vAlign w:val="bottom"/>
            <w:hideMark/>
          </w:tcPr>
          <w:p w14:paraId="58A6D5C5" w14:textId="77777777" w:rsidR="003A0696" w:rsidRPr="00F3236B" w:rsidRDefault="003A0696" w:rsidP="003A0696">
            <w:pPr>
              <w:spacing w:after="0" w:line="240" w:lineRule="auto"/>
              <w:jc w:val="left"/>
              <w:rPr>
                <w:rFonts w:eastAsia="Times New Roman" w:cs="Times New Roman"/>
                <w:b/>
                <w:bCs/>
                <w:color w:val="000000"/>
                <w:sz w:val="20"/>
                <w:szCs w:val="20"/>
                <w:lang w:eastAsia="sk-SK"/>
              </w:rPr>
            </w:pPr>
            <w:r w:rsidRPr="00F3236B">
              <w:rPr>
                <w:rFonts w:eastAsia="Times New Roman" w:cs="Times New Roman"/>
                <w:b/>
                <w:bCs/>
                <w:color w:val="000000"/>
                <w:sz w:val="20"/>
                <w:szCs w:val="20"/>
                <w:lang w:eastAsia="sk-SK"/>
              </w:rPr>
              <w:t>Medziročná zmena hrubého dlhu</w:t>
            </w:r>
          </w:p>
        </w:tc>
        <w:tc>
          <w:tcPr>
            <w:tcW w:w="616" w:type="pct"/>
            <w:tcBorders>
              <w:top w:val="nil"/>
              <w:left w:val="nil"/>
              <w:bottom w:val="single" w:sz="4" w:space="0" w:color="auto"/>
              <w:right w:val="nil"/>
            </w:tcBorders>
            <w:shd w:val="clear" w:color="auto" w:fill="auto"/>
            <w:noWrap/>
            <w:vAlign w:val="bottom"/>
            <w:hideMark/>
          </w:tcPr>
          <w:p w14:paraId="1363C893"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10,9</w:t>
            </w:r>
          </w:p>
        </w:tc>
        <w:tc>
          <w:tcPr>
            <w:tcW w:w="616" w:type="pct"/>
            <w:tcBorders>
              <w:top w:val="nil"/>
              <w:left w:val="nil"/>
              <w:bottom w:val="single" w:sz="4" w:space="0" w:color="auto"/>
              <w:right w:val="nil"/>
            </w:tcBorders>
            <w:shd w:val="clear" w:color="auto" w:fill="auto"/>
            <w:noWrap/>
            <w:vAlign w:val="bottom"/>
            <w:hideMark/>
          </w:tcPr>
          <w:p w14:paraId="7612795B"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2,1</w:t>
            </w:r>
          </w:p>
        </w:tc>
        <w:tc>
          <w:tcPr>
            <w:tcW w:w="616" w:type="pct"/>
            <w:tcBorders>
              <w:top w:val="nil"/>
              <w:left w:val="nil"/>
              <w:bottom w:val="single" w:sz="4" w:space="0" w:color="auto"/>
              <w:right w:val="nil"/>
            </w:tcBorders>
            <w:shd w:val="clear" w:color="auto" w:fill="auto"/>
            <w:noWrap/>
            <w:vAlign w:val="bottom"/>
            <w:hideMark/>
          </w:tcPr>
          <w:p w14:paraId="3DC67C9D"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-3,2</w:t>
            </w:r>
          </w:p>
        </w:tc>
      </w:tr>
      <w:tr w:rsidR="003A0696" w:rsidRPr="00F3236B" w14:paraId="7514BFE8" w14:textId="77777777" w:rsidTr="003A06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152" w:type="pct"/>
            <w:gridSpan w:val="3"/>
            <w:tcBorders>
              <w:top w:val="nil"/>
              <w:left w:val="nil"/>
              <w:right w:val="nil"/>
            </w:tcBorders>
            <w:shd w:val="clear" w:color="auto" w:fill="auto"/>
            <w:noWrap/>
            <w:vAlign w:val="bottom"/>
            <w:hideMark/>
          </w:tcPr>
          <w:p w14:paraId="6AAFAE90" w14:textId="77777777" w:rsidR="003A0696" w:rsidRPr="00F3236B" w:rsidRDefault="003A0696" w:rsidP="003A0696">
            <w:pPr>
              <w:spacing w:after="0" w:line="240" w:lineRule="auto"/>
              <w:jc w:val="left"/>
              <w:rPr>
                <w:rFonts w:eastAsia="Times New Roman" w:cs="Times New Roman"/>
                <w:b/>
                <w:bCs/>
                <w:color w:val="000000"/>
                <w:sz w:val="20"/>
                <w:szCs w:val="20"/>
                <w:lang w:eastAsia="sk-SK"/>
              </w:rPr>
            </w:pPr>
            <w:r w:rsidRPr="00F3236B">
              <w:rPr>
                <w:rFonts w:eastAsia="Times New Roman" w:cs="Times New Roman"/>
                <w:b/>
                <w:bCs/>
                <w:color w:val="000000"/>
                <w:sz w:val="20"/>
                <w:szCs w:val="20"/>
                <w:lang w:eastAsia="sk-SK"/>
              </w:rPr>
              <w:t>Čistý dlh verejnej správy</w:t>
            </w:r>
          </w:p>
        </w:tc>
        <w:tc>
          <w:tcPr>
            <w:tcW w:w="616" w:type="pct"/>
            <w:tcBorders>
              <w:top w:val="nil"/>
              <w:left w:val="nil"/>
              <w:right w:val="nil"/>
            </w:tcBorders>
            <w:shd w:val="clear" w:color="auto" w:fill="auto"/>
            <w:noWrap/>
            <w:vAlign w:val="bottom"/>
            <w:hideMark/>
          </w:tcPr>
          <w:p w14:paraId="70C8C5DE"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48,9</w:t>
            </w:r>
          </w:p>
        </w:tc>
        <w:tc>
          <w:tcPr>
            <w:tcW w:w="616" w:type="pct"/>
            <w:tcBorders>
              <w:top w:val="nil"/>
              <w:left w:val="nil"/>
              <w:right w:val="nil"/>
            </w:tcBorders>
            <w:shd w:val="clear" w:color="auto" w:fill="auto"/>
            <w:noWrap/>
            <w:vAlign w:val="bottom"/>
            <w:hideMark/>
          </w:tcPr>
          <w:p w14:paraId="615BDAA5"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49,6</w:t>
            </w:r>
          </w:p>
        </w:tc>
        <w:tc>
          <w:tcPr>
            <w:tcW w:w="616" w:type="pct"/>
            <w:tcBorders>
              <w:top w:val="nil"/>
              <w:left w:val="nil"/>
              <w:right w:val="nil"/>
            </w:tcBorders>
            <w:shd w:val="clear" w:color="auto" w:fill="auto"/>
            <w:noWrap/>
            <w:vAlign w:val="bottom"/>
            <w:hideMark/>
          </w:tcPr>
          <w:p w14:paraId="1BDFD5AB" w14:textId="77777777" w:rsidR="003A0696" w:rsidRPr="00F3236B" w:rsidRDefault="003A0696" w:rsidP="003A0696">
            <w:pPr>
              <w:spacing w:after="0" w:line="240" w:lineRule="auto"/>
              <w:jc w:val="right"/>
              <w:rPr>
                <w:rFonts w:eastAsia="Times New Roman" w:cs="Times New Roman"/>
                <w:color w:val="000000"/>
                <w:sz w:val="20"/>
                <w:szCs w:val="20"/>
                <w:lang w:eastAsia="sk-SK"/>
              </w:rPr>
            </w:pPr>
            <w:r w:rsidRPr="00F3236B">
              <w:rPr>
                <w:rFonts w:eastAsia="Times New Roman" w:cs="Times New Roman"/>
                <w:color w:val="000000"/>
                <w:sz w:val="20"/>
                <w:szCs w:val="20"/>
                <w:lang w:eastAsia="sk-SK"/>
              </w:rPr>
              <w:t>47,7</w:t>
            </w:r>
          </w:p>
        </w:tc>
      </w:tr>
      <w:tr w:rsidR="003A0696" w:rsidRPr="00F3236B" w14:paraId="46C349B9" w14:textId="77777777" w:rsidTr="003A06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152" w:type="pct"/>
            <w:gridSpan w:val="3"/>
            <w:tcBorders>
              <w:top w:val="nil"/>
              <w:left w:val="nil"/>
              <w:bottom w:val="single" w:sz="4" w:space="0" w:color="auto"/>
              <w:right w:val="nil"/>
            </w:tcBorders>
            <w:shd w:val="clear" w:color="auto" w:fill="auto"/>
            <w:noWrap/>
            <w:vAlign w:val="bottom"/>
            <w:hideMark/>
          </w:tcPr>
          <w:p w14:paraId="38132FBA" w14:textId="77777777" w:rsidR="003A0696" w:rsidRPr="00F3236B" w:rsidRDefault="003A0696" w:rsidP="003A0696">
            <w:pPr>
              <w:spacing w:after="0" w:line="240" w:lineRule="auto"/>
              <w:jc w:val="left"/>
              <w:rPr>
                <w:rFonts w:eastAsia="Times New Roman" w:cs="Times New Roman"/>
                <w:i/>
                <w:iCs/>
                <w:color w:val="000000"/>
                <w:sz w:val="20"/>
                <w:szCs w:val="20"/>
                <w:lang w:eastAsia="sk-SK"/>
              </w:rPr>
            </w:pPr>
            <w:r w:rsidRPr="00F3236B">
              <w:rPr>
                <w:rFonts w:eastAsia="Times New Roman" w:cs="Times New Roman"/>
                <w:i/>
                <w:iCs/>
                <w:color w:val="000000"/>
                <w:sz w:val="20"/>
                <w:szCs w:val="20"/>
                <w:lang w:eastAsia="sk-SK"/>
              </w:rPr>
              <w:t>Vklad SR do ESM (nevstupuje do maastrichtského dlhu)</w:t>
            </w:r>
          </w:p>
        </w:tc>
        <w:tc>
          <w:tcPr>
            <w:tcW w:w="616" w:type="pct"/>
            <w:tcBorders>
              <w:top w:val="nil"/>
              <w:left w:val="nil"/>
              <w:bottom w:val="single" w:sz="4" w:space="0" w:color="auto"/>
              <w:right w:val="nil"/>
            </w:tcBorders>
            <w:shd w:val="clear" w:color="auto" w:fill="auto"/>
            <w:noWrap/>
            <w:vAlign w:val="bottom"/>
            <w:hideMark/>
          </w:tcPr>
          <w:p w14:paraId="531AC391" w14:textId="77777777" w:rsidR="003A0696" w:rsidRPr="00F3236B" w:rsidRDefault="003A0696" w:rsidP="003A0696">
            <w:pPr>
              <w:spacing w:after="0" w:line="240" w:lineRule="auto"/>
              <w:jc w:val="right"/>
              <w:rPr>
                <w:rFonts w:eastAsia="Times New Roman" w:cs="Times New Roman"/>
                <w:i/>
                <w:iCs/>
                <w:color w:val="000000"/>
                <w:sz w:val="20"/>
                <w:szCs w:val="20"/>
                <w:lang w:eastAsia="sk-SK"/>
              </w:rPr>
            </w:pPr>
            <w:r w:rsidRPr="00F3236B">
              <w:rPr>
                <w:rFonts w:eastAsia="Times New Roman" w:cs="Times New Roman"/>
                <w:i/>
                <w:iCs/>
                <w:color w:val="000000"/>
                <w:sz w:val="20"/>
                <w:szCs w:val="20"/>
                <w:lang w:eastAsia="sk-SK"/>
              </w:rPr>
              <w:t>0,8</w:t>
            </w:r>
          </w:p>
        </w:tc>
        <w:tc>
          <w:tcPr>
            <w:tcW w:w="616" w:type="pct"/>
            <w:tcBorders>
              <w:top w:val="nil"/>
              <w:left w:val="nil"/>
              <w:bottom w:val="single" w:sz="4" w:space="0" w:color="auto"/>
              <w:right w:val="nil"/>
            </w:tcBorders>
            <w:shd w:val="clear" w:color="auto" w:fill="auto"/>
            <w:noWrap/>
            <w:vAlign w:val="bottom"/>
            <w:hideMark/>
          </w:tcPr>
          <w:p w14:paraId="44CD7914" w14:textId="77777777" w:rsidR="003A0696" w:rsidRPr="00F3236B" w:rsidRDefault="003A0696" w:rsidP="003A0696">
            <w:pPr>
              <w:spacing w:after="0" w:line="240" w:lineRule="auto"/>
              <w:jc w:val="right"/>
              <w:rPr>
                <w:rFonts w:eastAsia="Times New Roman" w:cs="Times New Roman"/>
                <w:i/>
                <w:iCs/>
                <w:color w:val="000000"/>
                <w:sz w:val="20"/>
                <w:szCs w:val="20"/>
                <w:lang w:eastAsia="sk-SK"/>
              </w:rPr>
            </w:pPr>
            <w:r w:rsidRPr="00F3236B">
              <w:rPr>
                <w:rFonts w:eastAsia="Times New Roman" w:cs="Times New Roman"/>
                <w:i/>
                <w:iCs/>
                <w:color w:val="000000"/>
                <w:sz w:val="20"/>
                <w:szCs w:val="20"/>
                <w:lang w:eastAsia="sk-SK"/>
              </w:rPr>
              <w:t>0,8</w:t>
            </w:r>
          </w:p>
        </w:tc>
        <w:tc>
          <w:tcPr>
            <w:tcW w:w="616" w:type="pct"/>
            <w:tcBorders>
              <w:top w:val="nil"/>
              <w:left w:val="nil"/>
              <w:bottom w:val="single" w:sz="4" w:space="0" w:color="auto"/>
              <w:right w:val="nil"/>
            </w:tcBorders>
            <w:shd w:val="clear" w:color="auto" w:fill="auto"/>
            <w:noWrap/>
            <w:vAlign w:val="bottom"/>
            <w:hideMark/>
          </w:tcPr>
          <w:p w14:paraId="19AAC138" w14:textId="77777777" w:rsidR="003A0696" w:rsidRPr="00F3236B" w:rsidRDefault="003A0696" w:rsidP="003A0696">
            <w:pPr>
              <w:spacing w:after="0" w:line="240" w:lineRule="auto"/>
              <w:jc w:val="right"/>
              <w:rPr>
                <w:rFonts w:eastAsia="Times New Roman" w:cs="Times New Roman"/>
                <w:i/>
                <w:iCs/>
                <w:color w:val="000000"/>
                <w:sz w:val="20"/>
                <w:szCs w:val="20"/>
                <w:lang w:eastAsia="sk-SK"/>
              </w:rPr>
            </w:pPr>
            <w:r w:rsidRPr="00F3236B">
              <w:rPr>
                <w:rFonts w:eastAsia="Times New Roman" w:cs="Times New Roman"/>
                <w:i/>
                <w:iCs/>
                <w:color w:val="000000"/>
                <w:sz w:val="20"/>
                <w:szCs w:val="20"/>
                <w:lang w:eastAsia="sk-SK"/>
              </w:rPr>
              <w:t>0,7</w:t>
            </w:r>
          </w:p>
        </w:tc>
      </w:tr>
    </w:tbl>
    <w:p w14:paraId="4CF029E1" w14:textId="77777777" w:rsidR="003A0696" w:rsidRPr="00F3236B" w:rsidRDefault="003A0696" w:rsidP="003A0696">
      <w:pPr>
        <w:spacing w:line="240" w:lineRule="auto"/>
        <w:jc w:val="right"/>
        <w:rPr>
          <w:sz w:val="24"/>
          <w:szCs w:val="24"/>
        </w:rPr>
      </w:pPr>
      <w:r w:rsidRPr="00F3236B">
        <w:rPr>
          <w:sz w:val="16"/>
          <w:szCs w:val="16"/>
        </w:rPr>
        <w:t>Zdroj: MF SR, ŠÚ SR</w:t>
      </w:r>
    </w:p>
    <w:p w14:paraId="34837741" w14:textId="77777777" w:rsidR="003A0696" w:rsidRPr="00E01825" w:rsidRDefault="003A0696" w:rsidP="003A0696">
      <w:pPr>
        <w:spacing w:line="240" w:lineRule="auto"/>
        <w:rPr>
          <w:sz w:val="24"/>
          <w:szCs w:val="24"/>
        </w:rPr>
      </w:pPr>
      <w:r w:rsidRPr="00E01825">
        <w:rPr>
          <w:b/>
          <w:sz w:val="24"/>
          <w:szCs w:val="24"/>
        </w:rPr>
        <w:t>Maastrichtský dlh verejnej správy sa prezentuje ako konsolidovaný</w:t>
      </w:r>
      <w:r w:rsidRPr="00E01825">
        <w:rPr>
          <w:sz w:val="24"/>
          <w:szCs w:val="24"/>
        </w:rPr>
        <w:t>, to znamená, že vzťahy medzi jednotlivými subjektmi verejnej správy sú vylúčené. Skupiny subjektov verejnej správy uvedené v tabuľke nižšie sú vnútorne skonsolidované o vzájomné vzťahy v rámci danej skupiny (napríklad územná samospráva). Hodnota konsolidácie vo výške 1 412 462 tis. eur predstavuje len pôžičky medzi skupinami verejnej správy</w:t>
      </w:r>
      <w:r w:rsidRPr="00E01825">
        <w:rPr>
          <w:sz w:val="24"/>
          <w:szCs w:val="24"/>
          <w:vertAlign w:val="superscript"/>
        </w:rPr>
        <w:footnoteReference w:id="23"/>
      </w:r>
      <w:r w:rsidRPr="00E01825">
        <w:rPr>
          <w:sz w:val="24"/>
          <w:szCs w:val="24"/>
        </w:rPr>
        <w:t xml:space="preserve">, napríklad pôžičky Štátneho fondu rozvoja bývania poskytnuté subjektom územnej samosprávy. </w:t>
      </w:r>
    </w:p>
    <w:p w14:paraId="3282BC46" w14:textId="77777777" w:rsidR="003A0696" w:rsidRPr="00E01825" w:rsidRDefault="003A0696" w:rsidP="003A0696">
      <w:pPr>
        <w:spacing w:line="240" w:lineRule="auto"/>
        <w:rPr>
          <w:sz w:val="24"/>
          <w:szCs w:val="24"/>
        </w:rPr>
      </w:pPr>
      <w:r w:rsidRPr="00E01825">
        <w:rPr>
          <w:sz w:val="24"/>
          <w:szCs w:val="24"/>
        </w:rPr>
        <w:t>Konsolidované vzájomné pôžičky predstavovali najmä:</w:t>
      </w:r>
    </w:p>
    <w:p w14:paraId="5C7DA417" w14:textId="77777777" w:rsidR="003A0696" w:rsidRPr="00E01825" w:rsidRDefault="003A0696" w:rsidP="003A0696">
      <w:pPr>
        <w:spacing w:line="240" w:lineRule="auto"/>
        <w:ind w:left="284" w:hanging="284"/>
        <w:rPr>
          <w:sz w:val="24"/>
          <w:szCs w:val="24"/>
        </w:rPr>
      </w:pPr>
      <w:r w:rsidRPr="00E01825">
        <w:rPr>
          <w:sz w:val="24"/>
          <w:szCs w:val="24"/>
        </w:rPr>
        <w:t>- pôžičky ŠFRB 721 398 tis. eur, ktorý poskytuje návratné finančné prostriedky najmä subjektom územnej samosprávy v oblasti podpory bývania,</w:t>
      </w:r>
    </w:p>
    <w:p w14:paraId="5B0CFE50" w14:textId="77777777" w:rsidR="003A0696" w:rsidRPr="00E01825" w:rsidRDefault="003A0696" w:rsidP="003A0696">
      <w:pPr>
        <w:spacing w:line="240" w:lineRule="auto"/>
        <w:ind w:left="142" w:hanging="142"/>
        <w:rPr>
          <w:sz w:val="24"/>
          <w:szCs w:val="24"/>
        </w:rPr>
      </w:pPr>
      <w:r w:rsidRPr="00E01825">
        <w:rPr>
          <w:sz w:val="24"/>
          <w:szCs w:val="24"/>
        </w:rPr>
        <w:t xml:space="preserve">- návratná finančná výpomoc poskytnutá zo štátneho rozpočtu Agentúre pre núdzové zásoby ropy a ropných výrobkov 240 000 tis. eur, </w:t>
      </w:r>
    </w:p>
    <w:p w14:paraId="1C853BD9" w14:textId="77777777" w:rsidR="003A0696" w:rsidRPr="00E01825" w:rsidRDefault="003A0696" w:rsidP="003A0696">
      <w:pPr>
        <w:spacing w:line="240" w:lineRule="auto"/>
        <w:rPr>
          <w:sz w:val="24"/>
          <w:szCs w:val="24"/>
        </w:rPr>
      </w:pPr>
      <w:r w:rsidRPr="00E01825">
        <w:rPr>
          <w:sz w:val="24"/>
          <w:szCs w:val="24"/>
        </w:rPr>
        <w:t>- imputovaná pôžička Agentúry pre núdzové zásoby ropy a ropných výrobkov 70 011 tis. eur,</w:t>
      </w:r>
    </w:p>
    <w:p w14:paraId="3E55C62E" w14:textId="77777777" w:rsidR="003A0696" w:rsidRPr="00D10B88" w:rsidRDefault="003A0696" w:rsidP="003A0696">
      <w:pPr>
        <w:spacing w:line="240" w:lineRule="auto"/>
        <w:ind w:left="142" w:hanging="142"/>
        <w:rPr>
          <w:sz w:val="24"/>
          <w:szCs w:val="24"/>
        </w:rPr>
      </w:pPr>
      <w:r w:rsidRPr="00D10B88">
        <w:rPr>
          <w:sz w:val="24"/>
          <w:szCs w:val="24"/>
        </w:rPr>
        <w:t>- návratné finančné výpomoci poskytnuté zo štátneho rozpočtu mestám, obciam a ostatným subjektom verejnej správy 337 375 tis. eur</w:t>
      </w:r>
      <w:r>
        <w:rPr>
          <w:sz w:val="24"/>
          <w:szCs w:val="24"/>
        </w:rPr>
        <w:t xml:space="preserve"> (z toho v rámci COVID opatrení 151 822 tis. eur)</w:t>
      </w:r>
      <w:r w:rsidRPr="00D10B88">
        <w:rPr>
          <w:sz w:val="24"/>
          <w:szCs w:val="24"/>
        </w:rPr>
        <w:t>.</w:t>
      </w:r>
    </w:p>
    <w:p w14:paraId="7BA09E16" w14:textId="77777777" w:rsidR="003A0696" w:rsidRDefault="003A0696" w:rsidP="003A0696">
      <w:pPr>
        <w:spacing w:line="240" w:lineRule="auto"/>
        <w:rPr>
          <w:sz w:val="24"/>
          <w:szCs w:val="24"/>
        </w:rPr>
      </w:pPr>
      <w:r w:rsidRPr="00D10B88">
        <w:rPr>
          <w:sz w:val="24"/>
          <w:szCs w:val="24"/>
        </w:rPr>
        <w:t>V prehľade maastrichtského dlhu podľa zložiek verejnej správy sú uvedené hodnoty na nekonsolidovanej báze, pričom výsledná hodnota dlhu a opis medziročných vplyvov sú uvádzané po konsolidácii.</w:t>
      </w:r>
    </w:p>
    <w:p w14:paraId="5BDDA7DA" w14:textId="77777777" w:rsidR="003A0696" w:rsidRDefault="003A0696" w:rsidP="003A0696">
      <w:pPr>
        <w:spacing w:after="160" w:line="259" w:lineRule="auto"/>
        <w:jc w:val="left"/>
        <w:rPr>
          <w:sz w:val="24"/>
          <w:szCs w:val="24"/>
        </w:rPr>
      </w:pPr>
      <w:r>
        <w:rPr>
          <w:sz w:val="24"/>
          <w:szCs w:val="24"/>
        </w:rPr>
        <w:br w:type="page"/>
      </w:r>
    </w:p>
    <w:tbl>
      <w:tblPr>
        <w:tblW w:w="5000" w:type="pct"/>
        <w:tblCellMar>
          <w:left w:w="70" w:type="dxa"/>
          <w:right w:w="70" w:type="dxa"/>
        </w:tblCellMar>
        <w:tblLook w:val="04A0" w:firstRow="1" w:lastRow="0" w:firstColumn="1" w:lastColumn="0" w:noHBand="0" w:noVBand="1"/>
      </w:tblPr>
      <w:tblGrid>
        <w:gridCol w:w="5153"/>
        <w:gridCol w:w="1040"/>
        <w:gridCol w:w="1040"/>
        <w:gridCol w:w="1040"/>
        <w:gridCol w:w="941"/>
      </w:tblGrid>
      <w:tr w:rsidR="003A0696" w:rsidRPr="007D32CB" w14:paraId="1ED02B18" w14:textId="77777777" w:rsidTr="003A0696">
        <w:trPr>
          <w:trHeight w:val="300"/>
          <w:tblHeader/>
        </w:trPr>
        <w:tc>
          <w:tcPr>
            <w:tcW w:w="5000" w:type="pct"/>
            <w:gridSpan w:val="5"/>
            <w:tcBorders>
              <w:top w:val="nil"/>
              <w:left w:val="nil"/>
              <w:bottom w:val="single" w:sz="4" w:space="0" w:color="auto"/>
              <w:right w:val="nil"/>
            </w:tcBorders>
            <w:shd w:val="clear" w:color="auto" w:fill="auto"/>
            <w:noWrap/>
            <w:vAlign w:val="center"/>
            <w:hideMark/>
          </w:tcPr>
          <w:p w14:paraId="617D4BC2" w14:textId="3302E2F4" w:rsidR="003A0696" w:rsidRPr="007D32CB" w:rsidRDefault="003A0696" w:rsidP="003A0696">
            <w:pPr>
              <w:spacing w:after="0" w:line="240" w:lineRule="auto"/>
              <w:jc w:val="left"/>
              <w:rPr>
                <w:rFonts w:eastAsia="Times New Roman" w:cs="Times New Roman"/>
                <w:b/>
                <w:bCs/>
                <w:color w:val="5B9BD5"/>
                <w:sz w:val="20"/>
                <w:szCs w:val="20"/>
                <w:lang w:eastAsia="sk-SK"/>
              </w:rPr>
            </w:pPr>
            <w:r w:rsidRPr="007D32CB">
              <w:rPr>
                <w:rFonts w:eastAsia="Times New Roman" w:cs="Times New Roman"/>
                <w:b/>
                <w:bCs/>
                <w:color w:val="5B9BD5"/>
                <w:sz w:val="20"/>
                <w:szCs w:val="20"/>
                <w:lang w:eastAsia="sk-SK"/>
              </w:rPr>
              <w:lastRenderedPageBreak/>
              <w:t>Tabuľka 1</w:t>
            </w:r>
            <w:r>
              <w:rPr>
                <w:rFonts w:eastAsia="Times New Roman" w:cs="Times New Roman"/>
                <w:b/>
                <w:bCs/>
                <w:color w:val="5B9BD5"/>
                <w:sz w:val="20"/>
                <w:szCs w:val="20"/>
                <w:lang w:eastAsia="sk-SK"/>
              </w:rPr>
              <w:t>6</w:t>
            </w:r>
            <w:r w:rsidRPr="007D32CB">
              <w:rPr>
                <w:rFonts w:eastAsia="Times New Roman" w:cs="Times New Roman"/>
                <w:b/>
                <w:bCs/>
                <w:color w:val="5B9BD5"/>
                <w:sz w:val="20"/>
                <w:szCs w:val="20"/>
                <w:lang w:eastAsia="sk-SK"/>
              </w:rPr>
              <w:t xml:space="preserve"> - Maastrichtský dlh verejnej správy podľa jednotlivých subjektov</w:t>
            </w:r>
            <w:r w:rsidR="00B85D60">
              <w:rPr>
                <w:rFonts w:eastAsia="Times New Roman" w:cs="Times New Roman"/>
                <w:b/>
                <w:bCs/>
                <w:color w:val="5B9BD5"/>
                <w:sz w:val="20"/>
                <w:szCs w:val="20"/>
                <w:lang w:eastAsia="sk-SK"/>
              </w:rPr>
              <w:t xml:space="preserve"> (zložiek)</w:t>
            </w:r>
          </w:p>
        </w:tc>
      </w:tr>
      <w:tr w:rsidR="003A0696" w:rsidRPr="007D32CB" w14:paraId="6D2FD2B1" w14:textId="77777777" w:rsidTr="003A0696">
        <w:trPr>
          <w:trHeight w:val="285"/>
          <w:tblHeader/>
        </w:trPr>
        <w:tc>
          <w:tcPr>
            <w:tcW w:w="2797" w:type="pct"/>
            <w:vMerge w:val="restart"/>
            <w:tcBorders>
              <w:top w:val="single" w:sz="4" w:space="0" w:color="auto"/>
              <w:left w:val="nil"/>
              <w:bottom w:val="single" w:sz="4" w:space="0" w:color="000000"/>
              <w:right w:val="nil"/>
            </w:tcBorders>
            <w:shd w:val="clear" w:color="auto" w:fill="auto"/>
            <w:vAlign w:val="center"/>
            <w:hideMark/>
          </w:tcPr>
          <w:p w14:paraId="3311F47D" w14:textId="77777777" w:rsidR="003A0696" w:rsidRPr="007D32CB" w:rsidRDefault="003A0696" w:rsidP="003A0696">
            <w:pPr>
              <w:spacing w:after="0" w:line="240" w:lineRule="auto"/>
              <w:rPr>
                <w:rFonts w:eastAsia="Times New Roman" w:cs="Times New Roman"/>
                <w:b/>
                <w:bCs/>
                <w:sz w:val="20"/>
                <w:szCs w:val="20"/>
                <w:lang w:eastAsia="sk-SK"/>
              </w:rPr>
            </w:pPr>
            <w:r w:rsidRPr="007D32CB">
              <w:rPr>
                <w:rFonts w:eastAsia="Times New Roman" w:cs="Times New Roman"/>
                <w:b/>
                <w:bCs/>
                <w:sz w:val="20"/>
                <w:szCs w:val="20"/>
                <w:lang w:eastAsia="sk-SK"/>
              </w:rPr>
              <w:t>v tis. eur</w:t>
            </w:r>
          </w:p>
        </w:tc>
        <w:tc>
          <w:tcPr>
            <w:tcW w:w="564" w:type="pct"/>
            <w:tcBorders>
              <w:top w:val="single" w:sz="4" w:space="0" w:color="auto"/>
              <w:left w:val="nil"/>
              <w:bottom w:val="nil"/>
              <w:right w:val="nil"/>
            </w:tcBorders>
            <w:shd w:val="clear" w:color="auto" w:fill="auto"/>
            <w:vAlign w:val="center"/>
            <w:hideMark/>
          </w:tcPr>
          <w:p w14:paraId="52DD1ECC" w14:textId="77777777" w:rsidR="003A0696" w:rsidRPr="007D32CB" w:rsidRDefault="003A0696" w:rsidP="003A0696">
            <w:pPr>
              <w:spacing w:after="0" w:line="240" w:lineRule="auto"/>
              <w:jc w:val="center"/>
              <w:rPr>
                <w:rFonts w:eastAsia="Times New Roman" w:cs="Times New Roman"/>
                <w:b/>
                <w:bCs/>
                <w:sz w:val="20"/>
                <w:szCs w:val="20"/>
                <w:lang w:eastAsia="sk-SK"/>
              </w:rPr>
            </w:pPr>
            <w:r w:rsidRPr="007D32CB">
              <w:rPr>
                <w:rFonts w:eastAsia="Times New Roman" w:cs="Times New Roman"/>
                <w:b/>
                <w:bCs/>
                <w:sz w:val="20"/>
                <w:szCs w:val="20"/>
                <w:lang w:eastAsia="sk-SK"/>
              </w:rPr>
              <w:t>2020 S</w:t>
            </w:r>
          </w:p>
        </w:tc>
        <w:tc>
          <w:tcPr>
            <w:tcW w:w="564" w:type="pct"/>
            <w:tcBorders>
              <w:top w:val="single" w:sz="4" w:space="0" w:color="auto"/>
              <w:left w:val="nil"/>
              <w:bottom w:val="nil"/>
              <w:right w:val="nil"/>
            </w:tcBorders>
            <w:shd w:val="clear" w:color="auto" w:fill="auto"/>
            <w:vAlign w:val="center"/>
            <w:hideMark/>
          </w:tcPr>
          <w:p w14:paraId="07F36B94" w14:textId="77777777" w:rsidR="003A0696" w:rsidRPr="007D32CB" w:rsidRDefault="003A0696" w:rsidP="003A0696">
            <w:pPr>
              <w:spacing w:after="0" w:line="240" w:lineRule="auto"/>
              <w:jc w:val="center"/>
              <w:rPr>
                <w:rFonts w:eastAsia="Times New Roman" w:cs="Times New Roman"/>
                <w:b/>
                <w:bCs/>
                <w:sz w:val="20"/>
                <w:szCs w:val="20"/>
                <w:lang w:eastAsia="sk-SK"/>
              </w:rPr>
            </w:pPr>
            <w:r w:rsidRPr="007D32CB">
              <w:rPr>
                <w:rFonts w:eastAsia="Times New Roman" w:cs="Times New Roman"/>
                <w:b/>
                <w:bCs/>
                <w:sz w:val="20"/>
                <w:szCs w:val="20"/>
                <w:lang w:eastAsia="sk-SK"/>
              </w:rPr>
              <w:t>2021 S</w:t>
            </w:r>
          </w:p>
        </w:tc>
        <w:tc>
          <w:tcPr>
            <w:tcW w:w="564" w:type="pct"/>
            <w:tcBorders>
              <w:top w:val="single" w:sz="4" w:space="0" w:color="auto"/>
              <w:left w:val="nil"/>
              <w:bottom w:val="nil"/>
              <w:right w:val="nil"/>
            </w:tcBorders>
            <w:shd w:val="clear" w:color="auto" w:fill="auto"/>
            <w:vAlign w:val="center"/>
            <w:hideMark/>
          </w:tcPr>
          <w:p w14:paraId="2072BCB9" w14:textId="77777777" w:rsidR="003A0696" w:rsidRPr="007D32CB" w:rsidRDefault="003A0696" w:rsidP="003A0696">
            <w:pPr>
              <w:spacing w:after="0" w:line="240" w:lineRule="auto"/>
              <w:jc w:val="center"/>
              <w:rPr>
                <w:rFonts w:eastAsia="Times New Roman" w:cs="Times New Roman"/>
                <w:b/>
                <w:bCs/>
                <w:sz w:val="20"/>
                <w:szCs w:val="20"/>
                <w:lang w:eastAsia="sk-SK"/>
              </w:rPr>
            </w:pPr>
            <w:r w:rsidRPr="007D32CB">
              <w:rPr>
                <w:rFonts w:eastAsia="Times New Roman" w:cs="Times New Roman"/>
                <w:b/>
                <w:bCs/>
                <w:sz w:val="20"/>
                <w:szCs w:val="20"/>
                <w:lang w:eastAsia="sk-SK"/>
              </w:rPr>
              <w:t>2022 S</w:t>
            </w:r>
          </w:p>
        </w:tc>
        <w:tc>
          <w:tcPr>
            <w:tcW w:w="510" w:type="pct"/>
            <w:tcBorders>
              <w:top w:val="single" w:sz="4" w:space="0" w:color="auto"/>
              <w:left w:val="nil"/>
              <w:bottom w:val="nil"/>
              <w:right w:val="nil"/>
            </w:tcBorders>
            <w:shd w:val="clear" w:color="auto" w:fill="auto"/>
            <w:vAlign w:val="center"/>
            <w:hideMark/>
          </w:tcPr>
          <w:p w14:paraId="6CBEC245" w14:textId="77777777" w:rsidR="003A0696" w:rsidRPr="007D32CB" w:rsidRDefault="003A0696" w:rsidP="003A0696">
            <w:pPr>
              <w:spacing w:after="0" w:line="240" w:lineRule="auto"/>
              <w:jc w:val="center"/>
              <w:rPr>
                <w:rFonts w:eastAsia="Times New Roman" w:cs="Times New Roman"/>
                <w:b/>
                <w:bCs/>
                <w:sz w:val="20"/>
                <w:szCs w:val="20"/>
                <w:lang w:eastAsia="sk-SK"/>
              </w:rPr>
            </w:pPr>
            <w:r w:rsidRPr="007D32CB">
              <w:rPr>
                <w:rFonts w:eastAsia="Times New Roman" w:cs="Times New Roman"/>
                <w:b/>
                <w:bCs/>
                <w:sz w:val="20"/>
                <w:szCs w:val="20"/>
                <w:lang w:eastAsia="sk-SK"/>
              </w:rPr>
              <w:t>Zmena</w:t>
            </w:r>
          </w:p>
        </w:tc>
      </w:tr>
      <w:tr w:rsidR="003A0696" w:rsidRPr="007D32CB" w14:paraId="1E57281A" w14:textId="77777777" w:rsidTr="003A0696">
        <w:trPr>
          <w:trHeight w:val="285"/>
          <w:tblHeader/>
        </w:trPr>
        <w:tc>
          <w:tcPr>
            <w:tcW w:w="2797" w:type="pct"/>
            <w:vMerge/>
            <w:tcBorders>
              <w:top w:val="single" w:sz="4" w:space="0" w:color="auto"/>
              <w:left w:val="nil"/>
              <w:bottom w:val="single" w:sz="4" w:space="0" w:color="000000"/>
              <w:right w:val="nil"/>
            </w:tcBorders>
            <w:vAlign w:val="center"/>
            <w:hideMark/>
          </w:tcPr>
          <w:p w14:paraId="5EB2B36E" w14:textId="77777777" w:rsidR="003A0696" w:rsidRPr="007D32CB" w:rsidRDefault="003A0696" w:rsidP="003A0696">
            <w:pPr>
              <w:spacing w:after="0" w:line="240" w:lineRule="auto"/>
              <w:jc w:val="left"/>
              <w:rPr>
                <w:rFonts w:eastAsia="Times New Roman" w:cs="Times New Roman"/>
                <w:b/>
                <w:bCs/>
                <w:sz w:val="20"/>
                <w:szCs w:val="20"/>
                <w:lang w:eastAsia="sk-SK"/>
              </w:rPr>
            </w:pPr>
          </w:p>
        </w:tc>
        <w:tc>
          <w:tcPr>
            <w:tcW w:w="564" w:type="pct"/>
            <w:tcBorders>
              <w:top w:val="nil"/>
              <w:left w:val="nil"/>
              <w:bottom w:val="single" w:sz="4" w:space="0" w:color="auto"/>
              <w:right w:val="nil"/>
            </w:tcBorders>
            <w:shd w:val="clear" w:color="auto" w:fill="auto"/>
            <w:noWrap/>
            <w:vAlign w:val="bottom"/>
            <w:hideMark/>
          </w:tcPr>
          <w:p w14:paraId="089A68CB" w14:textId="77777777" w:rsidR="003A0696" w:rsidRPr="007D32CB" w:rsidRDefault="003A0696" w:rsidP="003A0696">
            <w:pPr>
              <w:spacing w:after="0" w:line="240" w:lineRule="auto"/>
              <w:jc w:val="center"/>
              <w:rPr>
                <w:rFonts w:eastAsia="Times New Roman" w:cs="Times New Roman"/>
                <w:b/>
                <w:bCs/>
                <w:sz w:val="20"/>
                <w:szCs w:val="20"/>
                <w:lang w:eastAsia="sk-SK"/>
              </w:rPr>
            </w:pPr>
            <w:r w:rsidRPr="007D32CB">
              <w:rPr>
                <w:rFonts w:eastAsia="Times New Roman" w:cs="Times New Roman"/>
                <w:b/>
                <w:bCs/>
                <w:sz w:val="20"/>
                <w:szCs w:val="20"/>
                <w:lang w:eastAsia="sk-SK"/>
              </w:rPr>
              <w:t>1</w:t>
            </w:r>
          </w:p>
        </w:tc>
        <w:tc>
          <w:tcPr>
            <w:tcW w:w="564" w:type="pct"/>
            <w:tcBorders>
              <w:top w:val="nil"/>
              <w:left w:val="nil"/>
              <w:bottom w:val="single" w:sz="4" w:space="0" w:color="auto"/>
              <w:right w:val="nil"/>
            </w:tcBorders>
            <w:shd w:val="clear" w:color="auto" w:fill="auto"/>
            <w:noWrap/>
            <w:vAlign w:val="bottom"/>
            <w:hideMark/>
          </w:tcPr>
          <w:p w14:paraId="26B2E174" w14:textId="77777777" w:rsidR="003A0696" w:rsidRPr="007D32CB" w:rsidRDefault="003A0696" w:rsidP="003A0696">
            <w:pPr>
              <w:spacing w:after="0" w:line="240" w:lineRule="auto"/>
              <w:jc w:val="center"/>
              <w:rPr>
                <w:rFonts w:eastAsia="Times New Roman" w:cs="Times New Roman"/>
                <w:b/>
                <w:bCs/>
                <w:sz w:val="20"/>
                <w:szCs w:val="20"/>
                <w:lang w:eastAsia="sk-SK"/>
              </w:rPr>
            </w:pPr>
            <w:r w:rsidRPr="007D32CB">
              <w:rPr>
                <w:rFonts w:eastAsia="Times New Roman" w:cs="Times New Roman"/>
                <w:b/>
                <w:bCs/>
                <w:sz w:val="20"/>
                <w:szCs w:val="20"/>
                <w:lang w:eastAsia="sk-SK"/>
              </w:rPr>
              <w:t>2</w:t>
            </w:r>
          </w:p>
        </w:tc>
        <w:tc>
          <w:tcPr>
            <w:tcW w:w="564" w:type="pct"/>
            <w:tcBorders>
              <w:top w:val="nil"/>
              <w:left w:val="nil"/>
              <w:bottom w:val="single" w:sz="4" w:space="0" w:color="auto"/>
              <w:right w:val="nil"/>
            </w:tcBorders>
            <w:shd w:val="clear" w:color="auto" w:fill="auto"/>
            <w:noWrap/>
            <w:vAlign w:val="bottom"/>
            <w:hideMark/>
          </w:tcPr>
          <w:p w14:paraId="377FF156" w14:textId="77777777" w:rsidR="003A0696" w:rsidRPr="007D32CB" w:rsidRDefault="003A0696" w:rsidP="003A0696">
            <w:pPr>
              <w:spacing w:after="0" w:line="240" w:lineRule="auto"/>
              <w:jc w:val="center"/>
              <w:rPr>
                <w:rFonts w:eastAsia="Times New Roman" w:cs="Times New Roman"/>
                <w:b/>
                <w:bCs/>
                <w:sz w:val="20"/>
                <w:szCs w:val="20"/>
                <w:lang w:eastAsia="sk-SK"/>
              </w:rPr>
            </w:pPr>
            <w:r w:rsidRPr="007D32CB">
              <w:rPr>
                <w:rFonts w:eastAsia="Times New Roman" w:cs="Times New Roman"/>
                <w:b/>
                <w:bCs/>
                <w:sz w:val="20"/>
                <w:szCs w:val="20"/>
                <w:lang w:eastAsia="sk-SK"/>
              </w:rPr>
              <w:t>3</w:t>
            </w:r>
          </w:p>
        </w:tc>
        <w:tc>
          <w:tcPr>
            <w:tcW w:w="510" w:type="pct"/>
            <w:tcBorders>
              <w:top w:val="nil"/>
              <w:left w:val="nil"/>
              <w:bottom w:val="single" w:sz="4" w:space="0" w:color="auto"/>
              <w:right w:val="nil"/>
            </w:tcBorders>
            <w:shd w:val="clear" w:color="auto" w:fill="auto"/>
            <w:noWrap/>
            <w:vAlign w:val="bottom"/>
            <w:hideMark/>
          </w:tcPr>
          <w:p w14:paraId="425A540C" w14:textId="77777777" w:rsidR="003A0696" w:rsidRPr="007D32CB" w:rsidRDefault="003A0696" w:rsidP="003A0696">
            <w:pPr>
              <w:spacing w:after="0" w:line="240" w:lineRule="auto"/>
              <w:jc w:val="center"/>
              <w:rPr>
                <w:rFonts w:eastAsia="Times New Roman" w:cs="Times New Roman"/>
                <w:b/>
                <w:bCs/>
                <w:sz w:val="20"/>
                <w:szCs w:val="20"/>
                <w:lang w:eastAsia="sk-SK"/>
              </w:rPr>
            </w:pPr>
            <w:r w:rsidRPr="007D32CB">
              <w:rPr>
                <w:rFonts w:eastAsia="Times New Roman" w:cs="Times New Roman"/>
                <w:b/>
                <w:bCs/>
                <w:sz w:val="20"/>
                <w:szCs w:val="20"/>
                <w:lang w:eastAsia="sk-SK"/>
              </w:rPr>
              <w:t>4=(3-2)</w:t>
            </w:r>
          </w:p>
        </w:tc>
      </w:tr>
      <w:tr w:rsidR="003A0696" w:rsidRPr="007D32CB" w14:paraId="0ED992E8" w14:textId="77777777" w:rsidTr="003A0696">
        <w:trPr>
          <w:trHeight w:val="300"/>
        </w:trPr>
        <w:tc>
          <w:tcPr>
            <w:tcW w:w="2797" w:type="pct"/>
            <w:tcBorders>
              <w:top w:val="nil"/>
              <w:left w:val="nil"/>
              <w:bottom w:val="nil"/>
              <w:right w:val="nil"/>
            </w:tcBorders>
            <w:shd w:val="clear" w:color="auto" w:fill="auto"/>
            <w:noWrap/>
            <w:vAlign w:val="bottom"/>
            <w:hideMark/>
          </w:tcPr>
          <w:p w14:paraId="10AA3BD3" w14:textId="77777777" w:rsidR="003A0696" w:rsidRPr="007D32CB" w:rsidRDefault="003A0696" w:rsidP="003A0696">
            <w:pPr>
              <w:spacing w:after="0" w:line="240" w:lineRule="auto"/>
              <w:jc w:val="left"/>
              <w:rPr>
                <w:rFonts w:eastAsia="Times New Roman" w:cs="Times New Roman"/>
                <w:b/>
                <w:bCs/>
                <w:sz w:val="20"/>
                <w:szCs w:val="20"/>
                <w:lang w:eastAsia="sk-SK"/>
              </w:rPr>
            </w:pPr>
            <w:r w:rsidRPr="007D32CB">
              <w:rPr>
                <w:rFonts w:eastAsia="Times New Roman" w:cs="Times New Roman"/>
                <w:b/>
                <w:bCs/>
                <w:sz w:val="20"/>
                <w:szCs w:val="20"/>
                <w:lang w:eastAsia="sk-SK"/>
              </w:rPr>
              <w:t>Ústredná správa</w:t>
            </w:r>
          </w:p>
        </w:tc>
        <w:tc>
          <w:tcPr>
            <w:tcW w:w="564" w:type="pct"/>
            <w:tcBorders>
              <w:top w:val="nil"/>
              <w:left w:val="nil"/>
              <w:bottom w:val="nil"/>
              <w:right w:val="nil"/>
            </w:tcBorders>
            <w:shd w:val="clear" w:color="auto" w:fill="auto"/>
            <w:noWrap/>
            <w:vAlign w:val="bottom"/>
            <w:hideMark/>
          </w:tcPr>
          <w:p w14:paraId="6DC5C0FA" w14:textId="77777777" w:rsidR="003A0696" w:rsidRPr="007D32CB" w:rsidRDefault="003A0696" w:rsidP="003A0696">
            <w:pPr>
              <w:spacing w:after="0" w:line="240" w:lineRule="auto"/>
              <w:jc w:val="left"/>
              <w:rPr>
                <w:rFonts w:eastAsia="Times New Roman" w:cs="Times New Roman"/>
                <w:b/>
                <w:bCs/>
                <w:sz w:val="20"/>
                <w:szCs w:val="20"/>
                <w:lang w:eastAsia="sk-SK"/>
              </w:rPr>
            </w:pPr>
          </w:p>
        </w:tc>
        <w:tc>
          <w:tcPr>
            <w:tcW w:w="564" w:type="pct"/>
            <w:tcBorders>
              <w:top w:val="nil"/>
              <w:left w:val="nil"/>
              <w:bottom w:val="nil"/>
              <w:right w:val="nil"/>
            </w:tcBorders>
            <w:shd w:val="clear" w:color="auto" w:fill="auto"/>
            <w:noWrap/>
            <w:vAlign w:val="bottom"/>
            <w:hideMark/>
          </w:tcPr>
          <w:p w14:paraId="568920EB"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64" w:type="pct"/>
            <w:tcBorders>
              <w:top w:val="nil"/>
              <w:left w:val="nil"/>
              <w:bottom w:val="nil"/>
              <w:right w:val="nil"/>
            </w:tcBorders>
            <w:shd w:val="clear" w:color="auto" w:fill="auto"/>
            <w:noWrap/>
            <w:vAlign w:val="bottom"/>
            <w:hideMark/>
          </w:tcPr>
          <w:p w14:paraId="65C0B900"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10" w:type="pct"/>
            <w:tcBorders>
              <w:top w:val="nil"/>
              <w:left w:val="nil"/>
              <w:bottom w:val="nil"/>
              <w:right w:val="nil"/>
            </w:tcBorders>
            <w:shd w:val="clear" w:color="auto" w:fill="auto"/>
            <w:noWrap/>
            <w:vAlign w:val="bottom"/>
            <w:hideMark/>
          </w:tcPr>
          <w:p w14:paraId="2D8628D7" w14:textId="77777777" w:rsidR="003A0696" w:rsidRPr="007D32CB" w:rsidRDefault="003A0696" w:rsidP="003A0696">
            <w:pPr>
              <w:spacing w:after="0" w:line="240" w:lineRule="auto"/>
              <w:jc w:val="left"/>
              <w:rPr>
                <w:rFonts w:eastAsia="Times New Roman" w:cs="Times New Roman"/>
                <w:sz w:val="20"/>
                <w:szCs w:val="20"/>
                <w:lang w:eastAsia="sk-SK"/>
              </w:rPr>
            </w:pPr>
          </w:p>
        </w:tc>
      </w:tr>
      <w:tr w:rsidR="003A0696" w:rsidRPr="007D32CB" w14:paraId="0D43225D" w14:textId="77777777" w:rsidTr="003A0696">
        <w:trPr>
          <w:trHeight w:val="300"/>
        </w:trPr>
        <w:tc>
          <w:tcPr>
            <w:tcW w:w="2797" w:type="pct"/>
            <w:tcBorders>
              <w:top w:val="nil"/>
              <w:left w:val="nil"/>
              <w:bottom w:val="nil"/>
              <w:right w:val="nil"/>
            </w:tcBorders>
            <w:shd w:val="clear" w:color="auto" w:fill="auto"/>
            <w:noWrap/>
            <w:vAlign w:val="bottom"/>
            <w:hideMark/>
          </w:tcPr>
          <w:p w14:paraId="4BE576BE" w14:textId="77777777" w:rsidR="003A0696" w:rsidRPr="007D32CB" w:rsidRDefault="003A0696" w:rsidP="003A0696">
            <w:pPr>
              <w:spacing w:after="0" w:line="240" w:lineRule="auto"/>
              <w:ind w:firstLineChars="100" w:firstLine="200"/>
              <w:jc w:val="left"/>
              <w:rPr>
                <w:rFonts w:eastAsia="Times New Roman" w:cs="Times New Roman"/>
                <w:sz w:val="20"/>
                <w:szCs w:val="20"/>
                <w:lang w:eastAsia="sk-SK"/>
              </w:rPr>
            </w:pPr>
            <w:r w:rsidRPr="007D32CB">
              <w:rPr>
                <w:rFonts w:eastAsia="Times New Roman" w:cs="Times New Roman"/>
                <w:sz w:val="20"/>
                <w:szCs w:val="20"/>
                <w:lang w:eastAsia="sk-SK"/>
              </w:rPr>
              <w:t xml:space="preserve">z toho: </w:t>
            </w:r>
          </w:p>
        </w:tc>
        <w:tc>
          <w:tcPr>
            <w:tcW w:w="564" w:type="pct"/>
            <w:tcBorders>
              <w:top w:val="nil"/>
              <w:left w:val="nil"/>
              <w:bottom w:val="nil"/>
              <w:right w:val="nil"/>
            </w:tcBorders>
            <w:shd w:val="clear" w:color="auto" w:fill="auto"/>
            <w:noWrap/>
            <w:vAlign w:val="bottom"/>
            <w:hideMark/>
          </w:tcPr>
          <w:p w14:paraId="3D093429" w14:textId="77777777" w:rsidR="003A0696" w:rsidRPr="007D32CB" w:rsidRDefault="003A0696" w:rsidP="003A0696">
            <w:pPr>
              <w:spacing w:after="0" w:line="240" w:lineRule="auto"/>
              <w:ind w:firstLineChars="100" w:firstLine="200"/>
              <w:jc w:val="left"/>
              <w:rPr>
                <w:rFonts w:eastAsia="Times New Roman" w:cs="Times New Roman"/>
                <w:sz w:val="20"/>
                <w:szCs w:val="20"/>
                <w:lang w:eastAsia="sk-SK"/>
              </w:rPr>
            </w:pPr>
          </w:p>
        </w:tc>
        <w:tc>
          <w:tcPr>
            <w:tcW w:w="564" w:type="pct"/>
            <w:tcBorders>
              <w:top w:val="nil"/>
              <w:left w:val="nil"/>
              <w:bottom w:val="nil"/>
              <w:right w:val="nil"/>
            </w:tcBorders>
            <w:shd w:val="clear" w:color="auto" w:fill="auto"/>
            <w:noWrap/>
            <w:vAlign w:val="bottom"/>
            <w:hideMark/>
          </w:tcPr>
          <w:p w14:paraId="2522DA45"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64" w:type="pct"/>
            <w:tcBorders>
              <w:top w:val="nil"/>
              <w:left w:val="nil"/>
              <w:bottom w:val="nil"/>
              <w:right w:val="nil"/>
            </w:tcBorders>
            <w:shd w:val="clear" w:color="auto" w:fill="auto"/>
            <w:noWrap/>
            <w:vAlign w:val="bottom"/>
            <w:hideMark/>
          </w:tcPr>
          <w:p w14:paraId="451C4695"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10" w:type="pct"/>
            <w:tcBorders>
              <w:top w:val="nil"/>
              <w:left w:val="nil"/>
              <w:bottom w:val="nil"/>
              <w:right w:val="nil"/>
            </w:tcBorders>
            <w:shd w:val="clear" w:color="auto" w:fill="auto"/>
            <w:noWrap/>
            <w:vAlign w:val="bottom"/>
            <w:hideMark/>
          </w:tcPr>
          <w:p w14:paraId="68CCA0D6" w14:textId="77777777" w:rsidR="003A0696" w:rsidRPr="007D32CB" w:rsidRDefault="003A0696" w:rsidP="003A0696">
            <w:pPr>
              <w:spacing w:after="0" w:line="240" w:lineRule="auto"/>
              <w:jc w:val="left"/>
              <w:rPr>
                <w:rFonts w:eastAsia="Times New Roman" w:cs="Times New Roman"/>
                <w:sz w:val="20"/>
                <w:szCs w:val="20"/>
                <w:lang w:eastAsia="sk-SK"/>
              </w:rPr>
            </w:pPr>
          </w:p>
        </w:tc>
      </w:tr>
      <w:tr w:rsidR="003A0696" w:rsidRPr="007D32CB" w14:paraId="59D848A0" w14:textId="77777777" w:rsidTr="003A0696">
        <w:trPr>
          <w:trHeight w:val="330"/>
        </w:trPr>
        <w:tc>
          <w:tcPr>
            <w:tcW w:w="2797" w:type="pct"/>
            <w:tcBorders>
              <w:top w:val="nil"/>
              <w:left w:val="nil"/>
              <w:bottom w:val="nil"/>
              <w:right w:val="nil"/>
            </w:tcBorders>
            <w:shd w:val="clear" w:color="auto" w:fill="auto"/>
            <w:noWrap/>
            <w:vAlign w:val="bottom"/>
            <w:hideMark/>
          </w:tcPr>
          <w:p w14:paraId="6389FD7C"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 xml:space="preserve">Štátny dlh  </w:t>
            </w:r>
            <w:r w:rsidRPr="007D32CB">
              <w:rPr>
                <w:rFonts w:eastAsia="Times New Roman" w:cs="Times New Roman"/>
                <w:sz w:val="20"/>
                <w:szCs w:val="20"/>
                <w:vertAlign w:val="superscript"/>
                <w:lang w:eastAsia="sk-SK"/>
              </w:rPr>
              <w:t>1)</w:t>
            </w:r>
          </w:p>
        </w:tc>
        <w:tc>
          <w:tcPr>
            <w:tcW w:w="564" w:type="pct"/>
            <w:tcBorders>
              <w:top w:val="nil"/>
              <w:left w:val="nil"/>
              <w:bottom w:val="nil"/>
              <w:right w:val="nil"/>
            </w:tcBorders>
            <w:shd w:val="clear" w:color="auto" w:fill="auto"/>
            <w:noWrap/>
            <w:vAlign w:val="bottom"/>
            <w:hideMark/>
          </w:tcPr>
          <w:p w14:paraId="3FCE64A0"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52 876 796</w:t>
            </w:r>
          </w:p>
        </w:tc>
        <w:tc>
          <w:tcPr>
            <w:tcW w:w="564" w:type="pct"/>
            <w:tcBorders>
              <w:top w:val="nil"/>
              <w:left w:val="nil"/>
              <w:bottom w:val="nil"/>
              <w:right w:val="nil"/>
            </w:tcBorders>
            <w:shd w:val="clear" w:color="auto" w:fill="auto"/>
            <w:noWrap/>
            <w:vAlign w:val="bottom"/>
            <w:hideMark/>
          </w:tcPr>
          <w:p w14:paraId="6BF71B26"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59 244 402</w:t>
            </w:r>
          </w:p>
        </w:tc>
        <w:tc>
          <w:tcPr>
            <w:tcW w:w="564" w:type="pct"/>
            <w:tcBorders>
              <w:top w:val="nil"/>
              <w:left w:val="nil"/>
              <w:bottom w:val="nil"/>
              <w:right w:val="nil"/>
            </w:tcBorders>
            <w:shd w:val="clear" w:color="auto" w:fill="auto"/>
            <w:noWrap/>
            <w:vAlign w:val="bottom"/>
            <w:hideMark/>
          </w:tcPr>
          <w:p w14:paraId="01D97685"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61 204 864</w:t>
            </w:r>
          </w:p>
        </w:tc>
        <w:tc>
          <w:tcPr>
            <w:tcW w:w="510" w:type="pct"/>
            <w:tcBorders>
              <w:top w:val="nil"/>
              <w:left w:val="nil"/>
              <w:bottom w:val="nil"/>
              <w:right w:val="nil"/>
            </w:tcBorders>
            <w:shd w:val="clear" w:color="auto" w:fill="auto"/>
            <w:noWrap/>
            <w:vAlign w:val="bottom"/>
            <w:hideMark/>
          </w:tcPr>
          <w:p w14:paraId="0EA48D95"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1 960 462</w:t>
            </w:r>
          </w:p>
        </w:tc>
      </w:tr>
      <w:tr w:rsidR="003A0696" w:rsidRPr="007D32CB" w14:paraId="7F44D42F" w14:textId="77777777" w:rsidTr="003A0696">
        <w:trPr>
          <w:trHeight w:val="300"/>
        </w:trPr>
        <w:tc>
          <w:tcPr>
            <w:tcW w:w="2797" w:type="pct"/>
            <w:tcBorders>
              <w:top w:val="nil"/>
              <w:left w:val="nil"/>
              <w:bottom w:val="nil"/>
              <w:right w:val="nil"/>
            </w:tcBorders>
            <w:shd w:val="clear" w:color="auto" w:fill="auto"/>
            <w:noWrap/>
            <w:vAlign w:val="bottom"/>
            <w:hideMark/>
          </w:tcPr>
          <w:p w14:paraId="5966F525"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Príspevkové organizácie ústrednej správy</w:t>
            </w:r>
          </w:p>
        </w:tc>
        <w:tc>
          <w:tcPr>
            <w:tcW w:w="564" w:type="pct"/>
            <w:tcBorders>
              <w:top w:val="nil"/>
              <w:left w:val="nil"/>
              <w:bottom w:val="nil"/>
              <w:right w:val="nil"/>
            </w:tcBorders>
            <w:shd w:val="clear" w:color="auto" w:fill="auto"/>
            <w:noWrap/>
            <w:vAlign w:val="bottom"/>
            <w:hideMark/>
          </w:tcPr>
          <w:p w14:paraId="5DD7702B"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1 738</w:t>
            </w:r>
          </w:p>
        </w:tc>
        <w:tc>
          <w:tcPr>
            <w:tcW w:w="564" w:type="pct"/>
            <w:tcBorders>
              <w:top w:val="nil"/>
              <w:left w:val="nil"/>
              <w:bottom w:val="nil"/>
              <w:right w:val="nil"/>
            </w:tcBorders>
            <w:shd w:val="clear" w:color="auto" w:fill="auto"/>
            <w:noWrap/>
            <w:vAlign w:val="bottom"/>
            <w:hideMark/>
          </w:tcPr>
          <w:p w14:paraId="2CF718C2"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4 726</w:t>
            </w:r>
          </w:p>
        </w:tc>
        <w:tc>
          <w:tcPr>
            <w:tcW w:w="564" w:type="pct"/>
            <w:tcBorders>
              <w:top w:val="nil"/>
              <w:left w:val="nil"/>
              <w:bottom w:val="nil"/>
              <w:right w:val="nil"/>
            </w:tcBorders>
            <w:shd w:val="clear" w:color="auto" w:fill="auto"/>
            <w:noWrap/>
            <w:vAlign w:val="bottom"/>
            <w:hideMark/>
          </w:tcPr>
          <w:p w14:paraId="1E7D9CF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3 687</w:t>
            </w:r>
          </w:p>
        </w:tc>
        <w:tc>
          <w:tcPr>
            <w:tcW w:w="510" w:type="pct"/>
            <w:tcBorders>
              <w:top w:val="nil"/>
              <w:left w:val="nil"/>
              <w:bottom w:val="nil"/>
              <w:right w:val="nil"/>
            </w:tcBorders>
            <w:shd w:val="clear" w:color="auto" w:fill="auto"/>
            <w:noWrap/>
            <w:vAlign w:val="bottom"/>
            <w:hideMark/>
          </w:tcPr>
          <w:p w14:paraId="53FBD5C5"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-1 039</w:t>
            </w:r>
          </w:p>
        </w:tc>
      </w:tr>
      <w:tr w:rsidR="003A0696" w:rsidRPr="007D32CB" w14:paraId="468E29EB" w14:textId="77777777" w:rsidTr="003A0696">
        <w:trPr>
          <w:trHeight w:val="300"/>
        </w:trPr>
        <w:tc>
          <w:tcPr>
            <w:tcW w:w="2797" w:type="pct"/>
            <w:tcBorders>
              <w:top w:val="nil"/>
              <w:left w:val="nil"/>
              <w:bottom w:val="nil"/>
              <w:right w:val="nil"/>
            </w:tcBorders>
            <w:shd w:val="clear" w:color="auto" w:fill="auto"/>
            <w:noWrap/>
            <w:vAlign w:val="bottom"/>
            <w:hideMark/>
          </w:tcPr>
          <w:p w14:paraId="0E8D0550"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Exportno-importná banka SR</w:t>
            </w:r>
          </w:p>
        </w:tc>
        <w:tc>
          <w:tcPr>
            <w:tcW w:w="564" w:type="pct"/>
            <w:tcBorders>
              <w:top w:val="nil"/>
              <w:left w:val="nil"/>
              <w:bottom w:val="nil"/>
              <w:right w:val="nil"/>
            </w:tcBorders>
            <w:shd w:val="clear" w:color="auto" w:fill="auto"/>
            <w:noWrap/>
            <w:vAlign w:val="bottom"/>
            <w:hideMark/>
          </w:tcPr>
          <w:p w14:paraId="531199D0"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175 880</w:t>
            </w:r>
          </w:p>
        </w:tc>
        <w:tc>
          <w:tcPr>
            <w:tcW w:w="564" w:type="pct"/>
            <w:tcBorders>
              <w:top w:val="nil"/>
              <w:left w:val="nil"/>
              <w:bottom w:val="nil"/>
              <w:right w:val="nil"/>
            </w:tcBorders>
            <w:shd w:val="clear" w:color="auto" w:fill="auto"/>
            <w:noWrap/>
            <w:vAlign w:val="bottom"/>
            <w:hideMark/>
          </w:tcPr>
          <w:p w14:paraId="6546B2E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174 305</w:t>
            </w:r>
          </w:p>
        </w:tc>
        <w:tc>
          <w:tcPr>
            <w:tcW w:w="564" w:type="pct"/>
            <w:tcBorders>
              <w:top w:val="nil"/>
              <w:left w:val="nil"/>
              <w:bottom w:val="nil"/>
              <w:right w:val="nil"/>
            </w:tcBorders>
            <w:shd w:val="clear" w:color="auto" w:fill="auto"/>
            <w:noWrap/>
            <w:vAlign w:val="bottom"/>
            <w:hideMark/>
          </w:tcPr>
          <w:p w14:paraId="644A28CC"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188 740</w:t>
            </w:r>
          </w:p>
        </w:tc>
        <w:tc>
          <w:tcPr>
            <w:tcW w:w="510" w:type="pct"/>
            <w:tcBorders>
              <w:top w:val="nil"/>
              <w:left w:val="nil"/>
              <w:bottom w:val="nil"/>
              <w:right w:val="nil"/>
            </w:tcBorders>
            <w:shd w:val="clear" w:color="auto" w:fill="auto"/>
            <w:noWrap/>
            <w:vAlign w:val="bottom"/>
            <w:hideMark/>
          </w:tcPr>
          <w:p w14:paraId="0C0C14FF"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14 435</w:t>
            </w:r>
          </w:p>
        </w:tc>
      </w:tr>
      <w:tr w:rsidR="003A0696" w:rsidRPr="007D32CB" w14:paraId="39B6F04D" w14:textId="77777777" w:rsidTr="003A0696">
        <w:trPr>
          <w:trHeight w:val="300"/>
        </w:trPr>
        <w:tc>
          <w:tcPr>
            <w:tcW w:w="2797" w:type="pct"/>
            <w:tcBorders>
              <w:top w:val="nil"/>
              <w:left w:val="nil"/>
              <w:bottom w:val="nil"/>
              <w:right w:val="nil"/>
            </w:tcBorders>
            <w:shd w:val="clear" w:color="auto" w:fill="auto"/>
            <w:noWrap/>
            <w:vAlign w:val="bottom"/>
            <w:hideMark/>
          </w:tcPr>
          <w:p w14:paraId="56EAE773"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Obchodné spoločnosti štátu</w:t>
            </w:r>
          </w:p>
        </w:tc>
        <w:tc>
          <w:tcPr>
            <w:tcW w:w="564" w:type="pct"/>
            <w:tcBorders>
              <w:top w:val="nil"/>
              <w:left w:val="nil"/>
              <w:bottom w:val="nil"/>
              <w:right w:val="nil"/>
            </w:tcBorders>
            <w:shd w:val="clear" w:color="auto" w:fill="auto"/>
            <w:noWrap/>
            <w:vAlign w:val="bottom"/>
            <w:hideMark/>
          </w:tcPr>
          <w:p w14:paraId="0CBE00C5"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748 875</w:t>
            </w:r>
          </w:p>
        </w:tc>
        <w:tc>
          <w:tcPr>
            <w:tcW w:w="564" w:type="pct"/>
            <w:tcBorders>
              <w:top w:val="nil"/>
              <w:left w:val="nil"/>
              <w:bottom w:val="nil"/>
              <w:right w:val="nil"/>
            </w:tcBorders>
            <w:shd w:val="clear" w:color="auto" w:fill="auto"/>
            <w:noWrap/>
            <w:vAlign w:val="bottom"/>
            <w:hideMark/>
          </w:tcPr>
          <w:p w14:paraId="70303ECF"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565 533</w:t>
            </w:r>
          </w:p>
        </w:tc>
        <w:tc>
          <w:tcPr>
            <w:tcW w:w="564" w:type="pct"/>
            <w:tcBorders>
              <w:top w:val="nil"/>
              <w:left w:val="nil"/>
              <w:bottom w:val="nil"/>
              <w:right w:val="nil"/>
            </w:tcBorders>
            <w:shd w:val="clear" w:color="auto" w:fill="auto"/>
            <w:noWrap/>
            <w:vAlign w:val="bottom"/>
            <w:hideMark/>
          </w:tcPr>
          <w:p w14:paraId="05E682B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481 576</w:t>
            </w:r>
          </w:p>
        </w:tc>
        <w:tc>
          <w:tcPr>
            <w:tcW w:w="510" w:type="pct"/>
            <w:tcBorders>
              <w:top w:val="nil"/>
              <w:left w:val="nil"/>
              <w:bottom w:val="nil"/>
              <w:right w:val="nil"/>
            </w:tcBorders>
            <w:shd w:val="clear" w:color="auto" w:fill="auto"/>
            <w:noWrap/>
            <w:vAlign w:val="bottom"/>
            <w:hideMark/>
          </w:tcPr>
          <w:p w14:paraId="77314F2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-83 957</w:t>
            </w:r>
          </w:p>
        </w:tc>
      </w:tr>
      <w:tr w:rsidR="003A0696" w:rsidRPr="007D32CB" w14:paraId="5980D447" w14:textId="77777777" w:rsidTr="003A0696">
        <w:trPr>
          <w:trHeight w:val="300"/>
        </w:trPr>
        <w:tc>
          <w:tcPr>
            <w:tcW w:w="2797" w:type="pct"/>
            <w:tcBorders>
              <w:top w:val="nil"/>
              <w:left w:val="nil"/>
              <w:bottom w:val="nil"/>
              <w:right w:val="nil"/>
            </w:tcBorders>
            <w:shd w:val="clear" w:color="auto" w:fill="auto"/>
            <w:noWrap/>
            <w:vAlign w:val="bottom"/>
            <w:hideMark/>
          </w:tcPr>
          <w:p w14:paraId="3A2D7F22" w14:textId="77777777" w:rsidR="003A0696" w:rsidRPr="007D32CB" w:rsidRDefault="003A0696" w:rsidP="003A0696">
            <w:pPr>
              <w:spacing w:after="0" w:line="240" w:lineRule="auto"/>
              <w:ind w:firstLineChars="300" w:firstLine="600"/>
              <w:jc w:val="left"/>
              <w:rPr>
                <w:rFonts w:eastAsia="Times New Roman" w:cs="Times New Roman"/>
                <w:sz w:val="20"/>
                <w:szCs w:val="20"/>
                <w:lang w:eastAsia="sk-SK"/>
              </w:rPr>
            </w:pPr>
            <w:r w:rsidRPr="007D32CB">
              <w:rPr>
                <w:rFonts w:eastAsia="Times New Roman" w:cs="Times New Roman"/>
                <w:sz w:val="20"/>
                <w:szCs w:val="20"/>
                <w:lang w:eastAsia="sk-SK"/>
              </w:rPr>
              <w:t>z toho:</w:t>
            </w:r>
          </w:p>
        </w:tc>
        <w:tc>
          <w:tcPr>
            <w:tcW w:w="564" w:type="pct"/>
            <w:tcBorders>
              <w:top w:val="nil"/>
              <w:left w:val="nil"/>
              <w:bottom w:val="nil"/>
              <w:right w:val="nil"/>
            </w:tcBorders>
            <w:shd w:val="clear" w:color="auto" w:fill="auto"/>
            <w:noWrap/>
            <w:vAlign w:val="bottom"/>
            <w:hideMark/>
          </w:tcPr>
          <w:p w14:paraId="7E7307ED" w14:textId="77777777" w:rsidR="003A0696" w:rsidRPr="007D32CB" w:rsidRDefault="003A0696" w:rsidP="003A0696">
            <w:pPr>
              <w:spacing w:after="0" w:line="240" w:lineRule="auto"/>
              <w:ind w:firstLineChars="300" w:firstLine="600"/>
              <w:jc w:val="left"/>
              <w:rPr>
                <w:rFonts w:eastAsia="Times New Roman" w:cs="Times New Roman"/>
                <w:sz w:val="20"/>
                <w:szCs w:val="20"/>
                <w:lang w:eastAsia="sk-SK"/>
              </w:rPr>
            </w:pPr>
          </w:p>
        </w:tc>
        <w:tc>
          <w:tcPr>
            <w:tcW w:w="564" w:type="pct"/>
            <w:tcBorders>
              <w:top w:val="nil"/>
              <w:left w:val="nil"/>
              <w:bottom w:val="nil"/>
              <w:right w:val="nil"/>
            </w:tcBorders>
            <w:shd w:val="clear" w:color="auto" w:fill="auto"/>
            <w:noWrap/>
            <w:vAlign w:val="bottom"/>
            <w:hideMark/>
          </w:tcPr>
          <w:p w14:paraId="1E04015E"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64" w:type="pct"/>
            <w:tcBorders>
              <w:top w:val="nil"/>
              <w:left w:val="nil"/>
              <w:bottom w:val="nil"/>
              <w:right w:val="nil"/>
            </w:tcBorders>
            <w:shd w:val="clear" w:color="auto" w:fill="auto"/>
            <w:noWrap/>
            <w:vAlign w:val="bottom"/>
            <w:hideMark/>
          </w:tcPr>
          <w:p w14:paraId="1AB526C7"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10" w:type="pct"/>
            <w:tcBorders>
              <w:top w:val="nil"/>
              <w:left w:val="nil"/>
              <w:bottom w:val="nil"/>
              <w:right w:val="nil"/>
            </w:tcBorders>
            <w:shd w:val="clear" w:color="auto" w:fill="auto"/>
            <w:noWrap/>
            <w:vAlign w:val="bottom"/>
            <w:hideMark/>
          </w:tcPr>
          <w:p w14:paraId="329D598A" w14:textId="77777777" w:rsidR="003A0696" w:rsidRPr="007D32CB" w:rsidRDefault="003A0696" w:rsidP="003A0696">
            <w:pPr>
              <w:spacing w:after="0" w:line="240" w:lineRule="auto"/>
              <w:jc w:val="left"/>
              <w:rPr>
                <w:rFonts w:eastAsia="Times New Roman" w:cs="Times New Roman"/>
                <w:sz w:val="20"/>
                <w:szCs w:val="20"/>
                <w:lang w:eastAsia="sk-SK"/>
              </w:rPr>
            </w:pPr>
          </w:p>
        </w:tc>
      </w:tr>
      <w:tr w:rsidR="003A0696" w:rsidRPr="007D32CB" w14:paraId="145B5305" w14:textId="77777777" w:rsidTr="003A0696">
        <w:trPr>
          <w:trHeight w:val="300"/>
        </w:trPr>
        <w:tc>
          <w:tcPr>
            <w:tcW w:w="2797" w:type="pct"/>
            <w:tcBorders>
              <w:top w:val="nil"/>
              <w:left w:val="nil"/>
              <w:bottom w:val="nil"/>
              <w:right w:val="nil"/>
            </w:tcBorders>
            <w:shd w:val="clear" w:color="auto" w:fill="auto"/>
            <w:noWrap/>
            <w:vAlign w:val="bottom"/>
            <w:hideMark/>
          </w:tcPr>
          <w:p w14:paraId="3E5C9D22" w14:textId="77777777" w:rsidR="003A0696" w:rsidRPr="007D32CB" w:rsidRDefault="003A0696" w:rsidP="003A0696">
            <w:pPr>
              <w:spacing w:after="0" w:line="240" w:lineRule="auto"/>
              <w:ind w:firstLineChars="400" w:firstLine="800"/>
              <w:jc w:val="left"/>
              <w:rPr>
                <w:rFonts w:eastAsia="Times New Roman" w:cs="Times New Roman"/>
                <w:sz w:val="20"/>
                <w:szCs w:val="20"/>
                <w:lang w:eastAsia="sk-SK"/>
              </w:rPr>
            </w:pPr>
            <w:r w:rsidRPr="007D32CB">
              <w:rPr>
                <w:rFonts w:eastAsia="Times New Roman" w:cs="Times New Roman"/>
                <w:sz w:val="20"/>
                <w:szCs w:val="20"/>
                <w:lang w:eastAsia="sk-SK"/>
              </w:rPr>
              <w:t>Železničná spoločnosť Slovensko, a. s.</w:t>
            </w:r>
          </w:p>
        </w:tc>
        <w:tc>
          <w:tcPr>
            <w:tcW w:w="564" w:type="pct"/>
            <w:tcBorders>
              <w:top w:val="nil"/>
              <w:left w:val="nil"/>
              <w:bottom w:val="nil"/>
              <w:right w:val="nil"/>
            </w:tcBorders>
            <w:shd w:val="clear" w:color="auto" w:fill="auto"/>
            <w:noWrap/>
            <w:vAlign w:val="bottom"/>
            <w:hideMark/>
          </w:tcPr>
          <w:p w14:paraId="0204E611"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506 420</w:t>
            </w:r>
          </w:p>
        </w:tc>
        <w:tc>
          <w:tcPr>
            <w:tcW w:w="564" w:type="pct"/>
            <w:tcBorders>
              <w:top w:val="nil"/>
              <w:left w:val="nil"/>
              <w:bottom w:val="nil"/>
              <w:right w:val="nil"/>
            </w:tcBorders>
            <w:shd w:val="clear" w:color="auto" w:fill="auto"/>
            <w:noWrap/>
            <w:vAlign w:val="bottom"/>
            <w:hideMark/>
          </w:tcPr>
          <w:p w14:paraId="10FABCF2"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386 704</w:t>
            </w:r>
          </w:p>
        </w:tc>
        <w:tc>
          <w:tcPr>
            <w:tcW w:w="564" w:type="pct"/>
            <w:tcBorders>
              <w:top w:val="nil"/>
              <w:left w:val="nil"/>
              <w:bottom w:val="nil"/>
              <w:right w:val="nil"/>
            </w:tcBorders>
            <w:shd w:val="clear" w:color="auto" w:fill="auto"/>
            <w:noWrap/>
            <w:vAlign w:val="bottom"/>
            <w:hideMark/>
          </w:tcPr>
          <w:p w14:paraId="7E2F4E2E"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335 407</w:t>
            </w:r>
          </w:p>
        </w:tc>
        <w:tc>
          <w:tcPr>
            <w:tcW w:w="510" w:type="pct"/>
            <w:tcBorders>
              <w:top w:val="nil"/>
              <w:left w:val="nil"/>
              <w:bottom w:val="nil"/>
              <w:right w:val="nil"/>
            </w:tcBorders>
            <w:shd w:val="clear" w:color="auto" w:fill="auto"/>
            <w:noWrap/>
            <w:vAlign w:val="bottom"/>
            <w:hideMark/>
          </w:tcPr>
          <w:p w14:paraId="77D72960"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-51 297</w:t>
            </w:r>
          </w:p>
        </w:tc>
      </w:tr>
      <w:tr w:rsidR="003A0696" w:rsidRPr="007D32CB" w14:paraId="2FED2BA8" w14:textId="77777777" w:rsidTr="003A0696">
        <w:trPr>
          <w:trHeight w:val="300"/>
        </w:trPr>
        <w:tc>
          <w:tcPr>
            <w:tcW w:w="2797" w:type="pct"/>
            <w:tcBorders>
              <w:top w:val="nil"/>
              <w:left w:val="nil"/>
              <w:bottom w:val="nil"/>
              <w:right w:val="nil"/>
            </w:tcBorders>
            <w:shd w:val="clear" w:color="auto" w:fill="auto"/>
            <w:noWrap/>
            <w:vAlign w:val="bottom"/>
            <w:hideMark/>
          </w:tcPr>
          <w:p w14:paraId="0E8CA622" w14:textId="77777777" w:rsidR="003A0696" w:rsidRPr="007D32CB" w:rsidRDefault="003A0696" w:rsidP="003A0696">
            <w:pPr>
              <w:spacing w:after="0" w:line="240" w:lineRule="auto"/>
              <w:ind w:firstLineChars="400" w:firstLine="800"/>
              <w:jc w:val="left"/>
              <w:rPr>
                <w:rFonts w:eastAsia="Times New Roman" w:cs="Times New Roman"/>
                <w:sz w:val="20"/>
                <w:szCs w:val="20"/>
                <w:lang w:eastAsia="sk-SK"/>
              </w:rPr>
            </w:pPr>
            <w:r w:rsidRPr="007D32CB">
              <w:rPr>
                <w:rFonts w:eastAsia="Times New Roman" w:cs="Times New Roman"/>
                <w:sz w:val="20"/>
                <w:szCs w:val="20"/>
                <w:lang w:eastAsia="sk-SK"/>
              </w:rPr>
              <w:t>Železnice Slovenskej republiky</w:t>
            </w:r>
          </w:p>
        </w:tc>
        <w:tc>
          <w:tcPr>
            <w:tcW w:w="564" w:type="pct"/>
            <w:tcBorders>
              <w:top w:val="nil"/>
              <w:left w:val="nil"/>
              <w:bottom w:val="nil"/>
              <w:right w:val="nil"/>
            </w:tcBorders>
            <w:shd w:val="clear" w:color="auto" w:fill="auto"/>
            <w:noWrap/>
            <w:vAlign w:val="bottom"/>
            <w:hideMark/>
          </w:tcPr>
          <w:p w14:paraId="44CE2C7C"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135 206</w:t>
            </w:r>
          </w:p>
        </w:tc>
        <w:tc>
          <w:tcPr>
            <w:tcW w:w="564" w:type="pct"/>
            <w:tcBorders>
              <w:top w:val="nil"/>
              <w:left w:val="nil"/>
              <w:bottom w:val="nil"/>
              <w:right w:val="nil"/>
            </w:tcBorders>
            <w:shd w:val="clear" w:color="auto" w:fill="auto"/>
            <w:noWrap/>
            <w:vAlign w:val="bottom"/>
            <w:hideMark/>
          </w:tcPr>
          <w:p w14:paraId="348D6B7D"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114 887</w:t>
            </w:r>
          </w:p>
        </w:tc>
        <w:tc>
          <w:tcPr>
            <w:tcW w:w="564" w:type="pct"/>
            <w:tcBorders>
              <w:top w:val="nil"/>
              <w:left w:val="nil"/>
              <w:bottom w:val="nil"/>
              <w:right w:val="nil"/>
            </w:tcBorders>
            <w:shd w:val="clear" w:color="auto" w:fill="auto"/>
            <w:noWrap/>
            <w:vAlign w:val="bottom"/>
            <w:hideMark/>
          </w:tcPr>
          <w:p w14:paraId="3061571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114 322</w:t>
            </w:r>
          </w:p>
        </w:tc>
        <w:tc>
          <w:tcPr>
            <w:tcW w:w="510" w:type="pct"/>
            <w:tcBorders>
              <w:top w:val="nil"/>
              <w:left w:val="nil"/>
              <w:bottom w:val="nil"/>
              <w:right w:val="nil"/>
            </w:tcBorders>
            <w:shd w:val="clear" w:color="auto" w:fill="auto"/>
            <w:noWrap/>
            <w:vAlign w:val="bottom"/>
            <w:hideMark/>
          </w:tcPr>
          <w:p w14:paraId="21575F3B"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-565</w:t>
            </w:r>
          </w:p>
        </w:tc>
      </w:tr>
      <w:tr w:rsidR="003A0696" w:rsidRPr="007D32CB" w14:paraId="28CAFB28" w14:textId="77777777" w:rsidTr="003A0696">
        <w:trPr>
          <w:trHeight w:val="300"/>
        </w:trPr>
        <w:tc>
          <w:tcPr>
            <w:tcW w:w="2797" w:type="pct"/>
            <w:tcBorders>
              <w:top w:val="nil"/>
              <w:left w:val="nil"/>
              <w:bottom w:val="nil"/>
              <w:right w:val="nil"/>
            </w:tcBorders>
            <w:shd w:val="clear" w:color="auto" w:fill="auto"/>
            <w:noWrap/>
            <w:vAlign w:val="bottom"/>
            <w:hideMark/>
          </w:tcPr>
          <w:p w14:paraId="38B0A1FA" w14:textId="77777777" w:rsidR="003A0696" w:rsidRPr="007D32CB" w:rsidRDefault="003A0696" w:rsidP="003A0696">
            <w:pPr>
              <w:spacing w:after="0" w:line="240" w:lineRule="auto"/>
              <w:ind w:firstLineChars="400" w:firstLine="800"/>
              <w:jc w:val="left"/>
              <w:rPr>
                <w:rFonts w:eastAsia="Times New Roman" w:cs="Times New Roman"/>
                <w:sz w:val="20"/>
                <w:szCs w:val="20"/>
                <w:lang w:eastAsia="sk-SK"/>
              </w:rPr>
            </w:pPr>
            <w:r w:rsidRPr="007D32CB">
              <w:rPr>
                <w:rFonts w:eastAsia="Times New Roman" w:cs="Times New Roman"/>
                <w:sz w:val="20"/>
                <w:szCs w:val="20"/>
                <w:lang w:eastAsia="sk-SK"/>
              </w:rPr>
              <w:t>Národná diaľničná spoločnosť, a. s.</w:t>
            </w:r>
          </w:p>
        </w:tc>
        <w:tc>
          <w:tcPr>
            <w:tcW w:w="564" w:type="pct"/>
            <w:tcBorders>
              <w:top w:val="nil"/>
              <w:left w:val="nil"/>
              <w:bottom w:val="nil"/>
              <w:right w:val="nil"/>
            </w:tcBorders>
            <w:shd w:val="clear" w:color="auto" w:fill="auto"/>
            <w:noWrap/>
            <w:vAlign w:val="bottom"/>
            <w:hideMark/>
          </w:tcPr>
          <w:p w14:paraId="6B42B468"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97 602</w:t>
            </w:r>
          </w:p>
        </w:tc>
        <w:tc>
          <w:tcPr>
            <w:tcW w:w="564" w:type="pct"/>
            <w:tcBorders>
              <w:top w:val="nil"/>
              <w:left w:val="nil"/>
              <w:bottom w:val="nil"/>
              <w:right w:val="nil"/>
            </w:tcBorders>
            <w:shd w:val="clear" w:color="auto" w:fill="auto"/>
            <w:noWrap/>
            <w:vAlign w:val="bottom"/>
            <w:hideMark/>
          </w:tcPr>
          <w:p w14:paraId="790FE9A5"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54 326</w:t>
            </w:r>
          </w:p>
        </w:tc>
        <w:tc>
          <w:tcPr>
            <w:tcW w:w="564" w:type="pct"/>
            <w:tcBorders>
              <w:top w:val="nil"/>
              <w:left w:val="nil"/>
              <w:bottom w:val="nil"/>
              <w:right w:val="nil"/>
            </w:tcBorders>
            <w:shd w:val="clear" w:color="auto" w:fill="auto"/>
            <w:noWrap/>
            <w:vAlign w:val="bottom"/>
            <w:hideMark/>
          </w:tcPr>
          <w:p w14:paraId="7283667C"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24 884</w:t>
            </w:r>
          </w:p>
        </w:tc>
        <w:tc>
          <w:tcPr>
            <w:tcW w:w="510" w:type="pct"/>
            <w:tcBorders>
              <w:top w:val="nil"/>
              <w:left w:val="nil"/>
              <w:bottom w:val="nil"/>
              <w:right w:val="nil"/>
            </w:tcBorders>
            <w:shd w:val="clear" w:color="auto" w:fill="auto"/>
            <w:noWrap/>
            <w:vAlign w:val="bottom"/>
            <w:hideMark/>
          </w:tcPr>
          <w:p w14:paraId="35FF9384"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-29 442</w:t>
            </w:r>
          </w:p>
        </w:tc>
      </w:tr>
      <w:tr w:rsidR="003A0696" w:rsidRPr="007D32CB" w14:paraId="738237F5" w14:textId="77777777" w:rsidTr="003A0696">
        <w:trPr>
          <w:trHeight w:val="300"/>
        </w:trPr>
        <w:tc>
          <w:tcPr>
            <w:tcW w:w="2797" w:type="pct"/>
            <w:tcBorders>
              <w:top w:val="nil"/>
              <w:left w:val="nil"/>
              <w:bottom w:val="nil"/>
              <w:right w:val="nil"/>
            </w:tcBorders>
            <w:shd w:val="clear" w:color="auto" w:fill="auto"/>
            <w:noWrap/>
            <w:vAlign w:val="bottom"/>
            <w:hideMark/>
          </w:tcPr>
          <w:p w14:paraId="0E11FCF5" w14:textId="77777777" w:rsidR="003A0696" w:rsidRPr="007D32CB" w:rsidRDefault="003A0696" w:rsidP="003A0696">
            <w:pPr>
              <w:spacing w:after="0" w:line="240" w:lineRule="auto"/>
              <w:ind w:firstLineChars="400" w:firstLine="800"/>
              <w:jc w:val="left"/>
              <w:rPr>
                <w:rFonts w:eastAsia="Times New Roman" w:cs="Times New Roman"/>
                <w:sz w:val="20"/>
                <w:szCs w:val="20"/>
                <w:lang w:eastAsia="sk-SK"/>
              </w:rPr>
            </w:pPr>
            <w:r w:rsidRPr="007D32CB">
              <w:rPr>
                <w:rFonts w:eastAsia="Times New Roman" w:cs="Times New Roman"/>
                <w:sz w:val="20"/>
                <w:szCs w:val="20"/>
                <w:lang w:eastAsia="sk-SK"/>
              </w:rPr>
              <w:t>JAVYS, a. s.</w:t>
            </w:r>
          </w:p>
        </w:tc>
        <w:tc>
          <w:tcPr>
            <w:tcW w:w="564" w:type="pct"/>
            <w:tcBorders>
              <w:top w:val="nil"/>
              <w:left w:val="nil"/>
              <w:bottom w:val="nil"/>
              <w:right w:val="nil"/>
            </w:tcBorders>
            <w:shd w:val="clear" w:color="auto" w:fill="auto"/>
            <w:noWrap/>
            <w:vAlign w:val="bottom"/>
            <w:hideMark/>
          </w:tcPr>
          <w:p w14:paraId="63220B28"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6 833</w:t>
            </w:r>
          </w:p>
        </w:tc>
        <w:tc>
          <w:tcPr>
            <w:tcW w:w="564" w:type="pct"/>
            <w:tcBorders>
              <w:top w:val="nil"/>
              <w:left w:val="nil"/>
              <w:bottom w:val="nil"/>
              <w:right w:val="nil"/>
            </w:tcBorders>
            <w:shd w:val="clear" w:color="auto" w:fill="auto"/>
            <w:noWrap/>
            <w:vAlign w:val="bottom"/>
            <w:hideMark/>
          </w:tcPr>
          <w:p w14:paraId="2C12FAA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6 806</w:t>
            </w:r>
          </w:p>
        </w:tc>
        <w:tc>
          <w:tcPr>
            <w:tcW w:w="564" w:type="pct"/>
            <w:tcBorders>
              <w:top w:val="nil"/>
              <w:left w:val="nil"/>
              <w:bottom w:val="nil"/>
              <w:right w:val="nil"/>
            </w:tcBorders>
            <w:shd w:val="clear" w:color="auto" w:fill="auto"/>
            <w:noWrap/>
            <w:vAlign w:val="bottom"/>
            <w:hideMark/>
          </w:tcPr>
          <w:p w14:paraId="6F270C45"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6 276</w:t>
            </w:r>
          </w:p>
        </w:tc>
        <w:tc>
          <w:tcPr>
            <w:tcW w:w="510" w:type="pct"/>
            <w:tcBorders>
              <w:top w:val="nil"/>
              <w:left w:val="nil"/>
              <w:bottom w:val="nil"/>
              <w:right w:val="nil"/>
            </w:tcBorders>
            <w:shd w:val="clear" w:color="auto" w:fill="auto"/>
            <w:noWrap/>
            <w:vAlign w:val="bottom"/>
            <w:hideMark/>
          </w:tcPr>
          <w:p w14:paraId="480E9BF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-530</w:t>
            </w:r>
          </w:p>
        </w:tc>
      </w:tr>
      <w:tr w:rsidR="003A0696" w:rsidRPr="007D32CB" w14:paraId="592DC8B8" w14:textId="77777777" w:rsidTr="003A0696">
        <w:trPr>
          <w:trHeight w:val="300"/>
        </w:trPr>
        <w:tc>
          <w:tcPr>
            <w:tcW w:w="2797" w:type="pct"/>
            <w:tcBorders>
              <w:top w:val="nil"/>
              <w:left w:val="nil"/>
              <w:bottom w:val="nil"/>
              <w:right w:val="nil"/>
            </w:tcBorders>
            <w:shd w:val="clear" w:color="auto" w:fill="auto"/>
            <w:noWrap/>
            <w:vAlign w:val="bottom"/>
            <w:hideMark/>
          </w:tcPr>
          <w:p w14:paraId="65A99B0D" w14:textId="77777777" w:rsidR="003A0696" w:rsidRPr="007D32CB" w:rsidRDefault="003A0696" w:rsidP="003A0696">
            <w:pPr>
              <w:spacing w:after="0" w:line="240" w:lineRule="auto"/>
              <w:ind w:firstLineChars="400" w:firstLine="800"/>
              <w:jc w:val="left"/>
              <w:rPr>
                <w:rFonts w:eastAsia="Times New Roman" w:cs="Times New Roman"/>
                <w:sz w:val="20"/>
                <w:szCs w:val="20"/>
                <w:lang w:eastAsia="sk-SK"/>
              </w:rPr>
            </w:pPr>
            <w:r w:rsidRPr="007D32CB">
              <w:rPr>
                <w:rFonts w:eastAsia="Times New Roman" w:cs="Times New Roman"/>
                <w:sz w:val="20"/>
                <w:szCs w:val="20"/>
                <w:lang w:eastAsia="sk-SK"/>
              </w:rPr>
              <w:t xml:space="preserve">MH </w:t>
            </w:r>
            <w:proofErr w:type="spellStart"/>
            <w:r w:rsidRPr="007D32CB">
              <w:rPr>
                <w:rFonts w:eastAsia="Times New Roman" w:cs="Times New Roman"/>
                <w:sz w:val="20"/>
                <w:szCs w:val="20"/>
                <w:lang w:eastAsia="sk-SK"/>
              </w:rPr>
              <w:t>Invest</w:t>
            </w:r>
            <w:proofErr w:type="spellEnd"/>
            <w:r w:rsidRPr="007D32CB">
              <w:rPr>
                <w:rFonts w:eastAsia="Times New Roman" w:cs="Times New Roman"/>
                <w:sz w:val="20"/>
                <w:szCs w:val="20"/>
                <w:lang w:eastAsia="sk-SK"/>
              </w:rPr>
              <w:t xml:space="preserve"> II., s. r. o.</w:t>
            </w:r>
          </w:p>
        </w:tc>
        <w:tc>
          <w:tcPr>
            <w:tcW w:w="564" w:type="pct"/>
            <w:tcBorders>
              <w:top w:val="nil"/>
              <w:left w:val="nil"/>
              <w:bottom w:val="nil"/>
              <w:right w:val="nil"/>
            </w:tcBorders>
            <w:shd w:val="clear" w:color="auto" w:fill="auto"/>
            <w:noWrap/>
            <w:vAlign w:val="bottom"/>
            <w:hideMark/>
          </w:tcPr>
          <w:p w14:paraId="36AE350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2 730</w:t>
            </w:r>
          </w:p>
        </w:tc>
        <w:tc>
          <w:tcPr>
            <w:tcW w:w="564" w:type="pct"/>
            <w:tcBorders>
              <w:top w:val="nil"/>
              <w:left w:val="nil"/>
              <w:bottom w:val="nil"/>
              <w:right w:val="nil"/>
            </w:tcBorders>
            <w:shd w:val="clear" w:color="auto" w:fill="auto"/>
            <w:noWrap/>
            <w:vAlign w:val="bottom"/>
            <w:hideMark/>
          </w:tcPr>
          <w:p w14:paraId="54358903"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2 730</w:t>
            </w:r>
          </w:p>
        </w:tc>
        <w:tc>
          <w:tcPr>
            <w:tcW w:w="564" w:type="pct"/>
            <w:tcBorders>
              <w:top w:val="nil"/>
              <w:left w:val="nil"/>
              <w:bottom w:val="nil"/>
              <w:right w:val="nil"/>
            </w:tcBorders>
            <w:shd w:val="clear" w:color="auto" w:fill="auto"/>
            <w:noWrap/>
            <w:vAlign w:val="bottom"/>
            <w:hideMark/>
          </w:tcPr>
          <w:p w14:paraId="24D623C4"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610</w:t>
            </w:r>
          </w:p>
        </w:tc>
        <w:tc>
          <w:tcPr>
            <w:tcW w:w="510" w:type="pct"/>
            <w:tcBorders>
              <w:top w:val="nil"/>
              <w:left w:val="nil"/>
              <w:bottom w:val="nil"/>
              <w:right w:val="nil"/>
            </w:tcBorders>
            <w:shd w:val="clear" w:color="auto" w:fill="auto"/>
            <w:noWrap/>
            <w:vAlign w:val="bottom"/>
            <w:hideMark/>
          </w:tcPr>
          <w:p w14:paraId="4626CA5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-2 120</w:t>
            </w:r>
          </w:p>
        </w:tc>
      </w:tr>
      <w:tr w:rsidR="003A0696" w:rsidRPr="007D32CB" w14:paraId="6F5AF748" w14:textId="77777777" w:rsidTr="003A0696">
        <w:trPr>
          <w:trHeight w:val="300"/>
        </w:trPr>
        <w:tc>
          <w:tcPr>
            <w:tcW w:w="2797" w:type="pct"/>
            <w:tcBorders>
              <w:top w:val="nil"/>
              <w:left w:val="nil"/>
              <w:bottom w:val="nil"/>
              <w:right w:val="nil"/>
            </w:tcBorders>
            <w:shd w:val="clear" w:color="auto" w:fill="auto"/>
            <w:noWrap/>
            <w:vAlign w:val="bottom"/>
            <w:hideMark/>
          </w:tcPr>
          <w:p w14:paraId="4C7A1582" w14:textId="77777777" w:rsidR="003A0696" w:rsidRPr="007D32CB" w:rsidRDefault="003A0696" w:rsidP="003A0696">
            <w:pPr>
              <w:spacing w:after="0" w:line="240" w:lineRule="auto"/>
              <w:ind w:firstLineChars="400" w:firstLine="800"/>
              <w:jc w:val="left"/>
              <w:rPr>
                <w:rFonts w:eastAsia="Times New Roman" w:cs="Times New Roman"/>
                <w:sz w:val="20"/>
                <w:szCs w:val="20"/>
                <w:lang w:eastAsia="sk-SK"/>
              </w:rPr>
            </w:pPr>
            <w:r w:rsidRPr="007D32CB">
              <w:rPr>
                <w:rFonts w:eastAsia="Times New Roman" w:cs="Times New Roman"/>
                <w:sz w:val="20"/>
                <w:szCs w:val="20"/>
                <w:lang w:eastAsia="sk-SK"/>
              </w:rPr>
              <w:t>MH Manažment, a. s.</w:t>
            </w:r>
          </w:p>
        </w:tc>
        <w:tc>
          <w:tcPr>
            <w:tcW w:w="564" w:type="pct"/>
            <w:tcBorders>
              <w:top w:val="nil"/>
              <w:left w:val="nil"/>
              <w:bottom w:val="nil"/>
              <w:right w:val="nil"/>
            </w:tcBorders>
            <w:shd w:val="clear" w:color="auto" w:fill="auto"/>
            <w:noWrap/>
            <w:vAlign w:val="bottom"/>
            <w:hideMark/>
          </w:tcPr>
          <w:p w14:paraId="0297EDD4"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84</w:t>
            </w:r>
          </w:p>
        </w:tc>
        <w:tc>
          <w:tcPr>
            <w:tcW w:w="564" w:type="pct"/>
            <w:tcBorders>
              <w:top w:val="nil"/>
              <w:left w:val="nil"/>
              <w:bottom w:val="nil"/>
              <w:right w:val="nil"/>
            </w:tcBorders>
            <w:shd w:val="clear" w:color="auto" w:fill="auto"/>
            <w:noWrap/>
            <w:vAlign w:val="bottom"/>
            <w:hideMark/>
          </w:tcPr>
          <w:p w14:paraId="198B8A13"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80</w:t>
            </w:r>
          </w:p>
        </w:tc>
        <w:tc>
          <w:tcPr>
            <w:tcW w:w="564" w:type="pct"/>
            <w:tcBorders>
              <w:top w:val="nil"/>
              <w:left w:val="nil"/>
              <w:bottom w:val="nil"/>
              <w:right w:val="nil"/>
            </w:tcBorders>
            <w:shd w:val="clear" w:color="auto" w:fill="auto"/>
            <w:noWrap/>
            <w:vAlign w:val="bottom"/>
            <w:hideMark/>
          </w:tcPr>
          <w:p w14:paraId="193CCD41"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77</w:t>
            </w:r>
          </w:p>
        </w:tc>
        <w:tc>
          <w:tcPr>
            <w:tcW w:w="510" w:type="pct"/>
            <w:tcBorders>
              <w:top w:val="nil"/>
              <w:left w:val="nil"/>
              <w:bottom w:val="nil"/>
              <w:right w:val="nil"/>
            </w:tcBorders>
            <w:shd w:val="clear" w:color="auto" w:fill="auto"/>
            <w:noWrap/>
            <w:vAlign w:val="bottom"/>
            <w:hideMark/>
          </w:tcPr>
          <w:p w14:paraId="4C9AF2A1"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-3</w:t>
            </w:r>
          </w:p>
        </w:tc>
      </w:tr>
      <w:tr w:rsidR="003A0696" w:rsidRPr="007D32CB" w14:paraId="1EFE52E6" w14:textId="77777777" w:rsidTr="003A0696">
        <w:trPr>
          <w:trHeight w:val="300"/>
        </w:trPr>
        <w:tc>
          <w:tcPr>
            <w:tcW w:w="2797" w:type="pct"/>
            <w:tcBorders>
              <w:top w:val="nil"/>
              <w:left w:val="nil"/>
              <w:bottom w:val="nil"/>
              <w:right w:val="nil"/>
            </w:tcBorders>
            <w:shd w:val="clear" w:color="auto" w:fill="auto"/>
            <w:noWrap/>
            <w:vAlign w:val="bottom"/>
            <w:hideMark/>
          </w:tcPr>
          <w:p w14:paraId="0FCD7B79"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Verejné vysoké školy</w:t>
            </w:r>
          </w:p>
        </w:tc>
        <w:tc>
          <w:tcPr>
            <w:tcW w:w="564" w:type="pct"/>
            <w:tcBorders>
              <w:top w:val="nil"/>
              <w:left w:val="nil"/>
              <w:bottom w:val="nil"/>
              <w:right w:val="nil"/>
            </w:tcBorders>
            <w:shd w:val="clear" w:color="auto" w:fill="auto"/>
            <w:noWrap/>
            <w:vAlign w:val="bottom"/>
            <w:hideMark/>
          </w:tcPr>
          <w:p w14:paraId="59067D3D"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5 430</w:t>
            </w:r>
          </w:p>
        </w:tc>
        <w:tc>
          <w:tcPr>
            <w:tcW w:w="564" w:type="pct"/>
            <w:tcBorders>
              <w:top w:val="nil"/>
              <w:left w:val="nil"/>
              <w:bottom w:val="nil"/>
              <w:right w:val="nil"/>
            </w:tcBorders>
            <w:shd w:val="clear" w:color="auto" w:fill="auto"/>
            <w:noWrap/>
            <w:vAlign w:val="bottom"/>
            <w:hideMark/>
          </w:tcPr>
          <w:p w14:paraId="68FF7469"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7 888</w:t>
            </w:r>
          </w:p>
        </w:tc>
        <w:tc>
          <w:tcPr>
            <w:tcW w:w="564" w:type="pct"/>
            <w:tcBorders>
              <w:top w:val="nil"/>
              <w:left w:val="nil"/>
              <w:bottom w:val="nil"/>
              <w:right w:val="nil"/>
            </w:tcBorders>
            <w:shd w:val="clear" w:color="auto" w:fill="auto"/>
            <w:noWrap/>
            <w:vAlign w:val="bottom"/>
            <w:hideMark/>
          </w:tcPr>
          <w:p w14:paraId="2B21C586"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12 060</w:t>
            </w:r>
          </w:p>
        </w:tc>
        <w:tc>
          <w:tcPr>
            <w:tcW w:w="510" w:type="pct"/>
            <w:tcBorders>
              <w:top w:val="nil"/>
              <w:left w:val="nil"/>
              <w:bottom w:val="nil"/>
              <w:right w:val="nil"/>
            </w:tcBorders>
            <w:shd w:val="clear" w:color="auto" w:fill="auto"/>
            <w:noWrap/>
            <w:vAlign w:val="bottom"/>
            <w:hideMark/>
          </w:tcPr>
          <w:p w14:paraId="49A3764D"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4 172</w:t>
            </w:r>
          </w:p>
        </w:tc>
      </w:tr>
      <w:tr w:rsidR="003A0696" w:rsidRPr="007D32CB" w14:paraId="57ABAFC7" w14:textId="77777777" w:rsidTr="003A0696">
        <w:trPr>
          <w:trHeight w:val="300"/>
        </w:trPr>
        <w:tc>
          <w:tcPr>
            <w:tcW w:w="2797" w:type="pct"/>
            <w:tcBorders>
              <w:top w:val="nil"/>
              <w:left w:val="nil"/>
              <w:bottom w:val="nil"/>
              <w:right w:val="nil"/>
            </w:tcBorders>
            <w:shd w:val="clear" w:color="auto" w:fill="auto"/>
            <w:noWrap/>
            <w:vAlign w:val="bottom"/>
            <w:hideMark/>
          </w:tcPr>
          <w:p w14:paraId="1DBEFCC0"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Verejné výskumné inštitúcie</w:t>
            </w:r>
          </w:p>
        </w:tc>
        <w:tc>
          <w:tcPr>
            <w:tcW w:w="564" w:type="pct"/>
            <w:tcBorders>
              <w:top w:val="nil"/>
              <w:left w:val="nil"/>
              <w:bottom w:val="nil"/>
              <w:right w:val="nil"/>
            </w:tcBorders>
            <w:shd w:val="clear" w:color="auto" w:fill="auto"/>
            <w:noWrap/>
            <w:vAlign w:val="bottom"/>
            <w:hideMark/>
          </w:tcPr>
          <w:p w14:paraId="42F31842"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p>
        </w:tc>
        <w:tc>
          <w:tcPr>
            <w:tcW w:w="564" w:type="pct"/>
            <w:tcBorders>
              <w:top w:val="nil"/>
              <w:left w:val="nil"/>
              <w:bottom w:val="nil"/>
              <w:right w:val="nil"/>
            </w:tcBorders>
            <w:shd w:val="clear" w:color="auto" w:fill="auto"/>
            <w:noWrap/>
            <w:vAlign w:val="bottom"/>
            <w:hideMark/>
          </w:tcPr>
          <w:p w14:paraId="02F672E6"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64" w:type="pct"/>
            <w:tcBorders>
              <w:top w:val="nil"/>
              <w:left w:val="nil"/>
              <w:bottom w:val="nil"/>
              <w:right w:val="nil"/>
            </w:tcBorders>
            <w:shd w:val="clear" w:color="auto" w:fill="auto"/>
            <w:noWrap/>
            <w:vAlign w:val="bottom"/>
            <w:hideMark/>
          </w:tcPr>
          <w:p w14:paraId="43A289A4"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2 563</w:t>
            </w:r>
          </w:p>
        </w:tc>
        <w:tc>
          <w:tcPr>
            <w:tcW w:w="510" w:type="pct"/>
            <w:tcBorders>
              <w:top w:val="nil"/>
              <w:left w:val="nil"/>
              <w:bottom w:val="nil"/>
              <w:right w:val="nil"/>
            </w:tcBorders>
            <w:shd w:val="clear" w:color="auto" w:fill="auto"/>
            <w:noWrap/>
            <w:vAlign w:val="bottom"/>
            <w:hideMark/>
          </w:tcPr>
          <w:p w14:paraId="4D87393D"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2 563</w:t>
            </w:r>
          </w:p>
        </w:tc>
      </w:tr>
      <w:tr w:rsidR="003A0696" w:rsidRPr="007D32CB" w14:paraId="046A46E7" w14:textId="77777777" w:rsidTr="003A0696">
        <w:trPr>
          <w:trHeight w:val="300"/>
        </w:trPr>
        <w:tc>
          <w:tcPr>
            <w:tcW w:w="2797" w:type="pct"/>
            <w:tcBorders>
              <w:top w:val="nil"/>
              <w:left w:val="nil"/>
              <w:bottom w:val="nil"/>
              <w:right w:val="nil"/>
            </w:tcBorders>
            <w:shd w:val="clear" w:color="auto" w:fill="auto"/>
            <w:noWrap/>
            <w:vAlign w:val="bottom"/>
            <w:hideMark/>
          </w:tcPr>
          <w:p w14:paraId="70833E3B"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Zdravotnícke zariadenia ústrednej správy</w:t>
            </w:r>
          </w:p>
        </w:tc>
        <w:tc>
          <w:tcPr>
            <w:tcW w:w="564" w:type="pct"/>
            <w:tcBorders>
              <w:top w:val="nil"/>
              <w:left w:val="nil"/>
              <w:bottom w:val="nil"/>
              <w:right w:val="nil"/>
            </w:tcBorders>
            <w:shd w:val="clear" w:color="auto" w:fill="auto"/>
            <w:noWrap/>
            <w:vAlign w:val="bottom"/>
            <w:hideMark/>
          </w:tcPr>
          <w:p w14:paraId="75F74E93"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196 741</w:t>
            </w:r>
          </w:p>
        </w:tc>
        <w:tc>
          <w:tcPr>
            <w:tcW w:w="564" w:type="pct"/>
            <w:tcBorders>
              <w:top w:val="nil"/>
              <w:left w:val="nil"/>
              <w:bottom w:val="nil"/>
              <w:right w:val="nil"/>
            </w:tcBorders>
            <w:shd w:val="clear" w:color="auto" w:fill="auto"/>
            <w:noWrap/>
            <w:vAlign w:val="bottom"/>
            <w:hideMark/>
          </w:tcPr>
          <w:p w14:paraId="2B8E4208"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212 235</w:t>
            </w:r>
          </w:p>
        </w:tc>
        <w:tc>
          <w:tcPr>
            <w:tcW w:w="564" w:type="pct"/>
            <w:tcBorders>
              <w:top w:val="nil"/>
              <w:left w:val="nil"/>
              <w:bottom w:val="nil"/>
              <w:right w:val="nil"/>
            </w:tcBorders>
            <w:shd w:val="clear" w:color="auto" w:fill="auto"/>
            <w:noWrap/>
            <w:vAlign w:val="bottom"/>
            <w:hideMark/>
          </w:tcPr>
          <w:p w14:paraId="0B8804A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193 477</w:t>
            </w:r>
          </w:p>
        </w:tc>
        <w:tc>
          <w:tcPr>
            <w:tcW w:w="510" w:type="pct"/>
            <w:tcBorders>
              <w:top w:val="nil"/>
              <w:left w:val="nil"/>
              <w:bottom w:val="nil"/>
              <w:right w:val="nil"/>
            </w:tcBorders>
            <w:shd w:val="clear" w:color="auto" w:fill="auto"/>
            <w:noWrap/>
            <w:vAlign w:val="bottom"/>
            <w:hideMark/>
          </w:tcPr>
          <w:p w14:paraId="7C2722AD"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-18 758</w:t>
            </w:r>
          </w:p>
        </w:tc>
      </w:tr>
      <w:tr w:rsidR="003A0696" w:rsidRPr="007D32CB" w14:paraId="0BEC4B1E" w14:textId="77777777" w:rsidTr="003A0696">
        <w:trPr>
          <w:trHeight w:val="300"/>
        </w:trPr>
        <w:tc>
          <w:tcPr>
            <w:tcW w:w="2797" w:type="pct"/>
            <w:tcBorders>
              <w:top w:val="nil"/>
              <w:left w:val="nil"/>
              <w:bottom w:val="nil"/>
              <w:right w:val="nil"/>
            </w:tcBorders>
            <w:shd w:val="clear" w:color="auto" w:fill="auto"/>
            <w:noWrap/>
            <w:vAlign w:val="bottom"/>
            <w:hideMark/>
          </w:tcPr>
          <w:p w14:paraId="7C2ECFBA"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Agentúra pre núdzové zásoby ropy a ropných výrobkov</w:t>
            </w:r>
          </w:p>
        </w:tc>
        <w:tc>
          <w:tcPr>
            <w:tcW w:w="564" w:type="pct"/>
            <w:tcBorders>
              <w:top w:val="nil"/>
              <w:left w:val="nil"/>
              <w:bottom w:val="nil"/>
              <w:right w:val="nil"/>
            </w:tcBorders>
            <w:shd w:val="clear" w:color="auto" w:fill="auto"/>
            <w:noWrap/>
            <w:vAlign w:val="bottom"/>
            <w:hideMark/>
          </w:tcPr>
          <w:p w14:paraId="2AE3FB2C"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331 485</w:t>
            </w:r>
          </w:p>
        </w:tc>
        <w:tc>
          <w:tcPr>
            <w:tcW w:w="564" w:type="pct"/>
            <w:tcBorders>
              <w:top w:val="nil"/>
              <w:left w:val="nil"/>
              <w:bottom w:val="nil"/>
              <w:right w:val="nil"/>
            </w:tcBorders>
            <w:shd w:val="clear" w:color="auto" w:fill="auto"/>
            <w:noWrap/>
            <w:vAlign w:val="bottom"/>
            <w:hideMark/>
          </w:tcPr>
          <w:p w14:paraId="07279058"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281 551</w:t>
            </w:r>
          </w:p>
        </w:tc>
        <w:tc>
          <w:tcPr>
            <w:tcW w:w="564" w:type="pct"/>
            <w:tcBorders>
              <w:top w:val="nil"/>
              <w:left w:val="nil"/>
              <w:bottom w:val="nil"/>
              <w:right w:val="nil"/>
            </w:tcBorders>
            <w:shd w:val="clear" w:color="auto" w:fill="auto"/>
            <w:noWrap/>
            <w:vAlign w:val="bottom"/>
            <w:hideMark/>
          </w:tcPr>
          <w:p w14:paraId="13D92CC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241 357</w:t>
            </w:r>
          </w:p>
        </w:tc>
        <w:tc>
          <w:tcPr>
            <w:tcW w:w="510" w:type="pct"/>
            <w:tcBorders>
              <w:top w:val="nil"/>
              <w:left w:val="nil"/>
              <w:bottom w:val="nil"/>
              <w:right w:val="nil"/>
            </w:tcBorders>
            <w:shd w:val="clear" w:color="auto" w:fill="auto"/>
            <w:noWrap/>
            <w:vAlign w:val="bottom"/>
            <w:hideMark/>
          </w:tcPr>
          <w:p w14:paraId="0D979999"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-40 194</w:t>
            </w:r>
          </w:p>
        </w:tc>
      </w:tr>
      <w:tr w:rsidR="003A0696" w:rsidRPr="007D32CB" w14:paraId="23D6476B" w14:textId="77777777" w:rsidTr="003A0696">
        <w:trPr>
          <w:trHeight w:val="300"/>
        </w:trPr>
        <w:tc>
          <w:tcPr>
            <w:tcW w:w="2797" w:type="pct"/>
            <w:tcBorders>
              <w:top w:val="nil"/>
              <w:left w:val="nil"/>
              <w:bottom w:val="nil"/>
              <w:right w:val="nil"/>
            </w:tcBorders>
            <w:shd w:val="clear" w:color="auto" w:fill="auto"/>
            <w:noWrap/>
            <w:vAlign w:val="bottom"/>
            <w:hideMark/>
          </w:tcPr>
          <w:p w14:paraId="030A6AC9"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Ostatné subjekty ústrednej správy</w:t>
            </w:r>
          </w:p>
        </w:tc>
        <w:tc>
          <w:tcPr>
            <w:tcW w:w="564" w:type="pct"/>
            <w:tcBorders>
              <w:top w:val="nil"/>
              <w:left w:val="nil"/>
              <w:bottom w:val="nil"/>
              <w:right w:val="nil"/>
            </w:tcBorders>
            <w:shd w:val="clear" w:color="auto" w:fill="auto"/>
            <w:noWrap/>
            <w:vAlign w:val="bottom"/>
            <w:hideMark/>
          </w:tcPr>
          <w:p w14:paraId="41AF4CEE"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14 375</w:t>
            </w:r>
          </w:p>
        </w:tc>
        <w:tc>
          <w:tcPr>
            <w:tcW w:w="564" w:type="pct"/>
            <w:tcBorders>
              <w:top w:val="nil"/>
              <w:left w:val="nil"/>
              <w:bottom w:val="nil"/>
              <w:right w:val="nil"/>
            </w:tcBorders>
            <w:shd w:val="clear" w:color="auto" w:fill="auto"/>
            <w:noWrap/>
            <w:vAlign w:val="bottom"/>
            <w:hideMark/>
          </w:tcPr>
          <w:p w14:paraId="7D270ADF"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10 072</w:t>
            </w:r>
          </w:p>
        </w:tc>
        <w:tc>
          <w:tcPr>
            <w:tcW w:w="564" w:type="pct"/>
            <w:tcBorders>
              <w:top w:val="nil"/>
              <w:left w:val="nil"/>
              <w:bottom w:val="nil"/>
              <w:right w:val="nil"/>
            </w:tcBorders>
            <w:shd w:val="clear" w:color="auto" w:fill="auto"/>
            <w:noWrap/>
            <w:vAlign w:val="bottom"/>
            <w:hideMark/>
          </w:tcPr>
          <w:p w14:paraId="5DD8F7A2"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25 169</w:t>
            </w:r>
          </w:p>
        </w:tc>
        <w:tc>
          <w:tcPr>
            <w:tcW w:w="510" w:type="pct"/>
            <w:tcBorders>
              <w:top w:val="nil"/>
              <w:left w:val="nil"/>
              <w:bottom w:val="nil"/>
              <w:right w:val="nil"/>
            </w:tcBorders>
            <w:shd w:val="clear" w:color="auto" w:fill="auto"/>
            <w:noWrap/>
            <w:vAlign w:val="bottom"/>
            <w:hideMark/>
          </w:tcPr>
          <w:p w14:paraId="67A0EDF9"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15 097</w:t>
            </w:r>
          </w:p>
        </w:tc>
      </w:tr>
      <w:tr w:rsidR="003A0696" w:rsidRPr="007D32CB" w14:paraId="3A5EA32A" w14:textId="77777777" w:rsidTr="003A0696">
        <w:trPr>
          <w:trHeight w:val="300"/>
        </w:trPr>
        <w:tc>
          <w:tcPr>
            <w:tcW w:w="2797" w:type="pct"/>
            <w:tcBorders>
              <w:top w:val="nil"/>
              <w:left w:val="nil"/>
              <w:bottom w:val="nil"/>
              <w:right w:val="nil"/>
            </w:tcBorders>
            <w:shd w:val="clear" w:color="auto" w:fill="auto"/>
            <w:noWrap/>
            <w:vAlign w:val="bottom"/>
            <w:hideMark/>
          </w:tcPr>
          <w:p w14:paraId="6E7EA52A" w14:textId="77777777" w:rsidR="003A0696" w:rsidRPr="007D32CB" w:rsidRDefault="003A0696" w:rsidP="003A0696">
            <w:pPr>
              <w:spacing w:after="0" w:line="240" w:lineRule="auto"/>
              <w:jc w:val="left"/>
              <w:rPr>
                <w:rFonts w:eastAsia="Times New Roman" w:cs="Times New Roman"/>
                <w:b/>
                <w:bCs/>
                <w:sz w:val="20"/>
                <w:szCs w:val="20"/>
                <w:lang w:eastAsia="sk-SK"/>
              </w:rPr>
            </w:pPr>
            <w:r w:rsidRPr="007D32CB">
              <w:rPr>
                <w:rFonts w:eastAsia="Times New Roman" w:cs="Times New Roman"/>
                <w:b/>
                <w:bCs/>
                <w:sz w:val="20"/>
                <w:szCs w:val="20"/>
                <w:lang w:eastAsia="sk-SK"/>
              </w:rPr>
              <w:t>Územná samospráva</w:t>
            </w:r>
          </w:p>
        </w:tc>
        <w:tc>
          <w:tcPr>
            <w:tcW w:w="564" w:type="pct"/>
            <w:tcBorders>
              <w:top w:val="nil"/>
              <w:left w:val="nil"/>
              <w:bottom w:val="nil"/>
              <w:right w:val="nil"/>
            </w:tcBorders>
            <w:shd w:val="clear" w:color="auto" w:fill="auto"/>
            <w:noWrap/>
            <w:vAlign w:val="bottom"/>
            <w:hideMark/>
          </w:tcPr>
          <w:p w14:paraId="0B933F89" w14:textId="77777777" w:rsidR="003A0696" w:rsidRPr="007D32CB" w:rsidRDefault="003A0696" w:rsidP="003A0696">
            <w:pPr>
              <w:spacing w:after="0" w:line="240" w:lineRule="auto"/>
              <w:jc w:val="left"/>
              <w:rPr>
                <w:rFonts w:eastAsia="Times New Roman" w:cs="Times New Roman"/>
                <w:b/>
                <w:bCs/>
                <w:sz w:val="20"/>
                <w:szCs w:val="20"/>
                <w:lang w:eastAsia="sk-SK"/>
              </w:rPr>
            </w:pPr>
          </w:p>
        </w:tc>
        <w:tc>
          <w:tcPr>
            <w:tcW w:w="564" w:type="pct"/>
            <w:tcBorders>
              <w:top w:val="nil"/>
              <w:left w:val="nil"/>
              <w:bottom w:val="nil"/>
              <w:right w:val="nil"/>
            </w:tcBorders>
            <w:shd w:val="clear" w:color="auto" w:fill="auto"/>
            <w:noWrap/>
            <w:vAlign w:val="bottom"/>
            <w:hideMark/>
          </w:tcPr>
          <w:p w14:paraId="2AF9273D"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64" w:type="pct"/>
            <w:tcBorders>
              <w:top w:val="nil"/>
              <w:left w:val="nil"/>
              <w:bottom w:val="nil"/>
              <w:right w:val="nil"/>
            </w:tcBorders>
            <w:shd w:val="clear" w:color="auto" w:fill="auto"/>
            <w:noWrap/>
            <w:vAlign w:val="bottom"/>
            <w:hideMark/>
          </w:tcPr>
          <w:p w14:paraId="3363190A"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10" w:type="pct"/>
            <w:tcBorders>
              <w:top w:val="nil"/>
              <w:left w:val="nil"/>
              <w:bottom w:val="nil"/>
              <w:right w:val="nil"/>
            </w:tcBorders>
            <w:shd w:val="clear" w:color="auto" w:fill="auto"/>
            <w:noWrap/>
            <w:vAlign w:val="bottom"/>
            <w:hideMark/>
          </w:tcPr>
          <w:p w14:paraId="7BC47237" w14:textId="77777777" w:rsidR="003A0696" w:rsidRPr="007D32CB" w:rsidRDefault="003A0696" w:rsidP="003A0696">
            <w:pPr>
              <w:spacing w:after="0" w:line="240" w:lineRule="auto"/>
              <w:jc w:val="left"/>
              <w:rPr>
                <w:rFonts w:eastAsia="Times New Roman" w:cs="Times New Roman"/>
                <w:sz w:val="20"/>
                <w:szCs w:val="20"/>
                <w:lang w:eastAsia="sk-SK"/>
              </w:rPr>
            </w:pPr>
          </w:p>
        </w:tc>
      </w:tr>
      <w:tr w:rsidR="003A0696" w:rsidRPr="007D32CB" w14:paraId="65B45A7C" w14:textId="77777777" w:rsidTr="003A0696">
        <w:trPr>
          <w:trHeight w:val="300"/>
        </w:trPr>
        <w:tc>
          <w:tcPr>
            <w:tcW w:w="2797" w:type="pct"/>
            <w:tcBorders>
              <w:top w:val="nil"/>
              <w:left w:val="nil"/>
              <w:bottom w:val="nil"/>
              <w:right w:val="nil"/>
            </w:tcBorders>
            <w:shd w:val="clear" w:color="auto" w:fill="auto"/>
            <w:noWrap/>
            <w:vAlign w:val="bottom"/>
            <w:hideMark/>
          </w:tcPr>
          <w:p w14:paraId="5BA64D69"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Obce a ich rozpočtové organizácie</w:t>
            </w:r>
          </w:p>
        </w:tc>
        <w:tc>
          <w:tcPr>
            <w:tcW w:w="564" w:type="pct"/>
            <w:tcBorders>
              <w:top w:val="nil"/>
              <w:left w:val="nil"/>
              <w:bottom w:val="nil"/>
              <w:right w:val="nil"/>
            </w:tcBorders>
            <w:shd w:val="clear" w:color="auto" w:fill="auto"/>
            <w:noWrap/>
            <w:vAlign w:val="bottom"/>
            <w:hideMark/>
          </w:tcPr>
          <w:p w14:paraId="15F4961B"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1 593 710</w:t>
            </w:r>
          </w:p>
        </w:tc>
        <w:tc>
          <w:tcPr>
            <w:tcW w:w="564" w:type="pct"/>
            <w:tcBorders>
              <w:top w:val="nil"/>
              <w:left w:val="nil"/>
              <w:bottom w:val="nil"/>
              <w:right w:val="nil"/>
            </w:tcBorders>
            <w:shd w:val="clear" w:color="auto" w:fill="auto"/>
            <w:noWrap/>
            <w:vAlign w:val="bottom"/>
            <w:hideMark/>
          </w:tcPr>
          <w:p w14:paraId="632F3EEE"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1 644 707</w:t>
            </w:r>
          </w:p>
        </w:tc>
        <w:tc>
          <w:tcPr>
            <w:tcW w:w="564" w:type="pct"/>
            <w:tcBorders>
              <w:top w:val="nil"/>
              <w:left w:val="nil"/>
              <w:bottom w:val="nil"/>
              <w:right w:val="nil"/>
            </w:tcBorders>
            <w:shd w:val="clear" w:color="auto" w:fill="auto"/>
            <w:noWrap/>
            <w:vAlign w:val="bottom"/>
            <w:hideMark/>
          </w:tcPr>
          <w:p w14:paraId="268E2859"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1 751 497</w:t>
            </w:r>
          </w:p>
        </w:tc>
        <w:tc>
          <w:tcPr>
            <w:tcW w:w="510" w:type="pct"/>
            <w:tcBorders>
              <w:top w:val="nil"/>
              <w:left w:val="nil"/>
              <w:bottom w:val="nil"/>
              <w:right w:val="nil"/>
            </w:tcBorders>
            <w:shd w:val="clear" w:color="auto" w:fill="auto"/>
            <w:noWrap/>
            <w:vAlign w:val="bottom"/>
            <w:hideMark/>
          </w:tcPr>
          <w:p w14:paraId="36AEA9C9"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106 790</w:t>
            </w:r>
          </w:p>
        </w:tc>
      </w:tr>
      <w:tr w:rsidR="003A0696" w:rsidRPr="007D32CB" w14:paraId="17592BC8" w14:textId="77777777" w:rsidTr="003A0696">
        <w:trPr>
          <w:trHeight w:val="300"/>
        </w:trPr>
        <w:tc>
          <w:tcPr>
            <w:tcW w:w="2797" w:type="pct"/>
            <w:tcBorders>
              <w:top w:val="nil"/>
              <w:left w:val="nil"/>
              <w:bottom w:val="nil"/>
              <w:right w:val="nil"/>
            </w:tcBorders>
            <w:shd w:val="clear" w:color="auto" w:fill="auto"/>
            <w:noWrap/>
            <w:vAlign w:val="bottom"/>
            <w:hideMark/>
          </w:tcPr>
          <w:p w14:paraId="5300386A"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Vyššie územné celky a ich rozpočtové organizácie</w:t>
            </w:r>
          </w:p>
        </w:tc>
        <w:tc>
          <w:tcPr>
            <w:tcW w:w="564" w:type="pct"/>
            <w:tcBorders>
              <w:top w:val="nil"/>
              <w:left w:val="nil"/>
              <w:bottom w:val="nil"/>
              <w:right w:val="nil"/>
            </w:tcBorders>
            <w:shd w:val="clear" w:color="auto" w:fill="auto"/>
            <w:noWrap/>
            <w:vAlign w:val="bottom"/>
            <w:hideMark/>
          </w:tcPr>
          <w:p w14:paraId="4A810D8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498 712</w:t>
            </w:r>
          </w:p>
        </w:tc>
        <w:tc>
          <w:tcPr>
            <w:tcW w:w="564" w:type="pct"/>
            <w:tcBorders>
              <w:top w:val="nil"/>
              <w:left w:val="nil"/>
              <w:bottom w:val="nil"/>
              <w:right w:val="nil"/>
            </w:tcBorders>
            <w:shd w:val="clear" w:color="auto" w:fill="auto"/>
            <w:noWrap/>
            <w:vAlign w:val="bottom"/>
            <w:hideMark/>
          </w:tcPr>
          <w:p w14:paraId="53F0D7C6"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507 705</w:t>
            </w:r>
          </w:p>
        </w:tc>
        <w:tc>
          <w:tcPr>
            <w:tcW w:w="564" w:type="pct"/>
            <w:tcBorders>
              <w:top w:val="nil"/>
              <w:left w:val="nil"/>
              <w:bottom w:val="nil"/>
              <w:right w:val="nil"/>
            </w:tcBorders>
            <w:shd w:val="clear" w:color="auto" w:fill="auto"/>
            <w:noWrap/>
            <w:vAlign w:val="bottom"/>
            <w:hideMark/>
          </w:tcPr>
          <w:p w14:paraId="599297B3"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565 287</w:t>
            </w:r>
          </w:p>
        </w:tc>
        <w:tc>
          <w:tcPr>
            <w:tcW w:w="510" w:type="pct"/>
            <w:tcBorders>
              <w:top w:val="nil"/>
              <w:left w:val="nil"/>
              <w:bottom w:val="nil"/>
              <w:right w:val="nil"/>
            </w:tcBorders>
            <w:shd w:val="clear" w:color="auto" w:fill="auto"/>
            <w:noWrap/>
            <w:vAlign w:val="bottom"/>
            <w:hideMark/>
          </w:tcPr>
          <w:p w14:paraId="67D2A6E2"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57 582</w:t>
            </w:r>
          </w:p>
        </w:tc>
      </w:tr>
      <w:tr w:rsidR="003A0696" w:rsidRPr="007D32CB" w14:paraId="367C7AC8" w14:textId="77777777" w:rsidTr="003A0696">
        <w:trPr>
          <w:trHeight w:val="300"/>
        </w:trPr>
        <w:tc>
          <w:tcPr>
            <w:tcW w:w="2797" w:type="pct"/>
            <w:tcBorders>
              <w:top w:val="nil"/>
              <w:left w:val="nil"/>
              <w:bottom w:val="nil"/>
              <w:right w:val="nil"/>
            </w:tcBorders>
            <w:shd w:val="clear" w:color="auto" w:fill="auto"/>
            <w:noWrap/>
            <w:vAlign w:val="bottom"/>
            <w:hideMark/>
          </w:tcPr>
          <w:p w14:paraId="52F15EEA"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Príspevkové organizácie obcí</w:t>
            </w:r>
          </w:p>
        </w:tc>
        <w:tc>
          <w:tcPr>
            <w:tcW w:w="564" w:type="pct"/>
            <w:tcBorders>
              <w:top w:val="nil"/>
              <w:left w:val="nil"/>
              <w:bottom w:val="nil"/>
              <w:right w:val="nil"/>
            </w:tcBorders>
            <w:shd w:val="clear" w:color="auto" w:fill="auto"/>
            <w:noWrap/>
            <w:vAlign w:val="bottom"/>
            <w:hideMark/>
          </w:tcPr>
          <w:p w14:paraId="10D306E2"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1 943</w:t>
            </w:r>
          </w:p>
        </w:tc>
        <w:tc>
          <w:tcPr>
            <w:tcW w:w="564" w:type="pct"/>
            <w:tcBorders>
              <w:top w:val="nil"/>
              <w:left w:val="nil"/>
              <w:bottom w:val="nil"/>
              <w:right w:val="nil"/>
            </w:tcBorders>
            <w:shd w:val="clear" w:color="auto" w:fill="auto"/>
            <w:noWrap/>
            <w:vAlign w:val="bottom"/>
            <w:hideMark/>
          </w:tcPr>
          <w:p w14:paraId="0ABBD7B5"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2 270</w:t>
            </w:r>
          </w:p>
        </w:tc>
        <w:tc>
          <w:tcPr>
            <w:tcW w:w="564" w:type="pct"/>
            <w:tcBorders>
              <w:top w:val="nil"/>
              <w:left w:val="nil"/>
              <w:bottom w:val="nil"/>
              <w:right w:val="nil"/>
            </w:tcBorders>
            <w:shd w:val="clear" w:color="auto" w:fill="auto"/>
            <w:noWrap/>
            <w:vAlign w:val="bottom"/>
            <w:hideMark/>
          </w:tcPr>
          <w:p w14:paraId="634EF8CB"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1 722</w:t>
            </w:r>
          </w:p>
        </w:tc>
        <w:tc>
          <w:tcPr>
            <w:tcW w:w="510" w:type="pct"/>
            <w:tcBorders>
              <w:top w:val="nil"/>
              <w:left w:val="nil"/>
              <w:bottom w:val="nil"/>
              <w:right w:val="nil"/>
            </w:tcBorders>
            <w:shd w:val="clear" w:color="auto" w:fill="auto"/>
            <w:noWrap/>
            <w:vAlign w:val="bottom"/>
            <w:hideMark/>
          </w:tcPr>
          <w:p w14:paraId="67AB6CDE"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-548</w:t>
            </w:r>
          </w:p>
        </w:tc>
      </w:tr>
      <w:tr w:rsidR="003A0696" w:rsidRPr="007D32CB" w14:paraId="5E5DF106" w14:textId="77777777" w:rsidTr="003A0696">
        <w:trPr>
          <w:trHeight w:val="300"/>
        </w:trPr>
        <w:tc>
          <w:tcPr>
            <w:tcW w:w="2797" w:type="pct"/>
            <w:tcBorders>
              <w:top w:val="nil"/>
              <w:left w:val="nil"/>
              <w:bottom w:val="nil"/>
              <w:right w:val="nil"/>
            </w:tcBorders>
            <w:shd w:val="clear" w:color="auto" w:fill="auto"/>
            <w:noWrap/>
            <w:vAlign w:val="bottom"/>
            <w:hideMark/>
          </w:tcPr>
          <w:p w14:paraId="607F2757"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Príspevkové organizácie VÚC</w:t>
            </w:r>
          </w:p>
        </w:tc>
        <w:tc>
          <w:tcPr>
            <w:tcW w:w="564" w:type="pct"/>
            <w:tcBorders>
              <w:top w:val="nil"/>
              <w:left w:val="nil"/>
              <w:bottom w:val="nil"/>
              <w:right w:val="nil"/>
            </w:tcBorders>
            <w:shd w:val="clear" w:color="auto" w:fill="auto"/>
            <w:noWrap/>
            <w:vAlign w:val="bottom"/>
            <w:hideMark/>
          </w:tcPr>
          <w:p w14:paraId="091528E6"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857</w:t>
            </w:r>
          </w:p>
        </w:tc>
        <w:tc>
          <w:tcPr>
            <w:tcW w:w="564" w:type="pct"/>
            <w:tcBorders>
              <w:top w:val="nil"/>
              <w:left w:val="nil"/>
              <w:bottom w:val="nil"/>
              <w:right w:val="nil"/>
            </w:tcBorders>
            <w:shd w:val="clear" w:color="auto" w:fill="auto"/>
            <w:noWrap/>
            <w:vAlign w:val="bottom"/>
            <w:hideMark/>
          </w:tcPr>
          <w:p w14:paraId="0BCEAF70"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1 009</w:t>
            </w:r>
          </w:p>
        </w:tc>
        <w:tc>
          <w:tcPr>
            <w:tcW w:w="564" w:type="pct"/>
            <w:tcBorders>
              <w:top w:val="nil"/>
              <w:left w:val="nil"/>
              <w:bottom w:val="nil"/>
              <w:right w:val="nil"/>
            </w:tcBorders>
            <w:shd w:val="clear" w:color="auto" w:fill="auto"/>
            <w:noWrap/>
            <w:vAlign w:val="bottom"/>
            <w:hideMark/>
          </w:tcPr>
          <w:p w14:paraId="132D11C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1 246</w:t>
            </w:r>
          </w:p>
        </w:tc>
        <w:tc>
          <w:tcPr>
            <w:tcW w:w="510" w:type="pct"/>
            <w:tcBorders>
              <w:top w:val="nil"/>
              <w:left w:val="nil"/>
              <w:bottom w:val="nil"/>
              <w:right w:val="nil"/>
            </w:tcBorders>
            <w:shd w:val="clear" w:color="auto" w:fill="auto"/>
            <w:noWrap/>
            <w:vAlign w:val="bottom"/>
            <w:hideMark/>
          </w:tcPr>
          <w:p w14:paraId="43102B6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237</w:t>
            </w:r>
          </w:p>
        </w:tc>
      </w:tr>
      <w:tr w:rsidR="003A0696" w:rsidRPr="007D32CB" w14:paraId="327A28C3" w14:textId="77777777" w:rsidTr="003A0696">
        <w:trPr>
          <w:trHeight w:val="300"/>
        </w:trPr>
        <w:tc>
          <w:tcPr>
            <w:tcW w:w="2797" w:type="pct"/>
            <w:tcBorders>
              <w:top w:val="nil"/>
              <w:left w:val="nil"/>
              <w:bottom w:val="nil"/>
              <w:right w:val="nil"/>
            </w:tcBorders>
            <w:shd w:val="clear" w:color="auto" w:fill="auto"/>
            <w:noWrap/>
            <w:vAlign w:val="bottom"/>
            <w:hideMark/>
          </w:tcPr>
          <w:p w14:paraId="54F44E84"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Dopravné podniky</w:t>
            </w:r>
          </w:p>
        </w:tc>
        <w:tc>
          <w:tcPr>
            <w:tcW w:w="564" w:type="pct"/>
            <w:tcBorders>
              <w:top w:val="nil"/>
              <w:left w:val="nil"/>
              <w:bottom w:val="nil"/>
              <w:right w:val="nil"/>
            </w:tcBorders>
            <w:shd w:val="clear" w:color="auto" w:fill="auto"/>
            <w:noWrap/>
            <w:vAlign w:val="bottom"/>
            <w:hideMark/>
          </w:tcPr>
          <w:p w14:paraId="3B7507E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71 031</w:t>
            </w:r>
          </w:p>
        </w:tc>
        <w:tc>
          <w:tcPr>
            <w:tcW w:w="564" w:type="pct"/>
            <w:tcBorders>
              <w:top w:val="nil"/>
              <w:left w:val="nil"/>
              <w:bottom w:val="nil"/>
              <w:right w:val="nil"/>
            </w:tcBorders>
            <w:shd w:val="clear" w:color="auto" w:fill="auto"/>
            <w:noWrap/>
            <w:vAlign w:val="bottom"/>
            <w:hideMark/>
          </w:tcPr>
          <w:p w14:paraId="13BCFC9E"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65 327</w:t>
            </w:r>
          </w:p>
        </w:tc>
        <w:tc>
          <w:tcPr>
            <w:tcW w:w="564" w:type="pct"/>
            <w:tcBorders>
              <w:top w:val="nil"/>
              <w:left w:val="nil"/>
              <w:bottom w:val="nil"/>
              <w:right w:val="nil"/>
            </w:tcBorders>
            <w:shd w:val="clear" w:color="auto" w:fill="auto"/>
            <w:noWrap/>
            <w:vAlign w:val="bottom"/>
            <w:hideMark/>
          </w:tcPr>
          <w:p w14:paraId="5433E8C1"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108 950</w:t>
            </w:r>
          </w:p>
        </w:tc>
        <w:tc>
          <w:tcPr>
            <w:tcW w:w="510" w:type="pct"/>
            <w:tcBorders>
              <w:top w:val="nil"/>
              <w:left w:val="nil"/>
              <w:bottom w:val="nil"/>
              <w:right w:val="nil"/>
            </w:tcBorders>
            <w:shd w:val="clear" w:color="auto" w:fill="auto"/>
            <w:noWrap/>
            <w:vAlign w:val="bottom"/>
            <w:hideMark/>
          </w:tcPr>
          <w:p w14:paraId="66750628"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43 623</w:t>
            </w:r>
          </w:p>
        </w:tc>
      </w:tr>
      <w:tr w:rsidR="003A0696" w:rsidRPr="007D32CB" w14:paraId="707A5E6B" w14:textId="77777777" w:rsidTr="003A0696">
        <w:trPr>
          <w:trHeight w:val="300"/>
        </w:trPr>
        <w:tc>
          <w:tcPr>
            <w:tcW w:w="2797" w:type="pct"/>
            <w:tcBorders>
              <w:top w:val="nil"/>
              <w:left w:val="nil"/>
              <w:bottom w:val="nil"/>
              <w:right w:val="nil"/>
            </w:tcBorders>
            <w:shd w:val="clear" w:color="auto" w:fill="auto"/>
            <w:noWrap/>
            <w:vAlign w:val="bottom"/>
            <w:hideMark/>
          </w:tcPr>
          <w:p w14:paraId="137AA0D3"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Zdravotnícke zariadenia miestnej samosprávy</w:t>
            </w:r>
          </w:p>
        </w:tc>
        <w:tc>
          <w:tcPr>
            <w:tcW w:w="564" w:type="pct"/>
            <w:tcBorders>
              <w:top w:val="nil"/>
              <w:left w:val="nil"/>
              <w:bottom w:val="nil"/>
              <w:right w:val="nil"/>
            </w:tcBorders>
            <w:shd w:val="clear" w:color="auto" w:fill="auto"/>
            <w:noWrap/>
            <w:vAlign w:val="bottom"/>
            <w:hideMark/>
          </w:tcPr>
          <w:p w14:paraId="62788C4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2 621</w:t>
            </w:r>
          </w:p>
        </w:tc>
        <w:tc>
          <w:tcPr>
            <w:tcW w:w="564" w:type="pct"/>
            <w:tcBorders>
              <w:top w:val="nil"/>
              <w:left w:val="nil"/>
              <w:bottom w:val="nil"/>
              <w:right w:val="nil"/>
            </w:tcBorders>
            <w:shd w:val="clear" w:color="auto" w:fill="auto"/>
            <w:noWrap/>
            <w:vAlign w:val="bottom"/>
            <w:hideMark/>
          </w:tcPr>
          <w:p w14:paraId="45AA6086"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3 321</w:t>
            </w:r>
          </w:p>
        </w:tc>
        <w:tc>
          <w:tcPr>
            <w:tcW w:w="564" w:type="pct"/>
            <w:tcBorders>
              <w:top w:val="nil"/>
              <w:left w:val="nil"/>
              <w:bottom w:val="nil"/>
              <w:right w:val="nil"/>
            </w:tcBorders>
            <w:shd w:val="clear" w:color="auto" w:fill="auto"/>
            <w:noWrap/>
            <w:vAlign w:val="bottom"/>
            <w:hideMark/>
          </w:tcPr>
          <w:p w14:paraId="3445E1A0"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3 362</w:t>
            </w:r>
          </w:p>
        </w:tc>
        <w:tc>
          <w:tcPr>
            <w:tcW w:w="510" w:type="pct"/>
            <w:tcBorders>
              <w:top w:val="nil"/>
              <w:left w:val="nil"/>
              <w:bottom w:val="nil"/>
              <w:right w:val="nil"/>
            </w:tcBorders>
            <w:shd w:val="clear" w:color="auto" w:fill="auto"/>
            <w:noWrap/>
            <w:vAlign w:val="bottom"/>
            <w:hideMark/>
          </w:tcPr>
          <w:p w14:paraId="77ED9502"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41</w:t>
            </w:r>
          </w:p>
        </w:tc>
      </w:tr>
      <w:tr w:rsidR="003A0696" w:rsidRPr="007D32CB" w14:paraId="66989BE2" w14:textId="77777777" w:rsidTr="003A0696">
        <w:trPr>
          <w:trHeight w:val="300"/>
        </w:trPr>
        <w:tc>
          <w:tcPr>
            <w:tcW w:w="2797" w:type="pct"/>
            <w:tcBorders>
              <w:top w:val="nil"/>
              <w:left w:val="nil"/>
              <w:bottom w:val="nil"/>
              <w:right w:val="nil"/>
            </w:tcBorders>
            <w:shd w:val="clear" w:color="auto" w:fill="auto"/>
            <w:noWrap/>
            <w:vAlign w:val="bottom"/>
            <w:hideMark/>
          </w:tcPr>
          <w:p w14:paraId="21850FE8"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Ostatné subjekty miestnej samosprávy</w:t>
            </w:r>
          </w:p>
        </w:tc>
        <w:tc>
          <w:tcPr>
            <w:tcW w:w="564" w:type="pct"/>
            <w:tcBorders>
              <w:top w:val="nil"/>
              <w:left w:val="nil"/>
              <w:bottom w:val="nil"/>
              <w:right w:val="nil"/>
            </w:tcBorders>
            <w:shd w:val="clear" w:color="auto" w:fill="auto"/>
            <w:noWrap/>
            <w:vAlign w:val="bottom"/>
            <w:hideMark/>
          </w:tcPr>
          <w:p w14:paraId="08BFF374"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3 151</w:t>
            </w:r>
          </w:p>
        </w:tc>
        <w:tc>
          <w:tcPr>
            <w:tcW w:w="564" w:type="pct"/>
            <w:tcBorders>
              <w:top w:val="nil"/>
              <w:left w:val="nil"/>
              <w:bottom w:val="nil"/>
              <w:right w:val="nil"/>
            </w:tcBorders>
            <w:shd w:val="clear" w:color="auto" w:fill="auto"/>
            <w:noWrap/>
            <w:vAlign w:val="bottom"/>
            <w:hideMark/>
          </w:tcPr>
          <w:p w14:paraId="46EB5726"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4 756</w:t>
            </w:r>
          </w:p>
        </w:tc>
        <w:tc>
          <w:tcPr>
            <w:tcW w:w="564" w:type="pct"/>
            <w:tcBorders>
              <w:top w:val="nil"/>
              <w:left w:val="nil"/>
              <w:bottom w:val="nil"/>
              <w:right w:val="nil"/>
            </w:tcBorders>
            <w:shd w:val="clear" w:color="auto" w:fill="auto"/>
            <w:noWrap/>
            <w:vAlign w:val="bottom"/>
            <w:hideMark/>
          </w:tcPr>
          <w:p w14:paraId="4D7B1483"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4 756</w:t>
            </w:r>
          </w:p>
        </w:tc>
        <w:tc>
          <w:tcPr>
            <w:tcW w:w="510" w:type="pct"/>
            <w:tcBorders>
              <w:top w:val="nil"/>
              <w:left w:val="nil"/>
              <w:bottom w:val="nil"/>
              <w:right w:val="nil"/>
            </w:tcBorders>
            <w:shd w:val="clear" w:color="auto" w:fill="auto"/>
            <w:noWrap/>
            <w:vAlign w:val="bottom"/>
            <w:hideMark/>
          </w:tcPr>
          <w:p w14:paraId="05CEB8E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0</w:t>
            </w:r>
          </w:p>
        </w:tc>
      </w:tr>
      <w:tr w:rsidR="003A0696" w:rsidRPr="007D32CB" w14:paraId="73A50F1E" w14:textId="77777777" w:rsidTr="003A0696">
        <w:trPr>
          <w:trHeight w:val="300"/>
        </w:trPr>
        <w:tc>
          <w:tcPr>
            <w:tcW w:w="2797" w:type="pct"/>
            <w:tcBorders>
              <w:top w:val="nil"/>
              <w:left w:val="nil"/>
              <w:bottom w:val="nil"/>
              <w:right w:val="nil"/>
            </w:tcBorders>
            <w:shd w:val="clear" w:color="auto" w:fill="auto"/>
            <w:noWrap/>
            <w:vAlign w:val="bottom"/>
            <w:hideMark/>
          </w:tcPr>
          <w:p w14:paraId="07A113C2" w14:textId="77777777" w:rsidR="003A0696" w:rsidRPr="007D32CB" w:rsidRDefault="003A0696" w:rsidP="003A0696">
            <w:pPr>
              <w:spacing w:after="0" w:line="240" w:lineRule="auto"/>
              <w:jc w:val="left"/>
              <w:rPr>
                <w:rFonts w:eastAsia="Times New Roman" w:cs="Times New Roman"/>
                <w:b/>
                <w:bCs/>
                <w:sz w:val="20"/>
                <w:szCs w:val="20"/>
                <w:lang w:eastAsia="sk-SK"/>
              </w:rPr>
            </w:pPr>
            <w:r w:rsidRPr="007D32CB">
              <w:rPr>
                <w:rFonts w:eastAsia="Times New Roman" w:cs="Times New Roman"/>
                <w:b/>
                <w:bCs/>
                <w:sz w:val="20"/>
                <w:szCs w:val="20"/>
                <w:lang w:eastAsia="sk-SK"/>
              </w:rPr>
              <w:t>Fondy sociálneho zabezpečenia</w:t>
            </w:r>
          </w:p>
        </w:tc>
        <w:tc>
          <w:tcPr>
            <w:tcW w:w="564" w:type="pct"/>
            <w:tcBorders>
              <w:top w:val="nil"/>
              <w:left w:val="nil"/>
              <w:bottom w:val="nil"/>
              <w:right w:val="nil"/>
            </w:tcBorders>
            <w:shd w:val="clear" w:color="auto" w:fill="auto"/>
            <w:noWrap/>
            <w:vAlign w:val="bottom"/>
            <w:hideMark/>
          </w:tcPr>
          <w:p w14:paraId="497FA71C" w14:textId="77777777" w:rsidR="003A0696" w:rsidRPr="007D32CB" w:rsidRDefault="003A0696" w:rsidP="003A0696">
            <w:pPr>
              <w:spacing w:after="0" w:line="240" w:lineRule="auto"/>
              <w:jc w:val="left"/>
              <w:rPr>
                <w:rFonts w:eastAsia="Times New Roman" w:cs="Times New Roman"/>
                <w:b/>
                <w:bCs/>
                <w:sz w:val="20"/>
                <w:szCs w:val="20"/>
                <w:lang w:eastAsia="sk-SK"/>
              </w:rPr>
            </w:pPr>
          </w:p>
        </w:tc>
        <w:tc>
          <w:tcPr>
            <w:tcW w:w="564" w:type="pct"/>
            <w:tcBorders>
              <w:top w:val="nil"/>
              <w:left w:val="nil"/>
              <w:bottom w:val="nil"/>
              <w:right w:val="nil"/>
            </w:tcBorders>
            <w:shd w:val="clear" w:color="auto" w:fill="auto"/>
            <w:noWrap/>
            <w:vAlign w:val="bottom"/>
            <w:hideMark/>
          </w:tcPr>
          <w:p w14:paraId="413AA866"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64" w:type="pct"/>
            <w:tcBorders>
              <w:top w:val="nil"/>
              <w:left w:val="nil"/>
              <w:bottom w:val="nil"/>
              <w:right w:val="nil"/>
            </w:tcBorders>
            <w:shd w:val="clear" w:color="auto" w:fill="auto"/>
            <w:noWrap/>
            <w:vAlign w:val="bottom"/>
            <w:hideMark/>
          </w:tcPr>
          <w:p w14:paraId="025B38FC" w14:textId="77777777" w:rsidR="003A0696" w:rsidRPr="007D32CB" w:rsidRDefault="003A0696" w:rsidP="003A0696">
            <w:pPr>
              <w:spacing w:after="0" w:line="240" w:lineRule="auto"/>
              <w:jc w:val="left"/>
              <w:rPr>
                <w:rFonts w:eastAsia="Times New Roman" w:cs="Times New Roman"/>
                <w:sz w:val="20"/>
                <w:szCs w:val="20"/>
                <w:lang w:eastAsia="sk-SK"/>
              </w:rPr>
            </w:pPr>
          </w:p>
        </w:tc>
        <w:tc>
          <w:tcPr>
            <w:tcW w:w="510" w:type="pct"/>
            <w:tcBorders>
              <w:top w:val="nil"/>
              <w:left w:val="nil"/>
              <w:bottom w:val="nil"/>
              <w:right w:val="nil"/>
            </w:tcBorders>
            <w:shd w:val="clear" w:color="auto" w:fill="auto"/>
            <w:noWrap/>
            <w:vAlign w:val="bottom"/>
            <w:hideMark/>
          </w:tcPr>
          <w:p w14:paraId="00A5CC8E" w14:textId="77777777" w:rsidR="003A0696" w:rsidRPr="007D32CB" w:rsidRDefault="003A0696" w:rsidP="003A0696">
            <w:pPr>
              <w:spacing w:after="0" w:line="240" w:lineRule="auto"/>
              <w:jc w:val="left"/>
              <w:rPr>
                <w:rFonts w:eastAsia="Times New Roman" w:cs="Times New Roman"/>
                <w:sz w:val="20"/>
                <w:szCs w:val="20"/>
                <w:lang w:eastAsia="sk-SK"/>
              </w:rPr>
            </w:pPr>
          </w:p>
        </w:tc>
      </w:tr>
      <w:tr w:rsidR="003A0696" w:rsidRPr="007D32CB" w14:paraId="5524B0B1" w14:textId="77777777" w:rsidTr="003A0696">
        <w:trPr>
          <w:trHeight w:val="300"/>
        </w:trPr>
        <w:tc>
          <w:tcPr>
            <w:tcW w:w="2797" w:type="pct"/>
            <w:tcBorders>
              <w:top w:val="nil"/>
              <w:left w:val="nil"/>
              <w:bottom w:val="nil"/>
              <w:right w:val="nil"/>
            </w:tcBorders>
            <w:shd w:val="clear" w:color="auto" w:fill="auto"/>
            <w:noWrap/>
            <w:vAlign w:val="bottom"/>
            <w:hideMark/>
          </w:tcPr>
          <w:p w14:paraId="1E41F731"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Sociálna poisťovňa</w:t>
            </w:r>
          </w:p>
        </w:tc>
        <w:tc>
          <w:tcPr>
            <w:tcW w:w="564" w:type="pct"/>
            <w:tcBorders>
              <w:top w:val="nil"/>
              <w:left w:val="nil"/>
              <w:bottom w:val="nil"/>
              <w:right w:val="nil"/>
            </w:tcBorders>
            <w:shd w:val="clear" w:color="auto" w:fill="auto"/>
            <w:noWrap/>
            <w:vAlign w:val="bottom"/>
            <w:hideMark/>
          </w:tcPr>
          <w:p w14:paraId="63B4DED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499</w:t>
            </w:r>
          </w:p>
        </w:tc>
        <w:tc>
          <w:tcPr>
            <w:tcW w:w="564" w:type="pct"/>
            <w:tcBorders>
              <w:top w:val="nil"/>
              <w:left w:val="nil"/>
              <w:bottom w:val="nil"/>
              <w:right w:val="nil"/>
            </w:tcBorders>
            <w:shd w:val="clear" w:color="auto" w:fill="auto"/>
            <w:noWrap/>
            <w:vAlign w:val="bottom"/>
            <w:hideMark/>
          </w:tcPr>
          <w:p w14:paraId="2CD6390C"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790</w:t>
            </w:r>
          </w:p>
        </w:tc>
        <w:tc>
          <w:tcPr>
            <w:tcW w:w="564" w:type="pct"/>
            <w:tcBorders>
              <w:top w:val="nil"/>
              <w:left w:val="nil"/>
              <w:bottom w:val="nil"/>
              <w:right w:val="nil"/>
            </w:tcBorders>
            <w:shd w:val="clear" w:color="auto" w:fill="auto"/>
            <w:noWrap/>
            <w:vAlign w:val="bottom"/>
            <w:hideMark/>
          </w:tcPr>
          <w:p w14:paraId="315751C2"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586</w:t>
            </w:r>
          </w:p>
        </w:tc>
        <w:tc>
          <w:tcPr>
            <w:tcW w:w="510" w:type="pct"/>
            <w:tcBorders>
              <w:top w:val="nil"/>
              <w:left w:val="nil"/>
              <w:bottom w:val="nil"/>
              <w:right w:val="nil"/>
            </w:tcBorders>
            <w:shd w:val="clear" w:color="auto" w:fill="auto"/>
            <w:noWrap/>
            <w:vAlign w:val="bottom"/>
            <w:hideMark/>
          </w:tcPr>
          <w:p w14:paraId="7DE8557E"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-204</w:t>
            </w:r>
          </w:p>
        </w:tc>
      </w:tr>
      <w:tr w:rsidR="003A0696" w:rsidRPr="007D32CB" w14:paraId="5DF4B019" w14:textId="77777777" w:rsidTr="003A0696">
        <w:trPr>
          <w:trHeight w:val="300"/>
        </w:trPr>
        <w:tc>
          <w:tcPr>
            <w:tcW w:w="2797" w:type="pct"/>
            <w:tcBorders>
              <w:top w:val="nil"/>
              <w:left w:val="nil"/>
              <w:bottom w:val="nil"/>
              <w:right w:val="nil"/>
            </w:tcBorders>
            <w:shd w:val="clear" w:color="auto" w:fill="auto"/>
            <w:noWrap/>
            <w:vAlign w:val="bottom"/>
            <w:hideMark/>
          </w:tcPr>
          <w:p w14:paraId="7B9B621F"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Verejné zdravotné poistenie</w:t>
            </w:r>
          </w:p>
        </w:tc>
        <w:tc>
          <w:tcPr>
            <w:tcW w:w="564" w:type="pct"/>
            <w:tcBorders>
              <w:top w:val="nil"/>
              <w:left w:val="nil"/>
              <w:bottom w:val="nil"/>
              <w:right w:val="nil"/>
            </w:tcBorders>
            <w:shd w:val="clear" w:color="auto" w:fill="auto"/>
            <w:noWrap/>
            <w:vAlign w:val="bottom"/>
            <w:hideMark/>
          </w:tcPr>
          <w:p w14:paraId="131027B7"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775</w:t>
            </w:r>
          </w:p>
        </w:tc>
        <w:tc>
          <w:tcPr>
            <w:tcW w:w="564" w:type="pct"/>
            <w:tcBorders>
              <w:top w:val="nil"/>
              <w:left w:val="nil"/>
              <w:bottom w:val="nil"/>
              <w:right w:val="nil"/>
            </w:tcBorders>
            <w:shd w:val="clear" w:color="auto" w:fill="auto"/>
            <w:noWrap/>
            <w:vAlign w:val="bottom"/>
            <w:hideMark/>
          </w:tcPr>
          <w:p w14:paraId="6DD0530C"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222</w:t>
            </w:r>
          </w:p>
        </w:tc>
        <w:tc>
          <w:tcPr>
            <w:tcW w:w="564" w:type="pct"/>
            <w:tcBorders>
              <w:top w:val="nil"/>
              <w:left w:val="nil"/>
              <w:bottom w:val="nil"/>
              <w:right w:val="nil"/>
            </w:tcBorders>
            <w:shd w:val="clear" w:color="auto" w:fill="auto"/>
            <w:noWrap/>
            <w:vAlign w:val="bottom"/>
            <w:hideMark/>
          </w:tcPr>
          <w:p w14:paraId="6C0EDCB5"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345</w:t>
            </w:r>
          </w:p>
        </w:tc>
        <w:tc>
          <w:tcPr>
            <w:tcW w:w="510" w:type="pct"/>
            <w:tcBorders>
              <w:top w:val="nil"/>
              <w:left w:val="nil"/>
              <w:bottom w:val="nil"/>
              <w:right w:val="nil"/>
            </w:tcBorders>
            <w:shd w:val="clear" w:color="auto" w:fill="auto"/>
            <w:noWrap/>
            <w:vAlign w:val="bottom"/>
            <w:hideMark/>
          </w:tcPr>
          <w:p w14:paraId="1135F495"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123</w:t>
            </w:r>
          </w:p>
        </w:tc>
      </w:tr>
      <w:tr w:rsidR="003A0696" w:rsidRPr="007D32CB" w14:paraId="2889C3A7" w14:textId="77777777" w:rsidTr="003A0696">
        <w:trPr>
          <w:trHeight w:val="300"/>
        </w:trPr>
        <w:tc>
          <w:tcPr>
            <w:tcW w:w="2797" w:type="pct"/>
            <w:tcBorders>
              <w:top w:val="nil"/>
              <w:left w:val="nil"/>
              <w:bottom w:val="nil"/>
              <w:right w:val="nil"/>
            </w:tcBorders>
            <w:shd w:val="clear" w:color="auto" w:fill="auto"/>
            <w:noWrap/>
            <w:vAlign w:val="bottom"/>
            <w:hideMark/>
          </w:tcPr>
          <w:p w14:paraId="0F14A339" w14:textId="77777777" w:rsidR="003A0696" w:rsidRPr="007D32CB" w:rsidRDefault="003A0696" w:rsidP="003A0696">
            <w:pPr>
              <w:spacing w:after="0" w:line="240" w:lineRule="auto"/>
              <w:jc w:val="left"/>
              <w:rPr>
                <w:rFonts w:eastAsia="Times New Roman" w:cs="Times New Roman"/>
                <w:b/>
                <w:bCs/>
                <w:sz w:val="20"/>
                <w:szCs w:val="20"/>
                <w:lang w:eastAsia="sk-SK"/>
              </w:rPr>
            </w:pPr>
            <w:r w:rsidRPr="007D32CB">
              <w:rPr>
                <w:rFonts w:eastAsia="Times New Roman" w:cs="Times New Roman"/>
                <w:b/>
                <w:bCs/>
                <w:sz w:val="20"/>
                <w:szCs w:val="20"/>
                <w:lang w:eastAsia="sk-SK"/>
              </w:rPr>
              <w:t>Verejná správa spolu</w:t>
            </w:r>
          </w:p>
        </w:tc>
        <w:tc>
          <w:tcPr>
            <w:tcW w:w="564" w:type="pct"/>
            <w:tcBorders>
              <w:top w:val="nil"/>
              <w:left w:val="nil"/>
              <w:bottom w:val="nil"/>
              <w:right w:val="nil"/>
            </w:tcBorders>
            <w:shd w:val="clear" w:color="auto" w:fill="auto"/>
            <w:noWrap/>
            <w:vAlign w:val="bottom"/>
            <w:hideMark/>
          </w:tcPr>
          <w:p w14:paraId="25C68A04" w14:textId="77777777" w:rsidR="003A0696" w:rsidRPr="007D32CB" w:rsidRDefault="003A0696" w:rsidP="003A0696">
            <w:pPr>
              <w:spacing w:after="0" w:line="240" w:lineRule="auto"/>
              <w:jc w:val="right"/>
              <w:rPr>
                <w:rFonts w:eastAsia="Times New Roman" w:cs="Times New Roman"/>
                <w:b/>
                <w:bCs/>
                <w:sz w:val="20"/>
                <w:szCs w:val="20"/>
                <w:lang w:eastAsia="sk-SK"/>
              </w:rPr>
            </w:pPr>
            <w:r w:rsidRPr="007D32CB">
              <w:rPr>
                <w:rFonts w:eastAsia="Times New Roman" w:cs="Times New Roman"/>
                <w:b/>
                <w:bCs/>
                <w:sz w:val="20"/>
                <w:szCs w:val="20"/>
                <w:lang w:eastAsia="sk-SK"/>
              </w:rPr>
              <w:t>56 524 619</w:t>
            </w:r>
          </w:p>
        </w:tc>
        <w:tc>
          <w:tcPr>
            <w:tcW w:w="564" w:type="pct"/>
            <w:tcBorders>
              <w:top w:val="nil"/>
              <w:left w:val="nil"/>
              <w:bottom w:val="nil"/>
              <w:right w:val="nil"/>
            </w:tcBorders>
            <w:shd w:val="clear" w:color="auto" w:fill="auto"/>
            <w:noWrap/>
            <w:vAlign w:val="bottom"/>
            <w:hideMark/>
          </w:tcPr>
          <w:p w14:paraId="4CA979CB" w14:textId="77777777" w:rsidR="003A0696" w:rsidRPr="007D32CB" w:rsidRDefault="003A0696" w:rsidP="003A0696">
            <w:pPr>
              <w:spacing w:after="0" w:line="240" w:lineRule="auto"/>
              <w:jc w:val="right"/>
              <w:rPr>
                <w:rFonts w:eastAsia="Times New Roman" w:cs="Times New Roman"/>
                <w:b/>
                <w:bCs/>
                <w:sz w:val="20"/>
                <w:szCs w:val="20"/>
                <w:lang w:eastAsia="sk-SK"/>
              </w:rPr>
            </w:pPr>
            <w:r w:rsidRPr="007D32CB">
              <w:rPr>
                <w:rFonts w:eastAsia="Times New Roman" w:cs="Times New Roman"/>
                <w:b/>
                <w:bCs/>
                <w:sz w:val="20"/>
                <w:szCs w:val="20"/>
                <w:lang w:eastAsia="sk-SK"/>
              </w:rPr>
              <w:t>62 730 819</w:t>
            </w:r>
          </w:p>
        </w:tc>
        <w:tc>
          <w:tcPr>
            <w:tcW w:w="564" w:type="pct"/>
            <w:tcBorders>
              <w:top w:val="nil"/>
              <w:left w:val="nil"/>
              <w:bottom w:val="nil"/>
              <w:right w:val="nil"/>
            </w:tcBorders>
            <w:shd w:val="clear" w:color="auto" w:fill="auto"/>
            <w:noWrap/>
            <w:vAlign w:val="bottom"/>
            <w:hideMark/>
          </w:tcPr>
          <w:p w14:paraId="1CB23F62" w14:textId="77777777" w:rsidR="003A0696" w:rsidRPr="007D32CB" w:rsidRDefault="003A0696" w:rsidP="003A0696">
            <w:pPr>
              <w:spacing w:after="0" w:line="240" w:lineRule="auto"/>
              <w:jc w:val="right"/>
              <w:rPr>
                <w:rFonts w:eastAsia="Times New Roman" w:cs="Times New Roman"/>
                <w:b/>
                <w:bCs/>
                <w:sz w:val="20"/>
                <w:szCs w:val="20"/>
                <w:lang w:eastAsia="sk-SK"/>
              </w:rPr>
            </w:pPr>
            <w:r w:rsidRPr="007D32CB">
              <w:rPr>
                <w:rFonts w:eastAsia="Times New Roman" w:cs="Times New Roman"/>
                <w:b/>
                <w:bCs/>
                <w:sz w:val="20"/>
                <w:szCs w:val="20"/>
                <w:lang w:eastAsia="sk-SK"/>
              </w:rPr>
              <w:t>64 791 244</w:t>
            </w:r>
          </w:p>
        </w:tc>
        <w:tc>
          <w:tcPr>
            <w:tcW w:w="510" w:type="pct"/>
            <w:tcBorders>
              <w:top w:val="nil"/>
              <w:left w:val="nil"/>
              <w:bottom w:val="nil"/>
              <w:right w:val="nil"/>
            </w:tcBorders>
            <w:shd w:val="clear" w:color="auto" w:fill="auto"/>
            <w:noWrap/>
            <w:vAlign w:val="bottom"/>
            <w:hideMark/>
          </w:tcPr>
          <w:p w14:paraId="7D3655E2" w14:textId="77777777" w:rsidR="003A0696" w:rsidRPr="007D32CB" w:rsidRDefault="003A0696" w:rsidP="003A0696">
            <w:pPr>
              <w:spacing w:after="0" w:line="240" w:lineRule="auto"/>
              <w:jc w:val="right"/>
              <w:rPr>
                <w:rFonts w:eastAsia="Times New Roman" w:cs="Times New Roman"/>
                <w:b/>
                <w:bCs/>
                <w:sz w:val="20"/>
                <w:szCs w:val="20"/>
                <w:lang w:eastAsia="sk-SK"/>
              </w:rPr>
            </w:pPr>
            <w:r w:rsidRPr="007D32CB">
              <w:rPr>
                <w:rFonts w:eastAsia="Times New Roman" w:cs="Times New Roman"/>
                <w:b/>
                <w:bCs/>
                <w:sz w:val="20"/>
                <w:szCs w:val="20"/>
                <w:lang w:eastAsia="sk-SK"/>
              </w:rPr>
              <w:t>2 060 425</w:t>
            </w:r>
          </w:p>
        </w:tc>
      </w:tr>
      <w:tr w:rsidR="003A0696" w:rsidRPr="007D32CB" w14:paraId="4355E2BA" w14:textId="77777777" w:rsidTr="003A0696">
        <w:trPr>
          <w:trHeight w:val="300"/>
        </w:trPr>
        <w:tc>
          <w:tcPr>
            <w:tcW w:w="2797" w:type="pct"/>
            <w:tcBorders>
              <w:top w:val="nil"/>
              <w:left w:val="nil"/>
              <w:bottom w:val="nil"/>
              <w:right w:val="nil"/>
            </w:tcBorders>
            <w:shd w:val="clear" w:color="auto" w:fill="auto"/>
            <w:noWrap/>
            <w:vAlign w:val="bottom"/>
            <w:hideMark/>
          </w:tcPr>
          <w:p w14:paraId="48239D95" w14:textId="77777777" w:rsidR="003A0696" w:rsidRPr="007D32CB" w:rsidRDefault="003A0696" w:rsidP="003A0696">
            <w:pPr>
              <w:spacing w:after="0" w:line="240" w:lineRule="auto"/>
              <w:ind w:firstLineChars="200" w:firstLine="400"/>
              <w:jc w:val="left"/>
              <w:rPr>
                <w:rFonts w:eastAsia="Times New Roman" w:cs="Times New Roman"/>
                <w:i/>
                <w:iCs/>
                <w:sz w:val="20"/>
                <w:szCs w:val="20"/>
                <w:lang w:eastAsia="sk-SK"/>
              </w:rPr>
            </w:pPr>
            <w:r w:rsidRPr="007D32CB">
              <w:rPr>
                <w:rFonts w:eastAsia="Times New Roman" w:cs="Times New Roman"/>
                <w:i/>
                <w:iCs/>
                <w:sz w:val="20"/>
                <w:szCs w:val="20"/>
                <w:lang w:eastAsia="sk-SK"/>
              </w:rPr>
              <w:t>Konsolidácia</w:t>
            </w:r>
          </w:p>
        </w:tc>
        <w:tc>
          <w:tcPr>
            <w:tcW w:w="564" w:type="pct"/>
            <w:tcBorders>
              <w:top w:val="nil"/>
              <w:left w:val="nil"/>
              <w:bottom w:val="nil"/>
              <w:right w:val="nil"/>
            </w:tcBorders>
            <w:shd w:val="clear" w:color="auto" w:fill="auto"/>
            <w:noWrap/>
            <w:vAlign w:val="bottom"/>
            <w:hideMark/>
          </w:tcPr>
          <w:p w14:paraId="196134A6"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1 531 715</w:t>
            </w:r>
          </w:p>
        </w:tc>
        <w:tc>
          <w:tcPr>
            <w:tcW w:w="564" w:type="pct"/>
            <w:tcBorders>
              <w:top w:val="nil"/>
              <w:left w:val="nil"/>
              <w:bottom w:val="nil"/>
              <w:right w:val="nil"/>
            </w:tcBorders>
            <w:shd w:val="clear" w:color="auto" w:fill="auto"/>
            <w:noWrap/>
            <w:vAlign w:val="bottom"/>
            <w:hideMark/>
          </w:tcPr>
          <w:p w14:paraId="412D7DC6"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1 493 456</w:t>
            </w:r>
          </w:p>
        </w:tc>
        <w:tc>
          <w:tcPr>
            <w:tcW w:w="564" w:type="pct"/>
            <w:tcBorders>
              <w:top w:val="nil"/>
              <w:left w:val="nil"/>
              <w:bottom w:val="nil"/>
              <w:right w:val="nil"/>
            </w:tcBorders>
            <w:shd w:val="clear" w:color="auto" w:fill="auto"/>
            <w:noWrap/>
            <w:vAlign w:val="bottom"/>
            <w:hideMark/>
          </w:tcPr>
          <w:p w14:paraId="093EFAFC"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1 412 462</w:t>
            </w:r>
          </w:p>
        </w:tc>
        <w:tc>
          <w:tcPr>
            <w:tcW w:w="510" w:type="pct"/>
            <w:tcBorders>
              <w:top w:val="nil"/>
              <w:left w:val="nil"/>
              <w:bottom w:val="nil"/>
              <w:right w:val="nil"/>
            </w:tcBorders>
            <w:shd w:val="clear" w:color="auto" w:fill="auto"/>
            <w:noWrap/>
            <w:vAlign w:val="bottom"/>
            <w:hideMark/>
          </w:tcPr>
          <w:p w14:paraId="502F5828"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-80 994</w:t>
            </w:r>
          </w:p>
        </w:tc>
      </w:tr>
      <w:tr w:rsidR="003A0696" w:rsidRPr="007D32CB" w14:paraId="38B8775E" w14:textId="77777777" w:rsidTr="003A0696">
        <w:trPr>
          <w:trHeight w:val="300"/>
        </w:trPr>
        <w:tc>
          <w:tcPr>
            <w:tcW w:w="2797" w:type="pct"/>
            <w:tcBorders>
              <w:top w:val="nil"/>
              <w:left w:val="nil"/>
              <w:bottom w:val="nil"/>
              <w:right w:val="nil"/>
            </w:tcBorders>
            <w:shd w:val="clear" w:color="auto" w:fill="auto"/>
            <w:noWrap/>
            <w:vAlign w:val="bottom"/>
            <w:hideMark/>
          </w:tcPr>
          <w:p w14:paraId="50E7DE7F" w14:textId="77777777" w:rsidR="003A0696" w:rsidRPr="007D32CB" w:rsidRDefault="003A0696" w:rsidP="003A0696">
            <w:pPr>
              <w:spacing w:after="0" w:line="240" w:lineRule="auto"/>
              <w:ind w:firstLineChars="200" w:firstLine="400"/>
              <w:jc w:val="left"/>
              <w:rPr>
                <w:rFonts w:eastAsia="Times New Roman" w:cs="Times New Roman"/>
                <w:sz w:val="20"/>
                <w:szCs w:val="20"/>
                <w:lang w:eastAsia="sk-SK"/>
              </w:rPr>
            </w:pPr>
            <w:r w:rsidRPr="007D32CB">
              <w:rPr>
                <w:rFonts w:eastAsia="Times New Roman" w:cs="Times New Roman"/>
                <w:sz w:val="20"/>
                <w:szCs w:val="20"/>
                <w:lang w:eastAsia="sk-SK"/>
              </w:rPr>
              <w:t>z toho: konsolidácia v skupine miestnej samosprávy</w:t>
            </w:r>
          </w:p>
        </w:tc>
        <w:tc>
          <w:tcPr>
            <w:tcW w:w="564" w:type="pct"/>
            <w:tcBorders>
              <w:top w:val="nil"/>
              <w:left w:val="nil"/>
              <w:bottom w:val="nil"/>
              <w:right w:val="nil"/>
            </w:tcBorders>
            <w:shd w:val="clear" w:color="auto" w:fill="auto"/>
            <w:noWrap/>
            <w:vAlign w:val="bottom"/>
            <w:hideMark/>
          </w:tcPr>
          <w:p w14:paraId="6A4FA1AD"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999 331</w:t>
            </w:r>
          </w:p>
        </w:tc>
        <w:tc>
          <w:tcPr>
            <w:tcW w:w="564" w:type="pct"/>
            <w:tcBorders>
              <w:top w:val="nil"/>
              <w:left w:val="nil"/>
              <w:bottom w:val="nil"/>
              <w:right w:val="nil"/>
            </w:tcBorders>
            <w:shd w:val="clear" w:color="auto" w:fill="auto"/>
            <w:noWrap/>
            <w:vAlign w:val="bottom"/>
            <w:hideMark/>
          </w:tcPr>
          <w:p w14:paraId="0BFA4723"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1 041 193</w:t>
            </w:r>
          </w:p>
        </w:tc>
        <w:tc>
          <w:tcPr>
            <w:tcW w:w="564" w:type="pct"/>
            <w:tcBorders>
              <w:top w:val="nil"/>
              <w:left w:val="nil"/>
              <w:bottom w:val="nil"/>
              <w:right w:val="nil"/>
            </w:tcBorders>
            <w:shd w:val="clear" w:color="auto" w:fill="auto"/>
            <w:noWrap/>
            <w:vAlign w:val="bottom"/>
            <w:hideMark/>
          </w:tcPr>
          <w:p w14:paraId="1B87C2AA"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1 056 567</w:t>
            </w:r>
          </w:p>
        </w:tc>
        <w:tc>
          <w:tcPr>
            <w:tcW w:w="510" w:type="pct"/>
            <w:tcBorders>
              <w:top w:val="nil"/>
              <w:left w:val="nil"/>
              <w:bottom w:val="nil"/>
              <w:right w:val="nil"/>
            </w:tcBorders>
            <w:shd w:val="clear" w:color="auto" w:fill="auto"/>
            <w:noWrap/>
            <w:vAlign w:val="bottom"/>
            <w:hideMark/>
          </w:tcPr>
          <w:p w14:paraId="4243A908" w14:textId="77777777" w:rsidR="003A0696" w:rsidRPr="007D32CB" w:rsidRDefault="003A0696" w:rsidP="003A0696">
            <w:pPr>
              <w:spacing w:after="0" w:line="240" w:lineRule="auto"/>
              <w:jc w:val="right"/>
              <w:rPr>
                <w:rFonts w:eastAsia="Times New Roman" w:cs="Times New Roman"/>
                <w:sz w:val="20"/>
                <w:szCs w:val="20"/>
                <w:lang w:eastAsia="sk-SK"/>
              </w:rPr>
            </w:pPr>
            <w:r w:rsidRPr="007D32CB">
              <w:rPr>
                <w:rFonts w:eastAsia="Times New Roman" w:cs="Times New Roman"/>
                <w:sz w:val="20"/>
                <w:szCs w:val="20"/>
                <w:lang w:eastAsia="sk-SK"/>
              </w:rPr>
              <w:t>15 374</w:t>
            </w:r>
          </w:p>
        </w:tc>
      </w:tr>
      <w:tr w:rsidR="003A0696" w:rsidRPr="007D32CB" w14:paraId="5BD7095F" w14:textId="77777777" w:rsidTr="003A0696">
        <w:trPr>
          <w:trHeight w:val="300"/>
        </w:trPr>
        <w:tc>
          <w:tcPr>
            <w:tcW w:w="2797" w:type="pct"/>
            <w:tcBorders>
              <w:top w:val="single" w:sz="4" w:space="0" w:color="auto"/>
              <w:left w:val="nil"/>
              <w:bottom w:val="nil"/>
              <w:right w:val="nil"/>
            </w:tcBorders>
            <w:shd w:val="clear" w:color="auto" w:fill="auto"/>
            <w:noWrap/>
            <w:vAlign w:val="bottom"/>
            <w:hideMark/>
          </w:tcPr>
          <w:p w14:paraId="17C8145D" w14:textId="77777777" w:rsidR="003A0696" w:rsidRPr="007D32CB" w:rsidRDefault="003A0696" w:rsidP="003A0696">
            <w:pPr>
              <w:spacing w:after="0" w:line="240" w:lineRule="auto"/>
              <w:jc w:val="left"/>
              <w:rPr>
                <w:rFonts w:eastAsia="Times New Roman" w:cs="Times New Roman"/>
                <w:b/>
                <w:bCs/>
                <w:sz w:val="20"/>
                <w:szCs w:val="20"/>
                <w:lang w:eastAsia="sk-SK"/>
              </w:rPr>
            </w:pPr>
            <w:r w:rsidRPr="007D32CB">
              <w:rPr>
                <w:rFonts w:eastAsia="Times New Roman" w:cs="Times New Roman"/>
                <w:b/>
                <w:bCs/>
                <w:sz w:val="20"/>
                <w:szCs w:val="20"/>
                <w:lang w:eastAsia="sk-SK"/>
              </w:rPr>
              <w:t>Verejná správa spolu konsolidovaná</w:t>
            </w:r>
          </w:p>
        </w:tc>
        <w:tc>
          <w:tcPr>
            <w:tcW w:w="564" w:type="pct"/>
            <w:tcBorders>
              <w:top w:val="single" w:sz="4" w:space="0" w:color="auto"/>
              <w:left w:val="nil"/>
              <w:bottom w:val="nil"/>
              <w:right w:val="nil"/>
            </w:tcBorders>
            <w:shd w:val="clear" w:color="auto" w:fill="auto"/>
            <w:noWrap/>
            <w:vAlign w:val="bottom"/>
            <w:hideMark/>
          </w:tcPr>
          <w:p w14:paraId="71C1E4A3" w14:textId="77777777" w:rsidR="003A0696" w:rsidRPr="007D32CB" w:rsidRDefault="003A0696" w:rsidP="003A0696">
            <w:pPr>
              <w:spacing w:after="0" w:line="240" w:lineRule="auto"/>
              <w:jc w:val="right"/>
              <w:rPr>
                <w:rFonts w:eastAsia="Times New Roman" w:cs="Times New Roman"/>
                <w:b/>
                <w:bCs/>
                <w:sz w:val="20"/>
                <w:szCs w:val="20"/>
                <w:lang w:eastAsia="sk-SK"/>
              </w:rPr>
            </w:pPr>
            <w:r w:rsidRPr="007D32CB">
              <w:rPr>
                <w:rFonts w:eastAsia="Times New Roman" w:cs="Times New Roman"/>
                <w:b/>
                <w:bCs/>
                <w:sz w:val="20"/>
                <w:szCs w:val="20"/>
                <w:lang w:eastAsia="sk-SK"/>
              </w:rPr>
              <w:t>54 992 904</w:t>
            </w:r>
          </w:p>
        </w:tc>
        <w:tc>
          <w:tcPr>
            <w:tcW w:w="564" w:type="pct"/>
            <w:tcBorders>
              <w:top w:val="single" w:sz="4" w:space="0" w:color="auto"/>
              <w:left w:val="nil"/>
              <w:bottom w:val="nil"/>
              <w:right w:val="nil"/>
            </w:tcBorders>
            <w:shd w:val="clear" w:color="auto" w:fill="auto"/>
            <w:noWrap/>
            <w:vAlign w:val="bottom"/>
            <w:hideMark/>
          </w:tcPr>
          <w:p w14:paraId="366D2B8A" w14:textId="77777777" w:rsidR="003A0696" w:rsidRPr="007D32CB" w:rsidRDefault="003A0696" w:rsidP="003A0696">
            <w:pPr>
              <w:spacing w:after="0" w:line="240" w:lineRule="auto"/>
              <w:jc w:val="right"/>
              <w:rPr>
                <w:rFonts w:eastAsia="Times New Roman" w:cs="Times New Roman"/>
                <w:b/>
                <w:bCs/>
                <w:sz w:val="20"/>
                <w:szCs w:val="20"/>
                <w:lang w:eastAsia="sk-SK"/>
              </w:rPr>
            </w:pPr>
            <w:r w:rsidRPr="007D32CB">
              <w:rPr>
                <w:rFonts w:eastAsia="Times New Roman" w:cs="Times New Roman"/>
                <w:b/>
                <w:bCs/>
                <w:sz w:val="20"/>
                <w:szCs w:val="20"/>
                <w:lang w:eastAsia="sk-SK"/>
              </w:rPr>
              <w:t>61 237 363</w:t>
            </w:r>
          </w:p>
        </w:tc>
        <w:tc>
          <w:tcPr>
            <w:tcW w:w="564" w:type="pct"/>
            <w:tcBorders>
              <w:top w:val="single" w:sz="4" w:space="0" w:color="auto"/>
              <w:left w:val="nil"/>
              <w:bottom w:val="nil"/>
              <w:right w:val="nil"/>
            </w:tcBorders>
            <w:shd w:val="clear" w:color="auto" w:fill="auto"/>
            <w:noWrap/>
            <w:vAlign w:val="bottom"/>
            <w:hideMark/>
          </w:tcPr>
          <w:p w14:paraId="152C1D62" w14:textId="77777777" w:rsidR="003A0696" w:rsidRPr="007D32CB" w:rsidRDefault="003A0696" w:rsidP="003A0696">
            <w:pPr>
              <w:spacing w:after="0" w:line="240" w:lineRule="auto"/>
              <w:jc w:val="right"/>
              <w:rPr>
                <w:rFonts w:eastAsia="Times New Roman" w:cs="Times New Roman"/>
                <w:b/>
                <w:bCs/>
                <w:sz w:val="20"/>
                <w:szCs w:val="20"/>
                <w:lang w:eastAsia="sk-SK"/>
              </w:rPr>
            </w:pPr>
            <w:r w:rsidRPr="007D32CB">
              <w:rPr>
                <w:rFonts w:eastAsia="Times New Roman" w:cs="Times New Roman"/>
                <w:b/>
                <w:bCs/>
                <w:sz w:val="20"/>
                <w:szCs w:val="20"/>
                <w:lang w:eastAsia="sk-SK"/>
              </w:rPr>
              <w:t>63 378 782</w:t>
            </w:r>
          </w:p>
        </w:tc>
        <w:tc>
          <w:tcPr>
            <w:tcW w:w="510" w:type="pct"/>
            <w:tcBorders>
              <w:top w:val="single" w:sz="4" w:space="0" w:color="auto"/>
              <w:left w:val="nil"/>
              <w:bottom w:val="nil"/>
              <w:right w:val="nil"/>
            </w:tcBorders>
            <w:shd w:val="clear" w:color="auto" w:fill="auto"/>
            <w:noWrap/>
            <w:vAlign w:val="bottom"/>
            <w:hideMark/>
          </w:tcPr>
          <w:p w14:paraId="587000AE" w14:textId="77777777" w:rsidR="003A0696" w:rsidRPr="007D32CB" w:rsidRDefault="003A0696" w:rsidP="003A0696">
            <w:pPr>
              <w:spacing w:after="0" w:line="240" w:lineRule="auto"/>
              <w:jc w:val="right"/>
              <w:rPr>
                <w:rFonts w:eastAsia="Times New Roman" w:cs="Times New Roman"/>
                <w:b/>
                <w:bCs/>
                <w:sz w:val="20"/>
                <w:szCs w:val="20"/>
                <w:lang w:eastAsia="sk-SK"/>
              </w:rPr>
            </w:pPr>
            <w:r w:rsidRPr="007D32CB">
              <w:rPr>
                <w:rFonts w:eastAsia="Times New Roman" w:cs="Times New Roman"/>
                <w:b/>
                <w:bCs/>
                <w:sz w:val="20"/>
                <w:szCs w:val="20"/>
                <w:lang w:eastAsia="sk-SK"/>
              </w:rPr>
              <w:t>2 141 419</w:t>
            </w:r>
          </w:p>
        </w:tc>
      </w:tr>
      <w:tr w:rsidR="003A0696" w:rsidRPr="007D32CB" w14:paraId="04CF78E7" w14:textId="77777777" w:rsidTr="003A0696">
        <w:trPr>
          <w:trHeight w:val="300"/>
        </w:trPr>
        <w:tc>
          <w:tcPr>
            <w:tcW w:w="2797" w:type="pct"/>
            <w:tcBorders>
              <w:top w:val="nil"/>
              <w:left w:val="nil"/>
              <w:bottom w:val="single" w:sz="4" w:space="0" w:color="auto"/>
              <w:right w:val="nil"/>
            </w:tcBorders>
            <w:shd w:val="clear" w:color="auto" w:fill="auto"/>
            <w:noWrap/>
            <w:vAlign w:val="bottom"/>
            <w:hideMark/>
          </w:tcPr>
          <w:p w14:paraId="638F6C82" w14:textId="77777777" w:rsidR="003A0696" w:rsidRPr="007D32CB" w:rsidRDefault="003A0696" w:rsidP="003A0696">
            <w:pPr>
              <w:spacing w:after="0" w:line="240" w:lineRule="auto"/>
              <w:ind w:firstLineChars="200" w:firstLine="400"/>
              <w:jc w:val="left"/>
              <w:rPr>
                <w:rFonts w:eastAsia="Times New Roman" w:cs="Times New Roman"/>
                <w:b/>
                <w:bCs/>
                <w:sz w:val="20"/>
                <w:szCs w:val="20"/>
                <w:lang w:eastAsia="sk-SK"/>
              </w:rPr>
            </w:pPr>
            <w:r w:rsidRPr="007D32CB">
              <w:rPr>
                <w:rFonts w:eastAsia="Times New Roman" w:cs="Times New Roman"/>
                <w:b/>
                <w:bCs/>
                <w:sz w:val="20"/>
                <w:szCs w:val="20"/>
                <w:lang w:eastAsia="sk-SK"/>
              </w:rPr>
              <w:t>% z HDP</w:t>
            </w:r>
          </w:p>
        </w:tc>
        <w:tc>
          <w:tcPr>
            <w:tcW w:w="564" w:type="pct"/>
            <w:tcBorders>
              <w:top w:val="nil"/>
              <w:left w:val="nil"/>
              <w:bottom w:val="single" w:sz="4" w:space="0" w:color="auto"/>
              <w:right w:val="nil"/>
            </w:tcBorders>
            <w:shd w:val="clear" w:color="auto" w:fill="auto"/>
            <w:noWrap/>
            <w:vAlign w:val="bottom"/>
            <w:hideMark/>
          </w:tcPr>
          <w:p w14:paraId="10429FC1" w14:textId="77777777" w:rsidR="003A0696" w:rsidRPr="007D32CB" w:rsidRDefault="003A0696" w:rsidP="003A0696">
            <w:pPr>
              <w:spacing w:after="0" w:line="240" w:lineRule="auto"/>
              <w:jc w:val="right"/>
              <w:rPr>
                <w:rFonts w:eastAsia="Times New Roman" w:cs="Times New Roman"/>
                <w:b/>
                <w:bCs/>
                <w:sz w:val="20"/>
                <w:szCs w:val="20"/>
                <w:lang w:eastAsia="sk-SK"/>
              </w:rPr>
            </w:pPr>
            <w:r w:rsidRPr="007D32CB">
              <w:rPr>
                <w:rFonts w:eastAsia="Times New Roman" w:cs="Times New Roman"/>
                <w:b/>
                <w:bCs/>
                <w:sz w:val="20"/>
                <w:szCs w:val="20"/>
                <w:lang w:eastAsia="sk-SK"/>
              </w:rPr>
              <w:t>58,9</w:t>
            </w:r>
          </w:p>
        </w:tc>
        <w:tc>
          <w:tcPr>
            <w:tcW w:w="564" w:type="pct"/>
            <w:tcBorders>
              <w:top w:val="nil"/>
              <w:left w:val="nil"/>
              <w:bottom w:val="single" w:sz="4" w:space="0" w:color="auto"/>
              <w:right w:val="nil"/>
            </w:tcBorders>
            <w:shd w:val="clear" w:color="auto" w:fill="auto"/>
            <w:noWrap/>
            <w:vAlign w:val="bottom"/>
            <w:hideMark/>
          </w:tcPr>
          <w:p w14:paraId="66F7717F" w14:textId="77777777" w:rsidR="003A0696" w:rsidRPr="007D32CB" w:rsidRDefault="003A0696" w:rsidP="003A0696">
            <w:pPr>
              <w:spacing w:after="0" w:line="240" w:lineRule="auto"/>
              <w:jc w:val="right"/>
              <w:rPr>
                <w:rFonts w:eastAsia="Times New Roman" w:cs="Times New Roman"/>
                <w:b/>
                <w:bCs/>
                <w:sz w:val="20"/>
                <w:szCs w:val="20"/>
                <w:lang w:eastAsia="sk-SK"/>
              </w:rPr>
            </w:pPr>
            <w:r>
              <w:rPr>
                <w:rFonts w:eastAsia="Times New Roman" w:cs="Times New Roman"/>
                <w:b/>
                <w:bCs/>
                <w:sz w:val="20"/>
                <w:szCs w:val="20"/>
                <w:lang w:eastAsia="sk-SK"/>
              </w:rPr>
              <w:t>61,0</w:t>
            </w:r>
          </w:p>
        </w:tc>
        <w:tc>
          <w:tcPr>
            <w:tcW w:w="564" w:type="pct"/>
            <w:tcBorders>
              <w:top w:val="nil"/>
              <w:left w:val="nil"/>
              <w:bottom w:val="single" w:sz="4" w:space="0" w:color="auto"/>
              <w:right w:val="nil"/>
            </w:tcBorders>
            <w:shd w:val="clear" w:color="auto" w:fill="auto"/>
            <w:noWrap/>
            <w:vAlign w:val="bottom"/>
            <w:hideMark/>
          </w:tcPr>
          <w:p w14:paraId="3DCA12CB" w14:textId="77777777" w:rsidR="003A0696" w:rsidRPr="007D32CB" w:rsidRDefault="003A0696" w:rsidP="003A0696">
            <w:pPr>
              <w:spacing w:after="0" w:line="240" w:lineRule="auto"/>
              <w:jc w:val="right"/>
              <w:rPr>
                <w:rFonts w:eastAsia="Times New Roman" w:cs="Times New Roman"/>
                <w:b/>
                <w:bCs/>
                <w:sz w:val="20"/>
                <w:szCs w:val="20"/>
                <w:lang w:eastAsia="sk-SK"/>
              </w:rPr>
            </w:pPr>
            <w:r>
              <w:rPr>
                <w:rFonts w:eastAsia="Times New Roman" w:cs="Times New Roman"/>
                <w:b/>
                <w:bCs/>
                <w:sz w:val="20"/>
                <w:szCs w:val="20"/>
                <w:lang w:eastAsia="sk-SK"/>
              </w:rPr>
              <w:t>57</w:t>
            </w:r>
            <w:r w:rsidRPr="007D32CB">
              <w:rPr>
                <w:rFonts w:eastAsia="Times New Roman" w:cs="Times New Roman"/>
                <w:b/>
                <w:bCs/>
                <w:sz w:val="20"/>
                <w:szCs w:val="20"/>
                <w:lang w:eastAsia="sk-SK"/>
              </w:rPr>
              <w:t>,8</w:t>
            </w:r>
          </w:p>
        </w:tc>
        <w:tc>
          <w:tcPr>
            <w:tcW w:w="510" w:type="pct"/>
            <w:tcBorders>
              <w:top w:val="nil"/>
              <w:left w:val="nil"/>
              <w:bottom w:val="single" w:sz="4" w:space="0" w:color="auto"/>
              <w:right w:val="nil"/>
            </w:tcBorders>
            <w:shd w:val="clear" w:color="auto" w:fill="auto"/>
            <w:noWrap/>
            <w:vAlign w:val="bottom"/>
            <w:hideMark/>
          </w:tcPr>
          <w:p w14:paraId="0C3FC0AE" w14:textId="77777777" w:rsidR="003A0696" w:rsidRPr="007D32CB" w:rsidRDefault="003A0696" w:rsidP="003A0696">
            <w:pPr>
              <w:spacing w:after="0" w:line="240" w:lineRule="auto"/>
              <w:jc w:val="right"/>
              <w:rPr>
                <w:rFonts w:eastAsia="Times New Roman" w:cs="Times New Roman"/>
                <w:b/>
                <w:bCs/>
                <w:sz w:val="20"/>
                <w:szCs w:val="20"/>
                <w:lang w:eastAsia="sk-SK"/>
              </w:rPr>
            </w:pPr>
            <w:r>
              <w:rPr>
                <w:rFonts w:eastAsia="Times New Roman" w:cs="Times New Roman"/>
                <w:b/>
                <w:bCs/>
                <w:sz w:val="20"/>
                <w:szCs w:val="20"/>
                <w:lang w:eastAsia="sk-SK"/>
              </w:rPr>
              <w:t>-3,2</w:t>
            </w:r>
          </w:p>
        </w:tc>
      </w:tr>
    </w:tbl>
    <w:p w14:paraId="265DF768" w14:textId="77777777" w:rsidR="003A0696" w:rsidRPr="007D32CB" w:rsidRDefault="003A0696" w:rsidP="003A0696">
      <w:pPr>
        <w:rPr>
          <w:sz w:val="16"/>
          <w:szCs w:val="16"/>
        </w:rPr>
      </w:pPr>
      <w:r w:rsidRPr="007D32CB">
        <w:rPr>
          <w:sz w:val="16"/>
          <w:szCs w:val="16"/>
        </w:rPr>
        <w:t>1) Bez tzv. refinančného systému a záväzkov z vkladov subjektov verejnej správy v Štátnej pokladnici                                               Zdroj: MF SR</w:t>
      </w:r>
    </w:p>
    <w:p w14:paraId="7DE9212D" w14:textId="77777777" w:rsidR="003A0696" w:rsidRPr="007F38A3" w:rsidRDefault="003A0696" w:rsidP="003A0696">
      <w:pPr>
        <w:spacing w:after="160" w:line="259" w:lineRule="auto"/>
        <w:jc w:val="left"/>
        <w:rPr>
          <w:sz w:val="24"/>
          <w:szCs w:val="24"/>
        </w:rPr>
      </w:pPr>
      <w:r w:rsidRPr="007F38A3">
        <w:rPr>
          <w:sz w:val="24"/>
          <w:szCs w:val="24"/>
        </w:rPr>
        <w:t xml:space="preserve">Na náraste nominálneho dlhu v roku 2022 sa v najvyššej miere podieľal </w:t>
      </w:r>
      <w:r w:rsidRPr="007F38A3">
        <w:rPr>
          <w:b/>
          <w:sz w:val="24"/>
          <w:szCs w:val="24"/>
        </w:rPr>
        <w:t xml:space="preserve">hotovostný schodok štátneho rozpočtu </w:t>
      </w:r>
      <w:r w:rsidRPr="007F38A3">
        <w:rPr>
          <w:sz w:val="24"/>
          <w:szCs w:val="24"/>
        </w:rPr>
        <w:t xml:space="preserve">vo výške 4 524 852 tis. eur. Zvýšenie maastrichtského dlhu oproti roku 2021 </w:t>
      </w:r>
      <w:r w:rsidRPr="007F38A3">
        <w:rPr>
          <w:b/>
          <w:sz w:val="24"/>
          <w:szCs w:val="24"/>
        </w:rPr>
        <w:t>negatívne</w:t>
      </w:r>
      <w:r w:rsidRPr="007F38A3">
        <w:rPr>
          <w:sz w:val="24"/>
          <w:szCs w:val="24"/>
        </w:rPr>
        <w:t xml:space="preserve"> ovplyvnili najmä nasledovné skutočnosti:</w:t>
      </w:r>
    </w:p>
    <w:p w14:paraId="73AAB7BA" w14:textId="77777777" w:rsidR="003A0696" w:rsidRPr="007F38A3" w:rsidRDefault="003A0696" w:rsidP="003A0696">
      <w:pPr>
        <w:numPr>
          <w:ilvl w:val="0"/>
          <w:numId w:val="6"/>
        </w:numPr>
        <w:spacing w:line="240" w:lineRule="auto"/>
        <w:contextualSpacing/>
        <w:rPr>
          <w:rFonts w:cs="Times New Roman"/>
          <w:sz w:val="24"/>
          <w:szCs w:val="24"/>
        </w:rPr>
      </w:pPr>
      <w:r w:rsidRPr="007F38A3">
        <w:rPr>
          <w:rFonts w:cs="Times New Roman"/>
          <w:sz w:val="24"/>
          <w:szCs w:val="24"/>
        </w:rPr>
        <w:t>schodok štátneho rozpočtu na hotovostnej báze a ďalšie požiadavky na cudzie zdroje vyplývajúce z riadenia dlhu a likvidity, ktoré vyvolali potrebu emitovať štátne dlhopisy v menovitej hodnote 5 215 000 tis. eur,</w:t>
      </w:r>
    </w:p>
    <w:p w14:paraId="7757487D" w14:textId="77777777" w:rsidR="003A0696" w:rsidRPr="008B5B32" w:rsidRDefault="003A0696" w:rsidP="003A0696">
      <w:pPr>
        <w:numPr>
          <w:ilvl w:val="0"/>
          <w:numId w:val="6"/>
        </w:numPr>
        <w:spacing w:line="240" w:lineRule="auto"/>
        <w:contextualSpacing/>
        <w:rPr>
          <w:rFonts w:cs="Times New Roman"/>
          <w:sz w:val="24"/>
          <w:szCs w:val="24"/>
        </w:rPr>
      </w:pPr>
      <w:r w:rsidRPr="008B5B32">
        <w:rPr>
          <w:rFonts w:cs="Times New Roman"/>
          <w:sz w:val="24"/>
          <w:szCs w:val="24"/>
        </w:rPr>
        <w:t xml:space="preserve">čerpanie štvrtej </w:t>
      </w:r>
      <w:proofErr w:type="spellStart"/>
      <w:r w:rsidRPr="008B5B32">
        <w:rPr>
          <w:rFonts w:cs="Times New Roman"/>
          <w:sz w:val="24"/>
          <w:szCs w:val="24"/>
        </w:rPr>
        <w:t>tranže</w:t>
      </w:r>
      <w:proofErr w:type="spellEnd"/>
      <w:r w:rsidRPr="008B5B32">
        <w:rPr>
          <w:rFonts w:cs="Times New Roman"/>
          <w:sz w:val="24"/>
          <w:szCs w:val="24"/>
        </w:rPr>
        <w:t xml:space="preserve"> úverov od Európskej investičnej banky vo výške 100 000 tis. eur v rámci štátneho dlhu,</w:t>
      </w:r>
    </w:p>
    <w:p w14:paraId="6A84CF3B" w14:textId="77777777" w:rsidR="003A0696" w:rsidRPr="008B5B32" w:rsidRDefault="003A0696" w:rsidP="003A0696">
      <w:pPr>
        <w:numPr>
          <w:ilvl w:val="0"/>
          <w:numId w:val="6"/>
        </w:numPr>
        <w:spacing w:line="240" w:lineRule="auto"/>
        <w:contextualSpacing/>
        <w:rPr>
          <w:rFonts w:cs="Times New Roman"/>
          <w:sz w:val="24"/>
          <w:szCs w:val="24"/>
        </w:rPr>
      </w:pPr>
      <w:r w:rsidRPr="008B5B32">
        <w:rPr>
          <w:rFonts w:cs="Times New Roman"/>
          <w:sz w:val="24"/>
          <w:szCs w:val="24"/>
        </w:rPr>
        <w:lastRenderedPageBreak/>
        <w:t>nárast konsolidovaného dlhu obcí o 114 621 tis. eur</w:t>
      </w:r>
      <w:r>
        <w:rPr>
          <w:rFonts w:cs="Times New Roman"/>
          <w:sz w:val="24"/>
          <w:szCs w:val="24"/>
        </w:rPr>
        <w:t xml:space="preserve"> a vyšších územných celkov o 34 354 tis. eur</w:t>
      </w:r>
      <w:r w:rsidRPr="008B5B32">
        <w:rPr>
          <w:rFonts w:cs="Times New Roman"/>
          <w:sz w:val="24"/>
          <w:szCs w:val="24"/>
        </w:rPr>
        <w:t>,</w:t>
      </w:r>
    </w:p>
    <w:p w14:paraId="040EF2F6" w14:textId="77777777" w:rsidR="003A0696" w:rsidRPr="008B5B32" w:rsidRDefault="003A0696" w:rsidP="003A0696">
      <w:pPr>
        <w:numPr>
          <w:ilvl w:val="0"/>
          <w:numId w:val="6"/>
        </w:numPr>
        <w:spacing w:line="240" w:lineRule="auto"/>
        <w:contextualSpacing/>
        <w:rPr>
          <w:rFonts w:cs="Times New Roman"/>
          <w:sz w:val="24"/>
          <w:szCs w:val="24"/>
        </w:rPr>
      </w:pPr>
      <w:r w:rsidRPr="008B5B32">
        <w:rPr>
          <w:rFonts w:cs="Times New Roman"/>
          <w:sz w:val="24"/>
          <w:szCs w:val="24"/>
        </w:rPr>
        <w:t>zvýšenie dlhu dopravných podnikov o 43 623 tis. eur,</w:t>
      </w:r>
    </w:p>
    <w:p w14:paraId="4C8B89C1" w14:textId="77777777" w:rsidR="003A0696" w:rsidRDefault="003A0696" w:rsidP="003A0696">
      <w:pPr>
        <w:numPr>
          <w:ilvl w:val="0"/>
          <w:numId w:val="6"/>
        </w:numPr>
        <w:spacing w:line="240" w:lineRule="auto"/>
        <w:contextualSpacing/>
        <w:rPr>
          <w:rFonts w:cs="Times New Roman"/>
          <w:sz w:val="24"/>
          <w:szCs w:val="24"/>
        </w:rPr>
      </w:pPr>
      <w:r w:rsidRPr="008B5B32">
        <w:rPr>
          <w:rFonts w:cs="Times New Roman"/>
          <w:sz w:val="24"/>
          <w:szCs w:val="24"/>
        </w:rPr>
        <w:t>zvýšenie dlhu ostatných subjektov ústrednej správy o 15 097 tis. eur spôsobené najmä nárastom zadlženosti novo-zaradeného Slovenského vodohospodárskeho podniku, š. p.,</w:t>
      </w:r>
    </w:p>
    <w:p w14:paraId="20308868" w14:textId="77777777" w:rsidR="003A0696" w:rsidRPr="008B5B32" w:rsidRDefault="003A0696" w:rsidP="003A0696">
      <w:pPr>
        <w:numPr>
          <w:ilvl w:val="0"/>
          <w:numId w:val="6"/>
        </w:numPr>
        <w:spacing w:line="240" w:lineRule="auto"/>
        <w:contextualSpacing/>
        <w:rPr>
          <w:rFonts w:cs="Times New Roman"/>
          <w:sz w:val="24"/>
          <w:szCs w:val="24"/>
        </w:rPr>
      </w:pPr>
      <w:r>
        <w:rPr>
          <w:rFonts w:cs="Times New Roman"/>
          <w:sz w:val="24"/>
          <w:szCs w:val="24"/>
        </w:rPr>
        <w:t>zvýšenie dlhu Exportno-importnej banky SR o 14 435 tis. eur,</w:t>
      </w:r>
    </w:p>
    <w:p w14:paraId="00EDC8B7" w14:textId="77777777" w:rsidR="003A0696" w:rsidRPr="008B5B32" w:rsidRDefault="003A0696" w:rsidP="003A0696">
      <w:pPr>
        <w:numPr>
          <w:ilvl w:val="0"/>
          <w:numId w:val="6"/>
        </w:numPr>
        <w:spacing w:line="240" w:lineRule="auto"/>
        <w:contextualSpacing/>
        <w:rPr>
          <w:rFonts w:cs="Times New Roman"/>
          <w:sz w:val="24"/>
          <w:szCs w:val="24"/>
        </w:rPr>
      </w:pPr>
      <w:r w:rsidRPr="008B5B32">
        <w:rPr>
          <w:rFonts w:cs="Times New Roman"/>
          <w:sz w:val="24"/>
          <w:szCs w:val="24"/>
        </w:rPr>
        <w:t>nárast konsolidovaného dlhu verejných vysokých škôl o 4 472 tis. eur.</w:t>
      </w:r>
    </w:p>
    <w:p w14:paraId="3D39BA2B" w14:textId="77777777" w:rsidR="003A0696" w:rsidRPr="008B5B32" w:rsidRDefault="003A0696" w:rsidP="003A0696">
      <w:pPr>
        <w:keepNext/>
        <w:spacing w:after="160" w:line="240" w:lineRule="auto"/>
        <w:rPr>
          <w:sz w:val="24"/>
          <w:szCs w:val="24"/>
        </w:rPr>
      </w:pPr>
      <w:r w:rsidRPr="008B5B32">
        <w:rPr>
          <w:b/>
          <w:sz w:val="24"/>
          <w:szCs w:val="24"/>
        </w:rPr>
        <w:t xml:space="preserve">Pozitívny </w:t>
      </w:r>
      <w:r w:rsidRPr="008B5B32">
        <w:rPr>
          <w:sz w:val="24"/>
          <w:szCs w:val="24"/>
        </w:rPr>
        <w:t>vplyv na vývoj maastrichtského dlhu oproti jeho stavu v roku 2021 mali najmä tieto skutočnosti:</w:t>
      </w:r>
    </w:p>
    <w:p w14:paraId="6AA7EB78" w14:textId="77777777" w:rsidR="003A0696" w:rsidRPr="005E75F1" w:rsidRDefault="003A0696" w:rsidP="003A0696">
      <w:pPr>
        <w:numPr>
          <w:ilvl w:val="0"/>
          <w:numId w:val="7"/>
        </w:numPr>
        <w:spacing w:line="240" w:lineRule="auto"/>
        <w:contextualSpacing/>
        <w:rPr>
          <w:rFonts w:ascii="Calibri" w:hAnsi="Calibri" w:cs="Times New Roman"/>
          <w:sz w:val="24"/>
          <w:szCs w:val="24"/>
        </w:rPr>
      </w:pPr>
      <w:r w:rsidRPr="005E75F1">
        <w:rPr>
          <w:rFonts w:cs="Times New Roman"/>
          <w:sz w:val="24"/>
          <w:szCs w:val="24"/>
        </w:rPr>
        <w:t>splátky záväzkov zo štátnych dlhopisov v menovitej hodnote 1 403 771 tis. eur,</w:t>
      </w:r>
    </w:p>
    <w:p w14:paraId="47015CD2" w14:textId="77777777" w:rsidR="003A0696" w:rsidRPr="005E75F1" w:rsidRDefault="003A0696" w:rsidP="003A0696">
      <w:pPr>
        <w:numPr>
          <w:ilvl w:val="0"/>
          <w:numId w:val="7"/>
        </w:numPr>
        <w:spacing w:line="240" w:lineRule="auto"/>
        <w:contextualSpacing/>
        <w:rPr>
          <w:rFonts w:ascii="Calibri" w:hAnsi="Calibri" w:cs="Times New Roman"/>
          <w:sz w:val="24"/>
          <w:szCs w:val="24"/>
        </w:rPr>
      </w:pPr>
      <w:r w:rsidRPr="005E75F1">
        <w:rPr>
          <w:rFonts w:cs="Times New Roman"/>
          <w:sz w:val="24"/>
          <w:szCs w:val="24"/>
        </w:rPr>
        <w:t>splátky úverov v štátnom dlhu v hodnote 9 870 tis. eur,</w:t>
      </w:r>
    </w:p>
    <w:p w14:paraId="1A52B24B" w14:textId="77777777" w:rsidR="003A0696" w:rsidRPr="005E75F1" w:rsidRDefault="003A0696" w:rsidP="003A0696">
      <w:pPr>
        <w:numPr>
          <w:ilvl w:val="0"/>
          <w:numId w:val="7"/>
        </w:numPr>
        <w:spacing w:line="240" w:lineRule="auto"/>
        <w:contextualSpacing/>
        <w:rPr>
          <w:rFonts w:cs="Times New Roman"/>
          <w:sz w:val="24"/>
          <w:szCs w:val="24"/>
        </w:rPr>
      </w:pPr>
      <w:r w:rsidRPr="005E75F1">
        <w:rPr>
          <w:rFonts w:cs="Times New Roman"/>
          <w:sz w:val="24"/>
          <w:szCs w:val="24"/>
        </w:rPr>
        <w:t>pokles zadlženosti Železničnej spoločnosti Slovensko, a. s. o 51 297 tis. eur a Národnej diaľničnej spoločnosti, a. s. o 29 442 tis. eur,</w:t>
      </w:r>
    </w:p>
    <w:p w14:paraId="718E9E17" w14:textId="77777777" w:rsidR="003A0696" w:rsidRPr="005E75F1" w:rsidRDefault="003A0696" w:rsidP="003A0696">
      <w:pPr>
        <w:numPr>
          <w:ilvl w:val="0"/>
          <w:numId w:val="7"/>
        </w:numPr>
        <w:spacing w:line="240" w:lineRule="auto"/>
        <w:contextualSpacing/>
        <w:rPr>
          <w:rFonts w:cs="Times New Roman"/>
          <w:sz w:val="24"/>
          <w:szCs w:val="24"/>
        </w:rPr>
      </w:pPr>
      <w:r w:rsidRPr="005E75F1">
        <w:rPr>
          <w:rFonts w:cs="Times New Roman"/>
          <w:sz w:val="24"/>
          <w:szCs w:val="24"/>
        </w:rPr>
        <w:t>zníženie konsolidovaného dlhu zdravotníckych zariadení ústrednej správy o 18 149 tis. eur,</w:t>
      </w:r>
    </w:p>
    <w:p w14:paraId="0753D710" w14:textId="77777777" w:rsidR="003A0696" w:rsidRPr="005E75F1" w:rsidRDefault="003A0696" w:rsidP="003A0696">
      <w:pPr>
        <w:numPr>
          <w:ilvl w:val="0"/>
          <w:numId w:val="7"/>
        </w:numPr>
        <w:spacing w:line="240" w:lineRule="auto"/>
        <w:contextualSpacing/>
        <w:rPr>
          <w:rFonts w:cs="Times New Roman"/>
          <w:sz w:val="24"/>
          <w:szCs w:val="24"/>
        </w:rPr>
      </w:pPr>
      <w:r w:rsidRPr="005E75F1">
        <w:rPr>
          <w:rFonts w:cs="Times New Roman"/>
          <w:sz w:val="24"/>
          <w:szCs w:val="24"/>
        </w:rPr>
        <w:t>pokles konsolidovaného dlhu Železníc Slovenskej republiky o 10 988 tis. eur.</w:t>
      </w:r>
    </w:p>
    <w:p w14:paraId="366E3A49" w14:textId="77777777" w:rsidR="003A0696" w:rsidRPr="00062FFE" w:rsidRDefault="003A0696" w:rsidP="003A0696">
      <w:pPr>
        <w:spacing w:line="240" w:lineRule="auto"/>
        <w:rPr>
          <w:b/>
          <w:sz w:val="24"/>
          <w:szCs w:val="24"/>
          <w:highlight w:val="yellow"/>
        </w:rPr>
      </w:pPr>
    </w:p>
    <w:p w14:paraId="3DBEC236" w14:textId="77777777" w:rsidR="003A0696" w:rsidRPr="00062FFE" w:rsidRDefault="003A0696" w:rsidP="003A0696">
      <w:pPr>
        <w:spacing w:line="240" w:lineRule="auto"/>
        <w:rPr>
          <w:sz w:val="24"/>
          <w:szCs w:val="24"/>
          <w:highlight w:val="yellow"/>
        </w:rPr>
      </w:pPr>
      <w:r w:rsidRPr="00681B16">
        <w:rPr>
          <w:b/>
          <w:sz w:val="24"/>
          <w:szCs w:val="24"/>
        </w:rPr>
        <w:t xml:space="preserve">Maastrichtský dlh verejnej správy bol financovaný predovšetkým cennými papiermi, najmä štátnymi dlhopismi </w:t>
      </w:r>
      <w:r w:rsidRPr="00681B16">
        <w:rPr>
          <w:sz w:val="24"/>
          <w:szCs w:val="24"/>
        </w:rPr>
        <w:t xml:space="preserve">v súhrnnej menovitej hodnote 54 811 777 tis. eur (86,5 %). Bankové úvery, pôžičky a iné záväzky dosiahli hodnotu 8 356 523 tis. eur (13,2 %), z čoho 1 859 323 tis. eur predstavuje záväzok pripadajúci na Slovenskú republiku z nástroja EFSF, ktorého úroveň sa oproti roku 2021 nezmenila. </w:t>
      </w:r>
      <w:r w:rsidRPr="0007715C">
        <w:rPr>
          <w:sz w:val="24"/>
          <w:szCs w:val="24"/>
        </w:rPr>
        <w:t xml:space="preserve">Osobitnou súčasťou maastrichtského dlhu sú záväzky z vkladov peňažných prostriedkov v Štátnej pokladnici tých klientov, ktorí nie sú súčasťou verejnej správy. Tieto záväzky klesli z hodnoty 1 863 381 tis. eur (3,0 %) v roku 2021 na súčasnú úroveň 197 082 tis. eur (0,3 %). Úroveň záväzkov vyplývajúcich zo zelenej energie </w:t>
      </w:r>
      <w:r>
        <w:rPr>
          <w:sz w:val="24"/>
          <w:szCs w:val="24"/>
        </w:rPr>
        <w:t xml:space="preserve">(dlh za predchádzajúce roky) </w:t>
      </w:r>
      <w:r w:rsidRPr="0007715C">
        <w:rPr>
          <w:sz w:val="24"/>
          <w:szCs w:val="24"/>
        </w:rPr>
        <w:t>sa oproti predchádzajúcemu ro</w:t>
      </w:r>
      <w:r>
        <w:rPr>
          <w:sz w:val="24"/>
          <w:szCs w:val="24"/>
        </w:rPr>
        <w:t>ku znížila o 90 938 tis. eur na </w:t>
      </w:r>
      <w:r w:rsidRPr="0007715C">
        <w:rPr>
          <w:sz w:val="24"/>
          <w:szCs w:val="24"/>
        </w:rPr>
        <w:t>súčasnú hodnotu 119 000 tis. eur (0,2 %).</w:t>
      </w:r>
    </w:p>
    <w:p w14:paraId="5A2D543A" w14:textId="77777777" w:rsidR="003A0696" w:rsidRPr="0007715C" w:rsidRDefault="003A0696" w:rsidP="003A0696">
      <w:pPr>
        <w:spacing w:line="240" w:lineRule="auto"/>
        <w:rPr>
          <w:sz w:val="24"/>
          <w:szCs w:val="24"/>
        </w:rPr>
      </w:pPr>
      <w:r w:rsidRPr="0007715C">
        <w:rPr>
          <w:b/>
          <w:sz w:val="24"/>
          <w:szCs w:val="24"/>
        </w:rPr>
        <w:t>Z pohľadu meny</w:t>
      </w:r>
      <w:r>
        <w:rPr>
          <w:b/>
          <w:sz w:val="24"/>
          <w:szCs w:val="24"/>
        </w:rPr>
        <w:t>, v ktorej je dlh denominovaný,</w:t>
      </w:r>
      <w:r w:rsidRPr="0007715C">
        <w:rPr>
          <w:b/>
          <w:sz w:val="24"/>
          <w:szCs w:val="24"/>
        </w:rPr>
        <w:t xml:space="preserve"> bol maastrichtský dlh v roku 2022 tvorený z 99,1 % dlhom v eurách </w:t>
      </w:r>
      <w:r w:rsidRPr="0007715C">
        <w:rPr>
          <w:sz w:val="24"/>
          <w:szCs w:val="24"/>
        </w:rPr>
        <w:t>a </w:t>
      </w:r>
      <w:r>
        <w:rPr>
          <w:sz w:val="24"/>
          <w:szCs w:val="24"/>
        </w:rPr>
        <w:t>len</w:t>
      </w:r>
      <w:r w:rsidRPr="0007715C">
        <w:rPr>
          <w:sz w:val="24"/>
          <w:szCs w:val="24"/>
        </w:rPr>
        <w:t> 0,9 % dlhu pripadlo na iné meny, ktoré sú najmä v štátnom dlhu pri emitovaných dlhopisoch denominovaných v amerických dolároch, japonských jenoch, švajčiarskych frankoch a nórskych korunách.</w:t>
      </w:r>
    </w:p>
    <w:p w14:paraId="18052145" w14:textId="77777777" w:rsidR="003A0696" w:rsidRPr="0007715C" w:rsidRDefault="003A0696" w:rsidP="003A0696">
      <w:pPr>
        <w:spacing w:line="240" w:lineRule="auto"/>
        <w:rPr>
          <w:sz w:val="24"/>
          <w:szCs w:val="24"/>
        </w:rPr>
      </w:pPr>
      <w:r w:rsidRPr="0007715C">
        <w:rPr>
          <w:b/>
          <w:sz w:val="24"/>
          <w:szCs w:val="24"/>
        </w:rPr>
        <w:t xml:space="preserve">Z hľadiska pôvodnej splatnosti </w:t>
      </w:r>
      <w:r w:rsidRPr="0007715C">
        <w:rPr>
          <w:sz w:val="24"/>
          <w:szCs w:val="24"/>
        </w:rPr>
        <w:t>(dohodnutej pri vzniku dlhu) je maastrichtský dlh tvorený z 0,7 % (453 345 tis. eur) krátkodobým dlhom. Dlh s pôvodnou splatnosťou vyššou ako jeden rok predstavuje 99,3 % (62 925 437 tis. eur).</w:t>
      </w:r>
    </w:p>
    <w:p w14:paraId="17DA12A2" w14:textId="77777777" w:rsidR="003A0696" w:rsidRDefault="003A0696" w:rsidP="003A0696">
      <w:pPr>
        <w:spacing w:line="240" w:lineRule="auto"/>
        <w:rPr>
          <w:sz w:val="24"/>
          <w:szCs w:val="24"/>
        </w:rPr>
      </w:pPr>
      <w:r w:rsidRPr="0007715C">
        <w:rPr>
          <w:b/>
          <w:sz w:val="24"/>
          <w:szCs w:val="24"/>
        </w:rPr>
        <w:t>Z hľadiska teritoriálnej štruktúry</w:t>
      </w:r>
      <w:r w:rsidRPr="0007715C">
        <w:rPr>
          <w:sz w:val="24"/>
          <w:szCs w:val="24"/>
        </w:rPr>
        <w:t xml:space="preserve"> majú v držbe väčšinu maastrichtského dlhu verejnej správy SR tuzemskí veritelia, a to 52,0 % (32 948 561 tis. eur). V portfóliu zahraničných veriteľov je 48,0 % (30 430 221 tis. eur) maastrichtského dlhu.</w:t>
      </w:r>
    </w:p>
    <w:p w14:paraId="24099E08" w14:textId="77777777" w:rsidR="003A0696" w:rsidRDefault="003A0696" w:rsidP="003A0696">
      <w:pPr>
        <w:spacing w:after="160" w:line="259" w:lineRule="auto"/>
        <w:jc w:val="left"/>
        <w:rPr>
          <w:sz w:val="24"/>
          <w:szCs w:val="24"/>
        </w:rPr>
      </w:pPr>
      <w:r>
        <w:rPr>
          <w:sz w:val="24"/>
          <w:szCs w:val="24"/>
        </w:rPr>
        <w:br w:type="page"/>
      </w:r>
    </w:p>
    <w:p w14:paraId="20004FD5" w14:textId="77777777" w:rsidR="003A0696" w:rsidRPr="005B08E3" w:rsidRDefault="003A0696" w:rsidP="003A0696">
      <w:pPr>
        <w:pStyle w:val="Nadpis3"/>
      </w:pPr>
      <w:bookmarkStart w:id="28" w:name="_Toc132929081"/>
      <w:r w:rsidRPr="005B08E3">
        <w:lastRenderedPageBreak/>
        <w:t>Štátny dlh</w:t>
      </w:r>
      <w:bookmarkEnd w:id="28"/>
    </w:p>
    <w:p w14:paraId="47035753" w14:textId="77777777" w:rsidR="003A0696" w:rsidRPr="00062FFE" w:rsidRDefault="003A0696" w:rsidP="003A0696">
      <w:pPr>
        <w:spacing w:line="240" w:lineRule="auto"/>
        <w:rPr>
          <w:sz w:val="24"/>
          <w:szCs w:val="24"/>
          <w:highlight w:val="yellow"/>
        </w:rPr>
      </w:pPr>
      <w:r w:rsidRPr="005B08E3">
        <w:rPr>
          <w:sz w:val="24"/>
          <w:szCs w:val="24"/>
        </w:rPr>
        <w:t xml:space="preserve">Štátny dlh, ktorý je v správe Ministerstva financií SR a ktorým sa financuje nesúlad príjmov a výdavkov štátneho rozpočtu, dosiahol v menovitej hodnote ku koncu roka 2022 výšku 61 204 864 tis. eur. V porovnaní so stavom dlhu za predchádzajúci rok vzrástol o 1 960 462 tis. eur (o 3,3 %). Nárast štátneho dlhu súvisel najmä s emisiou štátnych dlhopisov v súhrnnej hodnote  5 215 000 tis. eur a čerpaním štvrtej </w:t>
      </w:r>
      <w:proofErr w:type="spellStart"/>
      <w:r w:rsidRPr="005B08E3">
        <w:rPr>
          <w:sz w:val="24"/>
          <w:szCs w:val="24"/>
        </w:rPr>
        <w:t>tranže</w:t>
      </w:r>
      <w:proofErr w:type="spellEnd"/>
      <w:r w:rsidRPr="005B08E3">
        <w:rPr>
          <w:sz w:val="24"/>
          <w:szCs w:val="24"/>
        </w:rPr>
        <w:t xml:space="preserve"> úveru od </w:t>
      </w:r>
      <w:r w:rsidRPr="005B08E3">
        <w:rPr>
          <w:rFonts w:cs="Times New Roman"/>
          <w:sz w:val="24"/>
          <w:szCs w:val="24"/>
        </w:rPr>
        <w:t>Európskej investičnej banky vo výške 100 000 tis. eur.</w:t>
      </w:r>
    </w:p>
    <w:p w14:paraId="6639E6CA" w14:textId="77777777" w:rsidR="003A0696" w:rsidRDefault="003A0696" w:rsidP="003A0696">
      <w:pPr>
        <w:spacing w:line="240" w:lineRule="auto"/>
        <w:rPr>
          <w:sz w:val="24"/>
          <w:szCs w:val="24"/>
        </w:rPr>
      </w:pPr>
      <w:r w:rsidRPr="00C379E7">
        <w:rPr>
          <w:sz w:val="24"/>
          <w:szCs w:val="24"/>
        </w:rPr>
        <w:t>Štátny dlh je v rozhodujúcej miere tvorený záväzkami z emisie štátnych dlhopisov (89,6 %),  prijatými bankovými úvermi (6,6 %), záväzkami vyplývajúcimi z vkladov v Štátnej pokladnici (0,3 %), záväzkami z nástroja EFSF (3,0 %) a zábezpekami (0,2 %). Imputovanie záväzkov za tzv. zelenú energiu (0,2 %) výšku štátneho dlhu v rozhodujúcej miere neovplyvnilo.</w:t>
      </w:r>
    </w:p>
    <w:tbl>
      <w:tblPr>
        <w:tblW w:w="5000" w:type="pct"/>
        <w:tblCellMar>
          <w:left w:w="70" w:type="dxa"/>
          <w:right w:w="70" w:type="dxa"/>
        </w:tblCellMar>
        <w:tblLook w:val="04A0" w:firstRow="1" w:lastRow="0" w:firstColumn="1" w:lastColumn="0" w:noHBand="0" w:noVBand="1"/>
      </w:tblPr>
      <w:tblGrid>
        <w:gridCol w:w="4902"/>
        <w:gridCol w:w="1067"/>
        <w:gridCol w:w="1067"/>
        <w:gridCol w:w="1067"/>
        <w:gridCol w:w="1111"/>
      </w:tblGrid>
      <w:tr w:rsidR="003A0696" w:rsidRPr="00D474F3" w14:paraId="04B6A96E" w14:textId="77777777" w:rsidTr="003A0696">
        <w:trPr>
          <w:trHeight w:val="330"/>
          <w:tblHeader/>
        </w:trPr>
        <w:tc>
          <w:tcPr>
            <w:tcW w:w="4397" w:type="pct"/>
            <w:gridSpan w:val="4"/>
            <w:tcBorders>
              <w:top w:val="nil"/>
              <w:left w:val="nil"/>
              <w:bottom w:val="single" w:sz="4" w:space="0" w:color="auto"/>
              <w:right w:val="nil"/>
            </w:tcBorders>
            <w:shd w:val="clear" w:color="auto" w:fill="auto"/>
            <w:noWrap/>
            <w:vAlign w:val="center"/>
            <w:hideMark/>
          </w:tcPr>
          <w:p w14:paraId="5657B2D7" w14:textId="77777777" w:rsidR="003A0696" w:rsidRPr="00D474F3" w:rsidRDefault="003A0696" w:rsidP="003A0696">
            <w:pPr>
              <w:spacing w:after="0" w:line="240" w:lineRule="auto"/>
              <w:jc w:val="left"/>
              <w:rPr>
                <w:rFonts w:eastAsia="Times New Roman" w:cs="Times New Roman"/>
                <w:b/>
                <w:bCs/>
                <w:color w:val="5B9BD5"/>
                <w:sz w:val="20"/>
                <w:szCs w:val="20"/>
                <w:lang w:eastAsia="sk-SK"/>
              </w:rPr>
            </w:pPr>
            <w:r w:rsidRPr="00D474F3">
              <w:rPr>
                <w:rFonts w:eastAsia="Times New Roman" w:cs="Times New Roman"/>
                <w:b/>
                <w:bCs/>
                <w:color w:val="5B9BD5"/>
                <w:sz w:val="20"/>
                <w:szCs w:val="20"/>
                <w:lang w:eastAsia="sk-SK"/>
              </w:rPr>
              <w:t>Tabuľka 1</w:t>
            </w:r>
            <w:r>
              <w:rPr>
                <w:rFonts w:eastAsia="Times New Roman" w:cs="Times New Roman"/>
                <w:b/>
                <w:bCs/>
                <w:color w:val="5B9BD5"/>
                <w:sz w:val="20"/>
                <w:szCs w:val="20"/>
                <w:lang w:eastAsia="sk-SK"/>
              </w:rPr>
              <w:t>7</w:t>
            </w:r>
            <w:r w:rsidRPr="00D474F3">
              <w:rPr>
                <w:rFonts w:eastAsia="Times New Roman" w:cs="Times New Roman"/>
                <w:b/>
                <w:bCs/>
                <w:color w:val="5B9BD5"/>
                <w:sz w:val="20"/>
                <w:szCs w:val="20"/>
                <w:lang w:eastAsia="sk-SK"/>
              </w:rPr>
              <w:t xml:space="preserve"> - Štátny dlh podľa dlhových nástrojov</w:t>
            </w:r>
          </w:p>
        </w:tc>
        <w:tc>
          <w:tcPr>
            <w:tcW w:w="603" w:type="pct"/>
            <w:tcBorders>
              <w:top w:val="nil"/>
              <w:left w:val="nil"/>
              <w:bottom w:val="single" w:sz="4" w:space="0" w:color="auto"/>
              <w:right w:val="nil"/>
            </w:tcBorders>
            <w:shd w:val="clear" w:color="auto" w:fill="auto"/>
            <w:noWrap/>
            <w:vAlign w:val="center"/>
            <w:hideMark/>
          </w:tcPr>
          <w:p w14:paraId="7D74CBAD" w14:textId="77777777" w:rsidR="003A0696" w:rsidRPr="00D474F3" w:rsidRDefault="003A0696" w:rsidP="003A0696">
            <w:pPr>
              <w:spacing w:after="0" w:line="240" w:lineRule="auto"/>
              <w:jc w:val="right"/>
              <w:rPr>
                <w:rFonts w:eastAsia="Times New Roman" w:cs="Times New Roman"/>
                <w:b/>
                <w:bCs/>
                <w:sz w:val="20"/>
                <w:szCs w:val="20"/>
                <w:lang w:eastAsia="sk-SK"/>
              </w:rPr>
            </w:pPr>
            <w:r w:rsidRPr="00D474F3">
              <w:rPr>
                <w:rFonts w:eastAsia="Times New Roman" w:cs="Times New Roman"/>
                <w:b/>
                <w:bCs/>
                <w:sz w:val="20"/>
                <w:szCs w:val="20"/>
                <w:lang w:eastAsia="sk-SK"/>
              </w:rPr>
              <w:t> </w:t>
            </w:r>
          </w:p>
        </w:tc>
      </w:tr>
      <w:tr w:rsidR="003A0696" w:rsidRPr="00D474F3" w14:paraId="6D3E2A67" w14:textId="77777777" w:rsidTr="003A0696">
        <w:trPr>
          <w:trHeight w:val="300"/>
          <w:tblHeader/>
        </w:trPr>
        <w:tc>
          <w:tcPr>
            <w:tcW w:w="2660" w:type="pct"/>
            <w:vMerge w:val="restart"/>
            <w:tcBorders>
              <w:top w:val="single" w:sz="4" w:space="0" w:color="auto"/>
              <w:left w:val="nil"/>
              <w:bottom w:val="single" w:sz="4" w:space="0" w:color="000000"/>
              <w:right w:val="nil"/>
            </w:tcBorders>
            <w:shd w:val="clear" w:color="auto" w:fill="auto"/>
            <w:vAlign w:val="center"/>
            <w:hideMark/>
          </w:tcPr>
          <w:p w14:paraId="6E8EA4EB" w14:textId="77777777" w:rsidR="003A0696" w:rsidRPr="00D474F3" w:rsidRDefault="003A0696" w:rsidP="003A0696">
            <w:pPr>
              <w:spacing w:after="0" w:line="240" w:lineRule="auto"/>
              <w:rPr>
                <w:rFonts w:eastAsia="Times New Roman" w:cs="Times New Roman"/>
                <w:b/>
                <w:bCs/>
                <w:sz w:val="20"/>
                <w:szCs w:val="20"/>
                <w:lang w:eastAsia="sk-SK"/>
              </w:rPr>
            </w:pPr>
            <w:r w:rsidRPr="00D474F3">
              <w:rPr>
                <w:rFonts w:eastAsia="Times New Roman" w:cs="Times New Roman"/>
                <w:b/>
                <w:bCs/>
                <w:sz w:val="20"/>
                <w:szCs w:val="20"/>
                <w:lang w:eastAsia="sk-SK"/>
              </w:rPr>
              <w:t>v tis. eur</w:t>
            </w:r>
          </w:p>
        </w:tc>
        <w:tc>
          <w:tcPr>
            <w:tcW w:w="579" w:type="pct"/>
            <w:tcBorders>
              <w:top w:val="single" w:sz="4" w:space="0" w:color="auto"/>
              <w:left w:val="nil"/>
              <w:bottom w:val="nil"/>
              <w:right w:val="nil"/>
            </w:tcBorders>
            <w:shd w:val="clear" w:color="auto" w:fill="auto"/>
            <w:vAlign w:val="center"/>
            <w:hideMark/>
          </w:tcPr>
          <w:p w14:paraId="7159C1E8" w14:textId="77777777" w:rsidR="003A0696" w:rsidRPr="00D474F3" w:rsidRDefault="003A0696" w:rsidP="003A0696">
            <w:pPr>
              <w:spacing w:after="0" w:line="240" w:lineRule="auto"/>
              <w:jc w:val="center"/>
              <w:rPr>
                <w:rFonts w:eastAsia="Times New Roman" w:cs="Times New Roman"/>
                <w:b/>
                <w:bCs/>
                <w:sz w:val="20"/>
                <w:szCs w:val="20"/>
                <w:lang w:eastAsia="sk-SK"/>
              </w:rPr>
            </w:pPr>
            <w:r w:rsidRPr="00D474F3">
              <w:rPr>
                <w:rFonts w:eastAsia="Times New Roman" w:cs="Times New Roman"/>
                <w:b/>
                <w:bCs/>
                <w:sz w:val="20"/>
                <w:szCs w:val="20"/>
                <w:lang w:eastAsia="sk-SK"/>
              </w:rPr>
              <w:t>2020 S</w:t>
            </w:r>
          </w:p>
        </w:tc>
        <w:tc>
          <w:tcPr>
            <w:tcW w:w="579" w:type="pct"/>
            <w:tcBorders>
              <w:top w:val="single" w:sz="4" w:space="0" w:color="auto"/>
              <w:left w:val="nil"/>
              <w:bottom w:val="nil"/>
              <w:right w:val="nil"/>
            </w:tcBorders>
            <w:shd w:val="clear" w:color="auto" w:fill="auto"/>
            <w:vAlign w:val="center"/>
            <w:hideMark/>
          </w:tcPr>
          <w:p w14:paraId="1B70C8E9" w14:textId="77777777" w:rsidR="003A0696" w:rsidRPr="00D474F3" w:rsidRDefault="003A0696" w:rsidP="003A0696">
            <w:pPr>
              <w:spacing w:after="0" w:line="240" w:lineRule="auto"/>
              <w:jc w:val="center"/>
              <w:rPr>
                <w:rFonts w:eastAsia="Times New Roman" w:cs="Times New Roman"/>
                <w:b/>
                <w:bCs/>
                <w:sz w:val="20"/>
                <w:szCs w:val="20"/>
                <w:lang w:eastAsia="sk-SK"/>
              </w:rPr>
            </w:pPr>
            <w:r w:rsidRPr="00D474F3">
              <w:rPr>
                <w:rFonts w:eastAsia="Times New Roman" w:cs="Times New Roman"/>
                <w:b/>
                <w:bCs/>
                <w:sz w:val="20"/>
                <w:szCs w:val="20"/>
                <w:lang w:eastAsia="sk-SK"/>
              </w:rPr>
              <w:t>2021 S</w:t>
            </w:r>
          </w:p>
        </w:tc>
        <w:tc>
          <w:tcPr>
            <w:tcW w:w="579" w:type="pct"/>
            <w:tcBorders>
              <w:top w:val="single" w:sz="4" w:space="0" w:color="auto"/>
              <w:left w:val="nil"/>
              <w:bottom w:val="nil"/>
              <w:right w:val="nil"/>
            </w:tcBorders>
            <w:shd w:val="clear" w:color="auto" w:fill="auto"/>
            <w:vAlign w:val="center"/>
            <w:hideMark/>
          </w:tcPr>
          <w:p w14:paraId="50D84E36" w14:textId="77777777" w:rsidR="003A0696" w:rsidRPr="00D474F3" w:rsidRDefault="003A0696" w:rsidP="003A0696">
            <w:pPr>
              <w:spacing w:after="0" w:line="240" w:lineRule="auto"/>
              <w:jc w:val="center"/>
              <w:rPr>
                <w:rFonts w:eastAsia="Times New Roman" w:cs="Times New Roman"/>
                <w:b/>
                <w:bCs/>
                <w:sz w:val="20"/>
                <w:szCs w:val="20"/>
                <w:lang w:eastAsia="sk-SK"/>
              </w:rPr>
            </w:pPr>
            <w:r w:rsidRPr="00D474F3">
              <w:rPr>
                <w:rFonts w:eastAsia="Times New Roman" w:cs="Times New Roman"/>
                <w:b/>
                <w:bCs/>
                <w:sz w:val="20"/>
                <w:szCs w:val="20"/>
                <w:lang w:eastAsia="sk-SK"/>
              </w:rPr>
              <w:t>2022 S</w:t>
            </w:r>
          </w:p>
        </w:tc>
        <w:tc>
          <w:tcPr>
            <w:tcW w:w="603" w:type="pct"/>
            <w:tcBorders>
              <w:top w:val="single" w:sz="4" w:space="0" w:color="auto"/>
              <w:left w:val="nil"/>
              <w:bottom w:val="nil"/>
              <w:right w:val="nil"/>
            </w:tcBorders>
            <w:shd w:val="clear" w:color="auto" w:fill="auto"/>
            <w:vAlign w:val="center"/>
            <w:hideMark/>
          </w:tcPr>
          <w:p w14:paraId="153D56F8" w14:textId="77777777" w:rsidR="003A0696" w:rsidRPr="00D474F3" w:rsidRDefault="003A0696" w:rsidP="003A0696">
            <w:pPr>
              <w:spacing w:after="0" w:line="240" w:lineRule="auto"/>
              <w:jc w:val="center"/>
              <w:rPr>
                <w:rFonts w:eastAsia="Times New Roman" w:cs="Times New Roman"/>
                <w:b/>
                <w:bCs/>
                <w:sz w:val="20"/>
                <w:szCs w:val="20"/>
                <w:lang w:eastAsia="sk-SK"/>
              </w:rPr>
            </w:pPr>
            <w:r w:rsidRPr="00D474F3">
              <w:rPr>
                <w:rFonts w:eastAsia="Times New Roman" w:cs="Times New Roman"/>
                <w:b/>
                <w:bCs/>
                <w:sz w:val="20"/>
                <w:szCs w:val="20"/>
                <w:lang w:eastAsia="sk-SK"/>
              </w:rPr>
              <w:t>Zmena</w:t>
            </w:r>
          </w:p>
        </w:tc>
      </w:tr>
      <w:tr w:rsidR="003A0696" w:rsidRPr="00D474F3" w14:paraId="2A30F816" w14:textId="77777777" w:rsidTr="003A0696">
        <w:trPr>
          <w:trHeight w:val="300"/>
          <w:tblHeader/>
        </w:trPr>
        <w:tc>
          <w:tcPr>
            <w:tcW w:w="2660" w:type="pct"/>
            <w:vMerge/>
            <w:tcBorders>
              <w:top w:val="single" w:sz="4" w:space="0" w:color="auto"/>
              <w:left w:val="nil"/>
              <w:bottom w:val="single" w:sz="4" w:space="0" w:color="000000"/>
              <w:right w:val="nil"/>
            </w:tcBorders>
            <w:vAlign w:val="center"/>
            <w:hideMark/>
          </w:tcPr>
          <w:p w14:paraId="04EDA81C" w14:textId="77777777" w:rsidR="003A0696" w:rsidRPr="00D474F3" w:rsidRDefault="003A0696" w:rsidP="003A0696">
            <w:pPr>
              <w:spacing w:after="0" w:line="240" w:lineRule="auto"/>
              <w:jc w:val="left"/>
              <w:rPr>
                <w:rFonts w:eastAsia="Times New Roman" w:cs="Times New Roman"/>
                <w:b/>
                <w:bCs/>
                <w:sz w:val="20"/>
                <w:szCs w:val="20"/>
                <w:lang w:eastAsia="sk-SK"/>
              </w:rPr>
            </w:pPr>
          </w:p>
        </w:tc>
        <w:tc>
          <w:tcPr>
            <w:tcW w:w="579" w:type="pct"/>
            <w:tcBorders>
              <w:top w:val="nil"/>
              <w:left w:val="nil"/>
              <w:bottom w:val="single" w:sz="4" w:space="0" w:color="auto"/>
              <w:right w:val="nil"/>
            </w:tcBorders>
            <w:shd w:val="clear" w:color="auto" w:fill="auto"/>
            <w:vAlign w:val="center"/>
            <w:hideMark/>
          </w:tcPr>
          <w:p w14:paraId="2C56E2DC" w14:textId="77777777" w:rsidR="003A0696" w:rsidRPr="00D474F3" w:rsidRDefault="003A0696" w:rsidP="003A0696">
            <w:pPr>
              <w:spacing w:after="0" w:line="240" w:lineRule="auto"/>
              <w:jc w:val="center"/>
              <w:rPr>
                <w:rFonts w:eastAsia="Times New Roman" w:cs="Times New Roman"/>
                <w:b/>
                <w:bCs/>
                <w:sz w:val="20"/>
                <w:szCs w:val="20"/>
                <w:lang w:eastAsia="sk-SK"/>
              </w:rPr>
            </w:pPr>
            <w:r w:rsidRPr="00D474F3">
              <w:rPr>
                <w:rFonts w:eastAsia="Times New Roman" w:cs="Times New Roman"/>
                <w:b/>
                <w:bCs/>
                <w:sz w:val="20"/>
                <w:szCs w:val="20"/>
                <w:lang w:eastAsia="sk-SK"/>
              </w:rPr>
              <w:t>1</w:t>
            </w:r>
          </w:p>
        </w:tc>
        <w:tc>
          <w:tcPr>
            <w:tcW w:w="579" w:type="pct"/>
            <w:tcBorders>
              <w:top w:val="nil"/>
              <w:left w:val="nil"/>
              <w:bottom w:val="single" w:sz="4" w:space="0" w:color="auto"/>
              <w:right w:val="nil"/>
            </w:tcBorders>
            <w:shd w:val="clear" w:color="auto" w:fill="auto"/>
            <w:vAlign w:val="center"/>
            <w:hideMark/>
          </w:tcPr>
          <w:p w14:paraId="1C49DD9A" w14:textId="77777777" w:rsidR="003A0696" w:rsidRPr="00D474F3" w:rsidRDefault="003A0696" w:rsidP="003A0696">
            <w:pPr>
              <w:spacing w:after="0" w:line="240" w:lineRule="auto"/>
              <w:jc w:val="center"/>
              <w:rPr>
                <w:rFonts w:eastAsia="Times New Roman" w:cs="Times New Roman"/>
                <w:b/>
                <w:bCs/>
                <w:sz w:val="20"/>
                <w:szCs w:val="20"/>
                <w:lang w:eastAsia="sk-SK"/>
              </w:rPr>
            </w:pPr>
            <w:r w:rsidRPr="00D474F3">
              <w:rPr>
                <w:rFonts w:eastAsia="Times New Roman" w:cs="Times New Roman"/>
                <w:b/>
                <w:bCs/>
                <w:sz w:val="20"/>
                <w:szCs w:val="20"/>
                <w:lang w:eastAsia="sk-SK"/>
              </w:rPr>
              <w:t>2</w:t>
            </w:r>
          </w:p>
        </w:tc>
        <w:tc>
          <w:tcPr>
            <w:tcW w:w="579" w:type="pct"/>
            <w:tcBorders>
              <w:top w:val="nil"/>
              <w:left w:val="nil"/>
              <w:bottom w:val="single" w:sz="4" w:space="0" w:color="auto"/>
              <w:right w:val="nil"/>
            </w:tcBorders>
            <w:shd w:val="clear" w:color="auto" w:fill="auto"/>
            <w:vAlign w:val="center"/>
            <w:hideMark/>
          </w:tcPr>
          <w:p w14:paraId="58C721F4" w14:textId="77777777" w:rsidR="003A0696" w:rsidRPr="00D474F3" w:rsidRDefault="003A0696" w:rsidP="003A0696">
            <w:pPr>
              <w:spacing w:after="0" w:line="240" w:lineRule="auto"/>
              <w:jc w:val="center"/>
              <w:rPr>
                <w:rFonts w:eastAsia="Times New Roman" w:cs="Times New Roman"/>
                <w:b/>
                <w:bCs/>
                <w:sz w:val="20"/>
                <w:szCs w:val="20"/>
                <w:lang w:eastAsia="sk-SK"/>
              </w:rPr>
            </w:pPr>
            <w:r w:rsidRPr="00D474F3">
              <w:rPr>
                <w:rFonts w:eastAsia="Times New Roman" w:cs="Times New Roman"/>
                <w:b/>
                <w:bCs/>
                <w:sz w:val="20"/>
                <w:szCs w:val="20"/>
                <w:lang w:eastAsia="sk-SK"/>
              </w:rPr>
              <w:t>3</w:t>
            </w:r>
          </w:p>
        </w:tc>
        <w:tc>
          <w:tcPr>
            <w:tcW w:w="603" w:type="pct"/>
            <w:tcBorders>
              <w:top w:val="nil"/>
              <w:left w:val="nil"/>
              <w:bottom w:val="single" w:sz="4" w:space="0" w:color="auto"/>
              <w:right w:val="nil"/>
            </w:tcBorders>
            <w:shd w:val="clear" w:color="auto" w:fill="auto"/>
            <w:vAlign w:val="center"/>
            <w:hideMark/>
          </w:tcPr>
          <w:p w14:paraId="6A6E72A4" w14:textId="77777777" w:rsidR="003A0696" w:rsidRPr="00D474F3" w:rsidRDefault="003A0696" w:rsidP="003A0696">
            <w:pPr>
              <w:spacing w:after="0" w:line="240" w:lineRule="auto"/>
              <w:jc w:val="center"/>
              <w:rPr>
                <w:rFonts w:eastAsia="Times New Roman" w:cs="Times New Roman"/>
                <w:b/>
                <w:bCs/>
                <w:sz w:val="20"/>
                <w:szCs w:val="20"/>
                <w:lang w:eastAsia="sk-SK"/>
              </w:rPr>
            </w:pPr>
            <w:r w:rsidRPr="00D474F3">
              <w:rPr>
                <w:rFonts w:eastAsia="Times New Roman" w:cs="Times New Roman"/>
                <w:b/>
                <w:bCs/>
                <w:sz w:val="20"/>
                <w:szCs w:val="20"/>
                <w:lang w:eastAsia="sk-SK"/>
              </w:rPr>
              <w:t>4=(3-2)</w:t>
            </w:r>
          </w:p>
        </w:tc>
      </w:tr>
      <w:tr w:rsidR="003A0696" w:rsidRPr="00D474F3" w14:paraId="478D508A" w14:textId="77777777" w:rsidTr="003A0696">
        <w:trPr>
          <w:trHeight w:val="300"/>
        </w:trPr>
        <w:tc>
          <w:tcPr>
            <w:tcW w:w="2660" w:type="pct"/>
            <w:tcBorders>
              <w:top w:val="nil"/>
              <w:left w:val="nil"/>
              <w:bottom w:val="nil"/>
              <w:right w:val="nil"/>
            </w:tcBorders>
            <w:shd w:val="clear" w:color="auto" w:fill="auto"/>
            <w:noWrap/>
            <w:vAlign w:val="bottom"/>
            <w:hideMark/>
          </w:tcPr>
          <w:p w14:paraId="33AA3D28" w14:textId="77777777" w:rsidR="003A0696" w:rsidRPr="00D474F3" w:rsidRDefault="003A0696" w:rsidP="003A0696">
            <w:pPr>
              <w:spacing w:after="0" w:line="240" w:lineRule="auto"/>
              <w:jc w:val="left"/>
              <w:rPr>
                <w:rFonts w:eastAsia="Times New Roman" w:cs="Times New Roman"/>
                <w:sz w:val="20"/>
                <w:szCs w:val="20"/>
                <w:lang w:eastAsia="sk-SK"/>
              </w:rPr>
            </w:pPr>
            <w:r w:rsidRPr="00D474F3">
              <w:rPr>
                <w:rFonts w:eastAsia="Times New Roman" w:cs="Times New Roman"/>
                <w:sz w:val="20"/>
                <w:szCs w:val="20"/>
                <w:lang w:eastAsia="sk-SK"/>
              </w:rPr>
              <w:t>Štátne dlhopisy</w:t>
            </w:r>
          </w:p>
        </w:tc>
        <w:tc>
          <w:tcPr>
            <w:tcW w:w="579" w:type="pct"/>
            <w:tcBorders>
              <w:top w:val="nil"/>
              <w:left w:val="nil"/>
              <w:bottom w:val="nil"/>
              <w:right w:val="nil"/>
            </w:tcBorders>
            <w:shd w:val="clear" w:color="auto" w:fill="auto"/>
            <w:noWrap/>
            <w:vAlign w:val="bottom"/>
            <w:hideMark/>
          </w:tcPr>
          <w:p w14:paraId="24F90737"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45 297 864</w:t>
            </w:r>
          </w:p>
        </w:tc>
        <w:tc>
          <w:tcPr>
            <w:tcW w:w="579" w:type="pct"/>
            <w:tcBorders>
              <w:top w:val="nil"/>
              <w:left w:val="nil"/>
              <w:bottom w:val="nil"/>
              <w:right w:val="nil"/>
            </w:tcBorders>
            <w:shd w:val="clear" w:color="auto" w:fill="auto"/>
            <w:noWrap/>
            <w:vAlign w:val="bottom"/>
            <w:hideMark/>
          </w:tcPr>
          <w:p w14:paraId="0096A11A"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50 999 864</w:t>
            </w:r>
          </w:p>
        </w:tc>
        <w:tc>
          <w:tcPr>
            <w:tcW w:w="579" w:type="pct"/>
            <w:tcBorders>
              <w:top w:val="nil"/>
              <w:left w:val="nil"/>
              <w:bottom w:val="nil"/>
              <w:right w:val="nil"/>
            </w:tcBorders>
            <w:shd w:val="clear" w:color="auto" w:fill="auto"/>
            <w:noWrap/>
            <w:vAlign w:val="bottom"/>
            <w:hideMark/>
          </w:tcPr>
          <w:p w14:paraId="2DAF06F0"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54 811 293</w:t>
            </w:r>
          </w:p>
        </w:tc>
        <w:tc>
          <w:tcPr>
            <w:tcW w:w="603" w:type="pct"/>
            <w:tcBorders>
              <w:top w:val="nil"/>
              <w:left w:val="nil"/>
              <w:bottom w:val="nil"/>
              <w:right w:val="nil"/>
            </w:tcBorders>
            <w:shd w:val="clear" w:color="auto" w:fill="auto"/>
            <w:noWrap/>
            <w:vAlign w:val="bottom"/>
            <w:hideMark/>
          </w:tcPr>
          <w:p w14:paraId="2EA9EA46"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3 811 429</w:t>
            </w:r>
          </w:p>
        </w:tc>
      </w:tr>
      <w:tr w:rsidR="003A0696" w:rsidRPr="00D474F3" w14:paraId="57BFF261" w14:textId="77777777" w:rsidTr="003A0696">
        <w:trPr>
          <w:trHeight w:val="300"/>
        </w:trPr>
        <w:tc>
          <w:tcPr>
            <w:tcW w:w="2660" w:type="pct"/>
            <w:tcBorders>
              <w:top w:val="nil"/>
              <w:left w:val="nil"/>
              <w:bottom w:val="nil"/>
              <w:right w:val="nil"/>
            </w:tcBorders>
            <w:shd w:val="clear" w:color="auto" w:fill="auto"/>
            <w:noWrap/>
            <w:vAlign w:val="bottom"/>
            <w:hideMark/>
          </w:tcPr>
          <w:p w14:paraId="13579CCF" w14:textId="77777777" w:rsidR="003A0696" w:rsidRPr="00D474F3" w:rsidRDefault="003A0696" w:rsidP="003A0696">
            <w:pPr>
              <w:spacing w:after="0" w:line="240" w:lineRule="auto"/>
              <w:jc w:val="left"/>
              <w:rPr>
                <w:rFonts w:eastAsia="Times New Roman" w:cs="Times New Roman"/>
                <w:sz w:val="20"/>
                <w:szCs w:val="20"/>
                <w:lang w:eastAsia="sk-SK"/>
              </w:rPr>
            </w:pPr>
            <w:r w:rsidRPr="00D474F3">
              <w:rPr>
                <w:rFonts w:eastAsia="Times New Roman" w:cs="Times New Roman"/>
                <w:sz w:val="20"/>
                <w:szCs w:val="20"/>
                <w:lang w:eastAsia="sk-SK"/>
              </w:rPr>
              <w:t>Bankové úvery a iné pôžičky</w:t>
            </w:r>
          </w:p>
        </w:tc>
        <w:tc>
          <w:tcPr>
            <w:tcW w:w="579" w:type="pct"/>
            <w:tcBorders>
              <w:top w:val="nil"/>
              <w:left w:val="nil"/>
              <w:bottom w:val="nil"/>
              <w:right w:val="nil"/>
            </w:tcBorders>
            <w:shd w:val="clear" w:color="auto" w:fill="auto"/>
            <w:noWrap/>
            <w:vAlign w:val="bottom"/>
            <w:hideMark/>
          </w:tcPr>
          <w:p w14:paraId="232764C1"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3 583 436</w:t>
            </w:r>
          </w:p>
        </w:tc>
        <w:tc>
          <w:tcPr>
            <w:tcW w:w="579" w:type="pct"/>
            <w:tcBorders>
              <w:top w:val="nil"/>
              <w:left w:val="nil"/>
              <w:bottom w:val="nil"/>
              <w:right w:val="nil"/>
            </w:tcBorders>
            <w:shd w:val="clear" w:color="auto" w:fill="auto"/>
            <w:noWrap/>
            <w:vAlign w:val="bottom"/>
            <w:hideMark/>
          </w:tcPr>
          <w:p w14:paraId="3950F264"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3 923 827</w:t>
            </w:r>
          </w:p>
        </w:tc>
        <w:tc>
          <w:tcPr>
            <w:tcW w:w="579" w:type="pct"/>
            <w:tcBorders>
              <w:top w:val="nil"/>
              <w:left w:val="nil"/>
              <w:bottom w:val="nil"/>
              <w:right w:val="nil"/>
            </w:tcBorders>
            <w:shd w:val="clear" w:color="auto" w:fill="auto"/>
            <w:noWrap/>
            <w:vAlign w:val="bottom"/>
            <w:hideMark/>
          </w:tcPr>
          <w:p w14:paraId="716FBB98"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4 013 241</w:t>
            </w:r>
          </w:p>
        </w:tc>
        <w:tc>
          <w:tcPr>
            <w:tcW w:w="603" w:type="pct"/>
            <w:tcBorders>
              <w:top w:val="nil"/>
              <w:left w:val="nil"/>
              <w:bottom w:val="nil"/>
              <w:right w:val="nil"/>
            </w:tcBorders>
            <w:shd w:val="clear" w:color="auto" w:fill="auto"/>
            <w:noWrap/>
            <w:vAlign w:val="bottom"/>
            <w:hideMark/>
          </w:tcPr>
          <w:p w14:paraId="667CAB2E"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89 414</w:t>
            </w:r>
          </w:p>
        </w:tc>
      </w:tr>
      <w:tr w:rsidR="003A0696" w:rsidRPr="00D474F3" w14:paraId="43A83628" w14:textId="77777777" w:rsidTr="003A0696">
        <w:trPr>
          <w:trHeight w:val="300"/>
        </w:trPr>
        <w:tc>
          <w:tcPr>
            <w:tcW w:w="2660" w:type="pct"/>
            <w:tcBorders>
              <w:top w:val="nil"/>
              <w:left w:val="nil"/>
              <w:bottom w:val="nil"/>
              <w:right w:val="nil"/>
            </w:tcBorders>
            <w:shd w:val="clear" w:color="auto" w:fill="auto"/>
            <w:noWrap/>
            <w:vAlign w:val="bottom"/>
            <w:hideMark/>
          </w:tcPr>
          <w:p w14:paraId="79C257F0" w14:textId="77777777" w:rsidR="003A0696" w:rsidRPr="00D474F3" w:rsidRDefault="003A0696" w:rsidP="003A0696">
            <w:pPr>
              <w:spacing w:after="0" w:line="240" w:lineRule="auto"/>
              <w:jc w:val="left"/>
              <w:rPr>
                <w:rFonts w:eastAsia="Times New Roman" w:cs="Times New Roman"/>
                <w:sz w:val="20"/>
                <w:szCs w:val="20"/>
                <w:lang w:eastAsia="sk-SK"/>
              </w:rPr>
            </w:pPr>
            <w:r w:rsidRPr="00D474F3">
              <w:rPr>
                <w:rFonts w:eastAsia="Times New Roman" w:cs="Times New Roman"/>
                <w:sz w:val="20"/>
                <w:szCs w:val="20"/>
                <w:lang w:eastAsia="sk-SK"/>
              </w:rPr>
              <w:t>Záväzky z vkladov v Štátnej pokladnici</w:t>
            </w:r>
          </w:p>
        </w:tc>
        <w:tc>
          <w:tcPr>
            <w:tcW w:w="579" w:type="pct"/>
            <w:tcBorders>
              <w:top w:val="nil"/>
              <w:left w:val="nil"/>
              <w:bottom w:val="nil"/>
              <w:right w:val="nil"/>
            </w:tcBorders>
            <w:shd w:val="clear" w:color="auto" w:fill="auto"/>
            <w:noWrap/>
            <w:vAlign w:val="bottom"/>
            <w:hideMark/>
          </w:tcPr>
          <w:p w14:paraId="2FB49730"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203 187</w:t>
            </w:r>
          </w:p>
        </w:tc>
        <w:tc>
          <w:tcPr>
            <w:tcW w:w="579" w:type="pct"/>
            <w:tcBorders>
              <w:top w:val="nil"/>
              <w:left w:val="nil"/>
              <w:bottom w:val="nil"/>
              <w:right w:val="nil"/>
            </w:tcBorders>
            <w:shd w:val="clear" w:color="auto" w:fill="auto"/>
            <w:noWrap/>
            <w:vAlign w:val="bottom"/>
            <w:hideMark/>
          </w:tcPr>
          <w:p w14:paraId="3E18CFCC"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1 863 381</w:t>
            </w:r>
          </w:p>
        </w:tc>
        <w:tc>
          <w:tcPr>
            <w:tcW w:w="579" w:type="pct"/>
            <w:tcBorders>
              <w:top w:val="nil"/>
              <w:left w:val="nil"/>
              <w:bottom w:val="nil"/>
              <w:right w:val="nil"/>
            </w:tcBorders>
            <w:shd w:val="clear" w:color="auto" w:fill="auto"/>
            <w:noWrap/>
            <w:vAlign w:val="bottom"/>
            <w:hideMark/>
          </w:tcPr>
          <w:p w14:paraId="58E8AA43"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197 082</w:t>
            </w:r>
          </w:p>
        </w:tc>
        <w:tc>
          <w:tcPr>
            <w:tcW w:w="603" w:type="pct"/>
            <w:tcBorders>
              <w:top w:val="nil"/>
              <w:left w:val="nil"/>
              <w:bottom w:val="nil"/>
              <w:right w:val="nil"/>
            </w:tcBorders>
            <w:shd w:val="clear" w:color="auto" w:fill="auto"/>
            <w:noWrap/>
            <w:vAlign w:val="bottom"/>
            <w:hideMark/>
          </w:tcPr>
          <w:p w14:paraId="70D8AE6B"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-1 666 299</w:t>
            </w:r>
          </w:p>
        </w:tc>
      </w:tr>
      <w:tr w:rsidR="003A0696" w:rsidRPr="00D474F3" w14:paraId="2CBA4EB9" w14:textId="77777777" w:rsidTr="003A0696">
        <w:trPr>
          <w:trHeight w:val="300"/>
        </w:trPr>
        <w:tc>
          <w:tcPr>
            <w:tcW w:w="2660" w:type="pct"/>
            <w:tcBorders>
              <w:top w:val="nil"/>
              <w:left w:val="nil"/>
              <w:bottom w:val="nil"/>
              <w:right w:val="nil"/>
            </w:tcBorders>
            <w:shd w:val="clear" w:color="auto" w:fill="auto"/>
            <w:noWrap/>
            <w:vAlign w:val="bottom"/>
            <w:hideMark/>
          </w:tcPr>
          <w:p w14:paraId="27327CF7" w14:textId="77777777" w:rsidR="003A0696" w:rsidRPr="00D474F3" w:rsidRDefault="003A0696" w:rsidP="003A0696">
            <w:pPr>
              <w:spacing w:after="0" w:line="240" w:lineRule="auto"/>
              <w:jc w:val="left"/>
              <w:rPr>
                <w:rFonts w:eastAsia="Times New Roman" w:cs="Times New Roman"/>
                <w:sz w:val="20"/>
                <w:szCs w:val="20"/>
                <w:lang w:eastAsia="sk-SK"/>
              </w:rPr>
            </w:pPr>
            <w:r w:rsidRPr="00D474F3">
              <w:rPr>
                <w:rFonts w:eastAsia="Times New Roman" w:cs="Times New Roman"/>
                <w:sz w:val="20"/>
                <w:szCs w:val="20"/>
                <w:lang w:eastAsia="sk-SK"/>
              </w:rPr>
              <w:t>Záväzky z EFSF</w:t>
            </w:r>
          </w:p>
        </w:tc>
        <w:tc>
          <w:tcPr>
            <w:tcW w:w="579" w:type="pct"/>
            <w:tcBorders>
              <w:top w:val="nil"/>
              <w:left w:val="nil"/>
              <w:bottom w:val="nil"/>
              <w:right w:val="nil"/>
            </w:tcBorders>
            <w:shd w:val="clear" w:color="auto" w:fill="auto"/>
            <w:noWrap/>
            <w:vAlign w:val="bottom"/>
            <w:hideMark/>
          </w:tcPr>
          <w:p w14:paraId="56F0E0CD"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1 859 323</w:t>
            </w:r>
          </w:p>
        </w:tc>
        <w:tc>
          <w:tcPr>
            <w:tcW w:w="579" w:type="pct"/>
            <w:tcBorders>
              <w:top w:val="nil"/>
              <w:left w:val="nil"/>
              <w:bottom w:val="nil"/>
              <w:right w:val="nil"/>
            </w:tcBorders>
            <w:shd w:val="clear" w:color="auto" w:fill="auto"/>
            <w:noWrap/>
            <w:vAlign w:val="bottom"/>
            <w:hideMark/>
          </w:tcPr>
          <w:p w14:paraId="71ED06D7"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1 859 323</w:t>
            </w:r>
          </w:p>
        </w:tc>
        <w:tc>
          <w:tcPr>
            <w:tcW w:w="579" w:type="pct"/>
            <w:tcBorders>
              <w:top w:val="nil"/>
              <w:left w:val="nil"/>
              <w:bottom w:val="nil"/>
              <w:right w:val="nil"/>
            </w:tcBorders>
            <w:shd w:val="clear" w:color="auto" w:fill="auto"/>
            <w:noWrap/>
            <w:vAlign w:val="bottom"/>
            <w:hideMark/>
          </w:tcPr>
          <w:p w14:paraId="2D2C554D"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1 859 323</w:t>
            </w:r>
          </w:p>
        </w:tc>
        <w:tc>
          <w:tcPr>
            <w:tcW w:w="603" w:type="pct"/>
            <w:tcBorders>
              <w:top w:val="nil"/>
              <w:left w:val="nil"/>
              <w:bottom w:val="nil"/>
              <w:right w:val="nil"/>
            </w:tcBorders>
            <w:shd w:val="clear" w:color="auto" w:fill="auto"/>
            <w:noWrap/>
            <w:vAlign w:val="bottom"/>
            <w:hideMark/>
          </w:tcPr>
          <w:p w14:paraId="18D133BB"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0</w:t>
            </w:r>
          </w:p>
        </w:tc>
      </w:tr>
      <w:tr w:rsidR="003A0696" w:rsidRPr="00D474F3" w14:paraId="13D1FC70" w14:textId="77777777" w:rsidTr="003A0696">
        <w:trPr>
          <w:trHeight w:val="300"/>
        </w:trPr>
        <w:tc>
          <w:tcPr>
            <w:tcW w:w="2660" w:type="pct"/>
            <w:tcBorders>
              <w:top w:val="nil"/>
              <w:left w:val="nil"/>
              <w:bottom w:val="nil"/>
              <w:right w:val="nil"/>
            </w:tcBorders>
            <w:shd w:val="clear" w:color="auto" w:fill="auto"/>
            <w:noWrap/>
            <w:vAlign w:val="bottom"/>
            <w:hideMark/>
          </w:tcPr>
          <w:p w14:paraId="026AD51F" w14:textId="77777777" w:rsidR="003A0696" w:rsidRPr="00D474F3" w:rsidRDefault="003A0696" w:rsidP="003A0696">
            <w:pPr>
              <w:spacing w:after="0" w:line="240" w:lineRule="auto"/>
              <w:jc w:val="left"/>
              <w:rPr>
                <w:rFonts w:eastAsia="Times New Roman" w:cs="Times New Roman"/>
                <w:sz w:val="20"/>
                <w:szCs w:val="20"/>
                <w:lang w:eastAsia="sk-SK"/>
              </w:rPr>
            </w:pPr>
            <w:r w:rsidRPr="00D474F3">
              <w:rPr>
                <w:rFonts w:eastAsia="Times New Roman" w:cs="Times New Roman"/>
                <w:sz w:val="20"/>
                <w:szCs w:val="20"/>
                <w:lang w:eastAsia="sk-SK"/>
              </w:rPr>
              <w:t>Zábezpeky</w:t>
            </w:r>
          </w:p>
        </w:tc>
        <w:tc>
          <w:tcPr>
            <w:tcW w:w="579" w:type="pct"/>
            <w:tcBorders>
              <w:top w:val="nil"/>
              <w:left w:val="nil"/>
              <w:bottom w:val="nil"/>
              <w:right w:val="nil"/>
            </w:tcBorders>
            <w:shd w:val="clear" w:color="auto" w:fill="auto"/>
            <w:noWrap/>
            <w:vAlign w:val="bottom"/>
            <w:hideMark/>
          </w:tcPr>
          <w:p w14:paraId="577EA56E"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177 586</w:t>
            </w:r>
          </w:p>
        </w:tc>
        <w:tc>
          <w:tcPr>
            <w:tcW w:w="579" w:type="pct"/>
            <w:tcBorders>
              <w:top w:val="nil"/>
              <w:left w:val="nil"/>
              <w:bottom w:val="nil"/>
              <w:right w:val="nil"/>
            </w:tcBorders>
            <w:shd w:val="clear" w:color="auto" w:fill="auto"/>
            <w:noWrap/>
            <w:vAlign w:val="bottom"/>
            <w:hideMark/>
          </w:tcPr>
          <w:p w14:paraId="309D5C62"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252 432</w:t>
            </w:r>
          </w:p>
        </w:tc>
        <w:tc>
          <w:tcPr>
            <w:tcW w:w="579" w:type="pct"/>
            <w:tcBorders>
              <w:top w:val="nil"/>
              <w:left w:val="nil"/>
              <w:bottom w:val="nil"/>
              <w:right w:val="nil"/>
            </w:tcBorders>
            <w:shd w:val="clear" w:color="auto" w:fill="auto"/>
            <w:noWrap/>
            <w:vAlign w:val="bottom"/>
            <w:hideMark/>
          </w:tcPr>
          <w:p w14:paraId="1FEDE9E7"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134 767</w:t>
            </w:r>
          </w:p>
        </w:tc>
        <w:tc>
          <w:tcPr>
            <w:tcW w:w="603" w:type="pct"/>
            <w:tcBorders>
              <w:top w:val="nil"/>
              <w:left w:val="nil"/>
              <w:bottom w:val="nil"/>
              <w:right w:val="nil"/>
            </w:tcBorders>
            <w:shd w:val="clear" w:color="auto" w:fill="auto"/>
            <w:noWrap/>
            <w:vAlign w:val="bottom"/>
            <w:hideMark/>
          </w:tcPr>
          <w:p w14:paraId="053315A5"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-117 665</w:t>
            </w:r>
          </w:p>
        </w:tc>
      </w:tr>
      <w:tr w:rsidR="003A0696" w:rsidRPr="00D474F3" w14:paraId="16C2F5B9" w14:textId="77777777" w:rsidTr="003A0696">
        <w:trPr>
          <w:trHeight w:val="300"/>
        </w:trPr>
        <w:tc>
          <w:tcPr>
            <w:tcW w:w="2660" w:type="pct"/>
            <w:tcBorders>
              <w:top w:val="nil"/>
              <w:left w:val="nil"/>
              <w:bottom w:val="nil"/>
              <w:right w:val="nil"/>
            </w:tcBorders>
            <w:shd w:val="clear" w:color="auto" w:fill="auto"/>
            <w:noWrap/>
            <w:vAlign w:val="bottom"/>
            <w:hideMark/>
          </w:tcPr>
          <w:p w14:paraId="79CE0F94" w14:textId="77777777" w:rsidR="003A0696" w:rsidRPr="00D474F3" w:rsidRDefault="003A0696" w:rsidP="003A0696">
            <w:pPr>
              <w:spacing w:after="0" w:line="240" w:lineRule="auto"/>
              <w:jc w:val="left"/>
              <w:rPr>
                <w:rFonts w:eastAsia="Times New Roman" w:cs="Times New Roman"/>
                <w:sz w:val="20"/>
                <w:szCs w:val="20"/>
                <w:lang w:eastAsia="sk-SK"/>
              </w:rPr>
            </w:pPr>
            <w:r w:rsidRPr="00D474F3">
              <w:rPr>
                <w:rFonts w:eastAsia="Times New Roman" w:cs="Times New Roman"/>
                <w:sz w:val="20"/>
                <w:szCs w:val="20"/>
                <w:lang w:eastAsia="sk-SK"/>
              </w:rPr>
              <w:t>Štátne pokladničné poukážky</w:t>
            </w:r>
          </w:p>
        </w:tc>
        <w:tc>
          <w:tcPr>
            <w:tcW w:w="579" w:type="pct"/>
            <w:tcBorders>
              <w:top w:val="nil"/>
              <w:left w:val="nil"/>
              <w:bottom w:val="nil"/>
              <w:right w:val="nil"/>
            </w:tcBorders>
            <w:shd w:val="clear" w:color="auto" w:fill="auto"/>
            <w:noWrap/>
            <w:vAlign w:val="bottom"/>
            <w:hideMark/>
          </w:tcPr>
          <w:p w14:paraId="71389820"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1 380 000</w:t>
            </w:r>
          </w:p>
        </w:tc>
        <w:tc>
          <w:tcPr>
            <w:tcW w:w="579" w:type="pct"/>
            <w:tcBorders>
              <w:top w:val="nil"/>
              <w:left w:val="nil"/>
              <w:bottom w:val="nil"/>
              <w:right w:val="nil"/>
            </w:tcBorders>
            <w:shd w:val="clear" w:color="auto" w:fill="auto"/>
            <w:noWrap/>
            <w:vAlign w:val="bottom"/>
            <w:hideMark/>
          </w:tcPr>
          <w:p w14:paraId="2330EB1A"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0</w:t>
            </w:r>
          </w:p>
        </w:tc>
        <w:tc>
          <w:tcPr>
            <w:tcW w:w="579" w:type="pct"/>
            <w:tcBorders>
              <w:top w:val="nil"/>
              <w:left w:val="nil"/>
              <w:bottom w:val="nil"/>
              <w:right w:val="nil"/>
            </w:tcBorders>
            <w:shd w:val="clear" w:color="auto" w:fill="auto"/>
            <w:noWrap/>
            <w:vAlign w:val="bottom"/>
            <w:hideMark/>
          </w:tcPr>
          <w:p w14:paraId="26B81871"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0</w:t>
            </w:r>
          </w:p>
        </w:tc>
        <w:tc>
          <w:tcPr>
            <w:tcW w:w="603" w:type="pct"/>
            <w:tcBorders>
              <w:top w:val="nil"/>
              <w:left w:val="nil"/>
              <w:bottom w:val="nil"/>
              <w:right w:val="nil"/>
            </w:tcBorders>
            <w:shd w:val="clear" w:color="auto" w:fill="auto"/>
            <w:noWrap/>
            <w:vAlign w:val="bottom"/>
            <w:hideMark/>
          </w:tcPr>
          <w:p w14:paraId="7F8E7246"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0</w:t>
            </w:r>
          </w:p>
        </w:tc>
      </w:tr>
      <w:tr w:rsidR="003A0696" w:rsidRPr="00D474F3" w14:paraId="5BDCA715" w14:textId="77777777" w:rsidTr="003A0696">
        <w:trPr>
          <w:trHeight w:val="300"/>
        </w:trPr>
        <w:tc>
          <w:tcPr>
            <w:tcW w:w="2660" w:type="pct"/>
            <w:tcBorders>
              <w:top w:val="nil"/>
              <w:left w:val="nil"/>
              <w:bottom w:val="nil"/>
              <w:right w:val="nil"/>
            </w:tcBorders>
            <w:shd w:val="clear" w:color="auto" w:fill="auto"/>
            <w:noWrap/>
            <w:vAlign w:val="bottom"/>
            <w:hideMark/>
          </w:tcPr>
          <w:p w14:paraId="50596B49" w14:textId="77777777" w:rsidR="003A0696" w:rsidRPr="00D474F3" w:rsidRDefault="003A0696" w:rsidP="003A0696">
            <w:pPr>
              <w:spacing w:after="0" w:line="240" w:lineRule="auto"/>
              <w:jc w:val="left"/>
              <w:rPr>
                <w:rFonts w:eastAsia="Times New Roman" w:cs="Times New Roman"/>
                <w:sz w:val="20"/>
                <w:szCs w:val="20"/>
                <w:lang w:eastAsia="sk-SK"/>
              </w:rPr>
            </w:pPr>
            <w:r w:rsidRPr="00D474F3">
              <w:rPr>
                <w:rFonts w:eastAsia="Times New Roman" w:cs="Times New Roman"/>
                <w:sz w:val="20"/>
                <w:szCs w:val="20"/>
                <w:lang w:eastAsia="sk-SK"/>
              </w:rPr>
              <w:t>Dlhodobé záväzky z obchodného styku a prijaté preddavky</w:t>
            </w:r>
          </w:p>
        </w:tc>
        <w:tc>
          <w:tcPr>
            <w:tcW w:w="579" w:type="pct"/>
            <w:tcBorders>
              <w:top w:val="nil"/>
              <w:left w:val="nil"/>
              <w:bottom w:val="nil"/>
              <w:right w:val="nil"/>
            </w:tcBorders>
            <w:shd w:val="clear" w:color="auto" w:fill="auto"/>
            <w:noWrap/>
            <w:vAlign w:val="bottom"/>
            <w:hideMark/>
          </w:tcPr>
          <w:p w14:paraId="1175A863"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0</w:t>
            </w:r>
          </w:p>
        </w:tc>
        <w:tc>
          <w:tcPr>
            <w:tcW w:w="579" w:type="pct"/>
            <w:tcBorders>
              <w:top w:val="nil"/>
              <w:left w:val="nil"/>
              <w:bottom w:val="nil"/>
              <w:right w:val="nil"/>
            </w:tcBorders>
            <w:shd w:val="clear" w:color="auto" w:fill="auto"/>
            <w:noWrap/>
            <w:vAlign w:val="bottom"/>
            <w:hideMark/>
          </w:tcPr>
          <w:p w14:paraId="69C9A1C6"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0</w:t>
            </w:r>
          </w:p>
        </w:tc>
        <w:tc>
          <w:tcPr>
            <w:tcW w:w="579" w:type="pct"/>
            <w:tcBorders>
              <w:top w:val="nil"/>
              <w:left w:val="nil"/>
              <w:bottom w:val="nil"/>
              <w:right w:val="nil"/>
            </w:tcBorders>
            <w:shd w:val="clear" w:color="auto" w:fill="auto"/>
            <w:noWrap/>
            <w:vAlign w:val="bottom"/>
            <w:hideMark/>
          </w:tcPr>
          <w:p w14:paraId="77501187"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147</w:t>
            </w:r>
          </w:p>
        </w:tc>
        <w:tc>
          <w:tcPr>
            <w:tcW w:w="603" w:type="pct"/>
            <w:tcBorders>
              <w:top w:val="nil"/>
              <w:left w:val="nil"/>
              <w:bottom w:val="nil"/>
              <w:right w:val="nil"/>
            </w:tcBorders>
            <w:shd w:val="clear" w:color="auto" w:fill="auto"/>
            <w:noWrap/>
            <w:vAlign w:val="bottom"/>
            <w:hideMark/>
          </w:tcPr>
          <w:p w14:paraId="55BD57C3" w14:textId="77777777" w:rsidR="003A0696" w:rsidRPr="00D474F3" w:rsidRDefault="003A0696" w:rsidP="003A0696">
            <w:pPr>
              <w:spacing w:after="0" w:line="240" w:lineRule="auto"/>
              <w:jc w:val="right"/>
              <w:rPr>
                <w:rFonts w:eastAsia="Times New Roman" w:cs="Times New Roman"/>
                <w:sz w:val="20"/>
                <w:szCs w:val="20"/>
                <w:lang w:eastAsia="sk-SK"/>
              </w:rPr>
            </w:pPr>
            <w:r w:rsidRPr="00D474F3">
              <w:rPr>
                <w:rFonts w:eastAsia="Times New Roman" w:cs="Times New Roman"/>
                <w:sz w:val="20"/>
                <w:szCs w:val="20"/>
                <w:lang w:eastAsia="sk-SK"/>
              </w:rPr>
              <w:t>147</w:t>
            </w:r>
          </w:p>
        </w:tc>
      </w:tr>
      <w:tr w:rsidR="003A0696" w:rsidRPr="00D474F3" w14:paraId="05C150CD" w14:textId="77777777" w:rsidTr="003A0696">
        <w:trPr>
          <w:trHeight w:val="300"/>
        </w:trPr>
        <w:tc>
          <w:tcPr>
            <w:tcW w:w="2660" w:type="pct"/>
            <w:tcBorders>
              <w:top w:val="nil"/>
              <w:left w:val="nil"/>
              <w:bottom w:val="nil"/>
              <w:right w:val="nil"/>
            </w:tcBorders>
            <w:shd w:val="clear" w:color="auto" w:fill="auto"/>
            <w:noWrap/>
            <w:vAlign w:val="bottom"/>
            <w:hideMark/>
          </w:tcPr>
          <w:p w14:paraId="3B02C944" w14:textId="77777777" w:rsidR="003A0696" w:rsidRPr="00D474F3" w:rsidRDefault="003A0696" w:rsidP="003A0696">
            <w:pPr>
              <w:spacing w:after="0" w:line="240" w:lineRule="auto"/>
              <w:jc w:val="left"/>
              <w:rPr>
                <w:rFonts w:eastAsia="Times New Roman" w:cs="Times New Roman"/>
                <w:i/>
                <w:iCs/>
                <w:sz w:val="20"/>
                <w:szCs w:val="20"/>
                <w:lang w:eastAsia="sk-SK"/>
              </w:rPr>
            </w:pPr>
            <w:proofErr w:type="spellStart"/>
            <w:r w:rsidRPr="00D474F3">
              <w:rPr>
                <w:rFonts w:eastAsia="Times New Roman" w:cs="Times New Roman"/>
                <w:i/>
                <w:iCs/>
                <w:sz w:val="20"/>
                <w:szCs w:val="20"/>
                <w:lang w:eastAsia="sk-SK"/>
              </w:rPr>
              <w:t>Imput</w:t>
            </w:r>
            <w:proofErr w:type="spellEnd"/>
            <w:r w:rsidRPr="00D474F3">
              <w:rPr>
                <w:rFonts w:eastAsia="Times New Roman" w:cs="Times New Roman"/>
                <w:i/>
                <w:iCs/>
                <w:sz w:val="20"/>
                <w:szCs w:val="20"/>
                <w:lang w:eastAsia="sk-SK"/>
              </w:rPr>
              <w:t xml:space="preserve"> záväzkov schémy zelenej energie</w:t>
            </w:r>
          </w:p>
        </w:tc>
        <w:tc>
          <w:tcPr>
            <w:tcW w:w="579" w:type="pct"/>
            <w:tcBorders>
              <w:top w:val="nil"/>
              <w:left w:val="nil"/>
              <w:bottom w:val="nil"/>
              <w:right w:val="nil"/>
            </w:tcBorders>
            <w:shd w:val="clear" w:color="auto" w:fill="auto"/>
            <w:noWrap/>
            <w:vAlign w:val="bottom"/>
            <w:hideMark/>
          </w:tcPr>
          <w:p w14:paraId="74EFFA1C" w14:textId="77777777" w:rsidR="003A0696" w:rsidRPr="00D474F3" w:rsidRDefault="003A0696" w:rsidP="003A0696">
            <w:pPr>
              <w:spacing w:after="0" w:line="240" w:lineRule="auto"/>
              <w:jc w:val="right"/>
              <w:rPr>
                <w:rFonts w:eastAsia="Times New Roman" w:cs="Times New Roman"/>
                <w:i/>
                <w:iCs/>
                <w:sz w:val="20"/>
                <w:szCs w:val="20"/>
                <w:lang w:eastAsia="sk-SK"/>
              </w:rPr>
            </w:pPr>
            <w:r w:rsidRPr="00D474F3">
              <w:rPr>
                <w:rFonts w:eastAsia="Times New Roman" w:cs="Times New Roman"/>
                <w:i/>
                <w:iCs/>
                <w:sz w:val="20"/>
                <w:szCs w:val="20"/>
                <w:lang w:eastAsia="sk-SK"/>
              </w:rPr>
              <w:t>209 938</w:t>
            </w:r>
          </w:p>
        </w:tc>
        <w:tc>
          <w:tcPr>
            <w:tcW w:w="579" w:type="pct"/>
            <w:tcBorders>
              <w:top w:val="nil"/>
              <w:left w:val="nil"/>
              <w:bottom w:val="nil"/>
              <w:right w:val="nil"/>
            </w:tcBorders>
            <w:shd w:val="clear" w:color="auto" w:fill="auto"/>
            <w:noWrap/>
            <w:vAlign w:val="bottom"/>
            <w:hideMark/>
          </w:tcPr>
          <w:p w14:paraId="355AFE28" w14:textId="77777777" w:rsidR="003A0696" w:rsidRPr="00D474F3" w:rsidRDefault="003A0696" w:rsidP="003A0696">
            <w:pPr>
              <w:spacing w:after="0" w:line="240" w:lineRule="auto"/>
              <w:jc w:val="right"/>
              <w:rPr>
                <w:rFonts w:eastAsia="Times New Roman" w:cs="Times New Roman"/>
                <w:i/>
                <w:iCs/>
                <w:sz w:val="20"/>
                <w:szCs w:val="20"/>
                <w:lang w:eastAsia="sk-SK"/>
              </w:rPr>
            </w:pPr>
            <w:r w:rsidRPr="00D474F3">
              <w:rPr>
                <w:rFonts w:eastAsia="Times New Roman" w:cs="Times New Roman"/>
                <w:i/>
                <w:iCs/>
                <w:sz w:val="20"/>
                <w:szCs w:val="20"/>
                <w:lang w:eastAsia="sk-SK"/>
              </w:rPr>
              <w:t>209 938</w:t>
            </w:r>
          </w:p>
        </w:tc>
        <w:tc>
          <w:tcPr>
            <w:tcW w:w="579" w:type="pct"/>
            <w:tcBorders>
              <w:top w:val="nil"/>
              <w:left w:val="nil"/>
              <w:bottom w:val="nil"/>
              <w:right w:val="nil"/>
            </w:tcBorders>
            <w:shd w:val="clear" w:color="auto" w:fill="auto"/>
            <w:noWrap/>
            <w:vAlign w:val="bottom"/>
            <w:hideMark/>
          </w:tcPr>
          <w:p w14:paraId="7ED51347" w14:textId="77777777" w:rsidR="003A0696" w:rsidRPr="00D474F3" w:rsidRDefault="003A0696" w:rsidP="003A0696">
            <w:pPr>
              <w:spacing w:after="0" w:line="240" w:lineRule="auto"/>
              <w:jc w:val="right"/>
              <w:rPr>
                <w:rFonts w:eastAsia="Times New Roman" w:cs="Times New Roman"/>
                <w:i/>
                <w:iCs/>
                <w:sz w:val="20"/>
                <w:szCs w:val="20"/>
                <w:lang w:eastAsia="sk-SK"/>
              </w:rPr>
            </w:pPr>
            <w:r w:rsidRPr="00D474F3">
              <w:rPr>
                <w:rFonts w:eastAsia="Times New Roman" w:cs="Times New Roman"/>
                <w:i/>
                <w:iCs/>
                <w:sz w:val="20"/>
                <w:szCs w:val="20"/>
                <w:lang w:eastAsia="sk-SK"/>
              </w:rPr>
              <w:t>119 000</w:t>
            </w:r>
          </w:p>
        </w:tc>
        <w:tc>
          <w:tcPr>
            <w:tcW w:w="603" w:type="pct"/>
            <w:tcBorders>
              <w:top w:val="nil"/>
              <w:left w:val="nil"/>
              <w:bottom w:val="nil"/>
              <w:right w:val="nil"/>
            </w:tcBorders>
            <w:shd w:val="clear" w:color="auto" w:fill="auto"/>
            <w:noWrap/>
            <w:vAlign w:val="bottom"/>
            <w:hideMark/>
          </w:tcPr>
          <w:p w14:paraId="4F518753" w14:textId="77777777" w:rsidR="003A0696" w:rsidRPr="00D474F3" w:rsidRDefault="003A0696" w:rsidP="003A0696">
            <w:pPr>
              <w:spacing w:after="0" w:line="240" w:lineRule="auto"/>
              <w:jc w:val="right"/>
              <w:rPr>
                <w:rFonts w:eastAsia="Times New Roman" w:cs="Times New Roman"/>
                <w:i/>
                <w:iCs/>
                <w:sz w:val="20"/>
                <w:szCs w:val="20"/>
                <w:lang w:eastAsia="sk-SK"/>
              </w:rPr>
            </w:pPr>
            <w:r w:rsidRPr="00D474F3">
              <w:rPr>
                <w:rFonts w:eastAsia="Times New Roman" w:cs="Times New Roman"/>
                <w:i/>
                <w:iCs/>
                <w:sz w:val="20"/>
                <w:szCs w:val="20"/>
                <w:lang w:eastAsia="sk-SK"/>
              </w:rPr>
              <w:t>-90 938</w:t>
            </w:r>
          </w:p>
        </w:tc>
      </w:tr>
      <w:tr w:rsidR="003A0696" w:rsidRPr="00D474F3" w14:paraId="742EAC66" w14:textId="77777777" w:rsidTr="003A0696">
        <w:trPr>
          <w:trHeight w:val="300"/>
        </w:trPr>
        <w:tc>
          <w:tcPr>
            <w:tcW w:w="2660" w:type="pct"/>
            <w:tcBorders>
              <w:top w:val="nil"/>
              <w:left w:val="nil"/>
              <w:bottom w:val="nil"/>
              <w:right w:val="nil"/>
            </w:tcBorders>
            <w:shd w:val="clear" w:color="auto" w:fill="auto"/>
            <w:noWrap/>
            <w:vAlign w:val="bottom"/>
            <w:hideMark/>
          </w:tcPr>
          <w:p w14:paraId="64456D30" w14:textId="77777777" w:rsidR="003A0696" w:rsidRPr="00D474F3" w:rsidRDefault="003A0696" w:rsidP="003A0696">
            <w:pPr>
              <w:spacing w:after="0" w:line="240" w:lineRule="auto"/>
              <w:jc w:val="left"/>
              <w:rPr>
                <w:rFonts w:eastAsia="Times New Roman" w:cs="Times New Roman"/>
                <w:i/>
                <w:iCs/>
                <w:sz w:val="20"/>
                <w:szCs w:val="20"/>
                <w:lang w:eastAsia="sk-SK"/>
              </w:rPr>
            </w:pPr>
            <w:proofErr w:type="spellStart"/>
            <w:r w:rsidRPr="00D474F3">
              <w:rPr>
                <w:rFonts w:eastAsia="Times New Roman" w:cs="Times New Roman"/>
                <w:i/>
                <w:iCs/>
                <w:sz w:val="20"/>
                <w:szCs w:val="20"/>
                <w:lang w:eastAsia="sk-SK"/>
              </w:rPr>
              <w:t>Imput</w:t>
            </w:r>
            <w:proofErr w:type="spellEnd"/>
            <w:r w:rsidRPr="00D474F3">
              <w:rPr>
                <w:rFonts w:eastAsia="Times New Roman" w:cs="Times New Roman"/>
                <w:i/>
                <w:iCs/>
                <w:sz w:val="20"/>
                <w:szCs w:val="20"/>
                <w:lang w:eastAsia="sk-SK"/>
              </w:rPr>
              <w:t xml:space="preserve"> pôžičky z EOSA</w:t>
            </w:r>
          </w:p>
        </w:tc>
        <w:tc>
          <w:tcPr>
            <w:tcW w:w="579" w:type="pct"/>
            <w:tcBorders>
              <w:top w:val="nil"/>
              <w:left w:val="nil"/>
              <w:bottom w:val="nil"/>
              <w:right w:val="nil"/>
            </w:tcBorders>
            <w:shd w:val="clear" w:color="auto" w:fill="auto"/>
            <w:noWrap/>
            <w:vAlign w:val="bottom"/>
            <w:hideMark/>
          </w:tcPr>
          <w:p w14:paraId="567AA46D" w14:textId="77777777" w:rsidR="003A0696" w:rsidRPr="00D474F3" w:rsidRDefault="003A0696" w:rsidP="003A0696">
            <w:pPr>
              <w:spacing w:after="0" w:line="240" w:lineRule="auto"/>
              <w:jc w:val="right"/>
              <w:rPr>
                <w:rFonts w:eastAsia="Times New Roman" w:cs="Times New Roman"/>
                <w:i/>
                <w:iCs/>
                <w:sz w:val="20"/>
                <w:szCs w:val="20"/>
                <w:lang w:eastAsia="sk-SK"/>
              </w:rPr>
            </w:pPr>
            <w:r w:rsidRPr="00D474F3">
              <w:rPr>
                <w:rFonts w:eastAsia="Times New Roman" w:cs="Times New Roman"/>
                <w:i/>
                <w:iCs/>
                <w:sz w:val="20"/>
                <w:szCs w:val="20"/>
                <w:lang w:eastAsia="sk-SK"/>
              </w:rPr>
              <w:t>165 462</w:t>
            </w:r>
          </w:p>
        </w:tc>
        <w:tc>
          <w:tcPr>
            <w:tcW w:w="579" w:type="pct"/>
            <w:tcBorders>
              <w:top w:val="nil"/>
              <w:left w:val="nil"/>
              <w:bottom w:val="nil"/>
              <w:right w:val="nil"/>
            </w:tcBorders>
            <w:shd w:val="clear" w:color="auto" w:fill="auto"/>
            <w:noWrap/>
            <w:vAlign w:val="bottom"/>
            <w:hideMark/>
          </w:tcPr>
          <w:p w14:paraId="3A02C935" w14:textId="77777777" w:rsidR="003A0696" w:rsidRPr="00D474F3" w:rsidRDefault="003A0696" w:rsidP="003A0696">
            <w:pPr>
              <w:spacing w:after="0" w:line="240" w:lineRule="auto"/>
              <w:jc w:val="right"/>
              <w:rPr>
                <w:rFonts w:eastAsia="Times New Roman" w:cs="Times New Roman"/>
                <w:i/>
                <w:iCs/>
                <w:sz w:val="20"/>
                <w:szCs w:val="20"/>
                <w:lang w:eastAsia="sk-SK"/>
              </w:rPr>
            </w:pPr>
            <w:r w:rsidRPr="00D474F3">
              <w:rPr>
                <w:rFonts w:eastAsia="Times New Roman" w:cs="Times New Roman"/>
                <w:i/>
                <w:iCs/>
                <w:sz w:val="20"/>
                <w:szCs w:val="20"/>
                <w:lang w:eastAsia="sk-SK"/>
              </w:rPr>
              <w:t>135 637</w:t>
            </w:r>
          </w:p>
        </w:tc>
        <w:tc>
          <w:tcPr>
            <w:tcW w:w="579" w:type="pct"/>
            <w:tcBorders>
              <w:top w:val="nil"/>
              <w:left w:val="nil"/>
              <w:bottom w:val="nil"/>
              <w:right w:val="nil"/>
            </w:tcBorders>
            <w:shd w:val="clear" w:color="auto" w:fill="auto"/>
            <w:noWrap/>
            <w:vAlign w:val="bottom"/>
            <w:hideMark/>
          </w:tcPr>
          <w:p w14:paraId="17EDC767" w14:textId="77777777" w:rsidR="003A0696" w:rsidRPr="00D474F3" w:rsidRDefault="003A0696" w:rsidP="003A0696">
            <w:pPr>
              <w:spacing w:after="0" w:line="240" w:lineRule="auto"/>
              <w:jc w:val="right"/>
              <w:rPr>
                <w:rFonts w:eastAsia="Times New Roman" w:cs="Times New Roman"/>
                <w:i/>
                <w:iCs/>
                <w:sz w:val="20"/>
                <w:szCs w:val="20"/>
                <w:lang w:eastAsia="sk-SK"/>
              </w:rPr>
            </w:pPr>
            <w:r w:rsidRPr="00D474F3">
              <w:rPr>
                <w:rFonts w:eastAsia="Times New Roman" w:cs="Times New Roman"/>
                <w:i/>
                <w:iCs/>
                <w:sz w:val="20"/>
                <w:szCs w:val="20"/>
                <w:lang w:eastAsia="sk-SK"/>
              </w:rPr>
              <w:t>70 011</w:t>
            </w:r>
          </w:p>
        </w:tc>
        <w:tc>
          <w:tcPr>
            <w:tcW w:w="603" w:type="pct"/>
            <w:tcBorders>
              <w:top w:val="nil"/>
              <w:left w:val="nil"/>
              <w:bottom w:val="nil"/>
              <w:right w:val="nil"/>
            </w:tcBorders>
            <w:shd w:val="clear" w:color="auto" w:fill="auto"/>
            <w:noWrap/>
            <w:vAlign w:val="bottom"/>
            <w:hideMark/>
          </w:tcPr>
          <w:p w14:paraId="18078965" w14:textId="77777777" w:rsidR="003A0696" w:rsidRPr="00D474F3" w:rsidRDefault="003A0696" w:rsidP="003A0696">
            <w:pPr>
              <w:spacing w:after="0" w:line="240" w:lineRule="auto"/>
              <w:jc w:val="right"/>
              <w:rPr>
                <w:rFonts w:eastAsia="Times New Roman" w:cs="Times New Roman"/>
                <w:i/>
                <w:iCs/>
                <w:sz w:val="20"/>
                <w:szCs w:val="20"/>
                <w:lang w:eastAsia="sk-SK"/>
              </w:rPr>
            </w:pPr>
            <w:r w:rsidRPr="00D474F3">
              <w:rPr>
                <w:rFonts w:eastAsia="Times New Roman" w:cs="Times New Roman"/>
                <w:i/>
                <w:iCs/>
                <w:sz w:val="20"/>
                <w:szCs w:val="20"/>
                <w:lang w:eastAsia="sk-SK"/>
              </w:rPr>
              <w:t>-65 626</w:t>
            </w:r>
          </w:p>
        </w:tc>
      </w:tr>
      <w:tr w:rsidR="003A0696" w:rsidRPr="00D474F3" w14:paraId="586EC2F8" w14:textId="77777777" w:rsidTr="003A0696">
        <w:trPr>
          <w:trHeight w:val="300"/>
        </w:trPr>
        <w:tc>
          <w:tcPr>
            <w:tcW w:w="2660" w:type="pct"/>
            <w:tcBorders>
              <w:top w:val="single" w:sz="4" w:space="0" w:color="auto"/>
              <w:left w:val="nil"/>
              <w:bottom w:val="single" w:sz="4" w:space="0" w:color="auto"/>
              <w:right w:val="nil"/>
            </w:tcBorders>
            <w:shd w:val="clear" w:color="auto" w:fill="auto"/>
            <w:noWrap/>
            <w:vAlign w:val="bottom"/>
            <w:hideMark/>
          </w:tcPr>
          <w:p w14:paraId="3D98B48C" w14:textId="77777777" w:rsidR="003A0696" w:rsidRPr="00D474F3" w:rsidRDefault="003A0696" w:rsidP="003A0696">
            <w:pPr>
              <w:spacing w:after="0" w:line="240" w:lineRule="auto"/>
              <w:jc w:val="left"/>
              <w:rPr>
                <w:rFonts w:eastAsia="Times New Roman" w:cs="Times New Roman"/>
                <w:b/>
                <w:bCs/>
                <w:sz w:val="20"/>
                <w:szCs w:val="20"/>
                <w:lang w:eastAsia="sk-SK"/>
              </w:rPr>
            </w:pPr>
            <w:r w:rsidRPr="00D474F3">
              <w:rPr>
                <w:rFonts w:eastAsia="Times New Roman" w:cs="Times New Roman"/>
                <w:b/>
                <w:bCs/>
                <w:sz w:val="20"/>
                <w:szCs w:val="20"/>
                <w:lang w:eastAsia="sk-SK"/>
              </w:rPr>
              <w:t>Spolu dlh</w:t>
            </w:r>
          </w:p>
        </w:tc>
        <w:tc>
          <w:tcPr>
            <w:tcW w:w="579" w:type="pct"/>
            <w:tcBorders>
              <w:top w:val="single" w:sz="4" w:space="0" w:color="auto"/>
              <w:left w:val="nil"/>
              <w:bottom w:val="single" w:sz="4" w:space="0" w:color="auto"/>
              <w:right w:val="nil"/>
            </w:tcBorders>
            <w:shd w:val="clear" w:color="auto" w:fill="auto"/>
            <w:noWrap/>
            <w:vAlign w:val="bottom"/>
            <w:hideMark/>
          </w:tcPr>
          <w:p w14:paraId="2653437D" w14:textId="77777777" w:rsidR="003A0696" w:rsidRPr="00D474F3" w:rsidRDefault="003A0696" w:rsidP="003A0696">
            <w:pPr>
              <w:spacing w:after="0" w:line="240" w:lineRule="auto"/>
              <w:jc w:val="right"/>
              <w:rPr>
                <w:rFonts w:eastAsia="Times New Roman" w:cs="Times New Roman"/>
                <w:b/>
                <w:bCs/>
                <w:sz w:val="20"/>
                <w:szCs w:val="20"/>
                <w:lang w:eastAsia="sk-SK"/>
              </w:rPr>
            </w:pPr>
            <w:r w:rsidRPr="00D474F3">
              <w:rPr>
                <w:rFonts w:eastAsia="Times New Roman" w:cs="Times New Roman"/>
                <w:b/>
                <w:bCs/>
                <w:sz w:val="20"/>
                <w:szCs w:val="20"/>
                <w:lang w:eastAsia="sk-SK"/>
              </w:rPr>
              <w:t>52 876 796</w:t>
            </w:r>
          </w:p>
        </w:tc>
        <w:tc>
          <w:tcPr>
            <w:tcW w:w="579" w:type="pct"/>
            <w:tcBorders>
              <w:top w:val="single" w:sz="4" w:space="0" w:color="auto"/>
              <w:left w:val="nil"/>
              <w:bottom w:val="single" w:sz="4" w:space="0" w:color="auto"/>
              <w:right w:val="nil"/>
            </w:tcBorders>
            <w:shd w:val="clear" w:color="auto" w:fill="auto"/>
            <w:noWrap/>
            <w:vAlign w:val="bottom"/>
            <w:hideMark/>
          </w:tcPr>
          <w:p w14:paraId="6350EA13" w14:textId="77777777" w:rsidR="003A0696" w:rsidRPr="00D474F3" w:rsidRDefault="003A0696" w:rsidP="003A0696">
            <w:pPr>
              <w:spacing w:after="0" w:line="240" w:lineRule="auto"/>
              <w:jc w:val="right"/>
              <w:rPr>
                <w:rFonts w:eastAsia="Times New Roman" w:cs="Times New Roman"/>
                <w:b/>
                <w:bCs/>
                <w:sz w:val="20"/>
                <w:szCs w:val="20"/>
                <w:lang w:eastAsia="sk-SK"/>
              </w:rPr>
            </w:pPr>
            <w:r w:rsidRPr="00D474F3">
              <w:rPr>
                <w:rFonts w:eastAsia="Times New Roman" w:cs="Times New Roman"/>
                <w:b/>
                <w:bCs/>
                <w:sz w:val="20"/>
                <w:szCs w:val="20"/>
                <w:lang w:eastAsia="sk-SK"/>
              </w:rPr>
              <w:t>59 244 402</w:t>
            </w:r>
          </w:p>
        </w:tc>
        <w:tc>
          <w:tcPr>
            <w:tcW w:w="579" w:type="pct"/>
            <w:tcBorders>
              <w:top w:val="single" w:sz="4" w:space="0" w:color="auto"/>
              <w:left w:val="nil"/>
              <w:bottom w:val="single" w:sz="4" w:space="0" w:color="auto"/>
              <w:right w:val="nil"/>
            </w:tcBorders>
            <w:shd w:val="clear" w:color="auto" w:fill="auto"/>
            <w:noWrap/>
            <w:vAlign w:val="bottom"/>
            <w:hideMark/>
          </w:tcPr>
          <w:p w14:paraId="3230C8AC" w14:textId="77777777" w:rsidR="003A0696" w:rsidRPr="00D474F3" w:rsidRDefault="003A0696" w:rsidP="003A0696">
            <w:pPr>
              <w:spacing w:after="0" w:line="240" w:lineRule="auto"/>
              <w:jc w:val="right"/>
              <w:rPr>
                <w:rFonts w:eastAsia="Times New Roman" w:cs="Times New Roman"/>
                <w:b/>
                <w:bCs/>
                <w:sz w:val="20"/>
                <w:szCs w:val="20"/>
                <w:lang w:eastAsia="sk-SK"/>
              </w:rPr>
            </w:pPr>
            <w:r w:rsidRPr="00D474F3">
              <w:rPr>
                <w:rFonts w:eastAsia="Times New Roman" w:cs="Times New Roman"/>
                <w:b/>
                <w:bCs/>
                <w:sz w:val="20"/>
                <w:szCs w:val="20"/>
                <w:lang w:eastAsia="sk-SK"/>
              </w:rPr>
              <w:t>61 204 864</w:t>
            </w:r>
          </w:p>
        </w:tc>
        <w:tc>
          <w:tcPr>
            <w:tcW w:w="603" w:type="pct"/>
            <w:tcBorders>
              <w:top w:val="single" w:sz="4" w:space="0" w:color="auto"/>
              <w:left w:val="nil"/>
              <w:bottom w:val="single" w:sz="4" w:space="0" w:color="auto"/>
              <w:right w:val="nil"/>
            </w:tcBorders>
            <w:shd w:val="clear" w:color="auto" w:fill="auto"/>
            <w:noWrap/>
            <w:vAlign w:val="bottom"/>
            <w:hideMark/>
          </w:tcPr>
          <w:p w14:paraId="148F4C4C" w14:textId="77777777" w:rsidR="003A0696" w:rsidRPr="00D474F3" w:rsidRDefault="003A0696" w:rsidP="003A0696">
            <w:pPr>
              <w:spacing w:after="0" w:line="240" w:lineRule="auto"/>
              <w:jc w:val="right"/>
              <w:rPr>
                <w:rFonts w:eastAsia="Times New Roman" w:cs="Times New Roman"/>
                <w:b/>
                <w:bCs/>
                <w:sz w:val="20"/>
                <w:szCs w:val="20"/>
                <w:lang w:eastAsia="sk-SK"/>
              </w:rPr>
            </w:pPr>
            <w:r w:rsidRPr="00D474F3">
              <w:rPr>
                <w:rFonts w:eastAsia="Times New Roman" w:cs="Times New Roman"/>
                <w:b/>
                <w:bCs/>
                <w:sz w:val="20"/>
                <w:szCs w:val="20"/>
                <w:lang w:eastAsia="sk-SK"/>
              </w:rPr>
              <w:t>1 960 462</w:t>
            </w:r>
          </w:p>
        </w:tc>
      </w:tr>
    </w:tbl>
    <w:p w14:paraId="2C3A8940" w14:textId="77777777" w:rsidR="003A0696" w:rsidRPr="006654FA" w:rsidRDefault="003A0696" w:rsidP="003A0696">
      <w:pPr>
        <w:keepNext/>
        <w:ind w:left="6372"/>
        <w:jc w:val="right"/>
        <w:rPr>
          <w:sz w:val="16"/>
          <w:szCs w:val="16"/>
        </w:rPr>
      </w:pPr>
      <w:r w:rsidRPr="006654FA">
        <w:rPr>
          <w:sz w:val="16"/>
          <w:szCs w:val="16"/>
        </w:rPr>
        <w:t>Zdroj: MF SR, ARDAL</w:t>
      </w:r>
    </w:p>
    <w:p w14:paraId="5CB017F7" w14:textId="77777777" w:rsidR="003A0696" w:rsidRPr="004B66A0" w:rsidRDefault="003A0696" w:rsidP="003A0696">
      <w:pPr>
        <w:spacing w:line="240" w:lineRule="auto"/>
        <w:rPr>
          <w:sz w:val="24"/>
          <w:szCs w:val="24"/>
          <w:highlight w:val="green"/>
        </w:rPr>
      </w:pPr>
      <w:r w:rsidRPr="00204253">
        <w:rPr>
          <w:sz w:val="24"/>
          <w:szCs w:val="24"/>
        </w:rPr>
        <w:t xml:space="preserve">Potreba financovania podľa štátneho rozpočtu pre rok 2022 bola plánovaná v hodnote 6 788 231 tis. eur Na skutočnú potrebu financovania v roku 2022 pozitívne vplývalo lacnejšie </w:t>
      </w:r>
      <w:proofErr w:type="spellStart"/>
      <w:r w:rsidRPr="00204253">
        <w:rPr>
          <w:sz w:val="24"/>
          <w:szCs w:val="24"/>
        </w:rPr>
        <w:t>predfinancovanie</w:t>
      </w:r>
      <w:proofErr w:type="spellEnd"/>
      <w:r w:rsidRPr="00204253">
        <w:rPr>
          <w:sz w:val="24"/>
          <w:szCs w:val="24"/>
        </w:rPr>
        <w:t xml:space="preserve"> v roku 2021, výrazný nárast bilancie Štátnej pokladnice najmä z dôvodu inflačných príjmov a lepší vývoj štátneho rozpočtu. Na základe týchto predpokladov </w:t>
      </w:r>
      <w:proofErr w:type="spellStart"/>
      <w:r w:rsidRPr="00204253">
        <w:rPr>
          <w:sz w:val="24"/>
          <w:szCs w:val="24"/>
        </w:rPr>
        <w:t>Ardal</w:t>
      </w:r>
      <w:proofErr w:type="spellEnd"/>
      <w:r w:rsidRPr="00204253">
        <w:rPr>
          <w:sz w:val="24"/>
          <w:szCs w:val="24"/>
        </w:rPr>
        <w:t xml:space="preserve"> zredukovala pôvodne očakávanú celoročnú potrebu financovania na konečných </w:t>
      </w:r>
      <w:r w:rsidRPr="00D474F3">
        <w:rPr>
          <w:sz w:val="24"/>
          <w:szCs w:val="24"/>
        </w:rPr>
        <w:t xml:space="preserve">5 215 000 tis. eur. </w:t>
      </w:r>
      <w:r>
        <w:rPr>
          <w:sz w:val="24"/>
          <w:szCs w:val="24"/>
        </w:rPr>
        <w:t xml:space="preserve">Upravený emisný plán na rok 2022 bol naplnený na 100 %. V roku </w:t>
      </w:r>
      <w:r w:rsidRPr="00D474F3">
        <w:rPr>
          <w:sz w:val="24"/>
          <w:szCs w:val="24"/>
        </w:rPr>
        <w:t xml:space="preserve">prišlo k splateniu štátnych dlhopisov vydaných v predchádzajúcich rokoch vo výške 1 403 771 tis. eur. Štátny dlh medziročne vzrástol o 1 960 462 tis. eur, potreba krytia hotovostného schodku bola v roku 4 524 852 tis. eur, </w:t>
      </w:r>
      <w:r w:rsidRPr="004B66A0">
        <w:rPr>
          <w:sz w:val="24"/>
          <w:szCs w:val="24"/>
        </w:rPr>
        <w:t>pričom schodok bol rozpočtovaný v hodnote 5 473 518 tis. eur</w:t>
      </w:r>
      <w:r>
        <w:rPr>
          <w:sz w:val="24"/>
          <w:szCs w:val="24"/>
        </w:rPr>
        <w:t>.</w:t>
      </w:r>
    </w:p>
    <w:p w14:paraId="6A945604" w14:textId="77777777" w:rsidR="003A0696" w:rsidRPr="00062FFE" w:rsidRDefault="003A0696" w:rsidP="003A0696">
      <w:pPr>
        <w:spacing w:line="240" w:lineRule="auto"/>
        <w:rPr>
          <w:sz w:val="24"/>
          <w:szCs w:val="24"/>
          <w:highlight w:val="yellow"/>
        </w:rPr>
      </w:pPr>
      <w:r w:rsidRPr="004B66A0">
        <w:rPr>
          <w:sz w:val="24"/>
          <w:szCs w:val="24"/>
        </w:rPr>
        <w:t xml:space="preserve">Ministerstvo financií SR v mene Slovenskej republiky prijíma úvery od medzinárodných finančných inštitúcií, a to na podporu národných projektov v oblasti budovania cestnej infraštruktúry, životného prostredia, poľnohospodárstva, informatizácie a podobne. Z prostriedkov sa spolufinancujú aj spoločné projekty SR a EÚ financované európskymi štrukturálnymi fondmi a Kohéznym fondom. Z hodnoty týchto úverov tvoria úvery od Európskej investičnej banky 2 250 724 tis. eur a úvery od Rozvojovej banky Rady Európy 855 000 tis. eur. V priebehu roka 2022 boli z ďalšej úverovej </w:t>
      </w:r>
      <w:proofErr w:type="spellStart"/>
      <w:r w:rsidRPr="004B66A0">
        <w:rPr>
          <w:sz w:val="24"/>
          <w:szCs w:val="24"/>
        </w:rPr>
        <w:t>tranže</w:t>
      </w:r>
      <w:proofErr w:type="spellEnd"/>
      <w:r w:rsidRPr="004B66A0">
        <w:rPr>
          <w:sz w:val="24"/>
          <w:szCs w:val="24"/>
        </w:rPr>
        <w:t xml:space="preserve"> prijaté prostriedky od Európskej investičnej banky vo výške 100 000 tis. eur.</w:t>
      </w:r>
    </w:p>
    <w:p w14:paraId="57B4B7E2" w14:textId="77777777" w:rsidR="003A0696" w:rsidRPr="007D68FA" w:rsidRDefault="003A0696" w:rsidP="003A0696">
      <w:pPr>
        <w:spacing w:line="240" w:lineRule="auto"/>
        <w:rPr>
          <w:sz w:val="24"/>
          <w:szCs w:val="24"/>
        </w:rPr>
      </w:pPr>
      <w:r w:rsidRPr="007D68FA">
        <w:rPr>
          <w:sz w:val="24"/>
          <w:szCs w:val="24"/>
        </w:rPr>
        <w:t xml:space="preserve">Hodnota zábezpek medziročne klesla o 117 665 tis. eur, pričom pasívny </w:t>
      </w:r>
      <w:proofErr w:type="spellStart"/>
      <w:r w:rsidRPr="007D68FA">
        <w:rPr>
          <w:sz w:val="24"/>
          <w:szCs w:val="24"/>
        </w:rPr>
        <w:t>kolaterál</w:t>
      </w:r>
      <w:proofErr w:type="spellEnd"/>
      <w:r w:rsidRPr="007D68FA">
        <w:rPr>
          <w:sz w:val="24"/>
          <w:szCs w:val="24"/>
        </w:rPr>
        <w:t xml:space="preserve"> z derivátových operácií klesol o 129 610 tis. eur a zábezpeky jednotlivých štátnych rozpočtových organizácií naopak vzrástli o 11 945 tis. eur.</w:t>
      </w:r>
    </w:p>
    <w:p w14:paraId="4AFF5089" w14:textId="77777777" w:rsidR="003A0696" w:rsidRDefault="003A0696" w:rsidP="003A0696">
      <w:pPr>
        <w:spacing w:line="240" w:lineRule="auto"/>
        <w:rPr>
          <w:sz w:val="24"/>
          <w:szCs w:val="24"/>
        </w:rPr>
      </w:pPr>
      <w:r w:rsidRPr="00786009">
        <w:rPr>
          <w:b/>
          <w:sz w:val="24"/>
          <w:szCs w:val="24"/>
        </w:rPr>
        <w:lastRenderedPageBreak/>
        <w:t>Z hľadiska pôvodnej splatnosti</w:t>
      </w:r>
      <w:r w:rsidRPr="00786009">
        <w:rPr>
          <w:sz w:val="24"/>
          <w:szCs w:val="24"/>
        </w:rPr>
        <w:t xml:space="preserve"> je štátny dlh z 99,5 % dlhodobý (60 873 088 tis. eur). Krátkodobý štátny dlh, ktorý predstavuje 0,5 %, je z rozhodujúcej časti tvorený zábezpekami vo výške 134 694 tis. eur (z toho </w:t>
      </w:r>
      <w:r>
        <w:rPr>
          <w:sz w:val="24"/>
          <w:szCs w:val="24"/>
        </w:rPr>
        <w:t>13</w:t>
      </w:r>
      <w:r w:rsidRPr="00786009">
        <w:rPr>
          <w:sz w:val="24"/>
          <w:szCs w:val="24"/>
        </w:rPr>
        <w:t> </w:t>
      </w:r>
      <w:r>
        <w:rPr>
          <w:sz w:val="24"/>
          <w:szCs w:val="24"/>
        </w:rPr>
        <w:t>400</w:t>
      </w:r>
      <w:r w:rsidRPr="00786009">
        <w:rPr>
          <w:sz w:val="24"/>
          <w:szCs w:val="24"/>
        </w:rPr>
        <w:t xml:space="preserve"> tis. eur tvorí pasívny </w:t>
      </w:r>
      <w:proofErr w:type="spellStart"/>
      <w:r w:rsidRPr="00786009">
        <w:rPr>
          <w:sz w:val="24"/>
          <w:szCs w:val="24"/>
        </w:rPr>
        <w:t>kolaterál</w:t>
      </w:r>
      <w:proofErr w:type="spellEnd"/>
      <w:r w:rsidRPr="00786009">
        <w:rPr>
          <w:sz w:val="24"/>
          <w:szCs w:val="24"/>
        </w:rPr>
        <w:t xml:space="preserve"> z derivátových operácií uskutočnených na zabezpečenie dlhu v cudzej mene proti kurzovému riziku). Zvyšnú časť krátkodobého dlhu predstavujú záväzky z vkladov tých klientov Štátnej pokladnice, ktorí nie sú zaradení v sektore verejnej správy v hodnote 197 082 tis. eur. Podrobnú štruktúru štátneho dlhu podľa pôvodnej splatnosti poskytuje nasledujúci prehľad.</w:t>
      </w:r>
    </w:p>
    <w:tbl>
      <w:tblPr>
        <w:tblW w:w="5022" w:type="pct"/>
        <w:tblCellMar>
          <w:left w:w="70" w:type="dxa"/>
          <w:right w:w="70" w:type="dxa"/>
        </w:tblCellMar>
        <w:tblLook w:val="04A0" w:firstRow="1" w:lastRow="0" w:firstColumn="1" w:lastColumn="0" w:noHBand="0" w:noVBand="1"/>
      </w:tblPr>
      <w:tblGrid>
        <w:gridCol w:w="3828"/>
        <w:gridCol w:w="1538"/>
        <w:gridCol w:w="1681"/>
        <w:gridCol w:w="1227"/>
        <w:gridCol w:w="981"/>
      </w:tblGrid>
      <w:tr w:rsidR="003A0696" w:rsidRPr="00786009" w14:paraId="0C584267" w14:textId="77777777" w:rsidTr="003A0696">
        <w:trPr>
          <w:trHeight w:val="300"/>
          <w:tblHeader/>
        </w:trPr>
        <w:tc>
          <w:tcPr>
            <w:tcW w:w="4470" w:type="pct"/>
            <w:gridSpan w:val="4"/>
            <w:tcBorders>
              <w:top w:val="nil"/>
              <w:left w:val="nil"/>
              <w:bottom w:val="single" w:sz="4" w:space="0" w:color="auto"/>
              <w:right w:val="nil"/>
            </w:tcBorders>
            <w:shd w:val="clear" w:color="auto" w:fill="auto"/>
            <w:noWrap/>
            <w:vAlign w:val="center"/>
            <w:hideMark/>
          </w:tcPr>
          <w:p w14:paraId="3FC18624" w14:textId="77777777" w:rsidR="003A0696" w:rsidRPr="00786009" w:rsidRDefault="003A0696" w:rsidP="003A0696">
            <w:pPr>
              <w:spacing w:after="0" w:line="240" w:lineRule="auto"/>
              <w:jc w:val="left"/>
              <w:rPr>
                <w:rFonts w:eastAsia="Times New Roman" w:cs="Times New Roman"/>
                <w:b/>
                <w:bCs/>
                <w:color w:val="5B9BD5"/>
                <w:sz w:val="20"/>
                <w:szCs w:val="20"/>
                <w:lang w:eastAsia="sk-SK"/>
              </w:rPr>
            </w:pPr>
            <w:r w:rsidRPr="00786009">
              <w:rPr>
                <w:rFonts w:eastAsia="Times New Roman" w:cs="Times New Roman"/>
                <w:b/>
                <w:bCs/>
                <w:color w:val="5B9BD5"/>
                <w:sz w:val="20"/>
                <w:szCs w:val="20"/>
                <w:lang w:eastAsia="sk-SK"/>
              </w:rPr>
              <w:t>Tabuľka 1</w:t>
            </w:r>
            <w:r>
              <w:rPr>
                <w:rFonts w:eastAsia="Times New Roman" w:cs="Times New Roman"/>
                <w:b/>
                <w:bCs/>
                <w:color w:val="5B9BD5"/>
                <w:sz w:val="20"/>
                <w:szCs w:val="20"/>
                <w:lang w:eastAsia="sk-SK"/>
              </w:rPr>
              <w:t>8</w:t>
            </w:r>
            <w:r w:rsidRPr="00786009">
              <w:rPr>
                <w:rFonts w:eastAsia="Times New Roman" w:cs="Times New Roman"/>
                <w:b/>
                <w:bCs/>
                <w:color w:val="5B9BD5"/>
                <w:sz w:val="20"/>
                <w:szCs w:val="20"/>
                <w:lang w:eastAsia="sk-SK"/>
              </w:rPr>
              <w:t xml:space="preserve"> - Štátny dlh podľa pôvodnej splatnosti</w:t>
            </w:r>
          </w:p>
        </w:tc>
        <w:tc>
          <w:tcPr>
            <w:tcW w:w="530" w:type="pct"/>
            <w:tcBorders>
              <w:top w:val="nil"/>
              <w:left w:val="nil"/>
              <w:bottom w:val="single" w:sz="4" w:space="0" w:color="auto"/>
              <w:right w:val="nil"/>
            </w:tcBorders>
            <w:shd w:val="clear" w:color="auto" w:fill="auto"/>
            <w:noWrap/>
            <w:vAlign w:val="center"/>
            <w:hideMark/>
          </w:tcPr>
          <w:p w14:paraId="7E43DBE8" w14:textId="77777777" w:rsidR="003A0696" w:rsidRPr="00786009" w:rsidRDefault="003A0696" w:rsidP="003A0696">
            <w:pPr>
              <w:spacing w:after="0" w:line="240" w:lineRule="auto"/>
              <w:jc w:val="right"/>
              <w:rPr>
                <w:rFonts w:eastAsia="Times New Roman" w:cs="Times New Roman"/>
                <w:b/>
                <w:bCs/>
                <w:color w:val="FFFFFF"/>
                <w:sz w:val="20"/>
                <w:szCs w:val="20"/>
                <w:lang w:eastAsia="sk-SK"/>
              </w:rPr>
            </w:pPr>
            <w:r w:rsidRPr="00786009">
              <w:rPr>
                <w:rFonts w:eastAsia="Times New Roman" w:cs="Times New Roman"/>
                <w:b/>
                <w:bCs/>
                <w:color w:val="FFFFFF"/>
                <w:sz w:val="20"/>
                <w:szCs w:val="20"/>
                <w:lang w:eastAsia="sk-SK"/>
              </w:rPr>
              <w:t>v %</w:t>
            </w:r>
          </w:p>
        </w:tc>
      </w:tr>
      <w:tr w:rsidR="003A0696" w:rsidRPr="00786009" w14:paraId="7D9F0F0B" w14:textId="77777777" w:rsidTr="003A0696">
        <w:trPr>
          <w:trHeight w:val="300"/>
          <w:tblHeader/>
        </w:trPr>
        <w:tc>
          <w:tcPr>
            <w:tcW w:w="2068" w:type="pct"/>
            <w:vMerge w:val="restart"/>
            <w:tcBorders>
              <w:top w:val="single" w:sz="4" w:space="0" w:color="auto"/>
              <w:left w:val="nil"/>
              <w:bottom w:val="single" w:sz="4" w:space="0" w:color="000000"/>
              <w:right w:val="nil"/>
            </w:tcBorders>
            <w:shd w:val="clear" w:color="auto" w:fill="auto"/>
            <w:vAlign w:val="center"/>
            <w:hideMark/>
          </w:tcPr>
          <w:p w14:paraId="30F82B48" w14:textId="77777777" w:rsidR="003A0696" w:rsidRPr="00786009" w:rsidRDefault="003A0696" w:rsidP="003A0696">
            <w:pPr>
              <w:spacing w:after="0" w:line="240" w:lineRule="auto"/>
              <w:rPr>
                <w:rFonts w:eastAsia="Times New Roman" w:cs="Times New Roman"/>
                <w:b/>
                <w:bCs/>
                <w:sz w:val="20"/>
                <w:szCs w:val="20"/>
                <w:lang w:eastAsia="sk-SK"/>
              </w:rPr>
            </w:pPr>
            <w:r w:rsidRPr="00786009">
              <w:rPr>
                <w:rFonts w:eastAsia="Times New Roman" w:cs="Times New Roman"/>
                <w:b/>
                <w:bCs/>
                <w:sz w:val="20"/>
                <w:szCs w:val="20"/>
                <w:lang w:eastAsia="sk-SK"/>
              </w:rPr>
              <w:t>v %</w:t>
            </w:r>
          </w:p>
        </w:tc>
        <w:tc>
          <w:tcPr>
            <w:tcW w:w="831" w:type="pct"/>
            <w:vMerge w:val="restart"/>
            <w:tcBorders>
              <w:top w:val="single" w:sz="4" w:space="0" w:color="auto"/>
              <w:left w:val="nil"/>
              <w:bottom w:val="single" w:sz="4" w:space="0" w:color="000000"/>
              <w:right w:val="nil"/>
            </w:tcBorders>
            <w:shd w:val="clear" w:color="auto" w:fill="auto"/>
            <w:vAlign w:val="center"/>
            <w:hideMark/>
          </w:tcPr>
          <w:p w14:paraId="3BA13609" w14:textId="77777777" w:rsidR="003A0696" w:rsidRPr="00786009" w:rsidRDefault="003A0696" w:rsidP="003A0696">
            <w:pPr>
              <w:spacing w:after="0" w:line="240" w:lineRule="auto"/>
              <w:jc w:val="center"/>
              <w:rPr>
                <w:rFonts w:eastAsia="Times New Roman" w:cs="Times New Roman"/>
                <w:b/>
                <w:bCs/>
                <w:sz w:val="20"/>
                <w:szCs w:val="20"/>
                <w:lang w:eastAsia="sk-SK"/>
              </w:rPr>
            </w:pPr>
            <w:r w:rsidRPr="00786009">
              <w:rPr>
                <w:rFonts w:eastAsia="Times New Roman" w:cs="Times New Roman"/>
                <w:b/>
                <w:bCs/>
                <w:sz w:val="20"/>
                <w:szCs w:val="20"/>
                <w:lang w:eastAsia="sk-SK"/>
              </w:rPr>
              <w:t>Štátne dlhopisy a ŠPP</w:t>
            </w:r>
          </w:p>
        </w:tc>
        <w:tc>
          <w:tcPr>
            <w:tcW w:w="908" w:type="pct"/>
            <w:vMerge w:val="restart"/>
            <w:tcBorders>
              <w:top w:val="single" w:sz="4" w:space="0" w:color="auto"/>
              <w:left w:val="nil"/>
              <w:bottom w:val="single" w:sz="4" w:space="0" w:color="000000"/>
              <w:right w:val="nil"/>
            </w:tcBorders>
            <w:shd w:val="clear" w:color="auto" w:fill="auto"/>
            <w:vAlign w:val="center"/>
            <w:hideMark/>
          </w:tcPr>
          <w:p w14:paraId="32A2B8AF" w14:textId="77777777" w:rsidR="003A0696" w:rsidRPr="00786009" w:rsidRDefault="003A0696" w:rsidP="003A0696">
            <w:pPr>
              <w:spacing w:after="0" w:line="240" w:lineRule="auto"/>
              <w:jc w:val="center"/>
              <w:rPr>
                <w:rFonts w:eastAsia="Times New Roman" w:cs="Times New Roman"/>
                <w:b/>
                <w:bCs/>
                <w:sz w:val="20"/>
                <w:szCs w:val="20"/>
                <w:lang w:eastAsia="sk-SK"/>
              </w:rPr>
            </w:pPr>
            <w:r w:rsidRPr="00786009">
              <w:rPr>
                <w:rFonts w:eastAsia="Times New Roman" w:cs="Times New Roman"/>
                <w:b/>
                <w:bCs/>
                <w:sz w:val="20"/>
                <w:szCs w:val="20"/>
                <w:lang w:eastAsia="sk-SK"/>
              </w:rPr>
              <w:t>Bankové úvery a iné pôžičky</w:t>
            </w:r>
          </w:p>
        </w:tc>
        <w:tc>
          <w:tcPr>
            <w:tcW w:w="661" w:type="pct"/>
            <w:vMerge w:val="restart"/>
            <w:tcBorders>
              <w:top w:val="single" w:sz="4" w:space="0" w:color="auto"/>
              <w:left w:val="nil"/>
              <w:bottom w:val="single" w:sz="4" w:space="0" w:color="000000"/>
              <w:right w:val="nil"/>
            </w:tcBorders>
            <w:shd w:val="clear" w:color="auto" w:fill="auto"/>
            <w:vAlign w:val="center"/>
            <w:hideMark/>
          </w:tcPr>
          <w:p w14:paraId="2793DB01" w14:textId="77777777" w:rsidR="003A0696" w:rsidRPr="00786009" w:rsidRDefault="003A0696" w:rsidP="003A0696">
            <w:pPr>
              <w:spacing w:after="0" w:line="240" w:lineRule="auto"/>
              <w:jc w:val="center"/>
              <w:rPr>
                <w:rFonts w:eastAsia="Times New Roman" w:cs="Times New Roman"/>
                <w:b/>
                <w:bCs/>
                <w:sz w:val="20"/>
                <w:szCs w:val="20"/>
                <w:lang w:eastAsia="sk-SK"/>
              </w:rPr>
            </w:pPr>
            <w:r w:rsidRPr="00786009">
              <w:rPr>
                <w:rFonts w:eastAsia="Times New Roman" w:cs="Times New Roman"/>
                <w:b/>
                <w:bCs/>
                <w:sz w:val="20"/>
                <w:szCs w:val="20"/>
                <w:lang w:eastAsia="sk-SK"/>
              </w:rPr>
              <w:t>Ostatné záväzky</w:t>
            </w:r>
          </w:p>
        </w:tc>
        <w:tc>
          <w:tcPr>
            <w:tcW w:w="530" w:type="pct"/>
            <w:vMerge w:val="restart"/>
            <w:tcBorders>
              <w:top w:val="single" w:sz="4" w:space="0" w:color="auto"/>
              <w:left w:val="nil"/>
              <w:bottom w:val="single" w:sz="4" w:space="0" w:color="000000"/>
              <w:right w:val="nil"/>
            </w:tcBorders>
            <w:shd w:val="clear" w:color="auto" w:fill="auto"/>
            <w:vAlign w:val="center"/>
            <w:hideMark/>
          </w:tcPr>
          <w:p w14:paraId="6E458F80" w14:textId="77777777" w:rsidR="003A0696" w:rsidRPr="00786009" w:rsidRDefault="003A0696" w:rsidP="003A0696">
            <w:pPr>
              <w:spacing w:after="0" w:line="240" w:lineRule="auto"/>
              <w:jc w:val="center"/>
              <w:rPr>
                <w:rFonts w:eastAsia="Times New Roman" w:cs="Times New Roman"/>
                <w:b/>
                <w:bCs/>
                <w:sz w:val="20"/>
                <w:szCs w:val="20"/>
                <w:lang w:eastAsia="sk-SK"/>
              </w:rPr>
            </w:pPr>
            <w:r w:rsidRPr="00786009">
              <w:rPr>
                <w:rFonts w:eastAsia="Times New Roman" w:cs="Times New Roman"/>
                <w:b/>
                <w:bCs/>
                <w:sz w:val="20"/>
                <w:szCs w:val="20"/>
                <w:lang w:eastAsia="sk-SK"/>
              </w:rPr>
              <w:t>Spolu</w:t>
            </w:r>
          </w:p>
        </w:tc>
      </w:tr>
      <w:tr w:rsidR="003A0696" w:rsidRPr="00786009" w14:paraId="0E84E96B" w14:textId="77777777" w:rsidTr="003A0696">
        <w:trPr>
          <w:trHeight w:val="433"/>
        </w:trPr>
        <w:tc>
          <w:tcPr>
            <w:tcW w:w="2068" w:type="pct"/>
            <w:vMerge/>
            <w:tcBorders>
              <w:top w:val="single" w:sz="4" w:space="0" w:color="auto"/>
              <w:left w:val="nil"/>
              <w:bottom w:val="single" w:sz="4" w:space="0" w:color="000000"/>
              <w:right w:val="nil"/>
            </w:tcBorders>
            <w:vAlign w:val="center"/>
            <w:hideMark/>
          </w:tcPr>
          <w:p w14:paraId="5A11086A" w14:textId="77777777" w:rsidR="003A0696" w:rsidRPr="00786009" w:rsidRDefault="003A0696" w:rsidP="003A0696">
            <w:pPr>
              <w:spacing w:after="0" w:line="240" w:lineRule="auto"/>
              <w:jc w:val="left"/>
              <w:rPr>
                <w:rFonts w:eastAsia="Times New Roman" w:cs="Times New Roman"/>
                <w:b/>
                <w:bCs/>
                <w:sz w:val="20"/>
                <w:szCs w:val="20"/>
                <w:lang w:eastAsia="sk-SK"/>
              </w:rPr>
            </w:pPr>
          </w:p>
        </w:tc>
        <w:tc>
          <w:tcPr>
            <w:tcW w:w="831" w:type="pct"/>
            <w:vMerge/>
            <w:tcBorders>
              <w:top w:val="single" w:sz="4" w:space="0" w:color="auto"/>
              <w:left w:val="nil"/>
              <w:bottom w:val="single" w:sz="4" w:space="0" w:color="000000"/>
              <w:right w:val="nil"/>
            </w:tcBorders>
            <w:vAlign w:val="center"/>
            <w:hideMark/>
          </w:tcPr>
          <w:p w14:paraId="5A7CA83E" w14:textId="77777777" w:rsidR="003A0696" w:rsidRPr="00786009" w:rsidRDefault="003A0696" w:rsidP="003A0696">
            <w:pPr>
              <w:spacing w:after="0" w:line="240" w:lineRule="auto"/>
              <w:jc w:val="left"/>
              <w:rPr>
                <w:rFonts w:eastAsia="Times New Roman" w:cs="Times New Roman"/>
                <w:b/>
                <w:bCs/>
                <w:sz w:val="20"/>
                <w:szCs w:val="20"/>
                <w:lang w:eastAsia="sk-SK"/>
              </w:rPr>
            </w:pPr>
          </w:p>
        </w:tc>
        <w:tc>
          <w:tcPr>
            <w:tcW w:w="908" w:type="pct"/>
            <w:vMerge/>
            <w:tcBorders>
              <w:top w:val="single" w:sz="4" w:space="0" w:color="auto"/>
              <w:left w:val="nil"/>
              <w:bottom w:val="single" w:sz="4" w:space="0" w:color="000000"/>
              <w:right w:val="nil"/>
            </w:tcBorders>
            <w:vAlign w:val="center"/>
            <w:hideMark/>
          </w:tcPr>
          <w:p w14:paraId="7B4F3547" w14:textId="77777777" w:rsidR="003A0696" w:rsidRPr="00786009" w:rsidRDefault="003A0696" w:rsidP="003A0696">
            <w:pPr>
              <w:spacing w:after="0" w:line="240" w:lineRule="auto"/>
              <w:jc w:val="left"/>
              <w:rPr>
                <w:rFonts w:eastAsia="Times New Roman" w:cs="Times New Roman"/>
                <w:b/>
                <w:bCs/>
                <w:sz w:val="20"/>
                <w:szCs w:val="20"/>
                <w:lang w:eastAsia="sk-SK"/>
              </w:rPr>
            </w:pPr>
          </w:p>
        </w:tc>
        <w:tc>
          <w:tcPr>
            <w:tcW w:w="661" w:type="pct"/>
            <w:vMerge/>
            <w:tcBorders>
              <w:top w:val="single" w:sz="4" w:space="0" w:color="auto"/>
              <w:left w:val="nil"/>
              <w:bottom w:val="single" w:sz="4" w:space="0" w:color="000000"/>
              <w:right w:val="nil"/>
            </w:tcBorders>
            <w:vAlign w:val="center"/>
            <w:hideMark/>
          </w:tcPr>
          <w:p w14:paraId="28BBCE12" w14:textId="77777777" w:rsidR="003A0696" w:rsidRPr="00786009" w:rsidRDefault="003A0696" w:rsidP="003A0696">
            <w:pPr>
              <w:spacing w:after="0" w:line="240" w:lineRule="auto"/>
              <w:jc w:val="left"/>
              <w:rPr>
                <w:rFonts w:eastAsia="Times New Roman" w:cs="Times New Roman"/>
                <w:b/>
                <w:bCs/>
                <w:sz w:val="20"/>
                <w:szCs w:val="20"/>
                <w:lang w:eastAsia="sk-SK"/>
              </w:rPr>
            </w:pPr>
          </w:p>
        </w:tc>
        <w:tc>
          <w:tcPr>
            <w:tcW w:w="530" w:type="pct"/>
            <w:vMerge/>
            <w:tcBorders>
              <w:top w:val="single" w:sz="4" w:space="0" w:color="auto"/>
              <w:left w:val="nil"/>
              <w:bottom w:val="single" w:sz="4" w:space="0" w:color="000000"/>
              <w:right w:val="nil"/>
            </w:tcBorders>
            <w:vAlign w:val="center"/>
            <w:hideMark/>
          </w:tcPr>
          <w:p w14:paraId="47DD43F5" w14:textId="77777777" w:rsidR="003A0696" w:rsidRPr="00786009" w:rsidRDefault="003A0696" w:rsidP="003A0696">
            <w:pPr>
              <w:spacing w:after="0" w:line="240" w:lineRule="auto"/>
              <w:jc w:val="left"/>
              <w:rPr>
                <w:rFonts w:eastAsia="Times New Roman" w:cs="Times New Roman"/>
                <w:b/>
                <w:bCs/>
                <w:sz w:val="20"/>
                <w:szCs w:val="20"/>
                <w:lang w:eastAsia="sk-SK"/>
              </w:rPr>
            </w:pPr>
          </w:p>
        </w:tc>
      </w:tr>
      <w:tr w:rsidR="003A0696" w:rsidRPr="00786009" w14:paraId="3F18EF95" w14:textId="77777777" w:rsidTr="003A0696">
        <w:trPr>
          <w:trHeight w:val="300"/>
        </w:trPr>
        <w:tc>
          <w:tcPr>
            <w:tcW w:w="2068" w:type="pct"/>
            <w:tcBorders>
              <w:top w:val="nil"/>
              <w:left w:val="nil"/>
              <w:bottom w:val="nil"/>
              <w:right w:val="nil"/>
            </w:tcBorders>
            <w:shd w:val="clear" w:color="auto" w:fill="auto"/>
            <w:noWrap/>
            <w:vAlign w:val="bottom"/>
            <w:hideMark/>
          </w:tcPr>
          <w:p w14:paraId="1BFB786D" w14:textId="77777777" w:rsidR="003A0696" w:rsidRPr="00786009" w:rsidRDefault="003A0696" w:rsidP="003A0696">
            <w:pPr>
              <w:spacing w:after="0" w:line="240" w:lineRule="auto"/>
              <w:jc w:val="left"/>
              <w:rPr>
                <w:rFonts w:eastAsia="Times New Roman" w:cs="Times New Roman"/>
                <w:sz w:val="20"/>
                <w:szCs w:val="20"/>
                <w:lang w:eastAsia="sk-SK"/>
              </w:rPr>
            </w:pPr>
            <w:r w:rsidRPr="00786009">
              <w:rPr>
                <w:rFonts w:eastAsia="Times New Roman" w:cs="Times New Roman"/>
                <w:sz w:val="20"/>
                <w:szCs w:val="20"/>
                <w:lang w:eastAsia="sk-SK"/>
              </w:rPr>
              <w:t>Do 1 roka</w:t>
            </w:r>
          </w:p>
        </w:tc>
        <w:tc>
          <w:tcPr>
            <w:tcW w:w="831" w:type="pct"/>
            <w:tcBorders>
              <w:top w:val="nil"/>
              <w:left w:val="nil"/>
              <w:bottom w:val="nil"/>
              <w:right w:val="nil"/>
            </w:tcBorders>
            <w:shd w:val="clear" w:color="auto" w:fill="auto"/>
            <w:noWrap/>
            <w:vAlign w:val="bottom"/>
            <w:hideMark/>
          </w:tcPr>
          <w:p w14:paraId="1947BD2D"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0,0</w:t>
            </w:r>
          </w:p>
        </w:tc>
        <w:tc>
          <w:tcPr>
            <w:tcW w:w="908" w:type="pct"/>
            <w:tcBorders>
              <w:top w:val="nil"/>
              <w:left w:val="nil"/>
              <w:bottom w:val="nil"/>
              <w:right w:val="nil"/>
            </w:tcBorders>
            <w:shd w:val="clear" w:color="auto" w:fill="auto"/>
            <w:noWrap/>
            <w:vAlign w:val="bottom"/>
            <w:hideMark/>
          </w:tcPr>
          <w:p w14:paraId="70311713"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0,0</w:t>
            </w:r>
          </w:p>
        </w:tc>
        <w:tc>
          <w:tcPr>
            <w:tcW w:w="661" w:type="pct"/>
            <w:tcBorders>
              <w:top w:val="nil"/>
              <w:left w:val="nil"/>
              <w:bottom w:val="nil"/>
              <w:right w:val="nil"/>
            </w:tcBorders>
            <w:shd w:val="clear" w:color="auto" w:fill="auto"/>
            <w:noWrap/>
            <w:vAlign w:val="bottom"/>
            <w:hideMark/>
          </w:tcPr>
          <w:p w14:paraId="264F28CB"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73,6</w:t>
            </w:r>
          </w:p>
        </w:tc>
        <w:tc>
          <w:tcPr>
            <w:tcW w:w="530" w:type="pct"/>
            <w:tcBorders>
              <w:top w:val="nil"/>
              <w:left w:val="nil"/>
              <w:bottom w:val="nil"/>
              <w:right w:val="nil"/>
            </w:tcBorders>
            <w:shd w:val="clear" w:color="auto" w:fill="auto"/>
            <w:noWrap/>
            <w:vAlign w:val="bottom"/>
            <w:hideMark/>
          </w:tcPr>
          <w:p w14:paraId="45DCB502"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0,5</w:t>
            </w:r>
          </w:p>
        </w:tc>
      </w:tr>
      <w:tr w:rsidR="003A0696" w:rsidRPr="00786009" w14:paraId="4BAF2FD3" w14:textId="77777777" w:rsidTr="003A0696">
        <w:trPr>
          <w:trHeight w:val="300"/>
        </w:trPr>
        <w:tc>
          <w:tcPr>
            <w:tcW w:w="2068" w:type="pct"/>
            <w:tcBorders>
              <w:top w:val="nil"/>
              <w:left w:val="nil"/>
              <w:bottom w:val="nil"/>
              <w:right w:val="nil"/>
            </w:tcBorders>
            <w:shd w:val="clear" w:color="auto" w:fill="auto"/>
            <w:noWrap/>
            <w:vAlign w:val="bottom"/>
            <w:hideMark/>
          </w:tcPr>
          <w:p w14:paraId="3AAC0983" w14:textId="77777777" w:rsidR="003A0696" w:rsidRPr="00786009" w:rsidRDefault="003A0696" w:rsidP="003A0696">
            <w:pPr>
              <w:spacing w:after="0" w:line="240" w:lineRule="auto"/>
              <w:jc w:val="left"/>
              <w:rPr>
                <w:rFonts w:eastAsia="Times New Roman" w:cs="Times New Roman"/>
                <w:sz w:val="20"/>
                <w:szCs w:val="20"/>
                <w:lang w:eastAsia="sk-SK"/>
              </w:rPr>
            </w:pPr>
            <w:r w:rsidRPr="00786009">
              <w:rPr>
                <w:rFonts w:eastAsia="Times New Roman" w:cs="Times New Roman"/>
                <w:sz w:val="20"/>
                <w:szCs w:val="20"/>
                <w:lang w:eastAsia="sk-SK"/>
              </w:rPr>
              <w:t>Do 5 rokov</w:t>
            </w:r>
          </w:p>
        </w:tc>
        <w:tc>
          <w:tcPr>
            <w:tcW w:w="831" w:type="pct"/>
            <w:tcBorders>
              <w:top w:val="nil"/>
              <w:left w:val="nil"/>
              <w:bottom w:val="nil"/>
              <w:right w:val="nil"/>
            </w:tcBorders>
            <w:shd w:val="clear" w:color="auto" w:fill="auto"/>
            <w:noWrap/>
            <w:vAlign w:val="bottom"/>
            <w:hideMark/>
          </w:tcPr>
          <w:p w14:paraId="74F5AD05"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3,7</w:t>
            </w:r>
          </w:p>
        </w:tc>
        <w:tc>
          <w:tcPr>
            <w:tcW w:w="908" w:type="pct"/>
            <w:tcBorders>
              <w:top w:val="nil"/>
              <w:left w:val="nil"/>
              <w:bottom w:val="nil"/>
              <w:right w:val="nil"/>
            </w:tcBorders>
            <w:shd w:val="clear" w:color="auto" w:fill="auto"/>
            <w:noWrap/>
            <w:vAlign w:val="bottom"/>
            <w:hideMark/>
          </w:tcPr>
          <w:p w14:paraId="0FFB8F22"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1,2</w:t>
            </w:r>
          </w:p>
        </w:tc>
        <w:tc>
          <w:tcPr>
            <w:tcW w:w="661" w:type="pct"/>
            <w:tcBorders>
              <w:top w:val="nil"/>
              <w:left w:val="nil"/>
              <w:bottom w:val="nil"/>
              <w:right w:val="nil"/>
            </w:tcBorders>
            <w:shd w:val="clear" w:color="auto" w:fill="auto"/>
            <w:noWrap/>
            <w:vAlign w:val="bottom"/>
            <w:hideMark/>
          </w:tcPr>
          <w:p w14:paraId="40AEB7A2"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26,4</w:t>
            </w:r>
          </w:p>
        </w:tc>
        <w:tc>
          <w:tcPr>
            <w:tcW w:w="530" w:type="pct"/>
            <w:tcBorders>
              <w:top w:val="nil"/>
              <w:left w:val="nil"/>
              <w:bottom w:val="nil"/>
              <w:right w:val="nil"/>
            </w:tcBorders>
            <w:shd w:val="clear" w:color="auto" w:fill="auto"/>
            <w:noWrap/>
            <w:vAlign w:val="bottom"/>
            <w:hideMark/>
          </w:tcPr>
          <w:p w14:paraId="09C7A91B"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3,6</w:t>
            </w:r>
          </w:p>
        </w:tc>
      </w:tr>
      <w:tr w:rsidR="003A0696" w:rsidRPr="00786009" w14:paraId="6DD45B07" w14:textId="77777777" w:rsidTr="003A0696">
        <w:trPr>
          <w:trHeight w:val="300"/>
        </w:trPr>
        <w:tc>
          <w:tcPr>
            <w:tcW w:w="2068" w:type="pct"/>
            <w:tcBorders>
              <w:top w:val="nil"/>
              <w:left w:val="nil"/>
              <w:bottom w:val="nil"/>
              <w:right w:val="nil"/>
            </w:tcBorders>
            <w:shd w:val="clear" w:color="auto" w:fill="auto"/>
            <w:noWrap/>
            <w:vAlign w:val="bottom"/>
            <w:hideMark/>
          </w:tcPr>
          <w:p w14:paraId="1ACA8247" w14:textId="77777777" w:rsidR="003A0696" w:rsidRPr="00786009" w:rsidRDefault="003A0696" w:rsidP="003A0696">
            <w:pPr>
              <w:spacing w:after="0" w:line="240" w:lineRule="auto"/>
              <w:jc w:val="left"/>
              <w:rPr>
                <w:rFonts w:eastAsia="Times New Roman" w:cs="Times New Roman"/>
                <w:sz w:val="20"/>
                <w:szCs w:val="20"/>
                <w:lang w:eastAsia="sk-SK"/>
              </w:rPr>
            </w:pPr>
            <w:r w:rsidRPr="00786009">
              <w:rPr>
                <w:rFonts w:eastAsia="Times New Roman" w:cs="Times New Roman"/>
                <w:sz w:val="20"/>
                <w:szCs w:val="20"/>
                <w:lang w:eastAsia="sk-SK"/>
              </w:rPr>
              <w:t>Do 7 rokov</w:t>
            </w:r>
          </w:p>
        </w:tc>
        <w:tc>
          <w:tcPr>
            <w:tcW w:w="831" w:type="pct"/>
            <w:tcBorders>
              <w:top w:val="nil"/>
              <w:left w:val="nil"/>
              <w:bottom w:val="nil"/>
              <w:right w:val="nil"/>
            </w:tcBorders>
            <w:shd w:val="clear" w:color="auto" w:fill="auto"/>
            <w:noWrap/>
            <w:vAlign w:val="bottom"/>
            <w:hideMark/>
          </w:tcPr>
          <w:p w14:paraId="65F4A25A"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4,9</w:t>
            </w:r>
          </w:p>
        </w:tc>
        <w:tc>
          <w:tcPr>
            <w:tcW w:w="908" w:type="pct"/>
            <w:tcBorders>
              <w:top w:val="nil"/>
              <w:left w:val="nil"/>
              <w:bottom w:val="nil"/>
              <w:right w:val="nil"/>
            </w:tcBorders>
            <w:shd w:val="clear" w:color="auto" w:fill="auto"/>
            <w:noWrap/>
            <w:vAlign w:val="bottom"/>
            <w:hideMark/>
          </w:tcPr>
          <w:p w14:paraId="75053840"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9,3</w:t>
            </w:r>
          </w:p>
        </w:tc>
        <w:tc>
          <w:tcPr>
            <w:tcW w:w="661" w:type="pct"/>
            <w:tcBorders>
              <w:top w:val="nil"/>
              <w:left w:val="nil"/>
              <w:bottom w:val="nil"/>
              <w:right w:val="nil"/>
            </w:tcBorders>
            <w:shd w:val="clear" w:color="auto" w:fill="auto"/>
            <w:noWrap/>
            <w:vAlign w:val="bottom"/>
            <w:hideMark/>
          </w:tcPr>
          <w:p w14:paraId="644BDC1E"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0,0</w:t>
            </w:r>
          </w:p>
        </w:tc>
        <w:tc>
          <w:tcPr>
            <w:tcW w:w="530" w:type="pct"/>
            <w:tcBorders>
              <w:top w:val="nil"/>
              <w:left w:val="nil"/>
              <w:bottom w:val="nil"/>
              <w:right w:val="nil"/>
            </w:tcBorders>
            <w:shd w:val="clear" w:color="auto" w:fill="auto"/>
            <w:noWrap/>
            <w:vAlign w:val="bottom"/>
            <w:hideMark/>
          </w:tcPr>
          <w:p w14:paraId="4D486841"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5,3</w:t>
            </w:r>
          </w:p>
        </w:tc>
      </w:tr>
      <w:tr w:rsidR="003A0696" w:rsidRPr="00786009" w14:paraId="7FC7FC9C" w14:textId="77777777" w:rsidTr="003A0696">
        <w:trPr>
          <w:trHeight w:val="300"/>
        </w:trPr>
        <w:tc>
          <w:tcPr>
            <w:tcW w:w="2068" w:type="pct"/>
            <w:tcBorders>
              <w:top w:val="nil"/>
              <w:left w:val="nil"/>
              <w:bottom w:val="nil"/>
              <w:right w:val="nil"/>
            </w:tcBorders>
            <w:shd w:val="clear" w:color="auto" w:fill="auto"/>
            <w:noWrap/>
            <w:vAlign w:val="bottom"/>
            <w:hideMark/>
          </w:tcPr>
          <w:p w14:paraId="06B51E72" w14:textId="77777777" w:rsidR="003A0696" w:rsidRPr="00786009" w:rsidRDefault="003A0696" w:rsidP="003A0696">
            <w:pPr>
              <w:spacing w:after="0" w:line="240" w:lineRule="auto"/>
              <w:jc w:val="left"/>
              <w:rPr>
                <w:rFonts w:eastAsia="Times New Roman" w:cs="Times New Roman"/>
                <w:sz w:val="20"/>
                <w:szCs w:val="20"/>
                <w:lang w:eastAsia="sk-SK"/>
              </w:rPr>
            </w:pPr>
            <w:r w:rsidRPr="00786009">
              <w:rPr>
                <w:rFonts w:eastAsia="Times New Roman" w:cs="Times New Roman"/>
                <w:sz w:val="20"/>
                <w:szCs w:val="20"/>
                <w:lang w:eastAsia="sk-SK"/>
              </w:rPr>
              <w:t>Do 10 rokov</w:t>
            </w:r>
          </w:p>
        </w:tc>
        <w:tc>
          <w:tcPr>
            <w:tcW w:w="831" w:type="pct"/>
            <w:tcBorders>
              <w:top w:val="nil"/>
              <w:left w:val="nil"/>
              <w:bottom w:val="nil"/>
              <w:right w:val="nil"/>
            </w:tcBorders>
            <w:shd w:val="clear" w:color="auto" w:fill="auto"/>
            <w:noWrap/>
            <w:vAlign w:val="bottom"/>
            <w:hideMark/>
          </w:tcPr>
          <w:p w14:paraId="6D5DBB7A"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6,2</w:t>
            </w:r>
          </w:p>
        </w:tc>
        <w:tc>
          <w:tcPr>
            <w:tcW w:w="908" w:type="pct"/>
            <w:tcBorders>
              <w:top w:val="nil"/>
              <w:left w:val="nil"/>
              <w:bottom w:val="nil"/>
              <w:right w:val="nil"/>
            </w:tcBorders>
            <w:shd w:val="clear" w:color="auto" w:fill="auto"/>
            <w:noWrap/>
            <w:vAlign w:val="bottom"/>
            <w:hideMark/>
          </w:tcPr>
          <w:p w14:paraId="3FEE1CC6"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4,2</w:t>
            </w:r>
          </w:p>
        </w:tc>
        <w:tc>
          <w:tcPr>
            <w:tcW w:w="661" w:type="pct"/>
            <w:tcBorders>
              <w:top w:val="nil"/>
              <w:left w:val="nil"/>
              <w:bottom w:val="nil"/>
              <w:right w:val="nil"/>
            </w:tcBorders>
            <w:shd w:val="clear" w:color="auto" w:fill="auto"/>
            <w:noWrap/>
            <w:vAlign w:val="bottom"/>
            <w:hideMark/>
          </w:tcPr>
          <w:p w14:paraId="2CD2AFAC"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0,0</w:t>
            </w:r>
          </w:p>
        </w:tc>
        <w:tc>
          <w:tcPr>
            <w:tcW w:w="530" w:type="pct"/>
            <w:tcBorders>
              <w:top w:val="nil"/>
              <w:left w:val="nil"/>
              <w:bottom w:val="nil"/>
              <w:right w:val="nil"/>
            </w:tcBorders>
            <w:shd w:val="clear" w:color="auto" w:fill="auto"/>
            <w:noWrap/>
            <w:vAlign w:val="bottom"/>
            <w:hideMark/>
          </w:tcPr>
          <w:p w14:paraId="29AA27DC"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5,9</w:t>
            </w:r>
          </w:p>
        </w:tc>
      </w:tr>
      <w:tr w:rsidR="003A0696" w:rsidRPr="00786009" w14:paraId="62DEA6FA" w14:textId="77777777" w:rsidTr="003A0696">
        <w:trPr>
          <w:trHeight w:val="300"/>
        </w:trPr>
        <w:tc>
          <w:tcPr>
            <w:tcW w:w="2068" w:type="pct"/>
            <w:tcBorders>
              <w:top w:val="nil"/>
              <w:left w:val="nil"/>
              <w:bottom w:val="nil"/>
              <w:right w:val="nil"/>
            </w:tcBorders>
            <w:shd w:val="clear" w:color="auto" w:fill="auto"/>
            <w:noWrap/>
            <w:vAlign w:val="bottom"/>
            <w:hideMark/>
          </w:tcPr>
          <w:p w14:paraId="3632D6C5" w14:textId="77777777" w:rsidR="003A0696" w:rsidRPr="00786009" w:rsidRDefault="003A0696" w:rsidP="003A0696">
            <w:pPr>
              <w:spacing w:after="0" w:line="240" w:lineRule="auto"/>
              <w:jc w:val="left"/>
              <w:rPr>
                <w:rFonts w:eastAsia="Times New Roman" w:cs="Times New Roman"/>
                <w:sz w:val="20"/>
                <w:szCs w:val="20"/>
                <w:lang w:eastAsia="sk-SK"/>
              </w:rPr>
            </w:pPr>
            <w:r w:rsidRPr="00786009">
              <w:rPr>
                <w:rFonts w:eastAsia="Times New Roman" w:cs="Times New Roman"/>
                <w:sz w:val="20"/>
                <w:szCs w:val="20"/>
                <w:lang w:eastAsia="sk-SK"/>
              </w:rPr>
              <w:t>Do 15 rokov</w:t>
            </w:r>
          </w:p>
        </w:tc>
        <w:tc>
          <w:tcPr>
            <w:tcW w:w="831" w:type="pct"/>
            <w:tcBorders>
              <w:top w:val="nil"/>
              <w:left w:val="nil"/>
              <w:bottom w:val="nil"/>
              <w:right w:val="nil"/>
            </w:tcBorders>
            <w:shd w:val="clear" w:color="auto" w:fill="auto"/>
            <w:noWrap/>
            <w:vAlign w:val="bottom"/>
            <w:hideMark/>
          </w:tcPr>
          <w:p w14:paraId="57662532"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41,0</w:t>
            </w:r>
          </w:p>
        </w:tc>
        <w:tc>
          <w:tcPr>
            <w:tcW w:w="908" w:type="pct"/>
            <w:tcBorders>
              <w:top w:val="nil"/>
              <w:left w:val="nil"/>
              <w:bottom w:val="nil"/>
              <w:right w:val="nil"/>
            </w:tcBorders>
            <w:shd w:val="clear" w:color="auto" w:fill="auto"/>
            <w:noWrap/>
            <w:vAlign w:val="bottom"/>
            <w:hideMark/>
          </w:tcPr>
          <w:p w14:paraId="04ADE302"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9,6</w:t>
            </w:r>
          </w:p>
        </w:tc>
        <w:tc>
          <w:tcPr>
            <w:tcW w:w="661" w:type="pct"/>
            <w:tcBorders>
              <w:top w:val="nil"/>
              <w:left w:val="nil"/>
              <w:bottom w:val="nil"/>
              <w:right w:val="nil"/>
            </w:tcBorders>
            <w:shd w:val="clear" w:color="auto" w:fill="auto"/>
            <w:noWrap/>
            <w:vAlign w:val="bottom"/>
            <w:hideMark/>
          </w:tcPr>
          <w:p w14:paraId="1DEA7029"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0,0</w:t>
            </w:r>
          </w:p>
        </w:tc>
        <w:tc>
          <w:tcPr>
            <w:tcW w:w="530" w:type="pct"/>
            <w:tcBorders>
              <w:top w:val="nil"/>
              <w:left w:val="nil"/>
              <w:bottom w:val="nil"/>
              <w:right w:val="nil"/>
            </w:tcBorders>
            <w:shd w:val="clear" w:color="auto" w:fill="auto"/>
            <w:noWrap/>
            <w:vAlign w:val="bottom"/>
            <w:hideMark/>
          </w:tcPr>
          <w:p w14:paraId="45DDA3B8"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37,7</w:t>
            </w:r>
          </w:p>
        </w:tc>
      </w:tr>
      <w:tr w:rsidR="003A0696" w:rsidRPr="00786009" w14:paraId="5E0B3B21" w14:textId="77777777" w:rsidTr="003A0696">
        <w:trPr>
          <w:trHeight w:val="300"/>
        </w:trPr>
        <w:tc>
          <w:tcPr>
            <w:tcW w:w="2068" w:type="pct"/>
            <w:tcBorders>
              <w:top w:val="nil"/>
              <w:left w:val="nil"/>
              <w:bottom w:val="nil"/>
              <w:right w:val="nil"/>
            </w:tcBorders>
            <w:shd w:val="clear" w:color="auto" w:fill="auto"/>
            <w:noWrap/>
            <w:vAlign w:val="bottom"/>
            <w:hideMark/>
          </w:tcPr>
          <w:p w14:paraId="12B8BC8F" w14:textId="77777777" w:rsidR="003A0696" w:rsidRPr="00786009" w:rsidRDefault="003A0696" w:rsidP="003A0696">
            <w:pPr>
              <w:spacing w:after="0" w:line="240" w:lineRule="auto"/>
              <w:jc w:val="left"/>
              <w:rPr>
                <w:rFonts w:eastAsia="Times New Roman" w:cs="Times New Roman"/>
                <w:sz w:val="20"/>
                <w:szCs w:val="20"/>
                <w:lang w:eastAsia="sk-SK"/>
              </w:rPr>
            </w:pPr>
            <w:r w:rsidRPr="00786009">
              <w:rPr>
                <w:rFonts w:eastAsia="Times New Roman" w:cs="Times New Roman"/>
                <w:sz w:val="20"/>
                <w:szCs w:val="20"/>
                <w:lang w:eastAsia="sk-SK"/>
              </w:rPr>
              <w:t>Do 29 rokov</w:t>
            </w:r>
          </w:p>
        </w:tc>
        <w:tc>
          <w:tcPr>
            <w:tcW w:w="831" w:type="pct"/>
            <w:tcBorders>
              <w:top w:val="nil"/>
              <w:left w:val="nil"/>
              <w:bottom w:val="nil"/>
              <w:right w:val="nil"/>
            </w:tcBorders>
            <w:shd w:val="clear" w:color="auto" w:fill="auto"/>
            <w:noWrap/>
            <w:vAlign w:val="bottom"/>
            <w:hideMark/>
          </w:tcPr>
          <w:p w14:paraId="54267777"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34,7</w:t>
            </w:r>
          </w:p>
        </w:tc>
        <w:tc>
          <w:tcPr>
            <w:tcW w:w="908" w:type="pct"/>
            <w:tcBorders>
              <w:top w:val="nil"/>
              <w:left w:val="nil"/>
              <w:bottom w:val="nil"/>
              <w:right w:val="nil"/>
            </w:tcBorders>
            <w:shd w:val="clear" w:color="auto" w:fill="auto"/>
            <w:noWrap/>
            <w:vAlign w:val="bottom"/>
            <w:hideMark/>
          </w:tcPr>
          <w:p w14:paraId="62C1EEF0"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44,4</w:t>
            </w:r>
          </w:p>
        </w:tc>
        <w:tc>
          <w:tcPr>
            <w:tcW w:w="661" w:type="pct"/>
            <w:tcBorders>
              <w:top w:val="nil"/>
              <w:left w:val="nil"/>
              <w:bottom w:val="nil"/>
              <w:right w:val="nil"/>
            </w:tcBorders>
            <w:shd w:val="clear" w:color="auto" w:fill="auto"/>
            <w:noWrap/>
            <w:vAlign w:val="bottom"/>
            <w:hideMark/>
          </w:tcPr>
          <w:p w14:paraId="44F85DCE"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0,0</w:t>
            </w:r>
          </w:p>
        </w:tc>
        <w:tc>
          <w:tcPr>
            <w:tcW w:w="530" w:type="pct"/>
            <w:tcBorders>
              <w:top w:val="nil"/>
              <w:left w:val="nil"/>
              <w:bottom w:val="nil"/>
              <w:right w:val="nil"/>
            </w:tcBorders>
            <w:shd w:val="clear" w:color="auto" w:fill="auto"/>
            <w:noWrap/>
            <w:vAlign w:val="bottom"/>
            <w:hideMark/>
          </w:tcPr>
          <w:p w14:paraId="073381E7"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35,4</w:t>
            </w:r>
          </w:p>
        </w:tc>
      </w:tr>
      <w:tr w:rsidR="003A0696" w:rsidRPr="00786009" w14:paraId="46298A92" w14:textId="77777777" w:rsidTr="003A0696">
        <w:trPr>
          <w:trHeight w:val="300"/>
        </w:trPr>
        <w:tc>
          <w:tcPr>
            <w:tcW w:w="2068" w:type="pct"/>
            <w:tcBorders>
              <w:top w:val="nil"/>
              <w:left w:val="nil"/>
              <w:bottom w:val="nil"/>
              <w:right w:val="nil"/>
            </w:tcBorders>
            <w:shd w:val="clear" w:color="auto" w:fill="auto"/>
            <w:noWrap/>
            <w:vAlign w:val="bottom"/>
            <w:hideMark/>
          </w:tcPr>
          <w:p w14:paraId="6FE85460" w14:textId="77777777" w:rsidR="003A0696" w:rsidRPr="00786009" w:rsidRDefault="003A0696" w:rsidP="003A0696">
            <w:pPr>
              <w:spacing w:after="0" w:line="240" w:lineRule="auto"/>
              <w:jc w:val="left"/>
              <w:rPr>
                <w:rFonts w:eastAsia="Times New Roman" w:cs="Times New Roman"/>
                <w:sz w:val="20"/>
                <w:szCs w:val="20"/>
                <w:lang w:eastAsia="sk-SK"/>
              </w:rPr>
            </w:pPr>
            <w:r w:rsidRPr="00786009">
              <w:rPr>
                <w:rFonts w:eastAsia="Times New Roman" w:cs="Times New Roman"/>
                <w:sz w:val="20"/>
                <w:szCs w:val="20"/>
                <w:lang w:eastAsia="sk-SK"/>
              </w:rPr>
              <w:t>30 rokov a viac</w:t>
            </w:r>
          </w:p>
        </w:tc>
        <w:tc>
          <w:tcPr>
            <w:tcW w:w="831" w:type="pct"/>
            <w:tcBorders>
              <w:top w:val="nil"/>
              <w:left w:val="nil"/>
              <w:bottom w:val="nil"/>
              <w:right w:val="nil"/>
            </w:tcBorders>
            <w:shd w:val="clear" w:color="auto" w:fill="auto"/>
            <w:noWrap/>
            <w:vAlign w:val="bottom"/>
            <w:hideMark/>
          </w:tcPr>
          <w:p w14:paraId="3EF9DC96"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9,5</w:t>
            </w:r>
          </w:p>
        </w:tc>
        <w:tc>
          <w:tcPr>
            <w:tcW w:w="908" w:type="pct"/>
            <w:tcBorders>
              <w:top w:val="nil"/>
              <w:left w:val="nil"/>
              <w:bottom w:val="nil"/>
              <w:right w:val="nil"/>
            </w:tcBorders>
            <w:shd w:val="clear" w:color="auto" w:fill="auto"/>
            <w:noWrap/>
            <w:vAlign w:val="bottom"/>
            <w:hideMark/>
          </w:tcPr>
          <w:p w14:paraId="12904E1F"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31,3</w:t>
            </w:r>
          </w:p>
        </w:tc>
        <w:tc>
          <w:tcPr>
            <w:tcW w:w="661" w:type="pct"/>
            <w:tcBorders>
              <w:top w:val="nil"/>
              <w:left w:val="nil"/>
              <w:bottom w:val="nil"/>
              <w:right w:val="nil"/>
            </w:tcBorders>
            <w:shd w:val="clear" w:color="auto" w:fill="auto"/>
            <w:noWrap/>
            <w:vAlign w:val="bottom"/>
            <w:hideMark/>
          </w:tcPr>
          <w:p w14:paraId="4511B6C1"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0,0</w:t>
            </w:r>
          </w:p>
        </w:tc>
        <w:tc>
          <w:tcPr>
            <w:tcW w:w="530" w:type="pct"/>
            <w:tcBorders>
              <w:top w:val="nil"/>
              <w:left w:val="nil"/>
              <w:bottom w:val="nil"/>
              <w:right w:val="nil"/>
            </w:tcBorders>
            <w:shd w:val="clear" w:color="auto" w:fill="auto"/>
            <w:noWrap/>
            <w:vAlign w:val="bottom"/>
            <w:hideMark/>
          </w:tcPr>
          <w:p w14:paraId="539CEC7E" w14:textId="77777777" w:rsidR="003A0696" w:rsidRPr="00786009" w:rsidRDefault="003A0696" w:rsidP="003A0696">
            <w:pPr>
              <w:spacing w:after="0" w:line="240" w:lineRule="auto"/>
              <w:jc w:val="right"/>
              <w:rPr>
                <w:rFonts w:eastAsia="Times New Roman" w:cs="Times New Roman"/>
                <w:sz w:val="20"/>
                <w:szCs w:val="20"/>
                <w:lang w:eastAsia="sk-SK"/>
              </w:rPr>
            </w:pPr>
            <w:r w:rsidRPr="00786009">
              <w:rPr>
                <w:rFonts w:eastAsia="Times New Roman" w:cs="Times New Roman"/>
                <w:sz w:val="20"/>
                <w:szCs w:val="20"/>
                <w:lang w:eastAsia="sk-SK"/>
              </w:rPr>
              <w:t>11,6</w:t>
            </w:r>
          </w:p>
        </w:tc>
      </w:tr>
      <w:tr w:rsidR="003A0696" w:rsidRPr="00786009" w14:paraId="1B222DA8" w14:textId="77777777" w:rsidTr="003A0696">
        <w:trPr>
          <w:trHeight w:val="300"/>
        </w:trPr>
        <w:tc>
          <w:tcPr>
            <w:tcW w:w="2068" w:type="pct"/>
            <w:tcBorders>
              <w:top w:val="single" w:sz="4" w:space="0" w:color="auto"/>
              <w:left w:val="nil"/>
              <w:bottom w:val="single" w:sz="4" w:space="0" w:color="auto"/>
              <w:right w:val="nil"/>
            </w:tcBorders>
            <w:shd w:val="clear" w:color="auto" w:fill="auto"/>
            <w:noWrap/>
            <w:vAlign w:val="bottom"/>
            <w:hideMark/>
          </w:tcPr>
          <w:p w14:paraId="42B5D2FD" w14:textId="77777777" w:rsidR="003A0696" w:rsidRPr="00786009" w:rsidRDefault="003A0696" w:rsidP="003A0696">
            <w:pPr>
              <w:spacing w:after="0" w:line="240" w:lineRule="auto"/>
              <w:jc w:val="left"/>
              <w:rPr>
                <w:rFonts w:eastAsia="Times New Roman" w:cs="Times New Roman"/>
                <w:b/>
                <w:bCs/>
                <w:sz w:val="20"/>
                <w:szCs w:val="20"/>
                <w:lang w:eastAsia="sk-SK"/>
              </w:rPr>
            </w:pPr>
            <w:r w:rsidRPr="00786009">
              <w:rPr>
                <w:rFonts w:eastAsia="Times New Roman" w:cs="Times New Roman"/>
                <w:b/>
                <w:bCs/>
                <w:sz w:val="20"/>
                <w:szCs w:val="20"/>
                <w:lang w:eastAsia="sk-SK"/>
              </w:rPr>
              <w:t>Spolu</w:t>
            </w:r>
          </w:p>
        </w:tc>
        <w:tc>
          <w:tcPr>
            <w:tcW w:w="831" w:type="pct"/>
            <w:tcBorders>
              <w:top w:val="single" w:sz="4" w:space="0" w:color="auto"/>
              <w:left w:val="nil"/>
              <w:bottom w:val="single" w:sz="4" w:space="0" w:color="auto"/>
              <w:right w:val="nil"/>
            </w:tcBorders>
            <w:shd w:val="clear" w:color="auto" w:fill="auto"/>
            <w:noWrap/>
            <w:vAlign w:val="bottom"/>
            <w:hideMark/>
          </w:tcPr>
          <w:p w14:paraId="546C067B" w14:textId="77777777" w:rsidR="003A0696" w:rsidRPr="00786009" w:rsidRDefault="003A0696" w:rsidP="003A0696">
            <w:pPr>
              <w:spacing w:after="0" w:line="240" w:lineRule="auto"/>
              <w:jc w:val="right"/>
              <w:rPr>
                <w:rFonts w:eastAsia="Times New Roman" w:cs="Times New Roman"/>
                <w:b/>
                <w:bCs/>
                <w:sz w:val="20"/>
                <w:szCs w:val="20"/>
                <w:lang w:eastAsia="sk-SK"/>
              </w:rPr>
            </w:pPr>
            <w:r w:rsidRPr="00786009">
              <w:rPr>
                <w:rFonts w:eastAsia="Times New Roman" w:cs="Times New Roman"/>
                <w:b/>
                <w:bCs/>
                <w:sz w:val="20"/>
                <w:szCs w:val="20"/>
                <w:lang w:eastAsia="sk-SK"/>
              </w:rPr>
              <w:t>100,0</w:t>
            </w:r>
          </w:p>
        </w:tc>
        <w:tc>
          <w:tcPr>
            <w:tcW w:w="908" w:type="pct"/>
            <w:tcBorders>
              <w:top w:val="single" w:sz="4" w:space="0" w:color="auto"/>
              <w:left w:val="nil"/>
              <w:bottom w:val="single" w:sz="4" w:space="0" w:color="auto"/>
              <w:right w:val="nil"/>
            </w:tcBorders>
            <w:shd w:val="clear" w:color="auto" w:fill="auto"/>
            <w:noWrap/>
            <w:vAlign w:val="bottom"/>
            <w:hideMark/>
          </w:tcPr>
          <w:p w14:paraId="4F417CF7" w14:textId="77777777" w:rsidR="003A0696" w:rsidRPr="00786009" w:rsidRDefault="003A0696" w:rsidP="003A0696">
            <w:pPr>
              <w:spacing w:after="0" w:line="240" w:lineRule="auto"/>
              <w:jc w:val="right"/>
              <w:rPr>
                <w:rFonts w:eastAsia="Times New Roman" w:cs="Times New Roman"/>
                <w:b/>
                <w:bCs/>
                <w:sz w:val="20"/>
                <w:szCs w:val="20"/>
                <w:lang w:eastAsia="sk-SK"/>
              </w:rPr>
            </w:pPr>
            <w:r w:rsidRPr="00786009">
              <w:rPr>
                <w:rFonts w:eastAsia="Times New Roman" w:cs="Times New Roman"/>
                <w:b/>
                <w:bCs/>
                <w:sz w:val="20"/>
                <w:szCs w:val="20"/>
                <w:lang w:eastAsia="sk-SK"/>
              </w:rPr>
              <w:t>100,0</w:t>
            </w:r>
          </w:p>
        </w:tc>
        <w:tc>
          <w:tcPr>
            <w:tcW w:w="661" w:type="pct"/>
            <w:tcBorders>
              <w:top w:val="single" w:sz="4" w:space="0" w:color="auto"/>
              <w:left w:val="nil"/>
              <w:bottom w:val="single" w:sz="4" w:space="0" w:color="auto"/>
              <w:right w:val="nil"/>
            </w:tcBorders>
            <w:shd w:val="clear" w:color="auto" w:fill="auto"/>
            <w:noWrap/>
            <w:vAlign w:val="bottom"/>
            <w:hideMark/>
          </w:tcPr>
          <w:p w14:paraId="1E63F93B" w14:textId="77777777" w:rsidR="003A0696" w:rsidRPr="00786009" w:rsidRDefault="003A0696" w:rsidP="003A0696">
            <w:pPr>
              <w:spacing w:after="0" w:line="240" w:lineRule="auto"/>
              <w:jc w:val="right"/>
              <w:rPr>
                <w:rFonts w:eastAsia="Times New Roman" w:cs="Times New Roman"/>
                <w:b/>
                <w:bCs/>
                <w:sz w:val="20"/>
                <w:szCs w:val="20"/>
                <w:lang w:eastAsia="sk-SK"/>
              </w:rPr>
            </w:pPr>
            <w:r w:rsidRPr="00786009">
              <w:rPr>
                <w:rFonts w:eastAsia="Times New Roman" w:cs="Times New Roman"/>
                <w:b/>
                <w:bCs/>
                <w:sz w:val="20"/>
                <w:szCs w:val="20"/>
                <w:lang w:eastAsia="sk-SK"/>
              </w:rPr>
              <w:t>100,0</w:t>
            </w:r>
          </w:p>
        </w:tc>
        <w:tc>
          <w:tcPr>
            <w:tcW w:w="530" w:type="pct"/>
            <w:tcBorders>
              <w:top w:val="single" w:sz="4" w:space="0" w:color="auto"/>
              <w:left w:val="nil"/>
              <w:bottom w:val="single" w:sz="4" w:space="0" w:color="auto"/>
              <w:right w:val="nil"/>
            </w:tcBorders>
            <w:shd w:val="clear" w:color="auto" w:fill="auto"/>
            <w:noWrap/>
            <w:vAlign w:val="bottom"/>
            <w:hideMark/>
          </w:tcPr>
          <w:p w14:paraId="7C5D1CAE" w14:textId="77777777" w:rsidR="003A0696" w:rsidRPr="00786009" w:rsidRDefault="003A0696" w:rsidP="003A0696">
            <w:pPr>
              <w:spacing w:after="0" w:line="240" w:lineRule="auto"/>
              <w:jc w:val="right"/>
              <w:rPr>
                <w:rFonts w:eastAsia="Times New Roman" w:cs="Times New Roman"/>
                <w:b/>
                <w:bCs/>
                <w:sz w:val="20"/>
                <w:szCs w:val="20"/>
                <w:lang w:eastAsia="sk-SK"/>
              </w:rPr>
            </w:pPr>
            <w:r w:rsidRPr="00786009">
              <w:rPr>
                <w:rFonts w:eastAsia="Times New Roman" w:cs="Times New Roman"/>
                <w:b/>
                <w:bCs/>
                <w:sz w:val="20"/>
                <w:szCs w:val="20"/>
                <w:lang w:eastAsia="sk-SK"/>
              </w:rPr>
              <w:t>100,0</w:t>
            </w:r>
          </w:p>
        </w:tc>
      </w:tr>
    </w:tbl>
    <w:p w14:paraId="093E55FC" w14:textId="77777777" w:rsidR="003A0696" w:rsidRPr="006654FA" w:rsidRDefault="003A0696" w:rsidP="003A0696">
      <w:pPr>
        <w:jc w:val="right"/>
        <w:rPr>
          <w:sz w:val="16"/>
          <w:szCs w:val="16"/>
        </w:rPr>
      </w:pPr>
      <w:r w:rsidRPr="00786009">
        <w:rPr>
          <w:sz w:val="18"/>
          <w:szCs w:val="18"/>
        </w:rPr>
        <w:t xml:space="preserve">                                                                                                                                                                      </w:t>
      </w:r>
      <w:r w:rsidRPr="006654FA">
        <w:rPr>
          <w:sz w:val="16"/>
          <w:szCs w:val="16"/>
        </w:rPr>
        <w:t>Zdroj: MF SR, ARDAL</w:t>
      </w:r>
    </w:p>
    <w:p w14:paraId="377550C1" w14:textId="77777777" w:rsidR="003A0696" w:rsidRPr="00391392" w:rsidRDefault="003A0696" w:rsidP="003A0696">
      <w:pPr>
        <w:pStyle w:val="Nadpis3"/>
      </w:pPr>
      <w:bookmarkStart w:id="29" w:name="_Toc132929082"/>
      <w:r w:rsidRPr="00391392">
        <w:t>Maastrichtský dlh ostatných subjektov verejnej správy</w:t>
      </w:r>
      <w:bookmarkEnd w:id="29"/>
    </w:p>
    <w:p w14:paraId="2AA7DC66" w14:textId="77777777" w:rsidR="003A0696" w:rsidRPr="00062FFE" w:rsidRDefault="003A0696" w:rsidP="003A0696">
      <w:pPr>
        <w:spacing w:line="240" w:lineRule="auto"/>
        <w:rPr>
          <w:sz w:val="24"/>
          <w:szCs w:val="24"/>
          <w:highlight w:val="yellow"/>
        </w:rPr>
      </w:pPr>
      <w:r w:rsidRPr="00391392">
        <w:rPr>
          <w:sz w:val="24"/>
          <w:szCs w:val="24"/>
        </w:rPr>
        <w:t>Konsolidovaná hodnota maastrichtského dlhu ostatných subjektov verejnej správy k 31.12.2022 dosiahla 2 173 918 tis. eur</w:t>
      </w:r>
      <w:r w:rsidRPr="00EC2620">
        <w:rPr>
          <w:sz w:val="24"/>
          <w:szCs w:val="24"/>
        </w:rPr>
        <w:t xml:space="preserve">, z toho pre subjekty územnej samosprávy pripadá 1 380 253 tis. eur. </w:t>
      </w:r>
    </w:p>
    <w:p w14:paraId="04BEF832" w14:textId="77777777" w:rsidR="003A0696" w:rsidRDefault="003A0696" w:rsidP="003A0696">
      <w:pPr>
        <w:spacing w:line="240" w:lineRule="auto"/>
        <w:rPr>
          <w:sz w:val="24"/>
          <w:szCs w:val="24"/>
        </w:rPr>
      </w:pPr>
      <w:r w:rsidRPr="00EC2620">
        <w:rPr>
          <w:sz w:val="24"/>
          <w:szCs w:val="24"/>
        </w:rPr>
        <w:t xml:space="preserve">Dlh </w:t>
      </w:r>
      <w:r w:rsidRPr="00EC2620">
        <w:rPr>
          <w:b/>
          <w:sz w:val="24"/>
          <w:szCs w:val="24"/>
        </w:rPr>
        <w:t xml:space="preserve">obcí </w:t>
      </w:r>
      <w:r w:rsidRPr="00EC2620">
        <w:rPr>
          <w:sz w:val="24"/>
          <w:szCs w:val="24"/>
        </w:rPr>
        <w:t>(vrátane ich rozpočtových organizácií)</w:t>
      </w:r>
      <w:r w:rsidRPr="00EC2620">
        <w:rPr>
          <w:b/>
          <w:sz w:val="24"/>
          <w:szCs w:val="24"/>
        </w:rPr>
        <w:t xml:space="preserve"> </w:t>
      </w:r>
      <w:r w:rsidRPr="00EC2620">
        <w:rPr>
          <w:sz w:val="24"/>
          <w:szCs w:val="24"/>
        </w:rPr>
        <w:t>dosiahol v roku 2022 výšku 1 751 497 tis. eur (vrátane záväzkov z pôžičiek od ŠFRB, ENVF a návratných finančných výpomocí zo </w:t>
      </w:r>
      <w:r>
        <w:rPr>
          <w:sz w:val="24"/>
          <w:szCs w:val="24"/>
        </w:rPr>
        <w:t>štátnych</w:t>
      </w:r>
      <w:r w:rsidRPr="00EC2620">
        <w:rPr>
          <w:sz w:val="24"/>
          <w:szCs w:val="24"/>
        </w:rPr>
        <w:t xml:space="preserve"> </w:t>
      </w:r>
      <w:r>
        <w:rPr>
          <w:sz w:val="24"/>
          <w:szCs w:val="24"/>
        </w:rPr>
        <w:t>finančných aktív</w:t>
      </w:r>
      <w:r w:rsidRPr="00EC2620">
        <w:rPr>
          <w:sz w:val="24"/>
          <w:szCs w:val="24"/>
        </w:rPr>
        <w:t>). Oproti stavu v roku 2021 je vyšší o 106 790 tis. eur. Rozhodujúcu časť dlhu obcí tvoria bankové úvery vo výške 818 374 tis. eur a pôžičky od ŠFRB vo výške 721 398 tis. eur. Treťou významnou položkou dlhu obcí sú prijaté návratné finančné výpomoci zo štátnych finančných aktív, vo výške zostatku 136 201 tis. eur. Z hľadiska pôvodnej splatnosti má dlh obcí prevažne dlhodobý charakter (97,9 %) a prevažná časť dlhu obcí je v rukách domácich veriteľov (97,1 %).</w:t>
      </w:r>
    </w:p>
    <w:tbl>
      <w:tblPr>
        <w:tblW w:w="5000" w:type="pct"/>
        <w:tblCellMar>
          <w:left w:w="70" w:type="dxa"/>
          <w:right w:w="70" w:type="dxa"/>
        </w:tblCellMar>
        <w:tblLook w:val="04A0" w:firstRow="1" w:lastRow="0" w:firstColumn="1" w:lastColumn="0" w:noHBand="0" w:noVBand="1"/>
      </w:tblPr>
      <w:tblGrid>
        <w:gridCol w:w="5515"/>
        <w:gridCol w:w="940"/>
        <w:gridCol w:w="940"/>
        <w:gridCol w:w="940"/>
        <w:gridCol w:w="879"/>
      </w:tblGrid>
      <w:tr w:rsidR="003A0696" w:rsidRPr="00386B18" w14:paraId="4CF780A2" w14:textId="77777777" w:rsidTr="003A0696">
        <w:trPr>
          <w:trHeight w:val="300"/>
          <w:tblHeader/>
        </w:trPr>
        <w:tc>
          <w:tcPr>
            <w:tcW w:w="4523" w:type="pct"/>
            <w:gridSpan w:val="4"/>
            <w:tcBorders>
              <w:top w:val="nil"/>
              <w:left w:val="nil"/>
              <w:bottom w:val="single" w:sz="4" w:space="0" w:color="auto"/>
              <w:right w:val="nil"/>
            </w:tcBorders>
            <w:shd w:val="clear" w:color="auto" w:fill="auto"/>
            <w:noWrap/>
            <w:vAlign w:val="center"/>
            <w:hideMark/>
          </w:tcPr>
          <w:p w14:paraId="2D44400D" w14:textId="77777777" w:rsidR="003A0696" w:rsidRPr="00386B18" w:rsidRDefault="003A0696" w:rsidP="003A0696">
            <w:pPr>
              <w:spacing w:after="0" w:line="240" w:lineRule="auto"/>
              <w:jc w:val="left"/>
              <w:rPr>
                <w:rFonts w:eastAsia="Times New Roman" w:cs="Times New Roman"/>
                <w:b/>
                <w:bCs/>
                <w:color w:val="5B9BD5"/>
                <w:sz w:val="20"/>
                <w:szCs w:val="20"/>
                <w:lang w:eastAsia="sk-SK"/>
              </w:rPr>
            </w:pPr>
            <w:r w:rsidRPr="00386B18">
              <w:rPr>
                <w:rFonts w:eastAsia="Times New Roman" w:cs="Times New Roman"/>
                <w:b/>
                <w:bCs/>
                <w:color w:val="5B9BD5"/>
                <w:sz w:val="20"/>
                <w:szCs w:val="20"/>
                <w:lang w:eastAsia="sk-SK"/>
              </w:rPr>
              <w:t>Tabuľka 1</w:t>
            </w:r>
            <w:r>
              <w:rPr>
                <w:rFonts w:eastAsia="Times New Roman" w:cs="Times New Roman"/>
                <w:b/>
                <w:bCs/>
                <w:color w:val="5B9BD5"/>
                <w:sz w:val="20"/>
                <w:szCs w:val="20"/>
                <w:lang w:eastAsia="sk-SK"/>
              </w:rPr>
              <w:t>9</w:t>
            </w:r>
            <w:r w:rsidRPr="00386B18">
              <w:rPr>
                <w:rFonts w:eastAsia="Times New Roman" w:cs="Times New Roman"/>
                <w:b/>
                <w:bCs/>
                <w:color w:val="5B9BD5"/>
                <w:sz w:val="20"/>
                <w:szCs w:val="20"/>
                <w:lang w:eastAsia="sk-SK"/>
              </w:rPr>
              <w:t xml:space="preserve"> - Dlh obcí podľa dlhového nástroja</w:t>
            </w:r>
          </w:p>
        </w:tc>
        <w:tc>
          <w:tcPr>
            <w:tcW w:w="477" w:type="pct"/>
            <w:tcBorders>
              <w:top w:val="nil"/>
              <w:left w:val="nil"/>
              <w:bottom w:val="single" w:sz="4" w:space="0" w:color="auto"/>
              <w:right w:val="nil"/>
            </w:tcBorders>
            <w:shd w:val="clear" w:color="auto" w:fill="auto"/>
            <w:noWrap/>
            <w:vAlign w:val="center"/>
            <w:hideMark/>
          </w:tcPr>
          <w:p w14:paraId="2E59FACE" w14:textId="77777777" w:rsidR="003A0696" w:rsidRPr="00386B18" w:rsidRDefault="003A0696" w:rsidP="003A0696">
            <w:pPr>
              <w:spacing w:after="0" w:line="240" w:lineRule="auto"/>
              <w:jc w:val="right"/>
              <w:rPr>
                <w:rFonts w:eastAsia="Times New Roman" w:cs="Times New Roman"/>
                <w:b/>
                <w:bCs/>
                <w:color w:val="FFFFFF"/>
                <w:sz w:val="20"/>
                <w:szCs w:val="20"/>
                <w:lang w:eastAsia="sk-SK"/>
              </w:rPr>
            </w:pPr>
            <w:r w:rsidRPr="00386B18">
              <w:rPr>
                <w:rFonts w:eastAsia="Times New Roman" w:cs="Times New Roman"/>
                <w:b/>
                <w:bCs/>
                <w:color w:val="FFFFFF"/>
                <w:sz w:val="20"/>
                <w:szCs w:val="20"/>
                <w:lang w:eastAsia="sk-SK"/>
              </w:rPr>
              <w:t>v tis. eur</w:t>
            </w:r>
          </w:p>
        </w:tc>
      </w:tr>
      <w:tr w:rsidR="003A0696" w:rsidRPr="00386B18" w14:paraId="4BB08E71" w14:textId="77777777" w:rsidTr="003A0696">
        <w:trPr>
          <w:trHeight w:val="300"/>
          <w:tblHeader/>
        </w:trPr>
        <w:tc>
          <w:tcPr>
            <w:tcW w:w="2993" w:type="pct"/>
            <w:vMerge w:val="restart"/>
            <w:tcBorders>
              <w:top w:val="single" w:sz="4" w:space="0" w:color="auto"/>
              <w:left w:val="nil"/>
              <w:bottom w:val="single" w:sz="4" w:space="0" w:color="000000"/>
              <w:right w:val="nil"/>
            </w:tcBorders>
            <w:shd w:val="clear" w:color="auto" w:fill="auto"/>
            <w:vAlign w:val="center"/>
            <w:hideMark/>
          </w:tcPr>
          <w:p w14:paraId="4E0EB1D9" w14:textId="77777777" w:rsidR="003A0696" w:rsidRPr="00386B18" w:rsidRDefault="003A0696" w:rsidP="003A0696">
            <w:pPr>
              <w:spacing w:after="0" w:line="240" w:lineRule="auto"/>
              <w:rPr>
                <w:rFonts w:eastAsia="Times New Roman" w:cs="Times New Roman"/>
                <w:b/>
                <w:bCs/>
                <w:sz w:val="20"/>
                <w:szCs w:val="20"/>
                <w:lang w:eastAsia="sk-SK"/>
              </w:rPr>
            </w:pPr>
            <w:r w:rsidRPr="00386B18">
              <w:rPr>
                <w:rFonts w:eastAsia="Times New Roman" w:cs="Times New Roman"/>
                <w:b/>
                <w:bCs/>
                <w:sz w:val="20"/>
                <w:szCs w:val="20"/>
                <w:lang w:eastAsia="sk-SK"/>
              </w:rPr>
              <w:t>v tis. eur</w:t>
            </w:r>
          </w:p>
        </w:tc>
        <w:tc>
          <w:tcPr>
            <w:tcW w:w="510" w:type="pct"/>
            <w:tcBorders>
              <w:top w:val="single" w:sz="4" w:space="0" w:color="auto"/>
              <w:left w:val="nil"/>
              <w:bottom w:val="nil"/>
              <w:right w:val="nil"/>
            </w:tcBorders>
            <w:shd w:val="clear" w:color="auto" w:fill="auto"/>
            <w:vAlign w:val="center"/>
            <w:hideMark/>
          </w:tcPr>
          <w:p w14:paraId="24C9BA5C" w14:textId="77777777" w:rsidR="003A0696" w:rsidRPr="00386B18" w:rsidRDefault="003A0696" w:rsidP="003A0696">
            <w:pPr>
              <w:spacing w:after="0" w:line="240" w:lineRule="auto"/>
              <w:jc w:val="center"/>
              <w:rPr>
                <w:rFonts w:eastAsia="Times New Roman" w:cs="Times New Roman"/>
                <w:b/>
                <w:bCs/>
                <w:sz w:val="20"/>
                <w:szCs w:val="20"/>
                <w:lang w:eastAsia="sk-SK"/>
              </w:rPr>
            </w:pPr>
            <w:r w:rsidRPr="00386B18">
              <w:rPr>
                <w:rFonts w:eastAsia="Times New Roman" w:cs="Times New Roman"/>
                <w:b/>
                <w:bCs/>
                <w:sz w:val="20"/>
                <w:szCs w:val="20"/>
                <w:lang w:eastAsia="sk-SK"/>
              </w:rPr>
              <w:t>2020 S</w:t>
            </w:r>
          </w:p>
        </w:tc>
        <w:tc>
          <w:tcPr>
            <w:tcW w:w="510" w:type="pct"/>
            <w:tcBorders>
              <w:top w:val="single" w:sz="4" w:space="0" w:color="auto"/>
              <w:left w:val="nil"/>
              <w:bottom w:val="nil"/>
              <w:right w:val="nil"/>
            </w:tcBorders>
            <w:shd w:val="clear" w:color="auto" w:fill="auto"/>
            <w:vAlign w:val="center"/>
            <w:hideMark/>
          </w:tcPr>
          <w:p w14:paraId="69FF1DCE" w14:textId="77777777" w:rsidR="003A0696" w:rsidRPr="00386B18" w:rsidRDefault="003A0696" w:rsidP="003A0696">
            <w:pPr>
              <w:spacing w:after="0" w:line="240" w:lineRule="auto"/>
              <w:jc w:val="center"/>
              <w:rPr>
                <w:rFonts w:eastAsia="Times New Roman" w:cs="Times New Roman"/>
                <w:b/>
                <w:bCs/>
                <w:sz w:val="20"/>
                <w:szCs w:val="20"/>
                <w:lang w:eastAsia="sk-SK"/>
              </w:rPr>
            </w:pPr>
            <w:r w:rsidRPr="00386B18">
              <w:rPr>
                <w:rFonts w:eastAsia="Times New Roman" w:cs="Times New Roman"/>
                <w:b/>
                <w:bCs/>
                <w:sz w:val="20"/>
                <w:szCs w:val="20"/>
                <w:lang w:eastAsia="sk-SK"/>
              </w:rPr>
              <w:t>2021 S</w:t>
            </w:r>
          </w:p>
        </w:tc>
        <w:tc>
          <w:tcPr>
            <w:tcW w:w="510" w:type="pct"/>
            <w:tcBorders>
              <w:top w:val="single" w:sz="4" w:space="0" w:color="auto"/>
              <w:left w:val="nil"/>
              <w:bottom w:val="nil"/>
              <w:right w:val="nil"/>
            </w:tcBorders>
            <w:shd w:val="clear" w:color="auto" w:fill="auto"/>
            <w:vAlign w:val="center"/>
            <w:hideMark/>
          </w:tcPr>
          <w:p w14:paraId="7B27657D" w14:textId="77777777" w:rsidR="003A0696" w:rsidRPr="00386B18" w:rsidRDefault="003A0696" w:rsidP="003A0696">
            <w:pPr>
              <w:spacing w:after="0" w:line="240" w:lineRule="auto"/>
              <w:jc w:val="center"/>
              <w:rPr>
                <w:rFonts w:eastAsia="Times New Roman" w:cs="Times New Roman"/>
                <w:b/>
                <w:bCs/>
                <w:sz w:val="20"/>
                <w:szCs w:val="20"/>
                <w:lang w:eastAsia="sk-SK"/>
              </w:rPr>
            </w:pPr>
            <w:r w:rsidRPr="00386B18">
              <w:rPr>
                <w:rFonts w:eastAsia="Times New Roman" w:cs="Times New Roman"/>
                <w:b/>
                <w:bCs/>
                <w:sz w:val="20"/>
                <w:szCs w:val="20"/>
                <w:lang w:eastAsia="sk-SK"/>
              </w:rPr>
              <w:t>2022 S</w:t>
            </w:r>
          </w:p>
        </w:tc>
        <w:tc>
          <w:tcPr>
            <w:tcW w:w="477" w:type="pct"/>
            <w:tcBorders>
              <w:top w:val="single" w:sz="4" w:space="0" w:color="auto"/>
              <w:left w:val="nil"/>
              <w:bottom w:val="nil"/>
              <w:right w:val="nil"/>
            </w:tcBorders>
            <w:shd w:val="clear" w:color="auto" w:fill="auto"/>
            <w:vAlign w:val="center"/>
            <w:hideMark/>
          </w:tcPr>
          <w:p w14:paraId="316D5DB4" w14:textId="77777777" w:rsidR="003A0696" w:rsidRPr="00386B18" w:rsidRDefault="003A0696" w:rsidP="003A0696">
            <w:pPr>
              <w:spacing w:after="0" w:line="240" w:lineRule="auto"/>
              <w:jc w:val="center"/>
              <w:rPr>
                <w:rFonts w:eastAsia="Times New Roman" w:cs="Times New Roman"/>
                <w:b/>
                <w:bCs/>
                <w:sz w:val="20"/>
                <w:szCs w:val="20"/>
                <w:lang w:eastAsia="sk-SK"/>
              </w:rPr>
            </w:pPr>
            <w:r w:rsidRPr="00386B18">
              <w:rPr>
                <w:rFonts w:eastAsia="Times New Roman" w:cs="Times New Roman"/>
                <w:b/>
                <w:bCs/>
                <w:sz w:val="20"/>
                <w:szCs w:val="20"/>
                <w:lang w:eastAsia="sk-SK"/>
              </w:rPr>
              <w:t>Zmena</w:t>
            </w:r>
          </w:p>
        </w:tc>
      </w:tr>
      <w:tr w:rsidR="003A0696" w:rsidRPr="00386B18" w14:paraId="46C1FD75" w14:textId="77777777" w:rsidTr="003A0696">
        <w:trPr>
          <w:trHeight w:val="300"/>
          <w:tblHeader/>
        </w:trPr>
        <w:tc>
          <w:tcPr>
            <w:tcW w:w="2993" w:type="pct"/>
            <w:vMerge/>
            <w:tcBorders>
              <w:top w:val="single" w:sz="4" w:space="0" w:color="auto"/>
              <w:left w:val="nil"/>
              <w:bottom w:val="single" w:sz="4" w:space="0" w:color="000000"/>
              <w:right w:val="nil"/>
            </w:tcBorders>
            <w:vAlign w:val="center"/>
            <w:hideMark/>
          </w:tcPr>
          <w:p w14:paraId="4F556CE7" w14:textId="77777777" w:rsidR="003A0696" w:rsidRPr="00386B18" w:rsidRDefault="003A0696" w:rsidP="003A0696">
            <w:pPr>
              <w:spacing w:after="0" w:line="240" w:lineRule="auto"/>
              <w:jc w:val="left"/>
              <w:rPr>
                <w:rFonts w:eastAsia="Times New Roman" w:cs="Times New Roman"/>
                <w:b/>
                <w:bCs/>
                <w:sz w:val="20"/>
                <w:szCs w:val="20"/>
                <w:lang w:eastAsia="sk-SK"/>
              </w:rPr>
            </w:pPr>
          </w:p>
        </w:tc>
        <w:tc>
          <w:tcPr>
            <w:tcW w:w="510" w:type="pct"/>
            <w:tcBorders>
              <w:top w:val="nil"/>
              <w:left w:val="nil"/>
              <w:bottom w:val="single" w:sz="4" w:space="0" w:color="auto"/>
              <w:right w:val="nil"/>
            </w:tcBorders>
            <w:shd w:val="clear" w:color="auto" w:fill="auto"/>
            <w:vAlign w:val="center"/>
            <w:hideMark/>
          </w:tcPr>
          <w:p w14:paraId="1B3FAA52" w14:textId="77777777" w:rsidR="003A0696" w:rsidRPr="00386B18" w:rsidRDefault="003A0696" w:rsidP="003A0696">
            <w:pPr>
              <w:spacing w:after="0" w:line="240" w:lineRule="auto"/>
              <w:jc w:val="center"/>
              <w:rPr>
                <w:rFonts w:eastAsia="Times New Roman" w:cs="Times New Roman"/>
                <w:b/>
                <w:bCs/>
                <w:sz w:val="20"/>
                <w:szCs w:val="20"/>
                <w:lang w:eastAsia="sk-SK"/>
              </w:rPr>
            </w:pPr>
            <w:r w:rsidRPr="00386B18">
              <w:rPr>
                <w:rFonts w:eastAsia="Times New Roman" w:cs="Times New Roman"/>
                <w:b/>
                <w:bCs/>
                <w:sz w:val="20"/>
                <w:szCs w:val="20"/>
                <w:lang w:eastAsia="sk-SK"/>
              </w:rPr>
              <w:t>1</w:t>
            </w:r>
          </w:p>
        </w:tc>
        <w:tc>
          <w:tcPr>
            <w:tcW w:w="510" w:type="pct"/>
            <w:tcBorders>
              <w:top w:val="nil"/>
              <w:left w:val="nil"/>
              <w:bottom w:val="single" w:sz="4" w:space="0" w:color="auto"/>
              <w:right w:val="nil"/>
            </w:tcBorders>
            <w:shd w:val="clear" w:color="auto" w:fill="auto"/>
            <w:vAlign w:val="center"/>
            <w:hideMark/>
          </w:tcPr>
          <w:p w14:paraId="7475BB71" w14:textId="77777777" w:rsidR="003A0696" w:rsidRPr="00386B18" w:rsidRDefault="003A0696" w:rsidP="003A0696">
            <w:pPr>
              <w:spacing w:after="0" w:line="240" w:lineRule="auto"/>
              <w:jc w:val="center"/>
              <w:rPr>
                <w:rFonts w:eastAsia="Times New Roman" w:cs="Times New Roman"/>
                <w:b/>
                <w:bCs/>
                <w:sz w:val="20"/>
                <w:szCs w:val="20"/>
                <w:lang w:eastAsia="sk-SK"/>
              </w:rPr>
            </w:pPr>
            <w:r w:rsidRPr="00386B18">
              <w:rPr>
                <w:rFonts w:eastAsia="Times New Roman" w:cs="Times New Roman"/>
                <w:b/>
                <w:bCs/>
                <w:sz w:val="20"/>
                <w:szCs w:val="20"/>
                <w:lang w:eastAsia="sk-SK"/>
              </w:rPr>
              <w:t>2</w:t>
            </w:r>
          </w:p>
        </w:tc>
        <w:tc>
          <w:tcPr>
            <w:tcW w:w="510" w:type="pct"/>
            <w:tcBorders>
              <w:top w:val="nil"/>
              <w:left w:val="nil"/>
              <w:bottom w:val="single" w:sz="4" w:space="0" w:color="auto"/>
              <w:right w:val="nil"/>
            </w:tcBorders>
            <w:shd w:val="clear" w:color="auto" w:fill="auto"/>
            <w:vAlign w:val="center"/>
            <w:hideMark/>
          </w:tcPr>
          <w:p w14:paraId="63A4CBF8" w14:textId="77777777" w:rsidR="003A0696" w:rsidRPr="00386B18" w:rsidRDefault="003A0696" w:rsidP="003A0696">
            <w:pPr>
              <w:spacing w:after="0" w:line="240" w:lineRule="auto"/>
              <w:jc w:val="center"/>
              <w:rPr>
                <w:rFonts w:eastAsia="Times New Roman" w:cs="Times New Roman"/>
                <w:b/>
                <w:bCs/>
                <w:sz w:val="20"/>
                <w:szCs w:val="20"/>
                <w:lang w:eastAsia="sk-SK"/>
              </w:rPr>
            </w:pPr>
            <w:r w:rsidRPr="00386B18">
              <w:rPr>
                <w:rFonts w:eastAsia="Times New Roman" w:cs="Times New Roman"/>
                <w:b/>
                <w:bCs/>
                <w:sz w:val="20"/>
                <w:szCs w:val="20"/>
                <w:lang w:eastAsia="sk-SK"/>
              </w:rPr>
              <w:t>3</w:t>
            </w:r>
          </w:p>
        </w:tc>
        <w:tc>
          <w:tcPr>
            <w:tcW w:w="477" w:type="pct"/>
            <w:tcBorders>
              <w:top w:val="nil"/>
              <w:left w:val="nil"/>
              <w:bottom w:val="single" w:sz="4" w:space="0" w:color="auto"/>
              <w:right w:val="nil"/>
            </w:tcBorders>
            <w:shd w:val="clear" w:color="auto" w:fill="auto"/>
            <w:vAlign w:val="center"/>
            <w:hideMark/>
          </w:tcPr>
          <w:p w14:paraId="4431D4EA" w14:textId="77777777" w:rsidR="003A0696" w:rsidRPr="00386B18" w:rsidRDefault="003A0696" w:rsidP="003A0696">
            <w:pPr>
              <w:spacing w:after="0" w:line="240" w:lineRule="auto"/>
              <w:jc w:val="center"/>
              <w:rPr>
                <w:rFonts w:eastAsia="Times New Roman" w:cs="Times New Roman"/>
                <w:b/>
                <w:bCs/>
                <w:sz w:val="20"/>
                <w:szCs w:val="20"/>
                <w:lang w:eastAsia="sk-SK"/>
              </w:rPr>
            </w:pPr>
            <w:r w:rsidRPr="00386B18">
              <w:rPr>
                <w:rFonts w:eastAsia="Times New Roman" w:cs="Times New Roman"/>
                <w:b/>
                <w:bCs/>
                <w:sz w:val="20"/>
                <w:szCs w:val="20"/>
                <w:lang w:eastAsia="sk-SK"/>
              </w:rPr>
              <w:t>4=(3-2)</w:t>
            </w:r>
          </w:p>
        </w:tc>
      </w:tr>
      <w:tr w:rsidR="003A0696" w:rsidRPr="00386B18" w14:paraId="6DD181DA" w14:textId="77777777" w:rsidTr="003A0696">
        <w:trPr>
          <w:trHeight w:val="300"/>
        </w:trPr>
        <w:tc>
          <w:tcPr>
            <w:tcW w:w="2993" w:type="pct"/>
            <w:tcBorders>
              <w:top w:val="nil"/>
              <w:left w:val="nil"/>
              <w:bottom w:val="nil"/>
              <w:right w:val="nil"/>
            </w:tcBorders>
            <w:shd w:val="clear" w:color="auto" w:fill="auto"/>
            <w:noWrap/>
            <w:vAlign w:val="bottom"/>
            <w:hideMark/>
          </w:tcPr>
          <w:p w14:paraId="1B25534A"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Bankové úvery</w:t>
            </w:r>
          </w:p>
        </w:tc>
        <w:tc>
          <w:tcPr>
            <w:tcW w:w="510" w:type="pct"/>
            <w:tcBorders>
              <w:top w:val="nil"/>
              <w:left w:val="nil"/>
              <w:bottom w:val="nil"/>
              <w:right w:val="nil"/>
            </w:tcBorders>
            <w:shd w:val="clear" w:color="auto" w:fill="auto"/>
            <w:noWrap/>
            <w:vAlign w:val="bottom"/>
            <w:hideMark/>
          </w:tcPr>
          <w:p w14:paraId="01F8F2F0"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674 459</w:t>
            </w:r>
          </w:p>
        </w:tc>
        <w:tc>
          <w:tcPr>
            <w:tcW w:w="510" w:type="pct"/>
            <w:tcBorders>
              <w:top w:val="nil"/>
              <w:left w:val="nil"/>
              <w:bottom w:val="nil"/>
              <w:right w:val="nil"/>
            </w:tcBorders>
            <w:shd w:val="clear" w:color="auto" w:fill="auto"/>
            <w:noWrap/>
            <w:vAlign w:val="bottom"/>
            <w:hideMark/>
          </w:tcPr>
          <w:p w14:paraId="468C8561"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705 029</w:t>
            </w:r>
          </w:p>
        </w:tc>
        <w:tc>
          <w:tcPr>
            <w:tcW w:w="510" w:type="pct"/>
            <w:tcBorders>
              <w:top w:val="nil"/>
              <w:left w:val="nil"/>
              <w:bottom w:val="nil"/>
              <w:right w:val="nil"/>
            </w:tcBorders>
            <w:shd w:val="clear" w:color="auto" w:fill="auto"/>
            <w:noWrap/>
            <w:vAlign w:val="bottom"/>
            <w:hideMark/>
          </w:tcPr>
          <w:p w14:paraId="17E5A9D1"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818 374</w:t>
            </w:r>
          </w:p>
        </w:tc>
        <w:tc>
          <w:tcPr>
            <w:tcW w:w="477" w:type="pct"/>
            <w:tcBorders>
              <w:top w:val="nil"/>
              <w:left w:val="nil"/>
              <w:bottom w:val="nil"/>
              <w:right w:val="nil"/>
            </w:tcBorders>
            <w:shd w:val="clear" w:color="auto" w:fill="auto"/>
            <w:noWrap/>
            <w:vAlign w:val="bottom"/>
            <w:hideMark/>
          </w:tcPr>
          <w:p w14:paraId="60B07DA8"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113 345</w:t>
            </w:r>
          </w:p>
        </w:tc>
      </w:tr>
      <w:tr w:rsidR="003A0696" w:rsidRPr="00386B18" w14:paraId="53BCF8D4" w14:textId="77777777" w:rsidTr="003A0696">
        <w:trPr>
          <w:trHeight w:val="300"/>
        </w:trPr>
        <w:tc>
          <w:tcPr>
            <w:tcW w:w="2993" w:type="pct"/>
            <w:tcBorders>
              <w:top w:val="nil"/>
              <w:left w:val="nil"/>
              <w:bottom w:val="nil"/>
              <w:right w:val="nil"/>
            </w:tcBorders>
            <w:shd w:val="clear" w:color="auto" w:fill="auto"/>
            <w:noWrap/>
            <w:vAlign w:val="bottom"/>
            <w:hideMark/>
          </w:tcPr>
          <w:p w14:paraId="196F70A6"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Pôžičky zo ŠFRB (konsoliduje sa)</w:t>
            </w:r>
          </w:p>
        </w:tc>
        <w:tc>
          <w:tcPr>
            <w:tcW w:w="510" w:type="pct"/>
            <w:tcBorders>
              <w:top w:val="nil"/>
              <w:left w:val="nil"/>
              <w:bottom w:val="nil"/>
              <w:right w:val="nil"/>
            </w:tcBorders>
            <w:shd w:val="clear" w:color="auto" w:fill="auto"/>
            <w:noWrap/>
            <w:vAlign w:val="bottom"/>
            <w:hideMark/>
          </w:tcPr>
          <w:p w14:paraId="63414BDF"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732 655</w:t>
            </w:r>
          </w:p>
        </w:tc>
        <w:tc>
          <w:tcPr>
            <w:tcW w:w="510" w:type="pct"/>
            <w:tcBorders>
              <w:top w:val="nil"/>
              <w:left w:val="nil"/>
              <w:bottom w:val="nil"/>
              <w:right w:val="nil"/>
            </w:tcBorders>
            <w:shd w:val="clear" w:color="auto" w:fill="auto"/>
            <w:noWrap/>
            <w:vAlign w:val="bottom"/>
            <w:hideMark/>
          </w:tcPr>
          <w:p w14:paraId="5B08935C"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728 474</w:t>
            </w:r>
          </w:p>
        </w:tc>
        <w:tc>
          <w:tcPr>
            <w:tcW w:w="510" w:type="pct"/>
            <w:tcBorders>
              <w:top w:val="nil"/>
              <w:left w:val="nil"/>
              <w:bottom w:val="nil"/>
              <w:right w:val="nil"/>
            </w:tcBorders>
            <w:shd w:val="clear" w:color="auto" w:fill="auto"/>
            <w:noWrap/>
            <w:vAlign w:val="bottom"/>
            <w:hideMark/>
          </w:tcPr>
          <w:p w14:paraId="730A1918"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721 398</w:t>
            </w:r>
          </w:p>
        </w:tc>
        <w:tc>
          <w:tcPr>
            <w:tcW w:w="477" w:type="pct"/>
            <w:tcBorders>
              <w:top w:val="nil"/>
              <w:left w:val="nil"/>
              <w:bottom w:val="nil"/>
              <w:right w:val="nil"/>
            </w:tcBorders>
            <w:shd w:val="clear" w:color="auto" w:fill="auto"/>
            <w:noWrap/>
            <w:vAlign w:val="bottom"/>
            <w:hideMark/>
          </w:tcPr>
          <w:p w14:paraId="6571A467"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-7 076</w:t>
            </w:r>
          </w:p>
        </w:tc>
      </w:tr>
      <w:tr w:rsidR="003A0696" w:rsidRPr="00386B18" w14:paraId="46287CAE" w14:textId="77777777" w:rsidTr="003A0696">
        <w:trPr>
          <w:trHeight w:val="300"/>
        </w:trPr>
        <w:tc>
          <w:tcPr>
            <w:tcW w:w="2993" w:type="pct"/>
            <w:tcBorders>
              <w:top w:val="nil"/>
              <w:left w:val="nil"/>
              <w:bottom w:val="nil"/>
              <w:right w:val="nil"/>
            </w:tcBorders>
            <w:shd w:val="clear" w:color="auto" w:fill="auto"/>
            <w:noWrap/>
            <w:vAlign w:val="bottom"/>
            <w:hideMark/>
          </w:tcPr>
          <w:p w14:paraId="13A2CF0F"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Finančné výpomoci</w:t>
            </w:r>
          </w:p>
        </w:tc>
        <w:tc>
          <w:tcPr>
            <w:tcW w:w="510" w:type="pct"/>
            <w:tcBorders>
              <w:top w:val="nil"/>
              <w:left w:val="nil"/>
              <w:bottom w:val="nil"/>
              <w:right w:val="nil"/>
            </w:tcBorders>
            <w:shd w:val="clear" w:color="auto" w:fill="auto"/>
            <w:noWrap/>
            <w:vAlign w:val="bottom"/>
            <w:hideMark/>
          </w:tcPr>
          <w:p w14:paraId="67EE3775"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121 095</w:t>
            </w:r>
          </w:p>
        </w:tc>
        <w:tc>
          <w:tcPr>
            <w:tcW w:w="510" w:type="pct"/>
            <w:tcBorders>
              <w:top w:val="nil"/>
              <w:left w:val="nil"/>
              <w:bottom w:val="nil"/>
              <w:right w:val="nil"/>
            </w:tcBorders>
            <w:shd w:val="clear" w:color="auto" w:fill="auto"/>
            <w:noWrap/>
            <w:vAlign w:val="bottom"/>
            <w:hideMark/>
          </w:tcPr>
          <w:p w14:paraId="38D26882"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137 438</w:t>
            </w:r>
          </w:p>
        </w:tc>
        <w:tc>
          <w:tcPr>
            <w:tcW w:w="510" w:type="pct"/>
            <w:tcBorders>
              <w:top w:val="nil"/>
              <w:left w:val="nil"/>
              <w:bottom w:val="nil"/>
              <w:right w:val="nil"/>
            </w:tcBorders>
            <w:shd w:val="clear" w:color="auto" w:fill="auto"/>
            <w:noWrap/>
            <w:vAlign w:val="bottom"/>
            <w:hideMark/>
          </w:tcPr>
          <w:p w14:paraId="7B00175E"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136 501</w:t>
            </w:r>
          </w:p>
        </w:tc>
        <w:tc>
          <w:tcPr>
            <w:tcW w:w="477" w:type="pct"/>
            <w:tcBorders>
              <w:top w:val="nil"/>
              <w:left w:val="nil"/>
              <w:bottom w:val="nil"/>
              <w:right w:val="nil"/>
            </w:tcBorders>
            <w:shd w:val="clear" w:color="auto" w:fill="auto"/>
            <w:noWrap/>
            <w:vAlign w:val="bottom"/>
            <w:hideMark/>
          </w:tcPr>
          <w:p w14:paraId="4D8D70AD"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-937</w:t>
            </w:r>
          </w:p>
        </w:tc>
      </w:tr>
      <w:tr w:rsidR="003A0696" w:rsidRPr="00386B18" w14:paraId="46248BBC" w14:textId="77777777" w:rsidTr="003A0696">
        <w:trPr>
          <w:trHeight w:val="300"/>
        </w:trPr>
        <w:tc>
          <w:tcPr>
            <w:tcW w:w="2993" w:type="pct"/>
            <w:tcBorders>
              <w:top w:val="nil"/>
              <w:left w:val="nil"/>
              <w:bottom w:val="nil"/>
              <w:right w:val="nil"/>
            </w:tcBorders>
            <w:shd w:val="clear" w:color="auto" w:fill="auto"/>
            <w:noWrap/>
            <w:vAlign w:val="bottom"/>
            <w:hideMark/>
          </w:tcPr>
          <w:p w14:paraId="1A440544" w14:textId="77777777" w:rsidR="003A0696" w:rsidRPr="00386B18" w:rsidRDefault="003A0696" w:rsidP="003A0696">
            <w:pPr>
              <w:spacing w:after="0" w:line="240" w:lineRule="auto"/>
              <w:ind w:firstLineChars="200" w:firstLine="400"/>
              <w:jc w:val="left"/>
              <w:rPr>
                <w:rFonts w:eastAsia="Times New Roman" w:cs="Times New Roman"/>
                <w:sz w:val="20"/>
                <w:szCs w:val="20"/>
                <w:lang w:eastAsia="sk-SK"/>
              </w:rPr>
            </w:pPr>
            <w:r w:rsidRPr="00386B18">
              <w:rPr>
                <w:rFonts w:eastAsia="Times New Roman" w:cs="Times New Roman"/>
                <w:sz w:val="20"/>
                <w:szCs w:val="20"/>
                <w:lang w:eastAsia="sk-SK"/>
              </w:rPr>
              <w:t>z toho: NFV z VPS a ŠD (konsoliduje sa)</w:t>
            </w:r>
          </w:p>
        </w:tc>
        <w:tc>
          <w:tcPr>
            <w:tcW w:w="510" w:type="pct"/>
            <w:tcBorders>
              <w:top w:val="nil"/>
              <w:left w:val="nil"/>
              <w:bottom w:val="nil"/>
              <w:right w:val="nil"/>
            </w:tcBorders>
            <w:shd w:val="clear" w:color="auto" w:fill="auto"/>
            <w:noWrap/>
            <w:vAlign w:val="bottom"/>
            <w:hideMark/>
          </w:tcPr>
          <w:p w14:paraId="3E8AC451"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121 095</w:t>
            </w:r>
          </w:p>
        </w:tc>
        <w:tc>
          <w:tcPr>
            <w:tcW w:w="510" w:type="pct"/>
            <w:tcBorders>
              <w:top w:val="nil"/>
              <w:left w:val="nil"/>
              <w:bottom w:val="nil"/>
              <w:right w:val="nil"/>
            </w:tcBorders>
            <w:shd w:val="clear" w:color="auto" w:fill="auto"/>
            <w:noWrap/>
            <w:vAlign w:val="bottom"/>
            <w:hideMark/>
          </w:tcPr>
          <w:p w14:paraId="6C9A1D42"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136 601</w:t>
            </w:r>
          </w:p>
        </w:tc>
        <w:tc>
          <w:tcPr>
            <w:tcW w:w="510" w:type="pct"/>
            <w:tcBorders>
              <w:top w:val="nil"/>
              <w:left w:val="nil"/>
              <w:bottom w:val="nil"/>
              <w:right w:val="nil"/>
            </w:tcBorders>
            <w:shd w:val="clear" w:color="auto" w:fill="auto"/>
            <w:noWrap/>
            <w:vAlign w:val="bottom"/>
            <w:hideMark/>
          </w:tcPr>
          <w:p w14:paraId="6F6151E7"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136 201</w:t>
            </w:r>
          </w:p>
        </w:tc>
        <w:tc>
          <w:tcPr>
            <w:tcW w:w="477" w:type="pct"/>
            <w:tcBorders>
              <w:top w:val="nil"/>
              <w:left w:val="nil"/>
              <w:bottom w:val="nil"/>
              <w:right w:val="nil"/>
            </w:tcBorders>
            <w:shd w:val="clear" w:color="auto" w:fill="auto"/>
            <w:noWrap/>
            <w:vAlign w:val="bottom"/>
            <w:hideMark/>
          </w:tcPr>
          <w:p w14:paraId="038FFE89"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-400</w:t>
            </w:r>
          </w:p>
        </w:tc>
      </w:tr>
      <w:tr w:rsidR="003A0696" w:rsidRPr="00386B18" w14:paraId="15EC0076" w14:textId="77777777" w:rsidTr="003A0696">
        <w:trPr>
          <w:trHeight w:val="300"/>
        </w:trPr>
        <w:tc>
          <w:tcPr>
            <w:tcW w:w="2993" w:type="pct"/>
            <w:tcBorders>
              <w:top w:val="nil"/>
              <w:left w:val="nil"/>
              <w:bottom w:val="nil"/>
              <w:right w:val="nil"/>
            </w:tcBorders>
            <w:shd w:val="clear" w:color="auto" w:fill="auto"/>
            <w:noWrap/>
            <w:vAlign w:val="bottom"/>
            <w:hideMark/>
          </w:tcPr>
          <w:p w14:paraId="03118D75" w14:textId="77777777" w:rsidR="003A0696" w:rsidRPr="00386B18" w:rsidRDefault="003A0696" w:rsidP="003A0696">
            <w:pPr>
              <w:spacing w:after="0" w:line="240" w:lineRule="auto"/>
              <w:ind w:firstLineChars="600" w:firstLine="1200"/>
              <w:jc w:val="left"/>
              <w:rPr>
                <w:rFonts w:eastAsia="Times New Roman" w:cs="Times New Roman"/>
                <w:sz w:val="20"/>
                <w:szCs w:val="20"/>
                <w:lang w:eastAsia="sk-SK"/>
              </w:rPr>
            </w:pPr>
            <w:r w:rsidRPr="00386B18">
              <w:rPr>
                <w:rFonts w:eastAsia="Times New Roman" w:cs="Times New Roman"/>
                <w:sz w:val="20"/>
                <w:szCs w:val="20"/>
                <w:lang w:eastAsia="sk-SK"/>
              </w:rPr>
              <w:t xml:space="preserve">od </w:t>
            </w:r>
            <w:proofErr w:type="spellStart"/>
            <w:r w:rsidRPr="00386B18">
              <w:rPr>
                <w:rFonts w:eastAsia="Times New Roman" w:cs="Times New Roman"/>
                <w:sz w:val="20"/>
                <w:szCs w:val="20"/>
                <w:lang w:eastAsia="sk-SK"/>
              </w:rPr>
              <w:t>ostat</w:t>
            </w:r>
            <w:proofErr w:type="spellEnd"/>
            <w:r w:rsidRPr="00386B18">
              <w:rPr>
                <w:rFonts w:eastAsia="Times New Roman" w:cs="Times New Roman"/>
                <w:sz w:val="20"/>
                <w:szCs w:val="20"/>
                <w:lang w:eastAsia="sk-SK"/>
              </w:rPr>
              <w:t xml:space="preserve">. </w:t>
            </w:r>
            <w:proofErr w:type="spellStart"/>
            <w:r w:rsidRPr="00386B18">
              <w:rPr>
                <w:rFonts w:eastAsia="Times New Roman" w:cs="Times New Roman"/>
                <w:sz w:val="20"/>
                <w:szCs w:val="20"/>
                <w:lang w:eastAsia="sk-SK"/>
              </w:rPr>
              <w:t>subj</w:t>
            </w:r>
            <w:proofErr w:type="spellEnd"/>
            <w:r w:rsidRPr="00386B18">
              <w:rPr>
                <w:rFonts w:eastAsia="Times New Roman" w:cs="Times New Roman"/>
                <w:sz w:val="20"/>
                <w:szCs w:val="20"/>
                <w:lang w:eastAsia="sk-SK"/>
              </w:rPr>
              <w:t>. verejnej správy (konsoliduje sa)</w:t>
            </w:r>
          </w:p>
        </w:tc>
        <w:tc>
          <w:tcPr>
            <w:tcW w:w="510" w:type="pct"/>
            <w:tcBorders>
              <w:top w:val="nil"/>
              <w:left w:val="nil"/>
              <w:bottom w:val="nil"/>
              <w:right w:val="nil"/>
            </w:tcBorders>
            <w:shd w:val="clear" w:color="auto" w:fill="auto"/>
            <w:noWrap/>
            <w:vAlign w:val="bottom"/>
            <w:hideMark/>
          </w:tcPr>
          <w:p w14:paraId="536C7308"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0</w:t>
            </w:r>
          </w:p>
        </w:tc>
        <w:tc>
          <w:tcPr>
            <w:tcW w:w="510" w:type="pct"/>
            <w:tcBorders>
              <w:top w:val="nil"/>
              <w:left w:val="nil"/>
              <w:bottom w:val="nil"/>
              <w:right w:val="nil"/>
            </w:tcBorders>
            <w:shd w:val="clear" w:color="auto" w:fill="auto"/>
            <w:noWrap/>
            <w:vAlign w:val="bottom"/>
            <w:hideMark/>
          </w:tcPr>
          <w:p w14:paraId="0285D639"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837</w:t>
            </w:r>
          </w:p>
        </w:tc>
        <w:tc>
          <w:tcPr>
            <w:tcW w:w="510" w:type="pct"/>
            <w:tcBorders>
              <w:top w:val="nil"/>
              <w:left w:val="nil"/>
              <w:bottom w:val="nil"/>
              <w:right w:val="nil"/>
            </w:tcBorders>
            <w:shd w:val="clear" w:color="auto" w:fill="auto"/>
            <w:noWrap/>
            <w:vAlign w:val="bottom"/>
            <w:hideMark/>
          </w:tcPr>
          <w:p w14:paraId="63780ACB"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300</w:t>
            </w:r>
          </w:p>
        </w:tc>
        <w:tc>
          <w:tcPr>
            <w:tcW w:w="477" w:type="pct"/>
            <w:tcBorders>
              <w:top w:val="nil"/>
              <w:left w:val="nil"/>
              <w:bottom w:val="nil"/>
              <w:right w:val="nil"/>
            </w:tcBorders>
            <w:shd w:val="clear" w:color="auto" w:fill="auto"/>
            <w:noWrap/>
            <w:vAlign w:val="bottom"/>
            <w:hideMark/>
          </w:tcPr>
          <w:p w14:paraId="0F42EF88"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-537</w:t>
            </w:r>
          </w:p>
        </w:tc>
      </w:tr>
      <w:tr w:rsidR="003A0696" w:rsidRPr="00386B18" w14:paraId="3F4496F9" w14:textId="77777777" w:rsidTr="003A0696">
        <w:trPr>
          <w:trHeight w:val="300"/>
        </w:trPr>
        <w:tc>
          <w:tcPr>
            <w:tcW w:w="2993" w:type="pct"/>
            <w:tcBorders>
              <w:top w:val="nil"/>
              <w:left w:val="nil"/>
              <w:bottom w:val="nil"/>
              <w:right w:val="nil"/>
            </w:tcBorders>
            <w:shd w:val="clear" w:color="auto" w:fill="auto"/>
            <w:noWrap/>
            <w:vAlign w:val="bottom"/>
            <w:hideMark/>
          </w:tcPr>
          <w:p w14:paraId="19DA705B"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Zábezpeky</w:t>
            </w:r>
          </w:p>
        </w:tc>
        <w:tc>
          <w:tcPr>
            <w:tcW w:w="510" w:type="pct"/>
            <w:tcBorders>
              <w:top w:val="nil"/>
              <w:left w:val="nil"/>
              <w:bottom w:val="nil"/>
              <w:right w:val="nil"/>
            </w:tcBorders>
            <w:shd w:val="clear" w:color="auto" w:fill="auto"/>
            <w:noWrap/>
            <w:vAlign w:val="bottom"/>
            <w:hideMark/>
          </w:tcPr>
          <w:p w14:paraId="6C152374"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23 714</w:t>
            </w:r>
          </w:p>
        </w:tc>
        <w:tc>
          <w:tcPr>
            <w:tcW w:w="510" w:type="pct"/>
            <w:tcBorders>
              <w:top w:val="nil"/>
              <w:left w:val="nil"/>
              <w:bottom w:val="nil"/>
              <w:right w:val="nil"/>
            </w:tcBorders>
            <w:shd w:val="clear" w:color="auto" w:fill="auto"/>
            <w:noWrap/>
            <w:vAlign w:val="bottom"/>
            <w:hideMark/>
          </w:tcPr>
          <w:p w14:paraId="01FE1587"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25 409</w:t>
            </w:r>
          </w:p>
        </w:tc>
        <w:tc>
          <w:tcPr>
            <w:tcW w:w="510" w:type="pct"/>
            <w:tcBorders>
              <w:top w:val="nil"/>
              <w:left w:val="nil"/>
              <w:bottom w:val="nil"/>
              <w:right w:val="nil"/>
            </w:tcBorders>
            <w:shd w:val="clear" w:color="auto" w:fill="auto"/>
            <w:noWrap/>
            <w:vAlign w:val="bottom"/>
            <w:hideMark/>
          </w:tcPr>
          <w:p w14:paraId="0B8C7D3D"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26 759</w:t>
            </w:r>
          </w:p>
        </w:tc>
        <w:tc>
          <w:tcPr>
            <w:tcW w:w="477" w:type="pct"/>
            <w:tcBorders>
              <w:top w:val="nil"/>
              <w:left w:val="nil"/>
              <w:bottom w:val="nil"/>
              <w:right w:val="nil"/>
            </w:tcBorders>
            <w:shd w:val="clear" w:color="auto" w:fill="auto"/>
            <w:noWrap/>
            <w:vAlign w:val="bottom"/>
            <w:hideMark/>
          </w:tcPr>
          <w:p w14:paraId="27AD528C"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1 350</w:t>
            </w:r>
          </w:p>
        </w:tc>
      </w:tr>
      <w:tr w:rsidR="003A0696" w:rsidRPr="00386B18" w14:paraId="02776C7B" w14:textId="77777777" w:rsidTr="003A0696">
        <w:trPr>
          <w:trHeight w:val="300"/>
        </w:trPr>
        <w:tc>
          <w:tcPr>
            <w:tcW w:w="2993" w:type="pct"/>
            <w:tcBorders>
              <w:top w:val="nil"/>
              <w:left w:val="nil"/>
              <w:bottom w:val="nil"/>
              <w:right w:val="nil"/>
            </w:tcBorders>
            <w:shd w:val="clear" w:color="auto" w:fill="auto"/>
            <w:noWrap/>
            <w:vAlign w:val="bottom"/>
            <w:hideMark/>
          </w:tcPr>
          <w:p w14:paraId="45609C0C"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Dlhodobé záväzky z obchodného styku a prijaté preddavky</w:t>
            </w:r>
          </w:p>
        </w:tc>
        <w:tc>
          <w:tcPr>
            <w:tcW w:w="510" w:type="pct"/>
            <w:tcBorders>
              <w:top w:val="nil"/>
              <w:left w:val="nil"/>
              <w:bottom w:val="nil"/>
              <w:right w:val="nil"/>
            </w:tcBorders>
            <w:shd w:val="clear" w:color="auto" w:fill="auto"/>
            <w:noWrap/>
            <w:vAlign w:val="bottom"/>
            <w:hideMark/>
          </w:tcPr>
          <w:p w14:paraId="264F4264"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16 923</w:t>
            </w:r>
          </w:p>
        </w:tc>
        <w:tc>
          <w:tcPr>
            <w:tcW w:w="510" w:type="pct"/>
            <w:tcBorders>
              <w:top w:val="nil"/>
              <w:left w:val="nil"/>
              <w:bottom w:val="nil"/>
              <w:right w:val="nil"/>
            </w:tcBorders>
            <w:shd w:val="clear" w:color="auto" w:fill="auto"/>
            <w:noWrap/>
            <w:vAlign w:val="bottom"/>
            <w:hideMark/>
          </w:tcPr>
          <w:p w14:paraId="49B2BB7D"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19 523</w:t>
            </w:r>
          </w:p>
        </w:tc>
        <w:tc>
          <w:tcPr>
            <w:tcW w:w="510" w:type="pct"/>
            <w:tcBorders>
              <w:top w:val="nil"/>
              <w:left w:val="nil"/>
              <w:bottom w:val="nil"/>
              <w:right w:val="nil"/>
            </w:tcBorders>
            <w:shd w:val="clear" w:color="auto" w:fill="auto"/>
            <w:noWrap/>
            <w:vAlign w:val="bottom"/>
            <w:hideMark/>
          </w:tcPr>
          <w:p w14:paraId="68CF76FC"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22 063</w:t>
            </w:r>
          </w:p>
        </w:tc>
        <w:tc>
          <w:tcPr>
            <w:tcW w:w="477" w:type="pct"/>
            <w:tcBorders>
              <w:top w:val="nil"/>
              <w:left w:val="nil"/>
              <w:bottom w:val="nil"/>
              <w:right w:val="nil"/>
            </w:tcBorders>
            <w:shd w:val="clear" w:color="auto" w:fill="auto"/>
            <w:noWrap/>
            <w:vAlign w:val="bottom"/>
            <w:hideMark/>
          </w:tcPr>
          <w:p w14:paraId="7A1493CF"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2 540</w:t>
            </w:r>
          </w:p>
        </w:tc>
      </w:tr>
      <w:tr w:rsidR="003A0696" w:rsidRPr="00386B18" w14:paraId="46AC3CB5" w14:textId="77777777" w:rsidTr="003A0696">
        <w:trPr>
          <w:trHeight w:val="300"/>
        </w:trPr>
        <w:tc>
          <w:tcPr>
            <w:tcW w:w="2993" w:type="pct"/>
            <w:tcBorders>
              <w:top w:val="nil"/>
              <w:left w:val="nil"/>
              <w:bottom w:val="nil"/>
              <w:right w:val="nil"/>
            </w:tcBorders>
            <w:shd w:val="clear" w:color="auto" w:fill="auto"/>
            <w:noWrap/>
            <w:vAlign w:val="bottom"/>
            <w:hideMark/>
          </w:tcPr>
          <w:p w14:paraId="3A895CF6"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Záväzky po zmene veriteľa</w:t>
            </w:r>
          </w:p>
        </w:tc>
        <w:tc>
          <w:tcPr>
            <w:tcW w:w="510" w:type="pct"/>
            <w:tcBorders>
              <w:top w:val="nil"/>
              <w:left w:val="nil"/>
              <w:bottom w:val="nil"/>
              <w:right w:val="nil"/>
            </w:tcBorders>
            <w:shd w:val="clear" w:color="auto" w:fill="auto"/>
            <w:noWrap/>
            <w:vAlign w:val="bottom"/>
            <w:hideMark/>
          </w:tcPr>
          <w:p w14:paraId="42C01EA3" w14:textId="77777777" w:rsidR="003A0696" w:rsidRPr="00386B18" w:rsidRDefault="003A0696" w:rsidP="003A0696">
            <w:pPr>
              <w:spacing w:after="0" w:line="240" w:lineRule="auto"/>
              <w:jc w:val="left"/>
              <w:rPr>
                <w:rFonts w:eastAsia="Times New Roman" w:cs="Times New Roman"/>
                <w:sz w:val="20"/>
                <w:szCs w:val="20"/>
                <w:lang w:eastAsia="sk-SK"/>
              </w:rPr>
            </w:pPr>
          </w:p>
        </w:tc>
        <w:tc>
          <w:tcPr>
            <w:tcW w:w="510" w:type="pct"/>
            <w:tcBorders>
              <w:top w:val="nil"/>
              <w:left w:val="nil"/>
              <w:bottom w:val="nil"/>
              <w:right w:val="nil"/>
            </w:tcBorders>
            <w:shd w:val="clear" w:color="auto" w:fill="auto"/>
            <w:noWrap/>
            <w:vAlign w:val="bottom"/>
            <w:hideMark/>
          </w:tcPr>
          <w:p w14:paraId="5F6438D1" w14:textId="77777777" w:rsidR="003A0696" w:rsidRPr="00386B18" w:rsidRDefault="003A0696" w:rsidP="003A0696">
            <w:pPr>
              <w:spacing w:after="0" w:line="240" w:lineRule="auto"/>
              <w:jc w:val="left"/>
              <w:rPr>
                <w:rFonts w:eastAsia="Times New Roman" w:cs="Times New Roman"/>
                <w:sz w:val="20"/>
                <w:szCs w:val="20"/>
                <w:lang w:eastAsia="sk-SK"/>
              </w:rPr>
            </w:pPr>
          </w:p>
        </w:tc>
        <w:tc>
          <w:tcPr>
            <w:tcW w:w="510" w:type="pct"/>
            <w:tcBorders>
              <w:top w:val="nil"/>
              <w:left w:val="nil"/>
              <w:bottom w:val="nil"/>
              <w:right w:val="nil"/>
            </w:tcBorders>
            <w:shd w:val="clear" w:color="auto" w:fill="auto"/>
            <w:noWrap/>
            <w:vAlign w:val="bottom"/>
            <w:hideMark/>
          </w:tcPr>
          <w:p w14:paraId="22E48F75"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7 098</w:t>
            </w:r>
          </w:p>
        </w:tc>
        <w:tc>
          <w:tcPr>
            <w:tcW w:w="477" w:type="pct"/>
            <w:tcBorders>
              <w:top w:val="nil"/>
              <w:left w:val="nil"/>
              <w:bottom w:val="nil"/>
              <w:right w:val="nil"/>
            </w:tcBorders>
            <w:shd w:val="clear" w:color="auto" w:fill="auto"/>
            <w:noWrap/>
            <w:vAlign w:val="bottom"/>
            <w:hideMark/>
          </w:tcPr>
          <w:p w14:paraId="356033B3"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7 098</w:t>
            </w:r>
          </w:p>
        </w:tc>
      </w:tr>
      <w:tr w:rsidR="003A0696" w:rsidRPr="00386B18" w14:paraId="12B1EB06" w14:textId="77777777" w:rsidTr="003A0696">
        <w:trPr>
          <w:trHeight w:val="300"/>
        </w:trPr>
        <w:tc>
          <w:tcPr>
            <w:tcW w:w="2993" w:type="pct"/>
            <w:tcBorders>
              <w:top w:val="nil"/>
              <w:left w:val="nil"/>
              <w:bottom w:val="nil"/>
              <w:right w:val="nil"/>
            </w:tcBorders>
            <w:shd w:val="clear" w:color="auto" w:fill="auto"/>
            <w:noWrap/>
            <w:vAlign w:val="bottom"/>
            <w:hideMark/>
          </w:tcPr>
          <w:p w14:paraId="58A1CE0F"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Ostatné nebankové pôžičky</w:t>
            </w:r>
          </w:p>
        </w:tc>
        <w:tc>
          <w:tcPr>
            <w:tcW w:w="510" w:type="pct"/>
            <w:tcBorders>
              <w:top w:val="nil"/>
              <w:left w:val="nil"/>
              <w:bottom w:val="nil"/>
              <w:right w:val="nil"/>
            </w:tcBorders>
            <w:shd w:val="clear" w:color="auto" w:fill="auto"/>
            <w:noWrap/>
            <w:vAlign w:val="bottom"/>
            <w:hideMark/>
          </w:tcPr>
          <w:p w14:paraId="526AFB47"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3 750</w:t>
            </w:r>
          </w:p>
        </w:tc>
        <w:tc>
          <w:tcPr>
            <w:tcW w:w="510" w:type="pct"/>
            <w:tcBorders>
              <w:top w:val="nil"/>
              <w:left w:val="nil"/>
              <w:bottom w:val="nil"/>
              <w:right w:val="nil"/>
            </w:tcBorders>
            <w:shd w:val="clear" w:color="auto" w:fill="auto"/>
            <w:noWrap/>
            <w:vAlign w:val="bottom"/>
            <w:hideMark/>
          </w:tcPr>
          <w:p w14:paraId="6D36A6DC"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13 342</w:t>
            </w:r>
          </w:p>
        </w:tc>
        <w:tc>
          <w:tcPr>
            <w:tcW w:w="510" w:type="pct"/>
            <w:tcBorders>
              <w:top w:val="nil"/>
              <w:left w:val="nil"/>
              <w:bottom w:val="nil"/>
              <w:right w:val="nil"/>
            </w:tcBorders>
            <w:shd w:val="clear" w:color="auto" w:fill="auto"/>
            <w:noWrap/>
            <w:vAlign w:val="bottom"/>
            <w:hideMark/>
          </w:tcPr>
          <w:p w14:paraId="64AC3E7B"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5 815</w:t>
            </w:r>
          </w:p>
        </w:tc>
        <w:tc>
          <w:tcPr>
            <w:tcW w:w="477" w:type="pct"/>
            <w:tcBorders>
              <w:top w:val="nil"/>
              <w:left w:val="nil"/>
              <w:bottom w:val="nil"/>
              <w:right w:val="nil"/>
            </w:tcBorders>
            <w:shd w:val="clear" w:color="auto" w:fill="auto"/>
            <w:noWrap/>
            <w:vAlign w:val="bottom"/>
            <w:hideMark/>
          </w:tcPr>
          <w:p w14:paraId="3EE5D890"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-7 527</w:t>
            </w:r>
          </w:p>
        </w:tc>
      </w:tr>
      <w:tr w:rsidR="003A0696" w:rsidRPr="00386B18" w14:paraId="70B9FC17" w14:textId="77777777" w:rsidTr="003A0696">
        <w:trPr>
          <w:trHeight w:val="300"/>
        </w:trPr>
        <w:tc>
          <w:tcPr>
            <w:tcW w:w="2993" w:type="pct"/>
            <w:tcBorders>
              <w:top w:val="nil"/>
              <w:left w:val="nil"/>
              <w:bottom w:val="nil"/>
              <w:right w:val="nil"/>
            </w:tcBorders>
            <w:shd w:val="clear" w:color="auto" w:fill="auto"/>
            <w:noWrap/>
            <w:vAlign w:val="bottom"/>
            <w:hideMark/>
          </w:tcPr>
          <w:p w14:paraId="4E920F6F"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Investičné dodávateľské úvery a dodávateľské úvery</w:t>
            </w:r>
          </w:p>
        </w:tc>
        <w:tc>
          <w:tcPr>
            <w:tcW w:w="510" w:type="pct"/>
            <w:tcBorders>
              <w:top w:val="nil"/>
              <w:left w:val="nil"/>
              <w:bottom w:val="nil"/>
              <w:right w:val="nil"/>
            </w:tcBorders>
            <w:shd w:val="clear" w:color="auto" w:fill="auto"/>
            <w:noWrap/>
            <w:vAlign w:val="bottom"/>
            <w:hideMark/>
          </w:tcPr>
          <w:p w14:paraId="5466EF63"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12 043</w:t>
            </w:r>
          </w:p>
        </w:tc>
        <w:tc>
          <w:tcPr>
            <w:tcW w:w="510" w:type="pct"/>
            <w:tcBorders>
              <w:top w:val="nil"/>
              <w:left w:val="nil"/>
              <w:bottom w:val="nil"/>
              <w:right w:val="nil"/>
            </w:tcBorders>
            <w:shd w:val="clear" w:color="auto" w:fill="auto"/>
            <w:noWrap/>
            <w:vAlign w:val="bottom"/>
            <w:hideMark/>
          </w:tcPr>
          <w:p w14:paraId="0BFA8F8C"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7 255</w:t>
            </w:r>
          </w:p>
        </w:tc>
        <w:tc>
          <w:tcPr>
            <w:tcW w:w="510" w:type="pct"/>
            <w:tcBorders>
              <w:top w:val="nil"/>
              <w:left w:val="nil"/>
              <w:bottom w:val="nil"/>
              <w:right w:val="nil"/>
            </w:tcBorders>
            <w:shd w:val="clear" w:color="auto" w:fill="auto"/>
            <w:noWrap/>
            <w:vAlign w:val="bottom"/>
            <w:hideMark/>
          </w:tcPr>
          <w:p w14:paraId="26619486"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5 120</w:t>
            </w:r>
          </w:p>
        </w:tc>
        <w:tc>
          <w:tcPr>
            <w:tcW w:w="477" w:type="pct"/>
            <w:tcBorders>
              <w:top w:val="nil"/>
              <w:left w:val="nil"/>
              <w:bottom w:val="nil"/>
              <w:right w:val="nil"/>
            </w:tcBorders>
            <w:shd w:val="clear" w:color="auto" w:fill="auto"/>
            <w:noWrap/>
            <w:vAlign w:val="bottom"/>
            <w:hideMark/>
          </w:tcPr>
          <w:p w14:paraId="088BA808"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-2 135</w:t>
            </w:r>
          </w:p>
        </w:tc>
      </w:tr>
      <w:tr w:rsidR="003A0696" w:rsidRPr="00386B18" w14:paraId="330B2374" w14:textId="77777777" w:rsidTr="003A0696">
        <w:trPr>
          <w:trHeight w:val="300"/>
        </w:trPr>
        <w:tc>
          <w:tcPr>
            <w:tcW w:w="2993" w:type="pct"/>
            <w:tcBorders>
              <w:top w:val="nil"/>
              <w:left w:val="nil"/>
              <w:bottom w:val="nil"/>
              <w:right w:val="nil"/>
            </w:tcBorders>
            <w:shd w:val="clear" w:color="auto" w:fill="auto"/>
            <w:noWrap/>
            <w:vAlign w:val="bottom"/>
            <w:hideMark/>
          </w:tcPr>
          <w:p w14:paraId="2A08FF9C"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Finančný prenájom</w:t>
            </w:r>
          </w:p>
        </w:tc>
        <w:tc>
          <w:tcPr>
            <w:tcW w:w="510" w:type="pct"/>
            <w:tcBorders>
              <w:top w:val="nil"/>
              <w:left w:val="nil"/>
              <w:bottom w:val="nil"/>
              <w:right w:val="nil"/>
            </w:tcBorders>
            <w:shd w:val="clear" w:color="auto" w:fill="auto"/>
            <w:noWrap/>
            <w:vAlign w:val="bottom"/>
            <w:hideMark/>
          </w:tcPr>
          <w:p w14:paraId="3642C3E3"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5 041</w:t>
            </w:r>
          </w:p>
        </w:tc>
        <w:tc>
          <w:tcPr>
            <w:tcW w:w="510" w:type="pct"/>
            <w:tcBorders>
              <w:top w:val="nil"/>
              <w:left w:val="nil"/>
              <w:bottom w:val="nil"/>
              <w:right w:val="nil"/>
            </w:tcBorders>
            <w:shd w:val="clear" w:color="auto" w:fill="auto"/>
            <w:noWrap/>
            <w:vAlign w:val="bottom"/>
            <w:hideMark/>
          </w:tcPr>
          <w:p w14:paraId="3A61A87E"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5 174</w:t>
            </w:r>
          </w:p>
        </w:tc>
        <w:tc>
          <w:tcPr>
            <w:tcW w:w="510" w:type="pct"/>
            <w:tcBorders>
              <w:top w:val="nil"/>
              <w:left w:val="nil"/>
              <w:bottom w:val="nil"/>
              <w:right w:val="nil"/>
            </w:tcBorders>
            <w:shd w:val="clear" w:color="auto" w:fill="auto"/>
            <w:noWrap/>
            <w:vAlign w:val="bottom"/>
            <w:hideMark/>
          </w:tcPr>
          <w:p w14:paraId="4F89B91F"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4 356</w:t>
            </w:r>
          </w:p>
        </w:tc>
        <w:tc>
          <w:tcPr>
            <w:tcW w:w="477" w:type="pct"/>
            <w:tcBorders>
              <w:top w:val="nil"/>
              <w:left w:val="nil"/>
              <w:bottom w:val="nil"/>
              <w:right w:val="nil"/>
            </w:tcBorders>
            <w:shd w:val="clear" w:color="auto" w:fill="auto"/>
            <w:noWrap/>
            <w:vAlign w:val="bottom"/>
            <w:hideMark/>
          </w:tcPr>
          <w:p w14:paraId="718FC1CF"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-818</w:t>
            </w:r>
          </w:p>
        </w:tc>
      </w:tr>
      <w:tr w:rsidR="003A0696" w:rsidRPr="00386B18" w14:paraId="2AE8D960" w14:textId="77777777" w:rsidTr="003A0696">
        <w:trPr>
          <w:trHeight w:val="300"/>
        </w:trPr>
        <w:tc>
          <w:tcPr>
            <w:tcW w:w="2993" w:type="pct"/>
            <w:tcBorders>
              <w:top w:val="nil"/>
              <w:left w:val="nil"/>
              <w:bottom w:val="nil"/>
              <w:right w:val="nil"/>
            </w:tcBorders>
            <w:shd w:val="clear" w:color="auto" w:fill="auto"/>
            <w:noWrap/>
            <w:vAlign w:val="bottom"/>
            <w:hideMark/>
          </w:tcPr>
          <w:p w14:paraId="4D5BD95B"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Cenné papiere</w:t>
            </w:r>
          </w:p>
        </w:tc>
        <w:tc>
          <w:tcPr>
            <w:tcW w:w="510" w:type="pct"/>
            <w:tcBorders>
              <w:top w:val="nil"/>
              <w:left w:val="nil"/>
              <w:bottom w:val="nil"/>
              <w:right w:val="nil"/>
            </w:tcBorders>
            <w:shd w:val="clear" w:color="auto" w:fill="auto"/>
            <w:noWrap/>
            <w:vAlign w:val="bottom"/>
            <w:hideMark/>
          </w:tcPr>
          <w:p w14:paraId="57AE4515"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3 068</w:t>
            </w:r>
          </w:p>
        </w:tc>
        <w:tc>
          <w:tcPr>
            <w:tcW w:w="510" w:type="pct"/>
            <w:tcBorders>
              <w:top w:val="nil"/>
              <w:left w:val="nil"/>
              <w:bottom w:val="nil"/>
              <w:right w:val="nil"/>
            </w:tcBorders>
            <w:shd w:val="clear" w:color="auto" w:fill="auto"/>
            <w:noWrap/>
            <w:vAlign w:val="bottom"/>
            <w:hideMark/>
          </w:tcPr>
          <w:p w14:paraId="539D2C57"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2 270</w:t>
            </w:r>
          </w:p>
        </w:tc>
        <w:tc>
          <w:tcPr>
            <w:tcW w:w="510" w:type="pct"/>
            <w:tcBorders>
              <w:top w:val="nil"/>
              <w:left w:val="nil"/>
              <w:bottom w:val="nil"/>
              <w:right w:val="nil"/>
            </w:tcBorders>
            <w:shd w:val="clear" w:color="auto" w:fill="auto"/>
            <w:noWrap/>
            <w:vAlign w:val="bottom"/>
            <w:hideMark/>
          </w:tcPr>
          <w:p w14:paraId="4FBAED28"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2 266</w:t>
            </w:r>
          </w:p>
        </w:tc>
        <w:tc>
          <w:tcPr>
            <w:tcW w:w="477" w:type="pct"/>
            <w:tcBorders>
              <w:top w:val="nil"/>
              <w:left w:val="nil"/>
              <w:bottom w:val="nil"/>
              <w:right w:val="nil"/>
            </w:tcBorders>
            <w:shd w:val="clear" w:color="auto" w:fill="auto"/>
            <w:noWrap/>
            <w:vAlign w:val="bottom"/>
            <w:hideMark/>
          </w:tcPr>
          <w:p w14:paraId="5128F26B"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-4</w:t>
            </w:r>
          </w:p>
        </w:tc>
      </w:tr>
      <w:tr w:rsidR="003A0696" w:rsidRPr="00386B18" w14:paraId="146D09E3" w14:textId="77777777" w:rsidTr="003A0696">
        <w:trPr>
          <w:trHeight w:val="300"/>
        </w:trPr>
        <w:tc>
          <w:tcPr>
            <w:tcW w:w="2993" w:type="pct"/>
            <w:tcBorders>
              <w:top w:val="nil"/>
              <w:left w:val="nil"/>
              <w:bottom w:val="nil"/>
              <w:right w:val="nil"/>
            </w:tcBorders>
            <w:shd w:val="clear" w:color="auto" w:fill="auto"/>
            <w:noWrap/>
            <w:vAlign w:val="bottom"/>
            <w:hideMark/>
          </w:tcPr>
          <w:p w14:paraId="41E7FDEF"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lastRenderedPageBreak/>
              <w:t>Pôžičky z ENVF (konsoliduje sa)</w:t>
            </w:r>
          </w:p>
        </w:tc>
        <w:tc>
          <w:tcPr>
            <w:tcW w:w="510" w:type="pct"/>
            <w:tcBorders>
              <w:top w:val="nil"/>
              <w:left w:val="nil"/>
              <w:bottom w:val="nil"/>
              <w:right w:val="nil"/>
            </w:tcBorders>
            <w:shd w:val="clear" w:color="auto" w:fill="auto"/>
            <w:noWrap/>
            <w:vAlign w:val="bottom"/>
            <w:hideMark/>
          </w:tcPr>
          <w:p w14:paraId="7C058D4A"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962</w:t>
            </w:r>
          </w:p>
        </w:tc>
        <w:tc>
          <w:tcPr>
            <w:tcW w:w="510" w:type="pct"/>
            <w:tcBorders>
              <w:top w:val="nil"/>
              <w:left w:val="nil"/>
              <w:bottom w:val="nil"/>
              <w:right w:val="nil"/>
            </w:tcBorders>
            <w:shd w:val="clear" w:color="auto" w:fill="auto"/>
            <w:noWrap/>
            <w:vAlign w:val="bottom"/>
            <w:hideMark/>
          </w:tcPr>
          <w:p w14:paraId="7C0A5D6B"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793</w:t>
            </w:r>
          </w:p>
        </w:tc>
        <w:tc>
          <w:tcPr>
            <w:tcW w:w="510" w:type="pct"/>
            <w:tcBorders>
              <w:top w:val="nil"/>
              <w:left w:val="nil"/>
              <w:bottom w:val="nil"/>
              <w:right w:val="nil"/>
            </w:tcBorders>
            <w:shd w:val="clear" w:color="auto" w:fill="auto"/>
            <w:noWrap/>
            <w:vAlign w:val="bottom"/>
            <w:hideMark/>
          </w:tcPr>
          <w:p w14:paraId="34AED6B8"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975</w:t>
            </w:r>
          </w:p>
        </w:tc>
        <w:tc>
          <w:tcPr>
            <w:tcW w:w="477" w:type="pct"/>
            <w:tcBorders>
              <w:top w:val="nil"/>
              <w:left w:val="nil"/>
              <w:bottom w:val="nil"/>
              <w:right w:val="nil"/>
            </w:tcBorders>
            <w:shd w:val="clear" w:color="auto" w:fill="auto"/>
            <w:noWrap/>
            <w:vAlign w:val="bottom"/>
            <w:hideMark/>
          </w:tcPr>
          <w:p w14:paraId="32702CA2"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182</w:t>
            </w:r>
          </w:p>
        </w:tc>
      </w:tr>
      <w:tr w:rsidR="003A0696" w:rsidRPr="00386B18" w14:paraId="18673EC4" w14:textId="77777777" w:rsidTr="003A0696">
        <w:trPr>
          <w:trHeight w:val="300"/>
        </w:trPr>
        <w:tc>
          <w:tcPr>
            <w:tcW w:w="2993" w:type="pct"/>
            <w:tcBorders>
              <w:top w:val="nil"/>
              <w:left w:val="nil"/>
              <w:bottom w:val="nil"/>
              <w:right w:val="nil"/>
            </w:tcBorders>
            <w:shd w:val="clear" w:color="auto" w:fill="auto"/>
            <w:noWrap/>
            <w:vAlign w:val="bottom"/>
            <w:hideMark/>
          </w:tcPr>
          <w:p w14:paraId="3621046F" w14:textId="77777777" w:rsidR="003A0696" w:rsidRPr="00386B18" w:rsidRDefault="003A0696" w:rsidP="003A0696">
            <w:pPr>
              <w:spacing w:after="0" w:line="240" w:lineRule="auto"/>
              <w:jc w:val="left"/>
              <w:rPr>
                <w:rFonts w:eastAsia="Times New Roman" w:cs="Times New Roman"/>
                <w:sz w:val="20"/>
                <w:szCs w:val="20"/>
                <w:lang w:eastAsia="sk-SK"/>
              </w:rPr>
            </w:pPr>
            <w:r w:rsidRPr="00386B18">
              <w:rPr>
                <w:rFonts w:eastAsia="Times New Roman" w:cs="Times New Roman"/>
                <w:sz w:val="20"/>
                <w:szCs w:val="20"/>
                <w:lang w:eastAsia="sk-SK"/>
              </w:rPr>
              <w:t>Dlhodobé záväzky zo zmlúv o energetickej efektívnosti - ostatné</w:t>
            </w:r>
          </w:p>
        </w:tc>
        <w:tc>
          <w:tcPr>
            <w:tcW w:w="510" w:type="pct"/>
            <w:tcBorders>
              <w:top w:val="nil"/>
              <w:left w:val="nil"/>
              <w:bottom w:val="nil"/>
              <w:right w:val="nil"/>
            </w:tcBorders>
            <w:shd w:val="clear" w:color="auto" w:fill="auto"/>
            <w:noWrap/>
            <w:vAlign w:val="bottom"/>
            <w:hideMark/>
          </w:tcPr>
          <w:p w14:paraId="2BB3EE4B" w14:textId="77777777" w:rsidR="003A0696" w:rsidRPr="00386B18" w:rsidRDefault="003A0696" w:rsidP="003A0696">
            <w:pPr>
              <w:spacing w:after="0" w:line="240" w:lineRule="auto"/>
              <w:jc w:val="left"/>
              <w:rPr>
                <w:rFonts w:eastAsia="Times New Roman" w:cs="Times New Roman"/>
                <w:sz w:val="20"/>
                <w:szCs w:val="20"/>
                <w:lang w:eastAsia="sk-SK"/>
              </w:rPr>
            </w:pPr>
          </w:p>
        </w:tc>
        <w:tc>
          <w:tcPr>
            <w:tcW w:w="510" w:type="pct"/>
            <w:tcBorders>
              <w:top w:val="nil"/>
              <w:left w:val="nil"/>
              <w:bottom w:val="nil"/>
              <w:right w:val="nil"/>
            </w:tcBorders>
            <w:shd w:val="clear" w:color="auto" w:fill="auto"/>
            <w:noWrap/>
            <w:vAlign w:val="bottom"/>
            <w:hideMark/>
          </w:tcPr>
          <w:p w14:paraId="30C9702A" w14:textId="77777777" w:rsidR="003A0696" w:rsidRPr="00386B18" w:rsidRDefault="003A0696" w:rsidP="003A0696">
            <w:pPr>
              <w:spacing w:after="0" w:line="240" w:lineRule="auto"/>
              <w:jc w:val="left"/>
              <w:rPr>
                <w:rFonts w:eastAsia="Times New Roman" w:cs="Times New Roman"/>
                <w:sz w:val="20"/>
                <w:szCs w:val="20"/>
                <w:lang w:eastAsia="sk-SK"/>
              </w:rPr>
            </w:pPr>
          </w:p>
        </w:tc>
        <w:tc>
          <w:tcPr>
            <w:tcW w:w="510" w:type="pct"/>
            <w:tcBorders>
              <w:top w:val="nil"/>
              <w:left w:val="nil"/>
              <w:bottom w:val="nil"/>
              <w:right w:val="nil"/>
            </w:tcBorders>
            <w:shd w:val="clear" w:color="auto" w:fill="auto"/>
            <w:noWrap/>
            <w:vAlign w:val="bottom"/>
            <w:hideMark/>
          </w:tcPr>
          <w:p w14:paraId="3AE0C896"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772</w:t>
            </w:r>
          </w:p>
        </w:tc>
        <w:tc>
          <w:tcPr>
            <w:tcW w:w="477" w:type="pct"/>
            <w:tcBorders>
              <w:top w:val="nil"/>
              <w:left w:val="nil"/>
              <w:bottom w:val="nil"/>
              <w:right w:val="nil"/>
            </w:tcBorders>
            <w:shd w:val="clear" w:color="auto" w:fill="auto"/>
            <w:noWrap/>
            <w:vAlign w:val="bottom"/>
            <w:hideMark/>
          </w:tcPr>
          <w:p w14:paraId="5C7BE75A" w14:textId="77777777" w:rsidR="003A0696" w:rsidRPr="00386B18" w:rsidRDefault="003A0696" w:rsidP="003A0696">
            <w:pPr>
              <w:spacing w:after="0" w:line="240" w:lineRule="auto"/>
              <w:jc w:val="right"/>
              <w:rPr>
                <w:rFonts w:eastAsia="Times New Roman" w:cs="Times New Roman"/>
                <w:sz w:val="20"/>
                <w:szCs w:val="20"/>
                <w:lang w:eastAsia="sk-SK"/>
              </w:rPr>
            </w:pPr>
            <w:r w:rsidRPr="00386B18">
              <w:rPr>
                <w:rFonts w:eastAsia="Times New Roman" w:cs="Times New Roman"/>
                <w:sz w:val="20"/>
                <w:szCs w:val="20"/>
                <w:lang w:eastAsia="sk-SK"/>
              </w:rPr>
              <w:t>772</w:t>
            </w:r>
          </w:p>
        </w:tc>
      </w:tr>
      <w:tr w:rsidR="003A0696" w:rsidRPr="00386B18" w14:paraId="615AB8B9" w14:textId="77777777" w:rsidTr="003A0696">
        <w:trPr>
          <w:trHeight w:val="300"/>
        </w:trPr>
        <w:tc>
          <w:tcPr>
            <w:tcW w:w="2993" w:type="pct"/>
            <w:tcBorders>
              <w:top w:val="nil"/>
              <w:left w:val="nil"/>
              <w:bottom w:val="single" w:sz="4" w:space="0" w:color="auto"/>
              <w:right w:val="nil"/>
            </w:tcBorders>
            <w:shd w:val="clear" w:color="auto" w:fill="auto"/>
            <w:noWrap/>
            <w:vAlign w:val="bottom"/>
            <w:hideMark/>
          </w:tcPr>
          <w:p w14:paraId="4BDF9B3A" w14:textId="77777777" w:rsidR="003A0696" w:rsidRPr="00386B18" w:rsidRDefault="003A0696" w:rsidP="003A0696">
            <w:pPr>
              <w:spacing w:after="0" w:line="240" w:lineRule="auto"/>
              <w:jc w:val="left"/>
              <w:rPr>
                <w:rFonts w:eastAsia="Times New Roman" w:cs="Times New Roman"/>
                <w:b/>
                <w:bCs/>
                <w:sz w:val="20"/>
                <w:szCs w:val="20"/>
                <w:lang w:eastAsia="sk-SK"/>
              </w:rPr>
            </w:pPr>
            <w:r w:rsidRPr="00386B18">
              <w:rPr>
                <w:rFonts w:eastAsia="Times New Roman" w:cs="Times New Roman"/>
                <w:b/>
                <w:bCs/>
                <w:sz w:val="20"/>
                <w:szCs w:val="20"/>
                <w:lang w:eastAsia="sk-SK"/>
              </w:rPr>
              <w:t>Spolu nekonsolidovaný dlh obcí</w:t>
            </w:r>
          </w:p>
        </w:tc>
        <w:tc>
          <w:tcPr>
            <w:tcW w:w="510" w:type="pct"/>
            <w:tcBorders>
              <w:top w:val="nil"/>
              <w:left w:val="nil"/>
              <w:bottom w:val="single" w:sz="4" w:space="0" w:color="auto"/>
              <w:right w:val="nil"/>
            </w:tcBorders>
            <w:shd w:val="clear" w:color="auto" w:fill="auto"/>
            <w:noWrap/>
            <w:vAlign w:val="bottom"/>
            <w:hideMark/>
          </w:tcPr>
          <w:p w14:paraId="5C52D87C" w14:textId="77777777" w:rsidR="003A0696" w:rsidRPr="00386B18" w:rsidRDefault="003A0696" w:rsidP="003A0696">
            <w:pPr>
              <w:spacing w:after="0" w:line="240" w:lineRule="auto"/>
              <w:jc w:val="right"/>
              <w:rPr>
                <w:rFonts w:eastAsia="Times New Roman" w:cs="Times New Roman"/>
                <w:b/>
                <w:bCs/>
                <w:sz w:val="20"/>
                <w:szCs w:val="20"/>
                <w:lang w:eastAsia="sk-SK"/>
              </w:rPr>
            </w:pPr>
            <w:r w:rsidRPr="00386B18">
              <w:rPr>
                <w:rFonts w:eastAsia="Times New Roman" w:cs="Times New Roman"/>
                <w:b/>
                <w:bCs/>
                <w:sz w:val="20"/>
                <w:szCs w:val="20"/>
                <w:lang w:eastAsia="sk-SK"/>
              </w:rPr>
              <w:t>1 593 710</w:t>
            </w:r>
          </w:p>
        </w:tc>
        <w:tc>
          <w:tcPr>
            <w:tcW w:w="510" w:type="pct"/>
            <w:tcBorders>
              <w:top w:val="nil"/>
              <w:left w:val="nil"/>
              <w:bottom w:val="single" w:sz="4" w:space="0" w:color="auto"/>
              <w:right w:val="nil"/>
            </w:tcBorders>
            <w:shd w:val="clear" w:color="auto" w:fill="auto"/>
            <w:noWrap/>
            <w:vAlign w:val="bottom"/>
            <w:hideMark/>
          </w:tcPr>
          <w:p w14:paraId="7147F3C5" w14:textId="77777777" w:rsidR="003A0696" w:rsidRPr="00386B18" w:rsidRDefault="003A0696" w:rsidP="003A0696">
            <w:pPr>
              <w:spacing w:after="0" w:line="240" w:lineRule="auto"/>
              <w:jc w:val="right"/>
              <w:rPr>
                <w:rFonts w:eastAsia="Times New Roman" w:cs="Times New Roman"/>
                <w:b/>
                <w:bCs/>
                <w:sz w:val="20"/>
                <w:szCs w:val="20"/>
                <w:lang w:eastAsia="sk-SK"/>
              </w:rPr>
            </w:pPr>
            <w:r w:rsidRPr="00386B18">
              <w:rPr>
                <w:rFonts w:eastAsia="Times New Roman" w:cs="Times New Roman"/>
                <w:b/>
                <w:bCs/>
                <w:sz w:val="20"/>
                <w:szCs w:val="20"/>
                <w:lang w:eastAsia="sk-SK"/>
              </w:rPr>
              <w:t>1 644 707</w:t>
            </w:r>
          </w:p>
        </w:tc>
        <w:tc>
          <w:tcPr>
            <w:tcW w:w="510" w:type="pct"/>
            <w:tcBorders>
              <w:top w:val="nil"/>
              <w:left w:val="nil"/>
              <w:bottom w:val="single" w:sz="4" w:space="0" w:color="auto"/>
              <w:right w:val="nil"/>
            </w:tcBorders>
            <w:shd w:val="clear" w:color="auto" w:fill="auto"/>
            <w:noWrap/>
            <w:vAlign w:val="bottom"/>
            <w:hideMark/>
          </w:tcPr>
          <w:p w14:paraId="705FCDE4" w14:textId="77777777" w:rsidR="003A0696" w:rsidRPr="00386B18" w:rsidRDefault="003A0696" w:rsidP="003A0696">
            <w:pPr>
              <w:spacing w:after="0" w:line="240" w:lineRule="auto"/>
              <w:jc w:val="right"/>
              <w:rPr>
                <w:rFonts w:eastAsia="Times New Roman" w:cs="Times New Roman"/>
                <w:b/>
                <w:bCs/>
                <w:sz w:val="20"/>
                <w:szCs w:val="20"/>
                <w:lang w:eastAsia="sk-SK"/>
              </w:rPr>
            </w:pPr>
            <w:r w:rsidRPr="00386B18">
              <w:rPr>
                <w:rFonts w:eastAsia="Times New Roman" w:cs="Times New Roman"/>
                <w:b/>
                <w:bCs/>
                <w:sz w:val="20"/>
                <w:szCs w:val="20"/>
                <w:lang w:eastAsia="sk-SK"/>
              </w:rPr>
              <w:t>1 751 497</w:t>
            </w:r>
          </w:p>
        </w:tc>
        <w:tc>
          <w:tcPr>
            <w:tcW w:w="477" w:type="pct"/>
            <w:tcBorders>
              <w:top w:val="nil"/>
              <w:left w:val="nil"/>
              <w:bottom w:val="single" w:sz="4" w:space="0" w:color="auto"/>
              <w:right w:val="nil"/>
            </w:tcBorders>
            <w:shd w:val="clear" w:color="auto" w:fill="auto"/>
            <w:noWrap/>
            <w:vAlign w:val="bottom"/>
            <w:hideMark/>
          </w:tcPr>
          <w:p w14:paraId="266A9173" w14:textId="77777777" w:rsidR="003A0696" w:rsidRPr="00386B18" w:rsidRDefault="003A0696" w:rsidP="003A0696">
            <w:pPr>
              <w:spacing w:after="0" w:line="240" w:lineRule="auto"/>
              <w:jc w:val="right"/>
              <w:rPr>
                <w:rFonts w:eastAsia="Times New Roman" w:cs="Times New Roman"/>
                <w:b/>
                <w:bCs/>
                <w:sz w:val="20"/>
                <w:szCs w:val="20"/>
                <w:lang w:eastAsia="sk-SK"/>
              </w:rPr>
            </w:pPr>
            <w:r w:rsidRPr="00386B18">
              <w:rPr>
                <w:rFonts w:eastAsia="Times New Roman" w:cs="Times New Roman"/>
                <w:b/>
                <w:bCs/>
                <w:sz w:val="20"/>
                <w:szCs w:val="20"/>
                <w:lang w:eastAsia="sk-SK"/>
              </w:rPr>
              <w:t>106 790</w:t>
            </w:r>
          </w:p>
        </w:tc>
      </w:tr>
      <w:tr w:rsidR="003A0696" w:rsidRPr="00386B18" w14:paraId="7C7FA57C" w14:textId="77777777" w:rsidTr="003A0696">
        <w:trPr>
          <w:trHeight w:val="525"/>
        </w:trPr>
        <w:tc>
          <w:tcPr>
            <w:tcW w:w="2993" w:type="pct"/>
            <w:tcBorders>
              <w:top w:val="single" w:sz="4" w:space="0" w:color="auto"/>
              <w:left w:val="nil"/>
              <w:bottom w:val="single" w:sz="4" w:space="0" w:color="auto"/>
              <w:right w:val="nil"/>
            </w:tcBorders>
            <w:shd w:val="clear" w:color="auto" w:fill="auto"/>
            <w:vAlign w:val="bottom"/>
            <w:hideMark/>
          </w:tcPr>
          <w:p w14:paraId="706D8A23" w14:textId="77777777" w:rsidR="003A0696" w:rsidRPr="00386B18" w:rsidRDefault="003A0696" w:rsidP="003A0696">
            <w:pPr>
              <w:spacing w:after="0" w:line="240" w:lineRule="auto"/>
              <w:jc w:val="left"/>
              <w:rPr>
                <w:rFonts w:eastAsia="Times New Roman" w:cs="Times New Roman"/>
                <w:b/>
                <w:bCs/>
                <w:sz w:val="20"/>
                <w:szCs w:val="20"/>
                <w:lang w:eastAsia="sk-SK"/>
              </w:rPr>
            </w:pPr>
            <w:r w:rsidRPr="00386B18">
              <w:rPr>
                <w:rFonts w:eastAsia="Times New Roman" w:cs="Times New Roman"/>
                <w:b/>
                <w:bCs/>
                <w:sz w:val="20"/>
                <w:szCs w:val="20"/>
                <w:lang w:eastAsia="sk-SK"/>
              </w:rPr>
              <w:t>Konsolidovaný príspevok obcí do konsolidovaného dlhu verejnej správy</w:t>
            </w:r>
          </w:p>
        </w:tc>
        <w:tc>
          <w:tcPr>
            <w:tcW w:w="510" w:type="pct"/>
            <w:tcBorders>
              <w:top w:val="single" w:sz="4" w:space="0" w:color="auto"/>
              <w:left w:val="nil"/>
              <w:bottom w:val="single" w:sz="4" w:space="0" w:color="auto"/>
              <w:right w:val="nil"/>
            </w:tcBorders>
            <w:shd w:val="clear" w:color="auto" w:fill="auto"/>
            <w:noWrap/>
            <w:vAlign w:val="bottom"/>
            <w:hideMark/>
          </w:tcPr>
          <w:p w14:paraId="3559675D" w14:textId="77777777" w:rsidR="003A0696" w:rsidRPr="00386B18" w:rsidRDefault="003A0696" w:rsidP="003A0696">
            <w:pPr>
              <w:spacing w:after="0" w:line="240" w:lineRule="auto"/>
              <w:jc w:val="right"/>
              <w:rPr>
                <w:rFonts w:eastAsia="Times New Roman" w:cs="Times New Roman"/>
                <w:b/>
                <w:bCs/>
                <w:sz w:val="20"/>
                <w:szCs w:val="20"/>
                <w:lang w:eastAsia="sk-SK"/>
              </w:rPr>
            </w:pPr>
            <w:r w:rsidRPr="00386B18">
              <w:rPr>
                <w:rFonts w:eastAsia="Times New Roman" w:cs="Times New Roman"/>
                <w:b/>
                <w:bCs/>
                <w:sz w:val="20"/>
                <w:szCs w:val="20"/>
                <w:lang w:eastAsia="sk-SK"/>
              </w:rPr>
              <w:t>738 998</w:t>
            </w:r>
          </w:p>
        </w:tc>
        <w:tc>
          <w:tcPr>
            <w:tcW w:w="510" w:type="pct"/>
            <w:tcBorders>
              <w:top w:val="single" w:sz="4" w:space="0" w:color="auto"/>
              <w:left w:val="nil"/>
              <w:bottom w:val="single" w:sz="4" w:space="0" w:color="auto"/>
              <w:right w:val="nil"/>
            </w:tcBorders>
            <w:shd w:val="clear" w:color="auto" w:fill="auto"/>
            <w:noWrap/>
            <w:vAlign w:val="bottom"/>
            <w:hideMark/>
          </w:tcPr>
          <w:p w14:paraId="41DF1DFF" w14:textId="77777777" w:rsidR="003A0696" w:rsidRPr="00386B18" w:rsidRDefault="003A0696" w:rsidP="003A0696">
            <w:pPr>
              <w:spacing w:after="0" w:line="240" w:lineRule="auto"/>
              <w:jc w:val="right"/>
              <w:rPr>
                <w:rFonts w:eastAsia="Times New Roman" w:cs="Times New Roman"/>
                <w:b/>
                <w:bCs/>
                <w:sz w:val="20"/>
                <w:szCs w:val="20"/>
                <w:lang w:eastAsia="sk-SK"/>
              </w:rPr>
            </w:pPr>
            <w:r w:rsidRPr="00386B18">
              <w:rPr>
                <w:rFonts w:eastAsia="Times New Roman" w:cs="Times New Roman"/>
                <w:b/>
                <w:bCs/>
                <w:sz w:val="20"/>
                <w:szCs w:val="20"/>
                <w:lang w:eastAsia="sk-SK"/>
              </w:rPr>
              <w:t>778 002</w:t>
            </w:r>
          </w:p>
        </w:tc>
        <w:tc>
          <w:tcPr>
            <w:tcW w:w="510" w:type="pct"/>
            <w:tcBorders>
              <w:top w:val="single" w:sz="4" w:space="0" w:color="auto"/>
              <w:left w:val="nil"/>
              <w:bottom w:val="single" w:sz="4" w:space="0" w:color="auto"/>
              <w:right w:val="nil"/>
            </w:tcBorders>
            <w:shd w:val="clear" w:color="auto" w:fill="auto"/>
            <w:noWrap/>
            <w:vAlign w:val="bottom"/>
            <w:hideMark/>
          </w:tcPr>
          <w:p w14:paraId="278E96DB" w14:textId="77777777" w:rsidR="003A0696" w:rsidRPr="00386B18" w:rsidRDefault="003A0696" w:rsidP="003A0696">
            <w:pPr>
              <w:spacing w:after="0" w:line="240" w:lineRule="auto"/>
              <w:jc w:val="right"/>
              <w:rPr>
                <w:rFonts w:eastAsia="Times New Roman" w:cs="Times New Roman"/>
                <w:b/>
                <w:bCs/>
                <w:sz w:val="20"/>
                <w:szCs w:val="20"/>
                <w:lang w:eastAsia="sk-SK"/>
              </w:rPr>
            </w:pPr>
            <w:r w:rsidRPr="00386B18">
              <w:rPr>
                <w:rFonts w:eastAsia="Times New Roman" w:cs="Times New Roman"/>
                <w:b/>
                <w:bCs/>
                <w:sz w:val="20"/>
                <w:szCs w:val="20"/>
                <w:lang w:eastAsia="sk-SK"/>
              </w:rPr>
              <w:t>892 623</w:t>
            </w:r>
          </w:p>
        </w:tc>
        <w:tc>
          <w:tcPr>
            <w:tcW w:w="477" w:type="pct"/>
            <w:tcBorders>
              <w:top w:val="single" w:sz="4" w:space="0" w:color="auto"/>
              <w:left w:val="nil"/>
              <w:bottom w:val="single" w:sz="4" w:space="0" w:color="auto"/>
              <w:right w:val="nil"/>
            </w:tcBorders>
            <w:shd w:val="clear" w:color="auto" w:fill="auto"/>
            <w:noWrap/>
            <w:vAlign w:val="bottom"/>
            <w:hideMark/>
          </w:tcPr>
          <w:p w14:paraId="243E1385" w14:textId="77777777" w:rsidR="003A0696" w:rsidRPr="00386B18" w:rsidRDefault="003A0696" w:rsidP="003A0696">
            <w:pPr>
              <w:spacing w:after="0" w:line="240" w:lineRule="auto"/>
              <w:jc w:val="right"/>
              <w:rPr>
                <w:rFonts w:eastAsia="Times New Roman" w:cs="Times New Roman"/>
                <w:b/>
                <w:bCs/>
                <w:sz w:val="20"/>
                <w:szCs w:val="20"/>
                <w:lang w:eastAsia="sk-SK"/>
              </w:rPr>
            </w:pPr>
            <w:r w:rsidRPr="00386B18">
              <w:rPr>
                <w:rFonts w:eastAsia="Times New Roman" w:cs="Times New Roman"/>
                <w:b/>
                <w:bCs/>
                <w:sz w:val="20"/>
                <w:szCs w:val="20"/>
                <w:lang w:eastAsia="sk-SK"/>
              </w:rPr>
              <w:t>114 621</w:t>
            </w:r>
          </w:p>
        </w:tc>
      </w:tr>
    </w:tbl>
    <w:p w14:paraId="47FC93E3" w14:textId="77777777" w:rsidR="003A0696" w:rsidRPr="00386B18" w:rsidRDefault="003A0696" w:rsidP="003A0696">
      <w:pPr>
        <w:spacing w:after="0"/>
        <w:jc w:val="right"/>
        <w:rPr>
          <w:sz w:val="16"/>
          <w:szCs w:val="16"/>
        </w:rPr>
      </w:pPr>
      <w:r w:rsidRPr="00386B18">
        <w:rPr>
          <w:sz w:val="16"/>
          <w:szCs w:val="16"/>
        </w:rPr>
        <w:t>Zdroj: MF SR</w:t>
      </w:r>
    </w:p>
    <w:p w14:paraId="3FC23F76" w14:textId="77777777" w:rsidR="003A0696" w:rsidRPr="00D72620" w:rsidRDefault="003A0696" w:rsidP="003A0696">
      <w:pPr>
        <w:spacing w:before="120" w:line="240" w:lineRule="auto"/>
        <w:rPr>
          <w:sz w:val="24"/>
          <w:szCs w:val="24"/>
        </w:rPr>
      </w:pPr>
      <w:r w:rsidRPr="00D72620">
        <w:rPr>
          <w:sz w:val="24"/>
          <w:szCs w:val="24"/>
        </w:rPr>
        <w:t>V priebehu roka 2022 neboli zo štátnych finančných aktív poskytnuté nové návratné finančné výpomoci mestám, avšak boli splatené výpomoci poskytnuté v predchádzajúcich rokoch v súhrnnej výške 400 tis. eur. Zostatok nesplatených NFV (mimo COVID výpomocí) k 31.12.2022 predstavuje hodnotu 36 4</w:t>
      </w:r>
      <w:r>
        <w:rPr>
          <w:sz w:val="24"/>
          <w:szCs w:val="24"/>
        </w:rPr>
        <w:t>53 tis. eur</w:t>
      </w:r>
      <w:r w:rsidRPr="00D72620">
        <w:rPr>
          <w:sz w:val="24"/>
          <w:szCs w:val="24"/>
        </w:rPr>
        <w:t xml:space="preserve"> (Mesto Košice (25 130 tis. eur), </w:t>
      </w:r>
      <w:r w:rsidRPr="003C651F">
        <w:rPr>
          <w:sz w:val="24"/>
          <w:szCs w:val="24"/>
        </w:rPr>
        <w:t>mestská časť Bratislava – Staré Mesto</w:t>
      </w:r>
      <w:r w:rsidRPr="00D72620">
        <w:rPr>
          <w:sz w:val="24"/>
          <w:szCs w:val="24"/>
        </w:rPr>
        <w:t xml:space="preserve"> (2 000 tis. eur), Martin (1 000 tis. eur), Bardejov (700 tis. eur), Prešov (4 423 tis. eur) a Kežmarok (3 200 tis. eur).</w:t>
      </w:r>
    </w:p>
    <w:p w14:paraId="1A095D19" w14:textId="77777777" w:rsidR="003A0696" w:rsidRPr="00D72620" w:rsidRDefault="003A0696" w:rsidP="003A0696">
      <w:pPr>
        <w:spacing w:before="120" w:line="240" w:lineRule="auto"/>
        <w:rPr>
          <w:sz w:val="24"/>
          <w:szCs w:val="24"/>
        </w:rPr>
      </w:pPr>
      <w:r w:rsidRPr="00D72620">
        <w:rPr>
          <w:sz w:val="24"/>
          <w:szCs w:val="24"/>
        </w:rPr>
        <w:t xml:space="preserve">Nezanedbateľnú časť nekonsolidovaného dlhu miest a obcí tvoria nesplatené návratné finančné výpomoci poskytnuté ešte počas roka 2020 za účelom zmiernenia negatívneho dopadu pandémie COVID-19 vo výške 99 748 tis. eur. </w:t>
      </w:r>
    </w:p>
    <w:p w14:paraId="744549A4" w14:textId="77777777" w:rsidR="003A0696" w:rsidRPr="006871BF" w:rsidRDefault="003A0696" w:rsidP="003A0696">
      <w:pPr>
        <w:spacing w:before="120" w:line="240" w:lineRule="auto"/>
        <w:rPr>
          <w:sz w:val="24"/>
          <w:szCs w:val="24"/>
        </w:rPr>
      </w:pPr>
      <w:r w:rsidRPr="006871BF">
        <w:rPr>
          <w:sz w:val="24"/>
          <w:szCs w:val="24"/>
        </w:rPr>
        <w:t xml:space="preserve">Pôžičky od ŠFRB na podporu obstarania obecných nájomných bytov ich výstavbou alebo obstaraním, modernizáciu a rekonštrukciu zariadení sociálnych služieb sú predmetom vzájomnej konsolidácie. Medziročne došlo k ich poklesu úhrnom o 7 076 tis. eur. </w:t>
      </w:r>
    </w:p>
    <w:p w14:paraId="2127164F" w14:textId="77777777" w:rsidR="003A0696" w:rsidRPr="006871BF" w:rsidRDefault="003A0696" w:rsidP="003A0696">
      <w:pPr>
        <w:spacing w:before="120" w:line="240" w:lineRule="auto"/>
        <w:rPr>
          <w:sz w:val="24"/>
          <w:szCs w:val="24"/>
        </w:rPr>
      </w:pPr>
      <w:r w:rsidRPr="006871BF">
        <w:rPr>
          <w:sz w:val="24"/>
          <w:szCs w:val="24"/>
        </w:rPr>
        <w:t>Komerčné úvery od tuzemských bánk alebo zahraničných bánk sú druhým najväčším zdrojom financovania potrieb územnej samosprávy. Nárast hodnoty úverov o 113 345 tis. eur bol spôsobený novými úvermi, ktoré čerpali viaceré mestá (napr. Hlavné Mesto Bratislava 25 000 tis. eur, mestská časť Bratislava Ružinov 14 820 tis. eur, mestská časť Bratislava Petržalka 4 068 tis. eur, mestská časť Bratislava Vrakuňa 2 451 tis. eur, Mesto Trnava 9 000 tis. eur, Mesto Košice 5 000 tis. eur, Obec Bernolákovo 4 200 tis. eur, Kysucké Nové Mesto 4 000 tis. eur, Mesto Nové Zámky 3 408 tis. eur, Mesto Trenčín 2 700 tis. eur, Mesto Stupava 2 771 tis. eur, Mesto Humenné 2 486 tis. eur).</w:t>
      </w:r>
    </w:p>
    <w:p w14:paraId="738FA6BE" w14:textId="77777777" w:rsidR="003A0696" w:rsidRDefault="003A0696" w:rsidP="003A0696">
      <w:pPr>
        <w:spacing w:line="240" w:lineRule="auto"/>
        <w:rPr>
          <w:sz w:val="24"/>
          <w:szCs w:val="24"/>
        </w:rPr>
      </w:pPr>
      <w:r w:rsidRPr="001D76C1">
        <w:rPr>
          <w:sz w:val="24"/>
          <w:szCs w:val="24"/>
        </w:rPr>
        <w:t>Dlhodobé záväzky z obchodného styku a prijaté preddavky sa na dlhu obcí a ich rozpočtových organizácií podieľajú sumou 22 063 tis. eur.</w:t>
      </w:r>
    </w:p>
    <w:p w14:paraId="68FCC341" w14:textId="77777777" w:rsidR="003A0696" w:rsidRPr="001E2903" w:rsidRDefault="003A0696" w:rsidP="003A0696">
      <w:pPr>
        <w:spacing w:line="240" w:lineRule="auto"/>
        <w:rPr>
          <w:sz w:val="24"/>
          <w:szCs w:val="24"/>
        </w:rPr>
      </w:pPr>
      <w:r w:rsidRPr="001E2903">
        <w:rPr>
          <w:b/>
          <w:sz w:val="24"/>
          <w:szCs w:val="24"/>
        </w:rPr>
        <w:t xml:space="preserve">Vyššie územné celky </w:t>
      </w:r>
      <w:r w:rsidRPr="001E2903">
        <w:rPr>
          <w:sz w:val="24"/>
          <w:szCs w:val="24"/>
        </w:rPr>
        <w:t>(vrátane ich rozpočtových organizácií)</w:t>
      </w:r>
      <w:r w:rsidRPr="001E2903">
        <w:rPr>
          <w:b/>
          <w:sz w:val="24"/>
          <w:szCs w:val="24"/>
        </w:rPr>
        <w:t xml:space="preserve"> </w:t>
      </w:r>
      <w:r w:rsidRPr="001E2903">
        <w:rPr>
          <w:sz w:val="24"/>
          <w:szCs w:val="24"/>
        </w:rPr>
        <w:t xml:space="preserve">sa podieľajú na dlhu verejnej správy hodnotou 367 713 tis. eur, čo je o 34 354 tis. eur viac ako v predchádzajúcom roku. </w:t>
      </w:r>
    </w:p>
    <w:tbl>
      <w:tblPr>
        <w:tblW w:w="5000" w:type="pct"/>
        <w:tblLayout w:type="fixed"/>
        <w:tblCellMar>
          <w:left w:w="70" w:type="dxa"/>
          <w:right w:w="70" w:type="dxa"/>
        </w:tblCellMar>
        <w:tblLook w:val="04A0" w:firstRow="1" w:lastRow="0" w:firstColumn="1" w:lastColumn="0" w:noHBand="0" w:noVBand="1"/>
      </w:tblPr>
      <w:tblGrid>
        <w:gridCol w:w="4862"/>
        <w:gridCol w:w="1088"/>
        <w:gridCol w:w="1088"/>
        <w:gridCol w:w="1088"/>
        <w:gridCol w:w="1088"/>
      </w:tblGrid>
      <w:tr w:rsidR="003A0696" w:rsidRPr="001D76C1" w14:paraId="7950A8C4" w14:textId="77777777" w:rsidTr="003A0696">
        <w:trPr>
          <w:trHeight w:val="300"/>
        </w:trPr>
        <w:tc>
          <w:tcPr>
            <w:tcW w:w="8126" w:type="dxa"/>
            <w:gridSpan w:val="4"/>
            <w:tcBorders>
              <w:top w:val="nil"/>
              <w:left w:val="nil"/>
              <w:bottom w:val="single" w:sz="4" w:space="0" w:color="auto"/>
              <w:right w:val="nil"/>
            </w:tcBorders>
            <w:shd w:val="clear" w:color="auto" w:fill="auto"/>
            <w:noWrap/>
            <w:vAlign w:val="center"/>
            <w:hideMark/>
          </w:tcPr>
          <w:p w14:paraId="43DB74BF" w14:textId="77777777" w:rsidR="003A0696" w:rsidRPr="001D76C1" w:rsidRDefault="003A0696" w:rsidP="003A0696">
            <w:pPr>
              <w:spacing w:after="0" w:line="240" w:lineRule="auto"/>
              <w:jc w:val="left"/>
              <w:rPr>
                <w:rFonts w:eastAsia="Times New Roman" w:cs="Times New Roman"/>
                <w:b/>
                <w:bCs/>
                <w:color w:val="5B9BD5"/>
                <w:sz w:val="20"/>
                <w:szCs w:val="20"/>
                <w:lang w:eastAsia="sk-SK"/>
              </w:rPr>
            </w:pPr>
            <w:r w:rsidRPr="001D76C1">
              <w:rPr>
                <w:rFonts w:eastAsia="Times New Roman" w:cs="Times New Roman"/>
                <w:b/>
                <w:bCs/>
                <w:color w:val="5B9BD5"/>
                <w:sz w:val="20"/>
                <w:szCs w:val="20"/>
                <w:lang w:eastAsia="sk-SK"/>
              </w:rPr>
              <w:t xml:space="preserve">Tabuľka </w:t>
            </w:r>
            <w:r>
              <w:rPr>
                <w:rFonts w:eastAsia="Times New Roman" w:cs="Times New Roman"/>
                <w:b/>
                <w:bCs/>
                <w:color w:val="5B9BD5"/>
                <w:sz w:val="20"/>
                <w:szCs w:val="20"/>
                <w:lang w:eastAsia="sk-SK"/>
              </w:rPr>
              <w:t>20</w:t>
            </w:r>
            <w:r w:rsidRPr="001D76C1">
              <w:rPr>
                <w:rFonts w:eastAsia="Times New Roman" w:cs="Times New Roman"/>
                <w:b/>
                <w:bCs/>
                <w:color w:val="5B9BD5"/>
                <w:sz w:val="20"/>
                <w:szCs w:val="20"/>
                <w:lang w:eastAsia="sk-SK"/>
              </w:rPr>
              <w:t xml:space="preserve"> - Dlh VÚC podľa dlhového nástroja</w:t>
            </w:r>
          </w:p>
        </w:tc>
        <w:tc>
          <w:tcPr>
            <w:tcW w:w="1088" w:type="dxa"/>
            <w:tcBorders>
              <w:top w:val="nil"/>
              <w:left w:val="nil"/>
              <w:bottom w:val="single" w:sz="4" w:space="0" w:color="auto"/>
              <w:right w:val="nil"/>
            </w:tcBorders>
            <w:shd w:val="clear" w:color="auto" w:fill="auto"/>
            <w:noWrap/>
            <w:vAlign w:val="center"/>
            <w:hideMark/>
          </w:tcPr>
          <w:p w14:paraId="551A9EF3" w14:textId="77777777" w:rsidR="003A0696" w:rsidRPr="001D76C1" w:rsidRDefault="003A0696" w:rsidP="003A0696">
            <w:pPr>
              <w:spacing w:after="0" w:line="240" w:lineRule="auto"/>
              <w:jc w:val="right"/>
              <w:rPr>
                <w:rFonts w:eastAsia="Times New Roman" w:cs="Times New Roman"/>
                <w:b/>
                <w:bCs/>
                <w:color w:val="FFFFFF"/>
                <w:sz w:val="20"/>
                <w:szCs w:val="20"/>
                <w:lang w:eastAsia="sk-SK"/>
              </w:rPr>
            </w:pPr>
            <w:r w:rsidRPr="001D76C1">
              <w:rPr>
                <w:rFonts w:eastAsia="Times New Roman" w:cs="Times New Roman"/>
                <w:b/>
                <w:bCs/>
                <w:color w:val="FFFFFF"/>
                <w:sz w:val="20"/>
                <w:szCs w:val="20"/>
                <w:lang w:eastAsia="sk-SK"/>
              </w:rPr>
              <w:t>v tis. eur</w:t>
            </w:r>
          </w:p>
        </w:tc>
      </w:tr>
      <w:tr w:rsidR="003A0696" w:rsidRPr="001D76C1" w14:paraId="310C8265" w14:textId="77777777" w:rsidTr="003A0696">
        <w:trPr>
          <w:trHeight w:val="300"/>
        </w:trPr>
        <w:tc>
          <w:tcPr>
            <w:tcW w:w="4862" w:type="dxa"/>
            <w:vMerge w:val="restart"/>
            <w:tcBorders>
              <w:top w:val="single" w:sz="4" w:space="0" w:color="auto"/>
              <w:left w:val="nil"/>
              <w:bottom w:val="single" w:sz="4" w:space="0" w:color="000000"/>
              <w:right w:val="nil"/>
            </w:tcBorders>
            <w:shd w:val="clear" w:color="auto" w:fill="auto"/>
            <w:vAlign w:val="center"/>
            <w:hideMark/>
          </w:tcPr>
          <w:p w14:paraId="266754E6" w14:textId="77777777" w:rsidR="003A0696" w:rsidRPr="001D76C1" w:rsidRDefault="003A0696" w:rsidP="003A0696">
            <w:pPr>
              <w:spacing w:after="0" w:line="240" w:lineRule="auto"/>
              <w:rPr>
                <w:rFonts w:eastAsia="Times New Roman" w:cs="Times New Roman"/>
                <w:b/>
                <w:bCs/>
                <w:sz w:val="20"/>
                <w:szCs w:val="20"/>
                <w:lang w:eastAsia="sk-SK"/>
              </w:rPr>
            </w:pPr>
            <w:r w:rsidRPr="001D76C1">
              <w:rPr>
                <w:rFonts w:eastAsia="Times New Roman" w:cs="Times New Roman"/>
                <w:b/>
                <w:bCs/>
                <w:sz w:val="20"/>
                <w:szCs w:val="20"/>
                <w:lang w:eastAsia="sk-SK"/>
              </w:rPr>
              <w:t>v tis. eur</w:t>
            </w:r>
          </w:p>
        </w:tc>
        <w:tc>
          <w:tcPr>
            <w:tcW w:w="1088" w:type="dxa"/>
            <w:tcBorders>
              <w:top w:val="single" w:sz="4" w:space="0" w:color="auto"/>
              <w:left w:val="nil"/>
              <w:bottom w:val="nil"/>
              <w:right w:val="nil"/>
            </w:tcBorders>
            <w:shd w:val="clear" w:color="auto" w:fill="auto"/>
            <w:vAlign w:val="center"/>
            <w:hideMark/>
          </w:tcPr>
          <w:p w14:paraId="6530D265" w14:textId="77777777" w:rsidR="003A0696" w:rsidRPr="001D76C1" w:rsidRDefault="003A0696" w:rsidP="003A0696">
            <w:pPr>
              <w:spacing w:after="0" w:line="240" w:lineRule="auto"/>
              <w:jc w:val="center"/>
              <w:rPr>
                <w:rFonts w:eastAsia="Times New Roman" w:cs="Times New Roman"/>
                <w:b/>
                <w:bCs/>
                <w:sz w:val="20"/>
                <w:szCs w:val="20"/>
                <w:lang w:eastAsia="sk-SK"/>
              </w:rPr>
            </w:pPr>
            <w:r w:rsidRPr="001D76C1">
              <w:rPr>
                <w:rFonts w:eastAsia="Times New Roman" w:cs="Times New Roman"/>
                <w:b/>
                <w:bCs/>
                <w:sz w:val="20"/>
                <w:szCs w:val="20"/>
                <w:lang w:eastAsia="sk-SK"/>
              </w:rPr>
              <w:t>2020 S</w:t>
            </w:r>
          </w:p>
        </w:tc>
        <w:tc>
          <w:tcPr>
            <w:tcW w:w="1088" w:type="dxa"/>
            <w:tcBorders>
              <w:top w:val="single" w:sz="4" w:space="0" w:color="auto"/>
              <w:left w:val="nil"/>
              <w:bottom w:val="nil"/>
              <w:right w:val="nil"/>
            </w:tcBorders>
            <w:shd w:val="clear" w:color="auto" w:fill="auto"/>
            <w:vAlign w:val="center"/>
            <w:hideMark/>
          </w:tcPr>
          <w:p w14:paraId="1D045A8A" w14:textId="77777777" w:rsidR="003A0696" w:rsidRPr="001D76C1" w:rsidRDefault="003A0696" w:rsidP="003A0696">
            <w:pPr>
              <w:spacing w:after="0" w:line="240" w:lineRule="auto"/>
              <w:jc w:val="center"/>
              <w:rPr>
                <w:rFonts w:eastAsia="Times New Roman" w:cs="Times New Roman"/>
                <w:b/>
                <w:bCs/>
                <w:sz w:val="20"/>
                <w:szCs w:val="20"/>
                <w:lang w:eastAsia="sk-SK"/>
              </w:rPr>
            </w:pPr>
            <w:r w:rsidRPr="001D76C1">
              <w:rPr>
                <w:rFonts w:eastAsia="Times New Roman" w:cs="Times New Roman"/>
                <w:b/>
                <w:bCs/>
                <w:sz w:val="20"/>
                <w:szCs w:val="20"/>
                <w:lang w:eastAsia="sk-SK"/>
              </w:rPr>
              <w:t>2021 S</w:t>
            </w:r>
          </w:p>
        </w:tc>
        <w:tc>
          <w:tcPr>
            <w:tcW w:w="1088" w:type="dxa"/>
            <w:tcBorders>
              <w:top w:val="single" w:sz="4" w:space="0" w:color="auto"/>
              <w:left w:val="nil"/>
              <w:bottom w:val="nil"/>
              <w:right w:val="nil"/>
            </w:tcBorders>
            <w:shd w:val="clear" w:color="auto" w:fill="auto"/>
            <w:vAlign w:val="center"/>
            <w:hideMark/>
          </w:tcPr>
          <w:p w14:paraId="4B121E8C" w14:textId="77777777" w:rsidR="003A0696" w:rsidRPr="001D76C1" w:rsidRDefault="003A0696" w:rsidP="003A0696">
            <w:pPr>
              <w:spacing w:after="0" w:line="240" w:lineRule="auto"/>
              <w:jc w:val="center"/>
              <w:rPr>
                <w:rFonts w:eastAsia="Times New Roman" w:cs="Times New Roman"/>
                <w:b/>
                <w:bCs/>
                <w:sz w:val="20"/>
                <w:szCs w:val="20"/>
                <w:lang w:eastAsia="sk-SK"/>
              </w:rPr>
            </w:pPr>
            <w:r w:rsidRPr="001D76C1">
              <w:rPr>
                <w:rFonts w:eastAsia="Times New Roman" w:cs="Times New Roman"/>
                <w:b/>
                <w:bCs/>
                <w:sz w:val="20"/>
                <w:szCs w:val="20"/>
                <w:lang w:eastAsia="sk-SK"/>
              </w:rPr>
              <w:t>2022 S</w:t>
            </w:r>
          </w:p>
        </w:tc>
        <w:tc>
          <w:tcPr>
            <w:tcW w:w="1088" w:type="dxa"/>
            <w:tcBorders>
              <w:top w:val="single" w:sz="4" w:space="0" w:color="auto"/>
              <w:left w:val="nil"/>
              <w:bottom w:val="nil"/>
              <w:right w:val="nil"/>
            </w:tcBorders>
            <w:shd w:val="clear" w:color="auto" w:fill="auto"/>
            <w:vAlign w:val="center"/>
            <w:hideMark/>
          </w:tcPr>
          <w:p w14:paraId="112AC677" w14:textId="77777777" w:rsidR="003A0696" w:rsidRPr="001D76C1" w:rsidRDefault="003A0696" w:rsidP="003A0696">
            <w:pPr>
              <w:spacing w:after="0" w:line="240" w:lineRule="auto"/>
              <w:jc w:val="center"/>
              <w:rPr>
                <w:rFonts w:eastAsia="Times New Roman" w:cs="Times New Roman"/>
                <w:b/>
                <w:bCs/>
                <w:sz w:val="20"/>
                <w:szCs w:val="20"/>
                <w:lang w:eastAsia="sk-SK"/>
              </w:rPr>
            </w:pPr>
            <w:r w:rsidRPr="001D76C1">
              <w:rPr>
                <w:rFonts w:eastAsia="Times New Roman" w:cs="Times New Roman"/>
                <w:b/>
                <w:bCs/>
                <w:sz w:val="20"/>
                <w:szCs w:val="20"/>
                <w:lang w:eastAsia="sk-SK"/>
              </w:rPr>
              <w:t>Zmena</w:t>
            </w:r>
          </w:p>
        </w:tc>
      </w:tr>
      <w:tr w:rsidR="003A0696" w:rsidRPr="001D76C1" w14:paraId="7F2BC803" w14:textId="77777777" w:rsidTr="003A0696">
        <w:trPr>
          <w:trHeight w:val="300"/>
        </w:trPr>
        <w:tc>
          <w:tcPr>
            <w:tcW w:w="4862" w:type="dxa"/>
            <w:vMerge/>
            <w:tcBorders>
              <w:top w:val="single" w:sz="4" w:space="0" w:color="auto"/>
              <w:left w:val="nil"/>
              <w:bottom w:val="single" w:sz="4" w:space="0" w:color="000000"/>
              <w:right w:val="nil"/>
            </w:tcBorders>
            <w:vAlign w:val="center"/>
            <w:hideMark/>
          </w:tcPr>
          <w:p w14:paraId="47F33B40" w14:textId="77777777" w:rsidR="003A0696" w:rsidRPr="001D76C1" w:rsidRDefault="003A0696" w:rsidP="003A0696">
            <w:pPr>
              <w:spacing w:after="0" w:line="240" w:lineRule="auto"/>
              <w:jc w:val="left"/>
              <w:rPr>
                <w:rFonts w:eastAsia="Times New Roman" w:cs="Times New Roman"/>
                <w:b/>
                <w:bCs/>
                <w:sz w:val="20"/>
                <w:szCs w:val="20"/>
                <w:lang w:eastAsia="sk-SK"/>
              </w:rPr>
            </w:pPr>
          </w:p>
        </w:tc>
        <w:tc>
          <w:tcPr>
            <w:tcW w:w="1088" w:type="dxa"/>
            <w:tcBorders>
              <w:top w:val="nil"/>
              <w:left w:val="nil"/>
              <w:bottom w:val="single" w:sz="4" w:space="0" w:color="auto"/>
              <w:right w:val="nil"/>
            </w:tcBorders>
            <w:shd w:val="clear" w:color="auto" w:fill="auto"/>
            <w:vAlign w:val="center"/>
            <w:hideMark/>
          </w:tcPr>
          <w:p w14:paraId="5934E8EE" w14:textId="77777777" w:rsidR="003A0696" w:rsidRPr="001D76C1" w:rsidRDefault="003A0696" w:rsidP="003A0696">
            <w:pPr>
              <w:spacing w:after="0" w:line="240" w:lineRule="auto"/>
              <w:jc w:val="center"/>
              <w:rPr>
                <w:rFonts w:eastAsia="Times New Roman" w:cs="Times New Roman"/>
                <w:b/>
                <w:bCs/>
                <w:sz w:val="20"/>
                <w:szCs w:val="20"/>
                <w:lang w:eastAsia="sk-SK"/>
              </w:rPr>
            </w:pPr>
            <w:r w:rsidRPr="001D76C1">
              <w:rPr>
                <w:rFonts w:eastAsia="Times New Roman" w:cs="Times New Roman"/>
                <w:b/>
                <w:bCs/>
                <w:sz w:val="20"/>
                <w:szCs w:val="20"/>
                <w:lang w:eastAsia="sk-SK"/>
              </w:rPr>
              <w:t>1</w:t>
            </w:r>
          </w:p>
        </w:tc>
        <w:tc>
          <w:tcPr>
            <w:tcW w:w="1088" w:type="dxa"/>
            <w:tcBorders>
              <w:top w:val="nil"/>
              <w:left w:val="nil"/>
              <w:bottom w:val="single" w:sz="4" w:space="0" w:color="auto"/>
              <w:right w:val="nil"/>
            </w:tcBorders>
            <w:shd w:val="clear" w:color="auto" w:fill="auto"/>
            <w:vAlign w:val="center"/>
            <w:hideMark/>
          </w:tcPr>
          <w:p w14:paraId="5DD8D4C4" w14:textId="77777777" w:rsidR="003A0696" w:rsidRPr="001D76C1" w:rsidRDefault="003A0696" w:rsidP="003A0696">
            <w:pPr>
              <w:spacing w:after="0" w:line="240" w:lineRule="auto"/>
              <w:jc w:val="center"/>
              <w:rPr>
                <w:rFonts w:eastAsia="Times New Roman" w:cs="Times New Roman"/>
                <w:b/>
                <w:bCs/>
                <w:sz w:val="20"/>
                <w:szCs w:val="20"/>
                <w:lang w:eastAsia="sk-SK"/>
              </w:rPr>
            </w:pPr>
            <w:r w:rsidRPr="001D76C1">
              <w:rPr>
                <w:rFonts w:eastAsia="Times New Roman" w:cs="Times New Roman"/>
                <w:b/>
                <w:bCs/>
                <w:sz w:val="20"/>
                <w:szCs w:val="20"/>
                <w:lang w:eastAsia="sk-SK"/>
              </w:rPr>
              <w:t>2</w:t>
            </w:r>
          </w:p>
        </w:tc>
        <w:tc>
          <w:tcPr>
            <w:tcW w:w="1088" w:type="dxa"/>
            <w:tcBorders>
              <w:top w:val="nil"/>
              <w:left w:val="nil"/>
              <w:bottom w:val="single" w:sz="4" w:space="0" w:color="auto"/>
              <w:right w:val="nil"/>
            </w:tcBorders>
            <w:shd w:val="clear" w:color="auto" w:fill="auto"/>
            <w:vAlign w:val="center"/>
            <w:hideMark/>
          </w:tcPr>
          <w:p w14:paraId="62674907" w14:textId="77777777" w:rsidR="003A0696" w:rsidRPr="001D76C1" w:rsidRDefault="003A0696" w:rsidP="003A0696">
            <w:pPr>
              <w:spacing w:after="0" w:line="240" w:lineRule="auto"/>
              <w:jc w:val="center"/>
              <w:rPr>
                <w:rFonts w:eastAsia="Times New Roman" w:cs="Times New Roman"/>
                <w:b/>
                <w:bCs/>
                <w:sz w:val="20"/>
                <w:szCs w:val="20"/>
                <w:lang w:eastAsia="sk-SK"/>
              </w:rPr>
            </w:pPr>
            <w:r w:rsidRPr="001D76C1">
              <w:rPr>
                <w:rFonts w:eastAsia="Times New Roman" w:cs="Times New Roman"/>
                <w:b/>
                <w:bCs/>
                <w:sz w:val="20"/>
                <w:szCs w:val="20"/>
                <w:lang w:eastAsia="sk-SK"/>
              </w:rPr>
              <w:t>3</w:t>
            </w:r>
          </w:p>
        </w:tc>
        <w:tc>
          <w:tcPr>
            <w:tcW w:w="1088" w:type="dxa"/>
            <w:tcBorders>
              <w:top w:val="nil"/>
              <w:left w:val="nil"/>
              <w:bottom w:val="single" w:sz="4" w:space="0" w:color="auto"/>
              <w:right w:val="nil"/>
            </w:tcBorders>
            <w:shd w:val="clear" w:color="auto" w:fill="auto"/>
            <w:vAlign w:val="center"/>
            <w:hideMark/>
          </w:tcPr>
          <w:p w14:paraId="2F698BFA" w14:textId="77777777" w:rsidR="003A0696" w:rsidRPr="001D76C1" w:rsidRDefault="003A0696" w:rsidP="003A0696">
            <w:pPr>
              <w:spacing w:after="0" w:line="240" w:lineRule="auto"/>
              <w:jc w:val="center"/>
              <w:rPr>
                <w:rFonts w:eastAsia="Times New Roman" w:cs="Times New Roman"/>
                <w:b/>
                <w:bCs/>
                <w:sz w:val="20"/>
                <w:szCs w:val="20"/>
                <w:lang w:eastAsia="sk-SK"/>
              </w:rPr>
            </w:pPr>
            <w:r w:rsidRPr="001D76C1">
              <w:rPr>
                <w:rFonts w:eastAsia="Times New Roman" w:cs="Times New Roman"/>
                <w:b/>
                <w:bCs/>
                <w:sz w:val="20"/>
                <w:szCs w:val="20"/>
                <w:lang w:eastAsia="sk-SK"/>
              </w:rPr>
              <w:t>4=(3-2)</w:t>
            </w:r>
          </w:p>
        </w:tc>
      </w:tr>
      <w:tr w:rsidR="003A0696" w:rsidRPr="001D76C1" w14:paraId="345C0FFF" w14:textId="77777777" w:rsidTr="003A0696">
        <w:trPr>
          <w:trHeight w:val="300"/>
        </w:trPr>
        <w:tc>
          <w:tcPr>
            <w:tcW w:w="4862" w:type="dxa"/>
            <w:tcBorders>
              <w:top w:val="nil"/>
              <w:left w:val="nil"/>
              <w:bottom w:val="nil"/>
              <w:right w:val="nil"/>
            </w:tcBorders>
            <w:shd w:val="clear" w:color="auto" w:fill="auto"/>
            <w:noWrap/>
            <w:vAlign w:val="bottom"/>
            <w:hideMark/>
          </w:tcPr>
          <w:p w14:paraId="4DA52542" w14:textId="77777777" w:rsidR="003A0696" w:rsidRPr="001D76C1" w:rsidRDefault="003A0696" w:rsidP="003A0696">
            <w:pPr>
              <w:spacing w:after="0" w:line="240" w:lineRule="auto"/>
              <w:jc w:val="left"/>
              <w:rPr>
                <w:rFonts w:eastAsia="Times New Roman" w:cs="Times New Roman"/>
                <w:sz w:val="20"/>
                <w:szCs w:val="20"/>
                <w:lang w:eastAsia="sk-SK"/>
              </w:rPr>
            </w:pPr>
            <w:r w:rsidRPr="001D76C1">
              <w:rPr>
                <w:rFonts w:eastAsia="Times New Roman" w:cs="Times New Roman"/>
                <w:sz w:val="20"/>
                <w:szCs w:val="20"/>
                <w:lang w:eastAsia="sk-SK"/>
              </w:rPr>
              <w:t>Bankové úvery</w:t>
            </w:r>
          </w:p>
        </w:tc>
        <w:tc>
          <w:tcPr>
            <w:tcW w:w="1088" w:type="dxa"/>
            <w:tcBorders>
              <w:top w:val="nil"/>
              <w:left w:val="nil"/>
              <w:bottom w:val="nil"/>
              <w:right w:val="nil"/>
            </w:tcBorders>
            <w:shd w:val="clear" w:color="auto" w:fill="auto"/>
            <w:noWrap/>
            <w:vAlign w:val="bottom"/>
            <w:hideMark/>
          </w:tcPr>
          <w:p w14:paraId="53932CB7" w14:textId="77777777" w:rsidR="003A0696" w:rsidRPr="001D76C1" w:rsidRDefault="003A0696" w:rsidP="003A0696">
            <w:pPr>
              <w:spacing w:after="0" w:line="240" w:lineRule="auto"/>
              <w:jc w:val="right"/>
              <w:rPr>
                <w:rFonts w:eastAsia="Times New Roman" w:cs="Times New Roman"/>
                <w:sz w:val="20"/>
                <w:szCs w:val="20"/>
                <w:lang w:eastAsia="sk-SK"/>
              </w:rPr>
            </w:pPr>
            <w:r w:rsidRPr="001D76C1">
              <w:rPr>
                <w:rFonts w:eastAsia="Times New Roman" w:cs="Times New Roman"/>
                <w:sz w:val="20"/>
                <w:szCs w:val="20"/>
                <w:lang w:eastAsia="sk-SK"/>
              </w:rPr>
              <w:t>351 869</w:t>
            </w:r>
          </w:p>
        </w:tc>
        <w:tc>
          <w:tcPr>
            <w:tcW w:w="1088" w:type="dxa"/>
            <w:tcBorders>
              <w:top w:val="nil"/>
              <w:left w:val="nil"/>
              <w:bottom w:val="nil"/>
              <w:right w:val="nil"/>
            </w:tcBorders>
            <w:shd w:val="clear" w:color="auto" w:fill="auto"/>
            <w:noWrap/>
            <w:vAlign w:val="bottom"/>
            <w:hideMark/>
          </w:tcPr>
          <w:p w14:paraId="50275D38" w14:textId="77777777" w:rsidR="003A0696" w:rsidRPr="001D76C1" w:rsidRDefault="003A0696" w:rsidP="003A0696">
            <w:pPr>
              <w:spacing w:after="0" w:line="240" w:lineRule="auto"/>
              <w:jc w:val="right"/>
              <w:rPr>
                <w:rFonts w:eastAsia="Times New Roman" w:cs="Times New Roman"/>
                <w:sz w:val="20"/>
                <w:szCs w:val="20"/>
                <w:lang w:eastAsia="sk-SK"/>
              </w:rPr>
            </w:pPr>
            <w:r w:rsidRPr="001D76C1">
              <w:rPr>
                <w:rFonts w:eastAsia="Times New Roman" w:cs="Times New Roman"/>
                <w:sz w:val="20"/>
                <w:szCs w:val="20"/>
                <w:lang w:eastAsia="sk-SK"/>
              </w:rPr>
              <w:t>330 797</w:t>
            </w:r>
          </w:p>
        </w:tc>
        <w:tc>
          <w:tcPr>
            <w:tcW w:w="1088" w:type="dxa"/>
            <w:tcBorders>
              <w:top w:val="nil"/>
              <w:left w:val="nil"/>
              <w:bottom w:val="nil"/>
              <w:right w:val="nil"/>
            </w:tcBorders>
            <w:shd w:val="clear" w:color="auto" w:fill="auto"/>
            <w:noWrap/>
            <w:vAlign w:val="bottom"/>
            <w:hideMark/>
          </w:tcPr>
          <w:p w14:paraId="11300709" w14:textId="77777777" w:rsidR="003A0696" w:rsidRPr="001D76C1" w:rsidRDefault="003A0696" w:rsidP="003A0696">
            <w:pPr>
              <w:spacing w:after="0" w:line="240" w:lineRule="auto"/>
              <w:jc w:val="right"/>
              <w:rPr>
                <w:rFonts w:eastAsia="Times New Roman" w:cs="Times New Roman"/>
                <w:sz w:val="20"/>
                <w:szCs w:val="20"/>
                <w:lang w:eastAsia="sk-SK"/>
              </w:rPr>
            </w:pPr>
            <w:r w:rsidRPr="001D76C1">
              <w:rPr>
                <w:rFonts w:eastAsia="Times New Roman" w:cs="Times New Roman"/>
                <w:sz w:val="20"/>
                <w:szCs w:val="20"/>
                <w:lang w:eastAsia="sk-SK"/>
              </w:rPr>
              <w:t>355 765</w:t>
            </w:r>
          </w:p>
        </w:tc>
        <w:tc>
          <w:tcPr>
            <w:tcW w:w="1088" w:type="dxa"/>
            <w:tcBorders>
              <w:top w:val="nil"/>
              <w:left w:val="nil"/>
              <w:bottom w:val="nil"/>
              <w:right w:val="nil"/>
            </w:tcBorders>
            <w:shd w:val="clear" w:color="auto" w:fill="auto"/>
            <w:noWrap/>
            <w:vAlign w:val="bottom"/>
            <w:hideMark/>
          </w:tcPr>
          <w:p w14:paraId="7A8AA800" w14:textId="77777777" w:rsidR="003A0696" w:rsidRPr="001D76C1" w:rsidRDefault="003A0696" w:rsidP="003A0696">
            <w:pPr>
              <w:spacing w:after="0" w:line="240" w:lineRule="auto"/>
              <w:jc w:val="right"/>
              <w:rPr>
                <w:rFonts w:eastAsia="Times New Roman" w:cs="Times New Roman"/>
                <w:sz w:val="20"/>
                <w:szCs w:val="20"/>
                <w:lang w:eastAsia="sk-SK"/>
              </w:rPr>
            </w:pPr>
            <w:r w:rsidRPr="001D76C1">
              <w:rPr>
                <w:rFonts w:eastAsia="Times New Roman" w:cs="Times New Roman"/>
                <w:sz w:val="20"/>
                <w:szCs w:val="20"/>
                <w:lang w:eastAsia="sk-SK"/>
              </w:rPr>
              <w:t>24 968</w:t>
            </w:r>
          </w:p>
        </w:tc>
      </w:tr>
      <w:tr w:rsidR="003A0696" w:rsidRPr="001D76C1" w14:paraId="0B52684C" w14:textId="77777777" w:rsidTr="003A0696">
        <w:trPr>
          <w:trHeight w:val="300"/>
        </w:trPr>
        <w:tc>
          <w:tcPr>
            <w:tcW w:w="4862" w:type="dxa"/>
            <w:tcBorders>
              <w:top w:val="nil"/>
              <w:left w:val="nil"/>
              <w:bottom w:val="nil"/>
              <w:right w:val="nil"/>
            </w:tcBorders>
            <w:shd w:val="clear" w:color="auto" w:fill="auto"/>
            <w:vAlign w:val="bottom"/>
            <w:hideMark/>
          </w:tcPr>
          <w:p w14:paraId="4ADE7730" w14:textId="77777777" w:rsidR="003A0696" w:rsidRPr="001D76C1" w:rsidRDefault="003A0696" w:rsidP="003A0696">
            <w:pPr>
              <w:spacing w:after="0" w:line="240" w:lineRule="auto"/>
              <w:jc w:val="left"/>
              <w:rPr>
                <w:rFonts w:eastAsia="Times New Roman" w:cs="Times New Roman"/>
                <w:sz w:val="20"/>
                <w:szCs w:val="20"/>
                <w:lang w:eastAsia="sk-SK"/>
              </w:rPr>
            </w:pPr>
            <w:r w:rsidRPr="001D76C1">
              <w:rPr>
                <w:rFonts w:eastAsia="Times New Roman" w:cs="Times New Roman"/>
                <w:sz w:val="20"/>
                <w:szCs w:val="20"/>
                <w:lang w:eastAsia="sk-SK"/>
              </w:rPr>
              <w:t>Návratné finančné výpomoci zo VPS a ŠD (konsoliduje sa)</w:t>
            </w:r>
          </w:p>
        </w:tc>
        <w:tc>
          <w:tcPr>
            <w:tcW w:w="1088" w:type="dxa"/>
            <w:tcBorders>
              <w:top w:val="nil"/>
              <w:left w:val="nil"/>
              <w:bottom w:val="nil"/>
              <w:right w:val="nil"/>
            </w:tcBorders>
            <w:shd w:val="clear" w:color="auto" w:fill="auto"/>
            <w:noWrap/>
            <w:vAlign w:val="bottom"/>
            <w:hideMark/>
          </w:tcPr>
          <w:p w14:paraId="538F4633" w14:textId="77777777" w:rsidR="003A0696" w:rsidRPr="001D76C1" w:rsidRDefault="003A0696" w:rsidP="003A0696">
            <w:pPr>
              <w:spacing w:after="0" w:line="240" w:lineRule="auto"/>
              <w:jc w:val="right"/>
              <w:rPr>
                <w:rFonts w:eastAsia="Times New Roman" w:cs="Times New Roman"/>
                <w:sz w:val="20"/>
                <w:szCs w:val="20"/>
                <w:lang w:eastAsia="sk-SK"/>
              </w:rPr>
            </w:pPr>
            <w:r w:rsidRPr="001D76C1">
              <w:rPr>
                <w:rFonts w:eastAsia="Times New Roman" w:cs="Times New Roman"/>
                <w:sz w:val="20"/>
                <w:szCs w:val="20"/>
                <w:lang w:eastAsia="sk-SK"/>
              </w:rPr>
              <w:t>144 454</w:t>
            </w:r>
          </w:p>
        </w:tc>
        <w:tc>
          <w:tcPr>
            <w:tcW w:w="1088" w:type="dxa"/>
            <w:tcBorders>
              <w:top w:val="nil"/>
              <w:left w:val="nil"/>
              <w:bottom w:val="nil"/>
              <w:right w:val="nil"/>
            </w:tcBorders>
            <w:shd w:val="clear" w:color="auto" w:fill="auto"/>
            <w:noWrap/>
            <w:vAlign w:val="bottom"/>
            <w:hideMark/>
          </w:tcPr>
          <w:p w14:paraId="3A850398" w14:textId="77777777" w:rsidR="003A0696" w:rsidRPr="001D76C1" w:rsidRDefault="003A0696" w:rsidP="003A0696">
            <w:pPr>
              <w:spacing w:after="0" w:line="240" w:lineRule="auto"/>
              <w:jc w:val="right"/>
              <w:rPr>
                <w:rFonts w:eastAsia="Times New Roman" w:cs="Times New Roman"/>
                <w:sz w:val="20"/>
                <w:szCs w:val="20"/>
                <w:lang w:eastAsia="sk-SK"/>
              </w:rPr>
            </w:pPr>
            <w:r w:rsidRPr="001D76C1">
              <w:rPr>
                <w:rFonts w:eastAsia="Times New Roman" w:cs="Times New Roman"/>
                <w:sz w:val="20"/>
                <w:szCs w:val="20"/>
                <w:lang w:eastAsia="sk-SK"/>
              </w:rPr>
              <w:t>174 346</w:t>
            </w:r>
          </w:p>
        </w:tc>
        <w:tc>
          <w:tcPr>
            <w:tcW w:w="1088" w:type="dxa"/>
            <w:tcBorders>
              <w:top w:val="nil"/>
              <w:left w:val="nil"/>
              <w:bottom w:val="nil"/>
              <w:right w:val="nil"/>
            </w:tcBorders>
            <w:shd w:val="clear" w:color="auto" w:fill="auto"/>
            <w:noWrap/>
            <w:vAlign w:val="bottom"/>
            <w:hideMark/>
          </w:tcPr>
          <w:p w14:paraId="1BE7BBBB" w14:textId="77777777" w:rsidR="003A0696" w:rsidRPr="001D76C1" w:rsidRDefault="003A0696" w:rsidP="003A0696">
            <w:pPr>
              <w:spacing w:after="0" w:line="240" w:lineRule="auto"/>
              <w:jc w:val="right"/>
              <w:rPr>
                <w:rFonts w:eastAsia="Times New Roman" w:cs="Times New Roman"/>
                <w:sz w:val="20"/>
                <w:szCs w:val="20"/>
                <w:lang w:eastAsia="sk-SK"/>
              </w:rPr>
            </w:pPr>
            <w:r w:rsidRPr="001D76C1">
              <w:rPr>
                <w:rFonts w:eastAsia="Times New Roman" w:cs="Times New Roman"/>
                <w:sz w:val="20"/>
                <w:szCs w:val="20"/>
                <w:lang w:eastAsia="sk-SK"/>
              </w:rPr>
              <w:t>197 574</w:t>
            </w:r>
          </w:p>
        </w:tc>
        <w:tc>
          <w:tcPr>
            <w:tcW w:w="1088" w:type="dxa"/>
            <w:tcBorders>
              <w:top w:val="nil"/>
              <w:left w:val="nil"/>
              <w:bottom w:val="nil"/>
              <w:right w:val="nil"/>
            </w:tcBorders>
            <w:shd w:val="clear" w:color="auto" w:fill="auto"/>
            <w:noWrap/>
            <w:vAlign w:val="bottom"/>
            <w:hideMark/>
          </w:tcPr>
          <w:p w14:paraId="2419C2C9" w14:textId="77777777" w:rsidR="003A0696" w:rsidRPr="001D76C1" w:rsidRDefault="003A0696" w:rsidP="003A0696">
            <w:pPr>
              <w:spacing w:after="0" w:line="240" w:lineRule="auto"/>
              <w:jc w:val="right"/>
              <w:rPr>
                <w:rFonts w:eastAsia="Times New Roman" w:cs="Times New Roman"/>
                <w:sz w:val="20"/>
                <w:szCs w:val="20"/>
                <w:lang w:eastAsia="sk-SK"/>
              </w:rPr>
            </w:pPr>
            <w:r w:rsidRPr="001D76C1">
              <w:rPr>
                <w:rFonts w:eastAsia="Times New Roman" w:cs="Times New Roman"/>
                <w:sz w:val="20"/>
                <w:szCs w:val="20"/>
                <w:lang w:eastAsia="sk-SK"/>
              </w:rPr>
              <w:t>23 228</w:t>
            </w:r>
          </w:p>
        </w:tc>
      </w:tr>
      <w:tr w:rsidR="003A0696" w:rsidRPr="001D76C1" w14:paraId="761129F3" w14:textId="77777777" w:rsidTr="003A0696">
        <w:trPr>
          <w:trHeight w:val="300"/>
        </w:trPr>
        <w:tc>
          <w:tcPr>
            <w:tcW w:w="4862" w:type="dxa"/>
            <w:tcBorders>
              <w:top w:val="nil"/>
              <w:left w:val="nil"/>
              <w:bottom w:val="nil"/>
              <w:right w:val="nil"/>
            </w:tcBorders>
            <w:shd w:val="clear" w:color="auto" w:fill="auto"/>
            <w:noWrap/>
            <w:vAlign w:val="bottom"/>
            <w:hideMark/>
          </w:tcPr>
          <w:p w14:paraId="7377E5D3" w14:textId="77777777" w:rsidR="003A0696" w:rsidRPr="001D76C1" w:rsidRDefault="003A0696" w:rsidP="003A0696">
            <w:pPr>
              <w:spacing w:after="0" w:line="240" w:lineRule="auto"/>
              <w:jc w:val="left"/>
              <w:rPr>
                <w:rFonts w:eastAsia="Times New Roman" w:cs="Times New Roman"/>
                <w:sz w:val="20"/>
                <w:szCs w:val="20"/>
                <w:lang w:eastAsia="sk-SK"/>
              </w:rPr>
            </w:pPr>
            <w:r>
              <w:rPr>
                <w:sz w:val="20"/>
                <w:szCs w:val="20"/>
              </w:rPr>
              <w:t>Dlhodobé záväzky z obchodného styku a prijaté preddavky</w:t>
            </w:r>
          </w:p>
        </w:tc>
        <w:tc>
          <w:tcPr>
            <w:tcW w:w="1088" w:type="dxa"/>
            <w:tcBorders>
              <w:top w:val="nil"/>
              <w:left w:val="nil"/>
              <w:bottom w:val="nil"/>
              <w:right w:val="nil"/>
            </w:tcBorders>
            <w:shd w:val="clear" w:color="auto" w:fill="auto"/>
            <w:noWrap/>
            <w:vAlign w:val="bottom"/>
            <w:hideMark/>
          </w:tcPr>
          <w:p w14:paraId="59B8D506" w14:textId="77777777" w:rsidR="003A0696" w:rsidRPr="001D76C1" w:rsidRDefault="003A0696" w:rsidP="003A0696">
            <w:pPr>
              <w:spacing w:after="0" w:line="240" w:lineRule="auto"/>
              <w:jc w:val="right"/>
              <w:rPr>
                <w:rFonts w:eastAsia="Times New Roman" w:cs="Times New Roman"/>
                <w:sz w:val="20"/>
                <w:szCs w:val="20"/>
                <w:lang w:eastAsia="sk-SK"/>
              </w:rPr>
            </w:pPr>
            <w:r>
              <w:rPr>
                <w:sz w:val="20"/>
                <w:szCs w:val="20"/>
              </w:rPr>
              <w:t>480</w:t>
            </w:r>
          </w:p>
        </w:tc>
        <w:tc>
          <w:tcPr>
            <w:tcW w:w="1088" w:type="dxa"/>
            <w:tcBorders>
              <w:top w:val="nil"/>
              <w:left w:val="nil"/>
              <w:bottom w:val="nil"/>
              <w:right w:val="nil"/>
            </w:tcBorders>
            <w:shd w:val="clear" w:color="auto" w:fill="auto"/>
            <w:noWrap/>
            <w:vAlign w:val="bottom"/>
            <w:hideMark/>
          </w:tcPr>
          <w:p w14:paraId="22D12D4F" w14:textId="77777777" w:rsidR="003A0696" w:rsidRPr="001D76C1" w:rsidRDefault="003A0696" w:rsidP="003A0696">
            <w:pPr>
              <w:spacing w:after="0" w:line="240" w:lineRule="auto"/>
              <w:jc w:val="right"/>
              <w:rPr>
                <w:rFonts w:eastAsia="Times New Roman" w:cs="Times New Roman"/>
                <w:sz w:val="20"/>
                <w:szCs w:val="20"/>
                <w:lang w:eastAsia="sk-SK"/>
              </w:rPr>
            </w:pPr>
            <w:r>
              <w:rPr>
                <w:sz w:val="20"/>
                <w:szCs w:val="20"/>
              </w:rPr>
              <w:t>864</w:t>
            </w:r>
          </w:p>
        </w:tc>
        <w:tc>
          <w:tcPr>
            <w:tcW w:w="1088" w:type="dxa"/>
            <w:tcBorders>
              <w:top w:val="nil"/>
              <w:left w:val="nil"/>
              <w:bottom w:val="nil"/>
              <w:right w:val="nil"/>
            </w:tcBorders>
            <w:shd w:val="clear" w:color="auto" w:fill="auto"/>
            <w:noWrap/>
            <w:vAlign w:val="bottom"/>
            <w:hideMark/>
          </w:tcPr>
          <w:p w14:paraId="4DC3F947" w14:textId="77777777" w:rsidR="003A0696" w:rsidRPr="001D76C1" w:rsidRDefault="003A0696" w:rsidP="003A0696">
            <w:pPr>
              <w:spacing w:after="0" w:line="240" w:lineRule="auto"/>
              <w:jc w:val="right"/>
              <w:rPr>
                <w:rFonts w:eastAsia="Times New Roman" w:cs="Times New Roman"/>
                <w:sz w:val="20"/>
                <w:szCs w:val="20"/>
                <w:lang w:eastAsia="sk-SK"/>
              </w:rPr>
            </w:pPr>
            <w:r>
              <w:rPr>
                <w:sz w:val="20"/>
                <w:szCs w:val="20"/>
              </w:rPr>
              <w:t>9 273</w:t>
            </w:r>
          </w:p>
        </w:tc>
        <w:tc>
          <w:tcPr>
            <w:tcW w:w="1088" w:type="dxa"/>
            <w:tcBorders>
              <w:top w:val="nil"/>
              <w:left w:val="nil"/>
              <w:bottom w:val="nil"/>
              <w:right w:val="nil"/>
            </w:tcBorders>
            <w:shd w:val="clear" w:color="auto" w:fill="auto"/>
            <w:noWrap/>
            <w:vAlign w:val="bottom"/>
            <w:hideMark/>
          </w:tcPr>
          <w:p w14:paraId="723F00DE" w14:textId="77777777" w:rsidR="003A0696" w:rsidRPr="001D76C1" w:rsidRDefault="003A0696" w:rsidP="003A0696">
            <w:pPr>
              <w:spacing w:after="0" w:line="240" w:lineRule="auto"/>
              <w:jc w:val="right"/>
              <w:rPr>
                <w:rFonts w:eastAsia="Times New Roman" w:cs="Times New Roman"/>
                <w:sz w:val="20"/>
                <w:szCs w:val="20"/>
                <w:lang w:eastAsia="sk-SK"/>
              </w:rPr>
            </w:pPr>
            <w:r>
              <w:rPr>
                <w:sz w:val="20"/>
                <w:szCs w:val="20"/>
              </w:rPr>
              <w:t>8 409</w:t>
            </w:r>
          </w:p>
        </w:tc>
      </w:tr>
      <w:tr w:rsidR="003A0696" w:rsidRPr="001D76C1" w14:paraId="25402153" w14:textId="77777777" w:rsidTr="003A0696">
        <w:trPr>
          <w:trHeight w:val="300"/>
        </w:trPr>
        <w:tc>
          <w:tcPr>
            <w:tcW w:w="4862" w:type="dxa"/>
            <w:tcBorders>
              <w:top w:val="nil"/>
              <w:left w:val="nil"/>
              <w:bottom w:val="nil"/>
              <w:right w:val="nil"/>
            </w:tcBorders>
            <w:shd w:val="clear" w:color="auto" w:fill="auto"/>
            <w:vAlign w:val="bottom"/>
            <w:hideMark/>
          </w:tcPr>
          <w:p w14:paraId="0B833F4C" w14:textId="77777777" w:rsidR="003A0696" w:rsidRPr="001D76C1" w:rsidRDefault="003A0696" w:rsidP="003A0696">
            <w:pPr>
              <w:spacing w:after="0" w:line="240" w:lineRule="auto"/>
              <w:jc w:val="left"/>
              <w:rPr>
                <w:rFonts w:eastAsia="Times New Roman" w:cs="Times New Roman"/>
                <w:sz w:val="20"/>
                <w:szCs w:val="20"/>
                <w:lang w:eastAsia="sk-SK"/>
              </w:rPr>
            </w:pPr>
            <w:r>
              <w:rPr>
                <w:sz w:val="20"/>
                <w:szCs w:val="20"/>
              </w:rPr>
              <w:t>Zábezpeky</w:t>
            </w:r>
          </w:p>
        </w:tc>
        <w:tc>
          <w:tcPr>
            <w:tcW w:w="1088" w:type="dxa"/>
            <w:tcBorders>
              <w:top w:val="nil"/>
              <w:left w:val="nil"/>
              <w:bottom w:val="nil"/>
              <w:right w:val="nil"/>
            </w:tcBorders>
            <w:shd w:val="clear" w:color="auto" w:fill="auto"/>
            <w:noWrap/>
            <w:vAlign w:val="bottom"/>
            <w:hideMark/>
          </w:tcPr>
          <w:p w14:paraId="45200F5D" w14:textId="77777777" w:rsidR="003A0696" w:rsidRPr="001D76C1" w:rsidRDefault="003A0696" w:rsidP="003A0696">
            <w:pPr>
              <w:spacing w:after="0" w:line="240" w:lineRule="auto"/>
              <w:jc w:val="right"/>
              <w:rPr>
                <w:rFonts w:eastAsia="Times New Roman" w:cs="Times New Roman"/>
                <w:sz w:val="20"/>
                <w:szCs w:val="20"/>
                <w:lang w:eastAsia="sk-SK"/>
              </w:rPr>
            </w:pPr>
            <w:r>
              <w:rPr>
                <w:sz w:val="20"/>
                <w:szCs w:val="20"/>
              </w:rPr>
              <w:t>1 909</w:t>
            </w:r>
          </w:p>
        </w:tc>
        <w:tc>
          <w:tcPr>
            <w:tcW w:w="1088" w:type="dxa"/>
            <w:tcBorders>
              <w:top w:val="nil"/>
              <w:left w:val="nil"/>
              <w:bottom w:val="nil"/>
              <w:right w:val="nil"/>
            </w:tcBorders>
            <w:shd w:val="clear" w:color="auto" w:fill="auto"/>
            <w:noWrap/>
            <w:vAlign w:val="bottom"/>
            <w:hideMark/>
          </w:tcPr>
          <w:p w14:paraId="79FA4AEF" w14:textId="77777777" w:rsidR="003A0696" w:rsidRPr="001D76C1" w:rsidRDefault="003A0696" w:rsidP="003A0696">
            <w:pPr>
              <w:spacing w:after="0" w:line="240" w:lineRule="auto"/>
              <w:jc w:val="right"/>
              <w:rPr>
                <w:rFonts w:eastAsia="Times New Roman" w:cs="Times New Roman"/>
                <w:sz w:val="20"/>
                <w:szCs w:val="20"/>
                <w:lang w:eastAsia="sk-SK"/>
              </w:rPr>
            </w:pPr>
            <w:r>
              <w:rPr>
                <w:sz w:val="20"/>
                <w:szCs w:val="20"/>
              </w:rPr>
              <w:t>1 698</w:t>
            </w:r>
          </w:p>
        </w:tc>
        <w:tc>
          <w:tcPr>
            <w:tcW w:w="1088" w:type="dxa"/>
            <w:tcBorders>
              <w:top w:val="nil"/>
              <w:left w:val="nil"/>
              <w:bottom w:val="nil"/>
              <w:right w:val="nil"/>
            </w:tcBorders>
            <w:shd w:val="clear" w:color="auto" w:fill="auto"/>
            <w:noWrap/>
            <w:vAlign w:val="bottom"/>
            <w:hideMark/>
          </w:tcPr>
          <w:p w14:paraId="12199F19" w14:textId="77777777" w:rsidR="003A0696" w:rsidRPr="001D76C1" w:rsidRDefault="003A0696" w:rsidP="003A0696">
            <w:pPr>
              <w:spacing w:after="0" w:line="240" w:lineRule="auto"/>
              <w:jc w:val="right"/>
              <w:rPr>
                <w:rFonts w:eastAsia="Times New Roman" w:cs="Times New Roman"/>
                <w:sz w:val="20"/>
                <w:szCs w:val="20"/>
                <w:lang w:eastAsia="sk-SK"/>
              </w:rPr>
            </w:pPr>
            <w:r>
              <w:rPr>
                <w:sz w:val="20"/>
                <w:szCs w:val="20"/>
              </w:rPr>
              <w:t>2 675</w:t>
            </w:r>
          </w:p>
        </w:tc>
        <w:tc>
          <w:tcPr>
            <w:tcW w:w="1088" w:type="dxa"/>
            <w:tcBorders>
              <w:top w:val="nil"/>
              <w:left w:val="nil"/>
              <w:bottom w:val="nil"/>
              <w:right w:val="nil"/>
            </w:tcBorders>
            <w:shd w:val="clear" w:color="auto" w:fill="auto"/>
            <w:noWrap/>
            <w:vAlign w:val="bottom"/>
            <w:hideMark/>
          </w:tcPr>
          <w:p w14:paraId="7BF947B0" w14:textId="77777777" w:rsidR="003A0696" w:rsidRPr="001D76C1" w:rsidRDefault="003A0696" w:rsidP="003A0696">
            <w:pPr>
              <w:spacing w:after="0" w:line="240" w:lineRule="auto"/>
              <w:jc w:val="right"/>
              <w:rPr>
                <w:rFonts w:eastAsia="Times New Roman" w:cs="Times New Roman"/>
                <w:sz w:val="20"/>
                <w:szCs w:val="20"/>
                <w:lang w:eastAsia="sk-SK"/>
              </w:rPr>
            </w:pPr>
            <w:r>
              <w:rPr>
                <w:sz w:val="20"/>
                <w:szCs w:val="20"/>
              </w:rPr>
              <w:t>977</w:t>
            </w:r>
          </w:p>
        </w:tc>
      </w:tr>
      <w:tr w:rsidR="003A0696" w:rsidRPr="001D76C1" w14:paraId="7E80946A" w14:textId="77777777" w:rsidTr="003A0696">
        <w:trPr>
          <w:trHeight w:val="300"/>
        </w:trPr>
        <w:tc>
          <w:tcPr>
            <w:tcW w:w="4862" w:type="dxa"/>
            <w:tcBorders>
              <w:top w:val="nil"/>
              <w:left w:val="nil"/>
              <w:bottom w:val="single" w:sz="4" w:space="0" w:color="auto"/>
              <w:right w:val="nil"/>
            </w:tcBorders>
            <w:shd w:val="clear" w:color="auto" w:fill="auto"/>
            <w:noWrap/>
            <w:vAlign w:val="bottom"/>
            <w:hideMark/>
          </w:tcPr>
          <w:p w14:paraId="284B46B2" w14:textId="77777777" w:rsidR="003A0696" w:rsidRPr="001D76C1" w:rsidRDefault="003A0696" w:rsidP="003A0696">
            <w:pPr>
              <w:spacing w:after="0" w:line="240" w:lineRule="auto"/>
              <w:jc w:val="left"/>
              <w:rPr>
                <w:rFonts w:eastAsia="Times New Roman" w:cs="Times New Roman"/>
                <w:b/>
                <w:bCs/>
                <w:sz w:val="20"/>
                <w:szCs w:val="20"/>
                <w:lang w:eastAsia="sk-SK"/>
              </w:rPr>
            </w:pPr>
            <w:r w:rsidRPr="001D76C1">
              <w:rPr>
                <w:rFonts w:eastAsia="Times New Roman" w:cs="Times New Roman"/>
                <w:b/>
                <w:bCs/>
                <w:sz w:val="20"/>
                <w:szCs w:val="20"/>
                <w:lang w:eastAsia="sk-SK"/>
              </w:rPr>
              <w:t xml:space="preserve">Spolu nekonsolidovaný dlh </w:t>
            </w:r>
            <w:r>
              <w:rPr>
                <w:rFonts w:eastAsia="Times New Roman" w:cs="Times New Roman"/>
                <w:b/>
                <w:bCs/>
                <w:sz w:val="20"/>
                <w:szCs w:val="20"/>
                <w:lang w:eastAsia="sk-SK"/>
              </w:rPr>
              <w:t>VÚC</w:t>
            </w:r>
          </w:p>
        </w:tc>
        <w:tc>
          <w:tcPr>
            <w:tcW w:w="1088" w:type="dxa"/>
            <w:tcBorders>
              <w:top w:val="nil"/>
              <w:left w:val="nil"/>
              <w:bottom w:val="single" w:sz="4" w:space="0" w:color="auto"/>
              <w:right w:val="nil"/>
            </w:tcBorders>
            <w:shd w:val="clear" w:color="auto" w:fill="auto"/>
            <w:noWrap/>
            <w:vAlign w:val="bottom"/>
            <w:hideMark/>
          </w:tcPr>
          <w:p w14:paraId="6AE3D076" w14:textId="77777777" w:rsidR="003A0696" w:rsidRPr="001D76C1" w:rsidRDefault="003A0696" w:rsidP="003A0696">
            <w:pPr>
              <w:spacing w:after="0" w:line="240" w:lineRule="auto"/>
              <w:jc w:val="right"/>
              <w:rPr>
                <w:rFonts w:eastAsia="Times New Roman" w:cs="Times New Roman"/>
                <w:b/>
                <w:bCs/>
                <w:sz w:val="20"/>
                <w:szCs w:val="20"/>
                <w:lang w:eastAsia="sk-SK"/>
              </w:rPr>
            </w:pPr>
            <w:r w:rsidRPr="001D76C1">
              <w:rPr>
                <w:rFonts w:eastAsia="Times New Roman" w:cs="Times New Roman"/>
                <w:b/>
                <w:bCs/>
                <w:sz w:val="20"/>
                <w:szCs w:val="20"/>
                <w:lang w:eastAsia="sk-SK"/>
              </w:rPr>
              <w:t>498 712</w:t>
            </w:r>
          </w:p>
        </w:tc>
        <w:tc>
          <w:tcPr>
            <w:tcW w:w="1088" w:type="dxa"/>
            <w:tcBorders>
              <w:top w:val="nil"/>
              <w:left w:val="nil"/>
              <w:bottom w:val="single" w:sz="4" w:space="0" w:color="auto"/>
              <w:right w:val="nil"/>
            </w:tcBorders>
            <w:shd w:val="clear" w:color="auto" w:fill="auto"/>
            <w:noWrap/>
            <w:vAlign w:val="bottom"/>
            <w:hideMark/>
          </w:tcPr>
          <w:p w14:paraId="40C128BE" w14:textId="77777777" w:rsidR="003A0696" w:rsidRPr="001D76C1" w:rsidRDefault="003A0696" w:rsidP="003A0696">
            <w:pPr>
              <w:spacing w:after="0" w:line="240" w:lineRule="auto"/>
              <w:jc w:val="right"/>
              <w:rPr>
                <w:rFonts w:eastAsia="Times New Roman" w:cs="Times New Roman"/>
                <w:b/>
                <w:bCs/>
                <w:sz w:val="20"/>
                <w:szCs w:val="20"/>
                <w:lang w:eastAsia="sk-SK"/>
              </w:rPr>
            </w:pPr>
            <w:r w:rsidRPr="001D76C1">
              <w:rPr>
                <w:rFonts w:eastAsia="Times New Roman" w:cs="Times New Roman"/>
                <w:b/>
                <w:bCs/>
                <w:sz w:val="20"/>
                <w:szCs w:val="20"/>
                <w:lang w:eastAsia="sk-SK"/>
              </w:rPr>
              <w:t>507 705</w:t>
            </w:r>
          </w:p>
        </w:tc>
        <w:tc>
          <w:tcPr>
            <w:tcW w:w="1088" w:type="dxa"/>
            <w:tcBorders>
              <w:top w:val="nil"/>
              <w:left w:val="nil"/>
              <w:bottom w:val="single" w:sz="4" w:space="0" w:color="auto"/>
              <w:right w:val="nil"/>
            </w:tcBorders>
            <w:shd w:val="clear" w:color="auto" w:fill="auto"/>
            <w:noWrap/>
            <w:vAlign w:val="bottom"/>
            <w:hideMark/>
          </w:tcPr>
          <w:p w14:paraId="4D44CDD3" w14:textId="77777777" w:rsidR="003A0696" w:rsidRPr="001D76C1" w:rsidRDefault="003A0696" w:rsidP="003A0696">
            <w:pPr>
              <w:spacing w:after="0" w:line="240" w:lineRule="auto"/>
              <w:jc w:val="right"/>
              <w:rPr>
                <w:rFonts w:eastAsia="Times New Roman" w:cs="Times New Roman"/>
                <w:b/>
                <w:bCs/>
                <w:sz w:val="20"/>
                <w:szCs w:val="20"/>
                <w:lang w:eastAsia="sk-SK"/>
              </w:rPr>
            </w:pPr>
            <w:r w:rsidRPr="001D76C1">
              <w:rPr>
                <w:rFonts w:eastAsia="Times New Roman" w:cs="Times New Roman"/>
                <w:b/>
                <w:bCs/>
                <w:sz w:val="20"/>
                <w:szCs w:val="20"/>
                <w:lang w:eastAsia="sk-SK"/>
              </w:rPr>
              <w:t>565 287</w:t>
            </w:r>
          </w:p>
        </w:tc>
        <w:tc>
          <w:tcPr>
            <w:tcW w:w="1088" w:type="dxa"/>
            <w:tcBorders>
              <w:top w:val="nil"/>
              <w:left w:val="nil"/>
              <w:bottom w:val="single" w:sz="4" w:space="0" w:color="auto"/>
              <w:right w:val="nil"/>
            </w:tcBorders>
            <w:shd w:val="clear" w:color="auto" w:fill="auto"/>
            <w:noWrap/>
            <w:vAlign w:val="bottom"/>
            <w:hideMark/>
          </w:tcPr>
          <w:p w14:paraId="6398F875" w14:textId="77777777" w:rsidR="003A0696" w:rsidRPr="001D76C1" w:rsidRDefault="003A0696" w:rsidP="003A0696">
            <w:pPr>
              <w:spacing w:after="0" w:line="240" w:lineRule="auto"/>
              <w:jc w:val="right"/>
              <w:rPr>
                <w:rFonts w:eastAsia="Times New Roman" w:cs="Times New Roman"/>
                <w:b/>
                <w:bCs/>
                <w:sz w:val="20"/>
                <w:szCs w:val="20"/>
                <w:lang w:eastAsia="sk-SK"/>
              </w:rPr>
            </w:pPr>
            <w:r w:rsidRPr="001D76C1">
              <w:rPr>
                <w:rFonts w:eastAsia="Times New Roman" w:cs="Times New Roman"/>
                <w:b/>
                <w:bCs/>
                <w:sz w:val="20"/>
                <w:szCs w:val="20"/>
                <w:lang w:eastAsia="sk-SK"/>
              </w:rPr>
              <w:t>57 582</w:t>
            </w:r>
          </w:p>
        </w:tc>
      </w:tr>
      <w:tr w:rsidR="003A0696" w:rsidRPr="001D76C1" w14:paraId="76F55F53" w14:textId="77777777" w:rsidTr="003A0696">
        <w:trPr>
          <w:trHeight w:val="525"/>
        </w:trPr>
        <w:tc>
          <w:tcPr>
            <w:tcW w:w="4862" w:type="dxa"/>
            <w:tcBorders>
              <w:top w:val="single" w:sz="4" w:space="0" w:color="auto"/>
              <w:left w:val="nil"/>
              <w:bottom w:val="single" w:sz="4" w:space="0" w:color="auto"/>
              <w:right w:val="nil"/>
            </w:tcBorders>
            <w:shd w:val="clear" w:color="auto" w:fill="auto"/>
            <w:vAlign w:val="bottom"/>
            <w:hideMark/>
          </w:tcPr>
          <w:p w14:paraId="25CAA6A3" w14:textId="77777777" w:rsidR="003A0696" w:rsidRPr="001D76C1" w:rsidRDefault="003A0696" w:rsidP="003A0696">
            <w:pPr>
              <w:spacing w:after="0" w:line="240" w:lineRule="auto"/>
              <w:jc w:val="left"/>
              <w:rPr>
                <w:rFonts w:eastAsia="Times New Roman" w:cs="Times New Roman"/>
                <w:b/>
                <w:bCs/>
                <w:sz w:val="20"/>
                <w:szCs w:val="20"/>
                <w:lang w:eastAsia="sk-SK"/>
              </w:rPr>
            </w:pPr>
            <w:r w:rsidRPr="001D76C1">
              <w:rPr>
                <w:rFonts w:eastAsia="Times New Roman" w:cs="Times New Roman"/>
                <w:b/>
                <w:bCs/>
                <w:sz w:val="20"/>
                <w:szCs w:val="20"/>
                <w:lang w:eastAsia="sk-SK"/>
              </w:rPr>
              <w:t>Konsolidovaný príspevok VÚC do konsolidovaného dlhu verejnej správy</w:t>
            </w:r>
          </w:p>
        </w:tc>
        <w:tc>
          <w:tcPr>
            <w:tcW w:w="1088" w:type="dxa"/>
            <w:tcBorders>
              <w:top w:val="single" w:sz="4" w:space="0" w:color="auto"/>
              <w:left w:val="nil"/>
              <w:bottom w:val="single" w:sz="4" w:space="0" w:color="auto"/>
              <w:right w:val="nil"/>
            </w:tcBorders>
            <w:shd w:val="clear" w:color="auto" w:fill="auto"/>
            <w:noWrap/>
            <w:vAlign w:val="bottom"/>
            <w:hideMark/>
          </w:tcPr>
          <w:p w14:paraId="6A678611" w14:textId="77777777" w:rsidR="003A0696" w:rsidRPr="001D76C1" w:rsidRDefault="003A0696" w:rsidP="003A0696">
            <w:pPr>
              <w:spacing w:after="0" w:line="240" w:lineRule="auto"/>
              <w:jc w:val="right"/>
              <w:rPr>
                <w:rFonts w:eastAsia="Times New Roman" w:cs="Times New Roman"/>
                <w:b/>
                <w:bCs/>
                <w:sz w:val="20"/>
                <w:szCs w:val="20"/>
                <w:lang w:eastAsia="sk-SK"/>
              </w:rPr>
            </w:pPr>
            <w:r w:rsidRPr="001D76C1">
              <w:rPr>
                <w:rFonts w:eastAsia="Times New Roman" w:cs="Times New Roman"/>
                <w:b/>
                <w:bCs/>
                <w:sz w:val="20"/>
                <w:szCs w:val="20"/>
                <w:lang w:eastAsia="sk-SK"/>
              </w:rPr>
              <w:t>354 258</w:t>
            </w:r>
          </w:p>
        </w:tc>
        <w:tc>
          <w:tcPr>
            <w:tcW w:w="1088" w:type="dxa"/>
            <w:tcBorders>
              <w:top w:val="single" w:sz="4" w:space="0" w:color="auto"/>
              <w:left w:val="nil"/>
              <w:bottom w:val="single" w:sz="4" w:space="0" w:color="auto"/>
              <w:right w:val="nil"/>
            </w:tcBorders>
            <w:shd w:val="clear" w:color="auto" w:fill="auto"/>
            <w:noWrap/>
            <w:vAlign w:val="bottom"/>
            <w:hideMark/>
          </w:tcPr>
          <w:p w14:paraId="208F25A0" w14:textId="77777777" w:rsidR="003A0696" w:rsidRPr="001D76C1" w:rsidRDefault="003A0696" w:rsidP="003A0696">
            <w:pPr>
              <w:spacing w:after="0" w:line="240" w:lineRule="auto"/>
              <w:jc w:val="right"/>
              <w:rPr>
                <w:rFonts w:eastAsia="Times New Roman" w:cs="Times New Roman"/>
                <w:b/>
                <w:bCs/>
                <w:sz w:val="20"/>
                <w:szCs w:val="20"/>
                <w:lang w:eastAsia="sk-SK"/>
              </w:rPr>
            </w:pPr>
            <w:r w:rsidRPr="001D76C1">
              <w:rPr>
                <w:rFonts w:eastAsia="Times New Roman" w:cs="Times New Roman"/>
                <w:b/>
                <w:bCs/>
                <w:sz w:val="20"/>
                <w:szCs w:val="20"/>
                <w:lang w:eastAsia="sk-SK"/>
              </w:rPr>
              <w:t>333 359</w:t>
            </w:r>
          </w:p>
        </w:tc>
        <w:tc>
          <w:tcPr>
            <w:tcW w:w="1088" w:type="dxa"/>
            <w:tcBorders>
              <w:top w:val="single" w:sz="4" w:space="0" w:color="auto"/>
              <w:left w:val="nil"/>
              <w:bottom w:val="single" w:sz="4" w:space="0" w:color="auto"/>
              <w:right w:val="nil"/>
            </w:tcBorders>
            <w:shd w:val="clear" w:color="auto" w:fill="auto"/>
            <w:noWrap/>
            <w:vAlign w:val="bottom"/>
            <w:hideMark/>
          </w:tcPr>
          <w:p w14:paraId="2EA330BC" w14:textId="77777777" w:rsidR="003A0696" w:rsidRPr="001D76C1" w:rsidRDefault="003A0696" w:rsidP="003A0696">
            <w:pPr>
              <w:spacing w:after="0" w:line="240" w:lineRule="auto"/>
              <w:jc w:val="right"/>
              <w:rPr>
                <w:rFonts w:eastAsia="Times New Roman" w:cs="Times New Roman"/>
                <w:b/>
                <w:bCs/>
                <w:sz w:val="20"/>
                <w:szCs w:val="20"/>
                <w:lang w:eastAsia="sk-SK"/>
              </w:rPr>
            </w:pPr>
            <w:r w:rsidRPr="001D76C1">
              <w:rPr>
                <w:rFonts w:eastAsia="Times New Roman" w:cs="Times New Roman"/>
                <w:b/>
                <w:bCs/>
                <w:sz w:val="20"/>
                <w:szCs w:val="20"/>
                <w:lang w:eastAsia="sk-SK"/>
              </w:rPr>
              <w:t>367 713</w:t>
            </w:r>
          </w:p>
        </w:tc>
        <w:tc>
          <w:tcPr>
            <w:tcW w:w="1088" w:type="dxa"/>
            <w:tcBorders>
              <w:top w:val="single" w:sz="4" w:space="0" w:color="auto"/>
              <w:left w:val="nil"/>
              <w:bottom w:val="single" w:sz="4" w:space="0" w:color="auto"/>
              <w:right w:val="nil"/>
            </w:tcBorders>
            <w:shd w:val="clear" w:color="auto" w:fill="auto"/>
            <w:noWrap/>
            <w:vAlign w:val="bottom"/>
            <w:hideMark/>
          </w:tcPr>
          <w:p w14:paraId="45916C52" w14:textId="77777777" w:rsidR="003A0696" w:rsidRPr="001D76C1" w:rsidRDefault="003A0696" w:rsidP="003A0696">
            <w:pPr>
              <w:spacing w:after="0" w:line="240" w:lineRule="auto"/>
              <w:jc w:val="right"/>
              <w:rPr>
                <w:rFonts w:eastAsia="Times New Roman" w:cs="Times New Roman"/>
                <w:b/>
                <w:bCs/>
                <w:sz w:val="20"/>
                <w:szCs w:val="20"/>
                <w:lang w:eastAsia="sk-SK"/>
              </w:rPr>
            </w:pPr>
            <w:r w:rsidRPr="001D76C1">
              <w:rPr>
                <w:rFonts w:eastAsia="Times New Roman" w:cs="Times New Roman"/>
                <w:b/>
                <w:bCs/>
                <w:sz w:val="20"/>
                <w:szCs w:val="20"/>
                <w:lang w:eastAsia="sk-SK"/>
              </w:rPr>
              <w:t>34 354</w:t>
            </w:r>
          </w:p>
        </w:tc>
      </w:tr>
    </w:tbl>
    <w:p w14:paraId="3E56F5AE" w14:textId="77777777" w:rsidR="003A0696" w:rsidRPr="00946412" w:rsidRDefault="003A0696" w:rsidP="003A0696">
      <w:pPr>
        <w:jc w:val="right"/>
        <w:rPr>
          <w:sz w:val="16"/>
          <w:szCs w:val="16"/>
        </w:rPr>
      </w:pPr>
      <w:r w:rsidRPr="00946412">
        <w:rPr>
          <w:sz w:val="16"/>
          <w:szCs w:val="16"/>
        </w:rPr>
        <w:t>Zdroj: MF SR</w:t>
      </w:r>
    </w:p>
    <w:p w14:paraId="291BD7DF" w14:textId="77777777" w:rsidR="003A0696" w:rsidRPr="001E2903" w:rsidRDefault="003A0696" w:rsidP="003A0696">
      <w:pPr>
        <w:spacing w:line="240" w:lineRule="auto"/>
        <w:rPr>
          <w:sz w:val="24"/>
          <w:szCs w:val="24"/>
        </w:rPr>
      </w:pPr>
      <w:r w:rsidRPr="001E2903">
        <w:rPr>
          <w:sz w:val="24"/>
          <w:szCs w:val="24"/>
        </w:rPr>
        <w:lastRenderedPageBreak/>
        <w:t>Zvýšenie nekonsolidovaného dlhu VÚC bolo spôsobené poskytnutím návratných finančných výpomocí zo štátnych finančných aktív Nitrianskemu samosprávnemu kraju v</w:t>
      </w:r>
      <w:r>
        <w:rPr>
          <w:sz w:val="24"/>
          <w:szCs w:val="24"/>
        </w:rPr>
        <w:t>o </w:t>
      </w:r>
      <w:r w:rsidRPr="001E2903">
        <w:rPr>
          <w:sz w:val="24"/>
          <w:szCs w:val="24"/>
        </w:rPr>
        <w:t>výške 14 920 tis. eur, Bratislavskému samosprávnemu kraju</w:t>
      </w:r>
      <w:r>
        <w:rPr>
          <w:sz w:val="24"/>
          <w:szCs w:val="24"/>
        </w:rPr>
        <w:t xml:space="preserve"> vo výške </w:t>
      </w:r>
      <w:r w:rsidRPr="001E2903">
        <w:rPr>
          <w:sz w:val="24"/>
          <w:szCs w:val="24"/>
        </w:rPr>
        <w:t>9 500 tis. eur, Žilinskému samosprávnemu kraju vo výške 3 700 tis. eur a Trenčianskemu samosprávnemu kraju vo výške 1 108 tis. eur. Zároveň však prišlo k úhrade výpomocí poskytnutých v predchádzajúcich rokoch zo strany Banskobystrického (3 300 tis. eur), Trnavského (1 500 tis. eur) a Prešovského samosprávneho kraja (1 200 tis. eur). Nesplatená hodnota návratných finančných výpomocí samosprávnym krajom predstavuje ku koncu roka 2022 súhrnne 197 574 tis eur.</w:t>
      </w:r>
    </w:p>
    <w:tbl>
      <w:tblPr>
        <w:tblW w:w="5000" w:type="pct"/>
        <w:tblLayout w:type="fixed"/>
        <w:tblCellMar>
          <w:left w:w="70" w:type="dxa"/>
          <w:right w:w="70" w:type="dxa"/>
        </w:tblCellMar>
        <w:tblLook w:val="04A0" w:firstRow="1" w:lastRow="0" w:firstColumn="1" w:lastColumn="0" w:noHBand="0" w:noVBand="1"/>
      </w:tblPr>
      <w:tblGrid>
        <w:gridCol w:w="1842"/>
        <w:gridCol w:w="1843"/>
        <w:gridCol w:w="1843"/>
        <w:gridCol w:w="1843"/>
        <w:gridCol w:w="1843"/>
      </w:tblGrid>
      <w:tr w:rsidR="003A0696" w:rsidRPr="00672738" w14:paraId="16CA9E73" w14:textId="77777777" w:rsidTr="003A0696">
        <w:trPr>
          <w:trHeight w:val="300"/>
          <w:tblHeader/>
        </w:trPr>
        <w:tc>
          <w:tcPr>
            <w:tcW w:w="9214" w:type="dxa"/>
            <w:gridSpan w:val="5"/>
            <w:tcBorders>
              <w:top w:val="nil"/>
              <w:left w:val="nil"/>
              <w:bottom w:val="single" w:sz="4" w:space="0" w:color="auto"/>
              <w:right w:val="nil"/>
            </w:tcBorders>
            <w:shd w:val="clear" w:color="auto" w:fill="auto"/>
            <w:noWrap/>
            <w:vAlign w:val="center"/>
            <w:hideMark/>
          </w:tcPr>
          <w:p w14:paraId="2C3560AD" w14:textId="77777777" w:rsidR="003A0696" w:rsidRPr="00672738" w:rsidRDefault="003A0696" w:rsidP="003A0696">
            <w:pPr>
              <w:spacing w:after="0" w:line="240" w:lineRule="auto"/>
              <w:jc w:val="left"/>
              <w:rPr>
                <w:rFonts w:eastAsia="Times New Roman" w:cs="Times New Roman"/>
                <w:b/>
                <w:bCs/>
                <w:color w:val="5B9BD5"/>
                <w:sz w:val="20"/>
                <w:szCs w:val="20"/>
                <w:lang w:eastAsia="sk-SK"/>
              </w:rPr>
            </w:pPr>
            <w:r>
              <w:rPr>
                <w:rFonts w:eastAsia="Times New Roman" w:cs="Times New Roman"/>
                <w:b/>
                <w:bCs/>
                <w:color w:val="5B9BD5"/>
                <w:sz w:val="20"/>
                <w:szCs w:val="20"/>
                <w:lang w:eastAsia="sk-SK"/>
              </w:rPr>
              <w:t>Tabuľka 21</w:t>
            </w:r>
            <w:r w:rsidRPr="00672738">
              <w:rPr>
                <w:rFonts w:eastAsia="Times New Roman" w:cs="Times New Roman"/>
                <w:b/>
                <w:bCs/>
                <w:color w:val="5B9BD5"/>
                <w:sz w:val="20"/>
                <w:szCs w:val="20"/>
                <w:lang w:eastAsia="sk-SK"/>
              </w:rPr>
              <w:t xml:space="preserve"> - Nekonsolidovaný dlh VÚC podľa samosprávnych krajov k 31.12.2022</w:t>
            </w:r>
          </w:p>
        </w:tc>
      </w:tr>
      <w:tr w:rsidR="003A0696" w:rsidRPr="00672738" w14:paraId="06DE0EA6" w14:textId="77777777" w:rsidTr="003A0696">
        <w:trPr>
          <w:trHeight w:val="570"/>
          <w:tblHeader/>
        </w:trPr>
        <w:tc>
          <w:tcPr>
            <w:tcW w:w="1842" w:type="dxa"/>
            <w:tcBorders>
              <w:top w:val="nil"/>
              <w:left w:val="nil"/>
              <w:bottom w:val="single" w:sz="4" w:space="0" w:color="auto"/>
              <w:right w:val="nil"/>
            </w:tcBorders>
            <w:shd w:val="clear" w:color="auto" w:fill="auto"/>
            <w:noWrap/>
            <w:vAlign w:val="center"/>
            <w:hideMark/>
          </w:tcPr>
          <w:p w14:paraId="762D4DD5" w14:textId="77777777" w:rsidR="003A0696" w:rsidRPr="00672738" w:rsidRDefault="003A0696" w:rsidP="003A0696">
            <w:pPr>
              <w:spacing w:after="0" w:line="240" w:lineRule="auto"/>
              <w:jc w:val="left"/>
              <w:rPr>
                <w:rFonts w:eastAsia="Times New Roman" w:cs="Times New Roman"/>
                <w:b/>
                <w:bCs/>
                <w:sz w:val="20"/>
                <w:szCs w:val="20"/>
                <w:lang w:eastAsia="sk-SK"/>
              </w:rPr>
            </w:pPr>
            <w:r w:rsidRPr="00672738">
              <w:rPr>
                <w:rFonts w:eastAsia="Times New Roman" w:cs="Times New Roman"/>
                <w:b/>
                <w:bCs/>
                <w:sz w:val="20"/>
                <w:szCs w:val="20"/>
                <w:lang w:eastAsia="sk-SK"/>
              </w:rPr>
              <w:t>v tis. eur</w:t>
            </w:r>
          </w:p>
        </w:tc>
        <w:tc>
          <w:tcPr>
            <w:tcW w:w="1843" w:type="dxa"/>
            <w:tcBorders>
              <w:top w:val="nil"/>
              <w:left w:val="nil"/>
              <w:bottom w:val="single" w:sz="4" w:space="0" w:color="auto"/>
              <w:right w:val="nil"/>
            </w:tcBorders>
            <w:shd w:val="clear" w:color="auto" w:fill="auto"/>
            <w:noWrap/>
            <w:vAlign w:val="center"/>
            <w:hideMark/>
          </w:tcPr>
          <w:p w14:paraId="430FDD17" w14:textId="77777777" w:rsidR="003A0696" w:rsidRPr="00672738" w:rsidRDefault="003A0696" w:rsidP="003A0696">
            <w:pPr>
              <w:spacing w:after="0" w:line="240" w:lineRule="auto"/>
              <w:jc w:val="center"/>
              <w:rPr>
                <w:rFonts w:eastAsia="Times New Roman" w:cs="Times New Roman"/>
                <w:b/>
                <w:bCs/>
                <w:sz w:val="20"/>
                <w:szCs w:val="20"/>
                <w:lang w:eastAsia="sk-SK"/>
              </w:rPr>
            </w:pPr>
            <w:r w:rsidRPr="00672738">
              <w:rPr>
                <w:rFonts w:eastAsia="Times New Roman" w:cs="Times New Roman"/>
                <w:b/>
                <w:bCs/>
                <w:sz w:val="20"/>
                <w:szCs w:val="20"/>
                <w:lang w:eastAsia="sk-SK"/>
              </w:rPr>
              <w:t>Bankové úvery</w:t>
            </w:r>
          </w:p>
        </w:tc>
        <w:tc>
          <w:tcPr>
            <w:tcW w:w="1843" w:type="dxa"/>
            <w:tcBorders>
              <w:top w:val="nil"/>
              <w:left w:val="nil"/>
              <w:bottom w:val="single" w:sz="4" w:space="0" w:color="auto"/>
              <w:right w:val="nil"/>
            </w:tcBorders>
            <w:shd w:val="clear" w:color="auto" w:fill="auto"/>
            <w:vAlign w:val="center"/>
            <w:hideMark/>
          </w:tcPr>
          <w:p w14:paraId="52A186CF" w14:textId="77777777" w:rsidR="003A0696" w:rsidRPr="00672738" w:rsidRDefault="003A0696" w:rsidP="003A0696">
            <w:pPr>
              <w:spacing w:after="0" w:line="240" w:lineRule="auto"/>
              <w:jc w:val="center"/>
              <w:rPr>
                <w:rFonts w:eastAsia="Times New Roman" w:cs="Times New Roman"/>
                <w:b/>
                <w:bCs/>
                <w:sz w:val="20"/>
                <w:szCs w:val="20"/>
                <w:lang w:eastAsia="sk-SK"/>
              </w:rPr>
            </w:pPr>
            <w:r w:rsidRPr="00672738">
              <w:rPr>
                <w:rFonts w:eastAsia="Times New Roman" w:cs="Times New Roman"/>
                <w:b/>
                <w:bCs/>
                <w:sz w:val="20"/>
                <w:szCs w:val="20"/>
                <w:lang w:eastAsia="sk-SK"/>
              </w:rPr>
              <w:t>Návratné fin. výpomoci</w:t>
            </w:r>
          </w:p>
        </w:tc>
        <w:tc>
          <w:tcPr>
            <w:tcW w:w="1843" w:type="dxa"/>
            <w:tcBorders>
              <w:top w:val="nil"/>
              <w:left w:val="nil"/>
              <w:bottom w:val="single" w:sz="4" w:space="0" w:color="auto"/>
              <w:right w:val="nil"/>
            </w:tcBorders>
            <w:shd w:val="clear" w:color="auto" w:fill="auto"/>
            <w:vAlign w:val="center"/>
            <w:hideMark/>
          </w:tcPr>
          <w:p w14:paraId="19BD89AB" w14:textId="77777777" w:rsidR="003A0696" w:rsidRPr="00672738" w:rsidRDefault="003A0696" w:rsidP="003A0696">
            <w:pPr>
              <w:spacing w:after="0" w:line="240" w:lineRule="auto"/>
              <w:jc w:val="center"/>
              <w:rPr>
                <w:rFonts w:eastAsia="Times New Roman" w:cs="Times New Roman"/>
                <w:b/>
                <w:bCs/>
                <w:sz w:val="20"/>
                <w:szCs w:val="20"/>
                <w:lang w:eastAsia="sk-SK"/>
              </w:rPr>
            </w:pPr>
            <w:r w:rsidRPr="00672738">
              <w:rPr>
                <w:rFonts w:eastAsia="Times New Roman" w:cs="Times New Roman"/>
                <w:b/>
                <w:bCs/>
                <w:sz w:val="20"/>
                <w:szCs w:val="20"/>
                <w:lang w:eastAsia="sk-SK"/>
              </w:rPr>
              <w:t>Ostatné dlhové nástroje</w:t>
            </w:r>
          </w:p>
        </w:tc>
        <w:tc>
          <w:tcPr>
            <w:tcW w:w="1843" w:type="dxa"/>
            <w:tcBorders>
              <w:top w:val="nil"/>
              <w:left w:val="nil"/>
              <w:bottom w:val="single" w:sz="4" w:space="0" w:color="auto"/>
              <w:right w:val="nil"/>
            </w:tcBorders>
            <w:shd w:val="clear" w:color="auto" w:fill="auto"/>
            <w:noWrap/>
            <w:vAlign w:val="center"/>
            <w:hideMark/>
          </w:tcPr>
          <w:p w14:paraId="17573021" w14:textId="77777777" w:rsidR="003A0696" w:rsidRPr="00672738" w:rsidRDefault="003A0696" w:rsidP="003A0696">
            <w:pPr>
              <w:spacing w:after="0" w:line="240" w:lineRule="auto"/>
              <w:jc w:val="center"/>
              <w:rPr>
                <w:rFonts w:eastAsia="Times New Roman" w:cs="Times New Roman"/>
                <w:b/>
                <w:bCs/>
                <w:sz w:val="20"/>
                <w:szCs w:val="20"/>
                <w:lang w:eastAsia="sk-SK"/>
              </w:rPr>
            </w:pPr>
            <w:r w:rsidRPr="00672738">
              <w:rPr>
                <w:rFonts w:eastAsia="Times New Roman" w:cs="Times New Roman"/>
                <w:b/>
                <w:bCs/>
                <w:sz w:val="20"/>
                <w:szCs w:val="20"/>
                <w:lang w:eastAsia="sk-SK"/>
              </w:rPr>
              <w:t>Spolu</w:t>
            </w:r>
          </w:p>
        </w:tc>
      </w:tr>
      <w:tr w:rsidR="003A0696" w:rsidRPr="00672738" w14:paraId="036682D1" w14:textId="77777777" w:rsidTr="003A0696">
        <w:trPr>
          <w:trHeight w:val="300"/>
        </w:trPr>
        <w:tc>
          <w:tcPr>
            <w:tcW w:w="1842" w:type="dxa"/>
            <w:tcBorders>
              <w:top w:val="nil"/>
              <w:left w:val="nil"/>
              <w:bottom w:val="nil"/>
              <w:right w:val="nil"/>
            </w:tcBorders>
            <w:shd w:val="clear" w:color="auto" w:fill="auto"/>
            <w:noWrap/>
            <w:vAlign w:val="bottom"/>
            <w:hideMark/>
          </w:tcPr>
          <w:p w14:paraId="0FE4B3AD" w14:textId="77777777" w:rsidR="003A0696" w:rsidRPr="00672738" w:rsidRDefault="003A0696" w:rsidP="003A0696">
            <w:pPr>
              <w:spacing w:after="0" w:line="240" w:lineRule="auto"/>
              <w:jc w:val="left"/>
              <w:rPr>
                <w:rFonts w:eastAsia="Times New Roman" w:cs="Times New Roman"/>
                <w:sz w:val="20"/>
                <w:szCs w:val="20"/>
                <w:lang w:eastAsia="sk-SK"/>
              </w:rPr>
            </w:pPr>
            <w:r w:rsidRPr="00672738">
              <w:rPr>
                <w:rFonts w:eastAsia="Times New Roman" w:cs="Times New Roman"/>
                <w:sz w:val="20"/>
                <w:szCs w:val="20"/>
                <w:lang w:eastAsia="sk-SK"/>
              </w:rPr>
              <w:t>Prešovský</w:t>
            </w:r>
          </w:p>
        </w:tc>
        <w:tc>
          <w:tcPr>
            <w:tcW w:w="1843" w:type="dxa"/>
            <w:tcBorders>
              <w:top w:val="nil"/>
              <w:left w:val="nil"/>
              <w:bottom w:val="nil"/>
              <w:right w:val="nil"/>
            </w:tcBorders>
            <w:shd w:val="clear" w:color="auto" w:fill="auto"/>
            <w:noWrap/>
            <w:vAlign w:val="bottom"/>
            <w:hideMark/>
          </w:tcPr>
          <w:p w14:paraId="53CD9E42"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73 650</w:t>
            </w:r>
          </w:p>
        </w:tc>
        <w:tc>
          <w:tcPr>
            <w:tcW w:w="1843" w:type="dxa"/>
            <w:tcBorders>
              <w:top w:val="nil"/>
              <w:left w:val="nil"/>
              <w:bottom w:val="nil"/>
              <w:right w:val="nil"/>
            </w:tcBorders>
            <w:shd w:val="clear" w:color="auto" w:fill="auto"/>
            <w:noWrap/>
            <w:vAlign w:val="bottom"/>
            <w:hideMark/>
          </w:tcPr>
          <w:p w14:paraId="123D1C7A"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18 363</w:t>
            </w:r>
          </w:p>
        </w:tc>
        <w:tc>
          <w:tcPr>
            <w:tcW w:w="1843" w:type="dxa"/>
            <w:tcBorders>
              <w:top w:val="nil"/>
              <w:left w:val="nil"/>
              <w:bottom w:val="nil"/>
              <w:right w:val="nil"/>
            </w:tcBorders>
            <w:shd w:val="clear" w:color="auto" w:fill="auto"/>
            <w:noWrap/>
            <w:vAlign w:val="bottom"/>
            <w:hideMark/>
          </w:tcPr>
          <w:p w14:paraId="4D7A2745"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9 263</w:t>
            </w:r>
          </w:p>
        </w:tc>
        <w:tc>
          <w:tcPr>
            <w:tcW w:w="1843" w:type="dxa"/>
            <w:tcBorders>
              <w:top w:val="nil"/>
              <w:left w:val="nil"/>
              <w:bottom w:val="nil"/>
              <w:right w:val="nil"/>
            </w:tcBorders>
            <w:shd w:val="clear" w:color="auto" w:fill="auto"/>
            <w:noWrap/>
            <w:vAlign w:val="bottom"/>
            <w:hideMark/>
          </w:tcPr>
          <w:p w14:paraId="62416FAF"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101 276</w:t>
            </w:r>
          </w:p>
        </w:tc>
      </w:tr>
      <w:tr w:rsidR="003A0696" w:rsidRPr="00672738" w14:paraId="18D3A324" w14:textId="77777777" w:rsidTr="003A0696">
        <w:trPr>
          <w:trHeight w:val="300"/>
        </w:trPr>
        <w:tc>
          <w:tcPr>
            <w:tcW w:w="1842" w:type="dxa"/>
            <w:tcBorders>
              <w:top w:val="nil"/>
              <w:left w:val="nil"/>
              <w:bottom w:val="nil"/>
              <w:right w:val="nil"/>
            </w:tcBorders>
            <w:shd w:val="clear" w:color="auto" w:fill="auto"/>
            <w:noWrap/>
            <w:vAlign w:val="bottom"/>
            <w:hideMark/>
          </w:tcPr>
          <w:p w14:paraId="0EB5312B" w14:textId="77777777" w:rsidR="003A0696" w:rsidRPr="00672738" w:rsidRDefault="003A0696" w:rsidP="003A0696">
            <w:pPr>
              <w:spacing w:after="0" w:line="240" w:lineRule="auto"/>
              <w:jc w:val="left"/>
              <w:rPr>
                <w:rFonts w:eastAsia="Times New Roman" w:cs="Times New Roman"/>
                <w:sz w:val="20"/>
                <w:szCs w:val="20"/>
                <w:lang w:eastAsia="sk-SK"/>
              </w:rPr>
            </w:pPr>
            <w:r w:rsidRPr="00672738">
              <w:rPr>
                <w:rFonts w:eastAsia="Times New Roman" w:cs="Times New Roman"/>
                <w:sz w:val="20"/>
                <w:szCs w:val="20"/>
                <w:lang w:eastAsia="sk-SK"/>
              </w:rPr>
              <w:t>Košický</w:t>
            </w:r>
          </w:p>
        </w:tc>
        <w:tc>
          <w:tcPr>
            <w:tcW w:w="1843" w:type="dxa"/>
            <w:tcBorders>
              <w:top w:val="nil"/>
              <w:left w:val="nil"/>
              <w:bottom w:val="nil"/>
              <w:right w:val="nil"/>
            </w:tcBorders>
            <w:shd w:val="clear" w:color="auto" w:fill="auto"/>
            <w:noWrap/>
            <w:vAlign w:val="bottom"/>
            <w:hideMark/>
          </w:tcPr>
          <w:p w14:paraId="582BFCA9"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58 710</w:t>
            </w:r>
          </w:p>
        </w:tc>
        <w:tc>
          <w:tcPr>
            <w:tcW w:w="1843" w:type="dxa"/>
            <w:tcBorders>
              <w:top w:val="nil"/>
              <w:left w:val="nil"/>
              <w:bottom w:val="nil"/>
              <w:right w:val="nil"/>
            </w:tcBorders>
            <w:shd w:val="clear" w:color="auto" w:fill="auto"/>
            <w:noWrap/>
            <w:vAlign w:val="bottom"/>
            <w:hideMark/>
          </w:tcPr>
          <w:p w14:paraId="2A88C885"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26 923</w:t>
            </w:r>
          </w:p>
        </w:tc>
        <w:tc>
          <w:tcPr>
            <w:tcW w:w="1843" w:type="dxa"/>
            <w:tcBorders>
              <w:top w:val="nil"/>
              <w:left w:val="nil"/>
              <w:bottom w:val="nil"/>
              <w:right w:val="nil"/>
            </w:tcBorders>
            <w:shd w:val="clear" w:color="auto" w:fill="auto"/>
            <w:noWrap/>
            <w:vAlign w:val="bottom"/>
            <w:hideMark/>
          </w:tcPr>
          <w:p w14:paraId="5C816A16"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364</w:t>
            </w:r>
          </w:p>
        </w:tc>
        <w:tc>
          <w:tcPr>
            <w:tcW w:w="1843" w:type="dxa"/>
            <w:tcBorders>
              <w:top w:val="nil"/>
              <w:left w:val="nil"/>
              <w:bottom w:val="nil"/>
              <w:right w:val="nil"/>
            </w:tcBorders>
            <w:shd w:val="clear" w:color="auto" w:fill="auto"/>
            <w:noWrap/>
            <w:vAlign w:val="bottom"/>
            <w:hideMark/>
          </w:tcPr>
          <w:p w14:paraId="6BCFAAAD"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85 997</w:t>
            </w:r>
          </w:p>
        </w:tc>
      </w:tr>
      <w:tr w:rsidR="003A0696" w:rsidRPr="00672738" w14:paraId="60DDC1D8" w14:textId="77777777" w:rsidTr="003A0696">
        <w:trPr>
          <w:trHeight w:val="300"/>
        </w:trPr>
        <w:tc>
          <w:tcPr>
            <w:tcW w:w="1842" w:type="dxa"/>
            <w:tcBorders>
              <w:top w:val="nil"/>
              <w:left w:val="nil"/>
              <w:bottom w:val="nil"/>
              <w:right w:val="nil"/>
            </w:tcBorders>
            <w:shd w:val="clear" w:color="auto" w:fill="auto"/>
            <w:noWrap/>
            <w:vAlign w:val="bottom"/>
            <w:hideMark/>
          </w:tcPr>
          <w:p w14:paraId="0A264BF6" w14:textId="77777777" w:rsidR="003A0696" w:rsidRPr="00672738" w:rsidRDefault="003A0696" w:rsidP="003A0696">
            <w:pPr>
              <w:spacing w:after="0" w:line="240" w:lineRule="auto"/>
              <w:jc w:val="left"/>
              <w:rPr>
                <w:rFonts w:eastAsia="Times New Roman" w:cs="Times New Roman"/>
                <w:sz w:val="20"/>
                <w:szCs w:val="20"/>
                <w:lang w:eastAsia="sk-SK"/>
              </w:rPr>
            </w:pPr>
            <w:r w:rsidRPr="00672738">
              <w:rPr>
                <w:rFonts w:eastAsia="Times New Roman" w:cs="Times New Roman"/>
                <w:sz w:val="20"/>
                <w:szCs w:val="20"/>
                <w:lang w:eastAsia="sk-SK"/>
              </w:rPr>
              <w:t>Bratislavský</w:t>
            </w:r>
          </w:p>
        </w:tc>
        <w:tc>
          <w:tcPr>
            <w:tcW w:w="1843" w:type="dxa"/>
            <w:tcBorders>
              <w:top w:val="nil"/>
              <w:left w:val="nil"/>
              <w:bottom w:val="nil"/>
              <w:right w:val="nil"/>
            </w:tcBorders>
            <w:shd w:val="clear" w:color="auto" w:fill="auto"/>
            <w:noWrap/>
            <w:vAlign w:val="bottom"/>
            <w:hideMark/>
          </w:tcPr>
          <w:p w14:paraId="7A3CD276"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51 888</w:t>
            </w:r>
          </w:p>
        </w:tc>
        <w:tc>
          <w:tcPr>
            <w:tcW w:w="1843" w:type="dxa"/>
            <w:tcBorders>
              <w:top w:val="nil"/>
              <w:left w:val="nil"/>
              <w:bottom w:val="nil"/>
              <w:right w:val="nil"/>
            </w:tcBorders>
            <w:shd w:val="clear" w:color="auto" w:fill="auto"/>
            <w:noWrap/>
            <w:vAlign w:val="bottom"/>
            <w:hideMark/>
          </w:tcPr>
          <w:p w14:paraId="0A62FE9E"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30 675</w:t>
            </w:r>
          </w:p>
        </w:tc>
        <w:tc>
          <w:tcPr>
            <w:tcW w:w="1843" w:type="dxa"/>
            <w:tcBorders>
              <w:top w:val="nil"/>
              <w:left w:val="nil"/>
              <w:bottom w:val="nil"/>
              <w:right w:val="nil"/>
            </w:tcBorders>
            <w:shd w:val="clear" w:color="auto" w:fill="auto"/>
            <w:noWrap/>
            <w:vAlign w:val="bottom"/>
            <w:hideMark/>
          </w:tcPr>
          <w:p w14:paraId="12CEAFB8"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411</w:t>
            </w:r>
          </w:p>
        </w:tc>
        <w:tc>
          <w:tcPr>
            <w:tcW w:w="1843" w:type="dxa"/>
            <w:tcBorders>
              <w:top w:val="nil"/>
              <w:left w:val="nil"/>
              <w:bottom w:val="nil"/>
              <w:right w:val="nil"/>
            </w:tcBorders>
            <w:shd w:val="clear" w:color="auto" w:fill="auto"/>
            <w:noWrap/>
            <w:vAlign w:val="bottom"/>
            <w:hideMark/>
          </w:tcPr>
          <w:p w14:paraId="1E37E1CA"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82 974</w:t>
            </w:r>
          </w:p>
        </w:tc>
      </w:tr>
      <w:tr w:rsidR="003A0696" w:rsidRPr="00672738" w14:paraId="7D80A371" w14:textId="77777777" w:rsidTr="003A0696">
        <w:trPr>
          <w:trHeight w:val="300"/>
        </w:trPr>
        <w:tc>
          <w:tcPr>
            <w:tcW w:w="1842" w:type="dxa"/>
            <w:tcBorders>
              <w:top w:val="nil"/>
              <w:left w:val="nil"/>
              <w:bottom w:val="nil"/>
              <w:right w:val="nil"/>
            </w:tcBorders>
            <w:shd w:val="clear" w:color="auto" w:fill="auto"/>
            <w:noWrap/>
            <w:vAlign w:val="bottom"/>
            <w:hideMark/>
          </w:tcPr>
          <w:p w14:paraId="366275E7" w14:textId="77777777" w:rsidR="003A0696" w:rsidRPr="00672738" w:rsidRDefault="003A0696" w:rsidP="003A0696">
            <w:pPr>
              <w:spacing w:after="0" w:line="240" w:lineRule="auto"/>
              <w:jc w:val="left"/>
              <w:rPr>
                <w:rFonts w:eastAsia="Times New Roman" w:cs="Times New Roman"/>
                <w:sz w:val="20"/>
                <w:szCs w:val="20"/>
                <w:lang w:eastAsia="sk-SK"/>
              </w:rPr>
            </w:pPr>
            <w:r w:rsidRPr="00672738">
              <w:rPr>
                <w:rFonts w:eastAsia="Times New Roman" w:cs="Times New Roman"/>
                <w:sz w:val="20"/>
                <w:szCs w:val="20"/>
                <w:lang w:eastAsia="sk-SK"/>
              </w:rPr>
              <w:t>Žilinský</w:t>
            </w:r>
          </w:p>
        </w:tc>
        <w:tc>
          <w:tcPr>
            <w:tcW w:w="1843" w:type="dxa"/>
            <w:tcBorders>
              <w:top w:val="nil"/>
              <w:left w:val="nil"/>
              <w:bottom w:val="nil"/>
              <w:right w:val="nil"/>
            </w:tcBorders>
            <w:shd w:val="clear" w:color="auto" w:fill="auto"/>
            <w:noWrap/>
            <w:vAlign w:val="bottom"/>
            <w:hideMark/>
          </w:tcPr>
          <w:p w14:paraId="7A51F11C"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55 040</w:t>
            </w:r>
          </w:p>
        </w:tc>
        <w:tc>
          <w:tcPr>
            <w:tcW w:w="1843" w:type="dxa"/>
            <w:tcBorders>
              <w:top w:val="nil"/>
              <w:left w:val="nil"/>
              <w:bottom w:val="nil"/>
              <w:right w:val="nil"/>
            </w:tcBorders>
            <w:shd w:val="clear" w:color="auto" w:fill="auto"/>
            <w:noWrap/>
            <w:vAlign w:val="bottom"/>
            <w:hideMark/>
          </w:tcPr>
          <w:p w14:paraId="349BC957"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21 509</w:t>
            </w:r>
          </w:p>
        </w:tc>
        <w:tc>
          <w:tcPr>
            <w:tcW w:w="1843" w:type="dxa"/>
            <w:tcBorders>
              <w:top w:val="nil"/>
              <w:left w:val="nil"/>
              <w:bottom w:val="nil"/>
              <w:right w:val="nil"/>
            </w:tcBorders>
            <w:shd w:val="clear" w:color="auto" w:fill="auto"/>
            <w:noWrap/>
            <w:vAlign w:val="bottom"/>
            <w:hideMark/>
          </w:tcPr>
          <w:p w14:paraId="5787E658"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269</w:t>
            </w:r>
          </w:p>
        </w:tc>
        <w:tc>
          <w:tcPr>
            <w:tcW w:w="1843" w:type="dxa"/>
            <w:tcBorders>
              <w:top w:val="nil"/>
              <w:left w:val="nil"/>
              <w:bottom w:val="nil"/>
              <w:right w:val="nil"/>
            </w:tcBorders>
            <w:shd w:val="clear" w:color="auto" w:fill="auto"/>
            <w:noWrap/>
            <w:vAlign w:val="bottom"/>
            <w:hideMark/>
          </w:tcPr>
          <w:p w14:paraId="139CB2B6"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76 818</w:t>
            </w:r>
          </w:p>
        </w:tc>
      </w:tr>
      <w:tr w:rsidR="003A0696" w:rsidRPr="00672738" w14:paraId="1D8F7A14" w14:textId="77777777" w:rsidTr="003A0696">
        <w:trPr>
          <w:trHeight w:val="300"/>
        </w:trPr>
        <w:tc>
          <w:tcPr>
            <w:tcW w:w="1842" w:type="dxa"/>
            <w:tcBorders>
              <w:top w:val="nil"/>
              <w:left w:val="nil"/>
              <w:bottom w:val="nil"/>
              <w:right w:val="nil"/>
            </w:tcBorders>
            <w:shd w:val="clear" w:color="auto" w:fill="auto"/>
            <w:noWrap/>
            <w:vAlign w:val="bottom"/>
            <w:hideMark/>
          </w:tcPr>
          <w:p w14:paraId="4B0B1026" w14:textId="77777777" w:rsidR="003A0696" w:rsidRPr="00672738" w:rsidRDefault="003A0696" w:rsidP="003A0696">
            <w:pPr>
              <w:spacing w:after="0" w:line="240" w:lineRule="auto"/>
              <w:jc w:val="left"/>
              <w:rPr>
                <w:rFonts w:eastAsia="Times New Roman" w:cs="Times New Roman"/>
                <w:sz w:val="20"/>
                <w:szCs w:val="20"/>
                <w:lang w:eastAsia="sk-SK"/>
              </w:rPr>
            </w:pPr>
            <w:r w:rsidRPr="00672738">
              <w:rPr>
                <w:rFonts w:eastAsia="Times New Roman" w:cs="Times New Roman"/>
                <w:sz w:val="20"/>
                <w:szCs w:val="20"/>
                <w:lang w:eastAsia="sk-SK"/>
              </w:rPr>
              <w:t>Trenčiansky</w:t>
            </w:r>
          </w:p>
        </w:tc>
        <w:tc>
          <w:tcPr>
            <w:tcW w:w="1843" w:type="dxa"/>
            <w:tcBorders>
              <w:top w:val="nil"/>
              <w:left w:val="nil"/>
              <w:bottom w:val="nil"/>
              <w:right w:val="nil"/>
            </w:tcBorders>
            <w:shd w:val="clear" w:color="auto" w:fill="auto"/>
            <w:noWrap/>
            <w:vAlign w:val="bottom"/>
            <w:hideMark/>
          </w:tcPr>
          <w:p w14:paraId="02776371"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37 024</w:t>
            </w:r>
          </w:p>
        </w:tc>
        <w:tc>
          <w:tcPr>
            <w:tcW w:w="1843" w:type="dxa"/>
            <w:tcBorders>
              <w:top w:val="nil"/>
              <w:left w:val="nil"/>
              <w:bottom w:val="nil"/>
              <w:right w:val="nil"/>
            </w:tcBorders>
            <w:shd w:val="clear" w:color="auto" w:fill="auto"/>
            <w:noWrap/>
            <w:vAlign w:val="bottom"/>
            <w:hideMark/>
          </w:tcPr>
          <w:p w14:paraId="392E8D2A"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25 523</w:t>
            </w:r>
          </w:p>
        </w:tc>
        <w:tc>
          <w:tcPr>
            <w:tcW w:w="1843" w:type="dxa"/>
            <w:tcBorders>
              <w:top w:val="nil"/>
              <w:left w:val="nil"/>
              <w:bottom w:val="nil"/>
              <w:right w:val="nil"/>
            </w:tcBorders>
            <w:shd w:val="clear" w:color="auto" w:fill="auto"/>
            <w:noWrap/>
            <w:vAlign w:val="bottom"/>
            <w:hideMark/>
          </w:tcPr>
          <w:p w14:paraId="49EA570E"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732</w:t>
            </w:r>
          </w:p>
        </w:tc>
        <w:tc>
          <w:tcPr>
            <w:tcW w:w="1843" w:type="dxa"/>
            <w:tcBorders>
              <w:top w:val="nil"/>
              <w:left w:val="nil"/>
              <w:bottom w:val="nil"/>
              <w:right w:val="nil"/>
            </w:tcBorders>
            <w:shd w:val="clear" w:color="auto" w:fill="auto"/>
            <w:noWrap/>
            <w:vAlign w:val="bottom"/>
            <w:hideMark/>
          </w:tcPr>
          <w:p w14:paraId="3E1A99EA"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63 279</w:t>
            </w:r>
          </w:p>
        </w:tc>
      </w:tr>
      <w:tr w:rsidR="003A0696" w:rsidRPr="00672738" w14:paraId="677C726F" w14:textId="77777777" w:rsidTr="003A0696">
        <w:trPr>
          <w:trHeight w:val="300"/>
        </w:trPr>
        <w:tc>
          <w:tcPr>
            <w:tcW w:w="1842" w:type="dxa"/>
            <w:tcBorders>
              <w:top w:val="nil"/>
              <w:left w:val="nil"/>
              <w:bottom w:val="nil"/>
              <w:right w:val="nil"/>
            </w:tcBorders>
            <w:shd w:val="clear" w:color="auto" w:fill="auto"/>
            <w:noWrap/>
            <w:vAlign w:val="bottom"/>
            <w:hideMark/>
          </w:tcPr>
          <w:p w14:paraId="244B2377" w14:textId="77777777" w:rsidR="003A0696" w:rsidRPr="00672738" w:rsidRDefault="003A0696" w:rsidP="003A0696">
            <w:pPr>
              <w:spacing w:after="0" w:line="240" w:lineRule="auto"/>
              <w:jc w:val="left"/>
              <w:rPr>
                <w:rFonts w:eastAsia="Times New Roman" w:cs="Times New Roman"/>
                <w:sz w:val="20"/>
                <w:szCs w:val="20"/>
                <w:lang w:eastAsia="sk-SK"/>
              </w:rPr>
            </w:pPr>
            <w:r w:rsidRPr="00672738">
              <w:rPr>
                <w:rFonts w:eastAsia="Times New Roman" w:cs="Times New Roman"/>
                <w:sz w:val="20"/>
                <w:szCs w:val="20"/>
                <w:lang w:eastAsia="sk-SK"/>
              </w:rPr>
              <w:t>Banskobystrický</w:t>
            </w:r>
          </w:p>
        </w:tc>
        <w:tc>
          <w:tcPr>
            <w:tcW w:w="1843" w:type="dxa"/>
            <w:tcBorders>
              <w:top w:val="nil"/>
              <w:left w:val="nil"/>
              <w:bottom w:val="nil"/>
              <w:right w:val="nil"/>
            </w:tcBorders>
            <w:shd w:val="clear" w:color="auto" w:fill="auto"/>
            <w:noWrap/>
            <w:vAlign w:val="bottom"/>
            <w:hideMark/>
          </w:tcPr>
          <w:p w14:paraId="719C49AB"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27 484</w:t>
            </w:r>
          </w:p>
        </w:tc>
        <w:tc>
          <w:tcPr>
            <w:tcW w:w="1843" w:type="dxa"/>
            <w:tcBorders>
              <w:top w:val="nil"/>
              <w:left w:val="nil"/>
              <w:bottom w:val="nil"/>
              <w:right w:val="nil"/>
            </w:tcBorders>
            <w:shd w:val="clear" w:color="auto" w:fill="auto"/>
            <w:noWrap/>
            <w:vAlign w:val="bottom"/>
            <w:hideMark/>
          </w:tcPr>
          <w:p w14:paraId="13C3233A"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33 608</w:t>
            </w:r>
          </w:p>
        </w:tc>
        <w:tc>
          <w:tcPr>
            <w:tcW w:w="1843" w:type="dxa"/>
            <w:tcBorders>
              <w:top w:val="nil"/>
              <w:left w:val="nil"/>
              <w:bottom w:val="nil"/>
              <w:right w:val="nil"/>
            </w:tcBorders>
            <w:shd w:val="clear" w:color="auto" w:fill="auto"/>
            <w:noWrap/>
            <w:vAlign w:val="bottom"/>
            <w:hideMark/>
          </w:tcPr>
          <w:p w14:paraId="402B3685"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537</w:t>
            </w:r>
          </w:p>
        </w:tc>
        <w:tc>
          <w:tcPr>
            <w:tcW w:w="1843" w:type="dxa"/>
            <w:tcBorders>
              <w:top w:val="nil"/>
              <w:left w:val="nil"/>
              <w:bottom w:val="nil"/>
              <w:right w:val="nil"/>
            </w:tcBorders>
            <w:shd w:val="clear" w:color="auto" w:fill="auto"/>
            <w:noWrap/>
            <w:vAlign w:val="bottom"/>
            <w:hideMark/>
          </w:tcPr>
          <w:p w14:paraId="54D76CF9"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61 629</w:t>
            </w:r>
          </w:p>
        </w:tc>
      </w:tr>
      <w:tr w:rsidR="003A0696" w:rsidRPr="00672738" w14:paraId="72B475C4" w14:textId="77777777" w:rsidTr="003A0696">
        <w:trPr>
          <w:trHeight w:val="300"/>
        </w:trPr>
        <w:tc>
          <w:tcPr>
            <w:tcW w:w="1842" w:type="dxa"/>
            <w:tcBorders>
              <w:top w:val="nil"/>
              <w:left w:val="nil"/>
              <w:bottom w:val="nil"/>
              <w:right w:val="nil"/>
            </w:tcBorders>
            <w:shd w:val="clear" w:color="auto" w:fill="auto"/>
            <w:noWrap/>
            <w:vAlign w:val="bottom"/>
            <w:hideMark/>
          </w:tcPr>
          <w:p w14:paraId="2C3EEE55" w14:textId="77777777" w:rsidR="003A0696" w:rsidRPr="00672738" w:rsidRDefault="003A0696" w:rsidP="003A0696">
            <w:pPr>
              <w:spacing w:after="0" w:line="240" w:lineRule="auto"/>
              <w:jc w:val="left"/>
              <w:rPr>
                <w:rFonts w:eastAsia="Times New Roman" w:cs="Times New Roman"/>
                <w:sz w:val="20"/>
                <w:szCs w:val="20"/>
                <w:lang w:eastAsia="sk-SK"/>
              </w:rPr>
            </w:pPr>
            <w:r w:rsidRPr="00672738">
              <w:rPr>
                <w:rFonts w:eastAsia="Times New Roman" w:cs="Times New Roman"/>
                <w:sz w:val="20"/>
                <w:szCs w:val="20"/>
                <w:lang w:eastAsia="sk-SK"/>
              </w:rPr>
              <w:t>Trnavský</w:t>
            </w:r>
          </w:p>
        </w:tc>
        <w:tc>
          <w:tcPr>
            <w:tcW w:w="1843" w:type="dxa"/>
            <w:tcBorders>
              <w:top w:val="nil"/>
              <w:left w:val="nil"/>
              <w:bottom w:val="nil"/>
              <w:right w:val="nil"/>
            </w:tcBorders>
            <w:shd w:val="clear" w:color="auto" w:fill="auto"/>
            <w:noWrap/>
            <w:vAlign w:val="bottom"/>
            <w:hideMark/>
          </w:tcPr>
          <w:p w14:paraId="0549FCD6"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42 008</w:t>
            </w:r>
          </w:p>
        </w:tc>
        <w:tc>
          <w:tcPr>
            <w:tcW w:w="1843" w:type="dxa"/>
            <w:tcBorders>
              <w:top w:val="nil"/>
              <w:left w:val="nil"/>
              <w:bottom w:val="nil"/>
              <w:right w:val="nil"/>
            </w:tcBorders>
            <w:shd w:val="clear" w:color="auto" w:fill="auto"/>
            <w:noWrap/>
            <w:vAlign w:val="bottom"/>
            <w:hideMark/>
          </w:tcPr>
          <w:p w14:paraId="02755BF0"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19 027</w:t>
            </w:r>
          </w:p>
        </w:tc>
        <w:tc>
          <w:tcPr>
            <w:tcW w:w="1843" w:type="dxa"/>
            <w:tcBorders>
              <w:top w:val="nil"/>
              <w:left w:val="nil"/>
              <w:bottom w:val="nil"/>
              <w:right w:val="nil"/>
            </w:tcBorders>
            <w:shd w:val="clear" w:color="auto" w:fill="auto"/>
            <w:noWrap/>
            <w:vAlign w:val="bottom"/>
            <w:hideMark/>
          </w:tcPr>
          <w:p w14:paraId="6B54B085"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367</w:t>
            </w:r>
          </w:p>
        </w:tc>
        <w:tc>
          <w:tcPr>
            <w:tcW w:w="1843" w:type="dxa"/>
            <w:tcBorders>
              <w:top w:val="nil"/>
              <w:left w:val="nil"/>
              <w:bottom w:val="nil"/>
              <w:right w:val="nil"/>
            </w:tcBorders>
            <w:shd w:val="clear" w:color="auto" w:fill="auto"/>
            <w:noWrap/>
            <w:vAlign w:val="bottom"/>
            <w:hideMark/>
          </w:tcPr>
          <w:p w14:paraId="2B04D036"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61 402</w:t>
            </w:r>
          </w:p>
        </w:tc>
      </w:tr>
      <w:tr w:rsidR="003A0696" w:rsidRPr="00672738" w14:paraId="13085351" w14:textId="77777777" w:rsidTr="003A0696">
        <w:trPr>
          <w:trHeight w:val="300"/>
        </w:trPr>
        <w:tc>
          <w:tcPr>
            <w:tcW w:w="1842" w:type="dxa"/>
            <w:tcBorders>
              <w:top w:val="nil"/>
              <w:left w:val="nil"/>
              <w:bottom w:val="nil"/>
              <w:right w:val="nil"/>
            </w:tcBorders>
            <w:shd w:val="clear" w:color="auto" w:fill="auto"/>
            <w:noWrap/>
            <w:vAlign w:val="bottom"/>
            <w:hideMark/>
          </w:tcPr>
          <w:p w14:paraId="1016CB5B" w14:textId="77777777" w:rsidR="003A0696" w:rsidRPr="00672738" w:rsidRDefault="003A0696" w:rsidP="003A0696">
            <w:pPr>
              <w:spacing w:after="0" w:line="240" w:lineRule="auto"/>
              <w:jc w:val="left"/>
              <w:rPr>
                <w:rFonts w:eastAsia="Times New Roman" w:cs="Times New Roman"/>
                <w:sz w:val="20"/>
                <w:szCs w:val="20"/>
                <w:lang w:eastAsia="sk-SK"/>
              </w:rPr>
            </w:pPr>
            <w:r w:rsidRPr="00672738">
              <w:rPr>
                <w:rFonts w:eastAsia="Times New Roman" w:cs="Times New Roman"/>
                <w:sz w:val="20"/>
                <w:szCs w:val="20"/>
                <w:lang w:eastAsia="sk-SK"/>
              </w:rPr>
              <w:t>Nitriansky</w:t>
            </w:r>
          </w:p>
        </w:tc>
        <w:tc>
          <w:tcPr>
            <w:tcW w:w="1843" w:type="dxa"/>
            <w:tcBorders>
              <w:top w:val="nil"/>
              <w:left w:val="nil"/>
              <w:bottom w:val="nil"/>
              <w:right w:val="nil"/>
            </w:tcBorders>
            <w:shd w:val="clear" w:color="auto" w:fill="auto"/>
            <w:noWrap/>
            <w:vAlign w:val="bottom"/>
            <w:hideMark/>
          </w:tcPr>
          <w:p w14:paraId="55840BF1"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9 961</w:t>
            </w:r>
          </w:p>
        </w:tc>
        <w:tc>
          <w:tcPr>
            <w:tcW w:w="1843" w:type="dxa"/>
            <w:tcBorders>
              <w:top w:val="nil"/>
              <w:left w:val="nil"/>
              <w:bottom w:val="nil"/>
              <w:right w:val="nil"/>
            </w:tcBorders>
            <w:shd w:val="clear" w:color="auto" w:fill="auto"/>
            <w:noWrap/>
            <w:vAlign w:val="bottom"/>
            <w:hideMark/>
          </w:tcPr>
          <w:p w14:paraId="45CB0AFF"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21 946</w:t>
            </w:r>
          </w:p>
        </w:tc>
        <w:tc>
          <w:tcPr>
            <w:tcW w:w="1843" w:type="dxa"/>
            <w:tcBorders>
              <w:top w:val="nil"/>
              <w:left w:val="nil"/>
              <w:bottom w:val="nil"/>
              <w:right w:val="nil"/>
            </w:tcBorders>
            <w:shd w:val="clear" w:color="auto" w:fill="auto"/>
            <w:noWrap/>
            <w:vAlign w:val="bottom"/>
            <w:hideMark/>
          </w:tcPr>
          <w:p w14:paraId="1971A870"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5</w:t>
            </w:r>
          </w:p>
        </w:tc>
        <w:tc>
          <w:tcPr>
            <w:tcW w:w="1843" w:type="dxa"/>
            <w:tcBorders>
              <w:top w:val="nil"/>
              <w:left w:val="nil"/>
              <w:bottom w:val="nil"/>
              <w:right w:val="nil"/>
            </w:tcBorders>
            <w:shd w:val="clear" w:color="auto" w:fill="auto"/>
            <w:noWrap/>
            <w:vAlign w:val="bottom"/>
            <w:hideMark/>
          </w:tcPr>
          <w:p w14:paraId="38579553" w14:textId="77777777" w:rsidR="003A0696" w:rsidRPr="00672738" w:rsidRDefault="003A0696" w:rsidP="003A0696">
            <w:pPr>
              <w:spacing w:after="0" w:line="240" w:lineRule="auto"/>
              <w:jc w:val="right"/>
              <w:rPr>
                <w:rFonts w:eastAsia="Times New Roman" w:cs="Times New Roman"/>
                <w:sz w:val="20"/>
                <w:szCs w:val="20"/>
                <w:lang w:eastAsia="sk-SK"/>
              </w:rPr>
            </w:pPr>
            <w:r w:rsidRPr="00672738">
              <w:rPr>
                <w:rFonts w:eastAsia="Times New Roman" w:cs="Times New Roman"/>
                <w:sz w:val="20"/>
                <w:szCs w:val="20"/>
                <w:lang w:eastAsia="sk-SK"/>
              </w:rPr>
              <w:t>31 912</w:t>
            </w:r>
          </w:p>
        </w:tc>
      </w:tr>
      <w:tr w:rsidR="003A0696" w:rsidRPr="00672738" w14:paraId="6EECAA3D" w14:textId="77777777" w:rsidTr="003A0696">
        <w:trPr>
          <w:trHeight w:val="300"/>
        </w:trPr>
        <w:tc>
          <w:tcPr>
            <w:tcW w:w="1842" w:type="dxa"/>
            <w:tcBorders>
              <w:top w:val="single" w:sz="4" w:space="0" w:color="auto"/>
              <w:left w:val="nil"/>
              <w:bottom w:val="single" w:sz="4" w:space="0" w:color="auto"/>
              <w:right w:val="nil"/>
            </w:tcBorders>
            <w:shd w:val="clear" w:color="auto" w:fill="auto"/>
            <w:noWrap/>
            <w:vAlign w:val="bottom"/>
            <w:hideMark/>
          </w:tcPr>
          <w:p w14:paraId="41710CD0" w14:textId="77777777" w:rsidR="003A0696" w:rsidRPr="00672738" w:rsidRDefault="003A0696" w:rsidP="003A0696">
            <w:pPr>
              <w:spacing w:after="0" w:line="240" w:lineRule="auto"/>
              <w:jc w:val="left"/>
              <w:rPr>
                <w:rFonts w:eastAsia="Times New Roman" w:cs="Times New Roman"/>
                <w:b/>
                <w:bCs/>
                <w:sz w:val="20"/>
                <w:szCs w:val="20"/>
                <w:lang w:eastAsia="sk-SK"/>
              </w:rPr>
            </w:pPr>
            <w:r w:rsidRPr="00672738">
              <w:rPr>
                <w:rFonts w:eastAsia="Times New Roman" w:cs="Times New Roman"/>
                <w:b/>
                <w:bCs/>
                <w:sz w:val="20"/>
                <w:szCs w:val="20"/>
                <w:lang w:eastAsia="sk-SK"/>
              </w:rPr>
              <w:t>Spolu VÚC</w:t>
            </w:r>
          </w:p>
        </w:tc>
        <w:tc>
          <w:tcPr>
            <w:tcW w:w="1843" w:type="dxa"/>
            <w:tcBorders>
              <w:top w:val="single" w:sz="4" w:space="0" w:color="auto"/>
              <w:left w:val="nil"/>
              <w:bottom w:val="single" w:sz="4" w:space="0" w:color="auto"/>
              <w:right w:val="nil"/>
            </w:tcBorders>
            <w:shd w:val="clear" w:color="auto" w:fill="auto"/>
            <w:noWrap/>
            <w:vAlign w:val="bottom"/>
            <w:hideMark/>
          </w:tcPr>
          <w:p w14:paraId="29055EDB" w14:textId="77777777" w:rsidR="003A0696" w:rsidRPr="00672738" w:rsidRDefault="003A0696" w:rsidP="003A0696">
            <w:pPr>
              <w:spacing w:after="0" w:line="240" w:lineRule="auto"/>
              <w:jc w:val="right"/>
              <w:rPr>
                <w:rFonts w:eastAsia="Times New Roman" w:cs="Times New Roman"/>
                <w:b/>
                <w:bCs/>
                <w:sz w:val="20"/>
                <w:szCs w:val="20"/>
                <w:lang w:eastAsia="sk-SK"/>
              </w:rPr>
            </w:pPr>
            <w:r w:rsidRPr="00672738">
              <w:rPr>
                <w:rFonts w:eastAsia="Times New Roman" w:cs="Times New Roman"/>
                <w:b/>
                <w:bCs/>
                <w:sz w:val="20"/>
                <w:szCs w:val="20"/>
                <w:lang w:eastAsia="sk-SK"/>
              </w:rPr>
              <w:t>355 765</w:t>
            </w:r>
          </w:p>
        </w:tc>
        <w:tc>
          <w:tcPr>
            <w:tcW w:w="1843" w:type="dxa"/>
            <w:tcBorders>
              <w:top w:val="single" w:sz="4" w:space="0" w:color="auto"/>
              <w:left w:val="nil"/>
              <w:bottom w:val="single" w:sz="4" w:space="0" w:color="auto"/>
              <w:right w:val="nil"/>
            </w:tcBorders>
            <w:shd w:val="clear" w:color="auto" w:fill="auto"/>
            <w:noWrap/>
            <w:vAlign w:val="bottom"/>
            <w:hideMark/>
          </w:tcPr>
          <w:p w14:paraId="4E14C27D" w14:textId="77777777" w:rsidR="003A0696" w:rsidRPr="00672738" w:rsidRDefault="003A0696" w:rsidP="003A0696">
            <w:pPr>
              <w:spacing w:after="0" w:line="240" w:lineRule="auto"/>
              <w:jc w:val="right"/>
              <w:rPr>
                <w:rFonts w:eastAsia="Times New Roman" w:cs="Times New Roman"/>
                <w:b/>
                <w:bCs/>
                <w:sz w:val="20"/>
                <w:szCs w:val="20"/>
                <w:lang w:eastAsia="sk-SK"/>
              </w:rPr>
            </w:pPr>
            <w:r w:rsidRPr="00672738">
              <w:rPr>
                <w:rFonts w:eastAsia="Times New Roman" w:cs="Times New Roman"/>
                <w:b/>
                <w:bCs/>
                <w:sz w:val="20"/>
                <w:szCs w:val="20"/>
                <w:lang w:eastAsia="sk-SK"/>
              </w:rPr>
              <w:t>197 574</w:t>
            </w:r>
          </w:p>
        </w:tc>
        <w:tc>
          <w:tcPr>
            <w:tcW w:w="1843" w:type="dxa"/>
            <w:tcBorders>
              <w:top w:val="single" w:sz="4" w:space="0" w:color="auto"/>
              <w:left w:val="nil"/>
              <w:bottom w:val="single" w:sz="4" w:space="0" w:color="auto"/>
              <w:right w:val="nil"/>
            </w:tcBorders>
            <w:shd w:val="clear" w:color="auto" w:fill="auto"/>
            <w:noWrap/>
            <w:vAlign w:val="bottom"/>
            <w:hideMark/>
          </w:tcPr>
          <w:p w14:paraId="0D760177" w14:textId="77777777" w:rsidR="003A0696" w:rsidRPr="00672738" w:rsidRDefault="003A0696" w:rsidP="003A0696">
            <w:pPr>
              <w:spacing w:after="0" w:line="240" w:lineRule="auto"/>
              <w:jc w:val="right"/>
              <w:rPr>
                <w:rFonts w:eastAsia="Times New Roman" w:cs="Times New Roman"/>
                <w:b/>
                <w:bCs/>
                <w:sz w:val="20"/>
                <w:szCs w:val="20"/>
                <w:lang w:eastAsia="sk-SK"/>
              </w:rPr>
            </w:pPr>
            <w:r w:rsidRPr="00672738">
              <w:rPr>
                <w:rFonts w:eastAsia="Times New Roman" w:cs="Times New Roman"/>
                <w:b/>
                <w:bCs/>
                <w:sz w:val="20"/>
                <w:szCs w:val="20"/>
                <w:lang w:eastAsia="sk-SK"/>
              </w:rPr>
              <w:t>11 948</w:t>
            </w:r>
          </w:p>
        </w:tc>
        <w:tc>
          <w:tcPr>
            <w:tcW w:w="1843" w:type="dxa"/>
            <w:tcBorders>
              <w:top w:val="single" w:sz="4" w:space="0" w:color="auto"/>
              <w:left w:val="nil"/>
              <w:bottom w:val="single" w:sz="4" w:space="0" w:color="auto"/>
              <w:right w:val="nil"/>
            </w:tcBorders>
            <w:shd w:val="clear" w:color="auto" w:fill="auto"/>
            <w:noWrap/>
            <w:vAlign w:val="bottom"/>
            <w:hideMark/>
          </w:tcPr>
          <w:p w14:paraId="0322F3B9" w14:textId="77777777" w:rsidR="003A0696" w:rsidRPr="00672738" w:rsidRDefault="003A0696" w:rsidP="003A0696">
            <w:pPr>
              <w:spacing w:after="0" w:line="240" w:lineRule="auto"/>
              <w:jc w:val="right"/>
              <w:rPr>
                <w:rFonts w:eastAsia="Times New Roman" w:cs="Times New Roman"/>
                <w:b/>
                <w:bCs/>
                <w:sz w:val="20"/>
                <w:szCs w:val="20"/>
                <w:lang w:eastAsia="sk-SK"/>
              </w:rPr>
            </w:pPr>
            <w:r w:rsidRPr="00672738">
              <w:rPr>
                <w:rFonts w:eastAsia="Times New Roman" w:cs="Times New Roman"/>
                <w:b/>
                <w:bCs/>
                <w:sz w:val="20"/>
                <w:szCs w:val="20"/>
                <w:lang w:eastAsia="sk-SK"/>
              </w:rPr>
              <w:t>565 287</w:t>
            </w:r>
          </w:p>
        </w:tc>
      </w:tr>
    </w:tbl>
    <w:p w14:paraId="084BE28C" w14:textId="77777777" w:rsidR="003A0696" w:rsidRPr="006654FA" w:rsidRDefault="003A0696" w:rsidP="003A0696">
      <w:pPr>
        <w:keepNext/>
        <w:jc w:val="right"/>
        <w:rPr>
          <w:sz w:val="16"/>
          <w:szCs w:val="16"/>
        </w:rPr>
      </w:pPr>
      <w:r w:rsidRPr="006654FA">
        <w:rPr>
          <w:sz w:val="16"/>
          <w:szCs w:val="16"/>
        </w:rPr>
        <w:t>Zdroj: MF SR</w:t>
      </w:r>
    </w:p>
    <w:p w14:paraId="623ECD21" w14:textId="77777777" w:rsidR="003A0696" w:rsidRPr="00062FFE" w:rsidRDefault="003A0696" w:rsidP="003A0696">
      <w:pPr>
        <w:spacing w:line="240" w:lineRule="auto"/>
        <w:rPr>
          <w:sz w:val="24"/>
          <w:szCs w:val="24"/>
          <w:highlight w:val="yellow"/>
        </w:rPr>
      </w:pPr>
      <w:r w:rsidRPr="004C3894">
        <w:rPr>
          <w:sz w:val="24"/>
          <w:szCs w:val="24"/>
        </w:rPr>
        <w:t xml:space="preserve">Podstatný podiel na zadlženosti samosprávnych krajov majú bankové úvery vo výške 355 765 tis. eur, ktorých úroveň medziročne vzrástla o 24 968 tis. eur. Zvyšok dlhu tvoria spomínané návratné finančné výpomoci vo výške 197 574 tis. eur, dlhodobé záväzky z obchodného styku a prijaté preddavky vo výške 9 273 tis. eur a prijaté zábezpeky v hodnote 2 675 tis. eur. </w:t>
      </w:r>
      <w:r w:rsidRPr="002E4587">
        <w:rPr>
          <w:sz w:val="24"/>
          <w:szCs w:val="24"/>
        </w:rPr>
        <w:t>Z celkového dlhu predstavujú záväzky voči domácim veriteľom 348 800 tis. eur (61,7 %) a voči zahraničným veriteľom 216 487 tis. eur (38,3 %). Úvermi od zahraničných veriteľov disponuje Bratislavský (37 462 tis. eur), Trnavský (32 067 tis. eur), Trenčiansky (1 863 tis. eur), Žilinský (24 000 tis. eur), Prešovský (66 650 tis. eur) a Košický samosprávny kraj (54 445 tis. eur). Z hľadiska pôvodnej splatnosti je dlh VÚC majoritne tvorený dlhodobými záväzkami (96,5 %).</w:t>
      </w:r>
    </w:p>
    <w:p w14:paraId="1E5054A4" w14:textId="77777777" w:rsidR="003A0696" w:rsidRPr="00062FFE" w:rsidRDefault="003A0696" w:rsidP="003A0696">
      <w:pPr>
        <w:spacing w:line="240" w:lineRule="auto"/>
        <w:rPr>
          <w:sz w:val="24"/>
          <w:szCs w:val="24"/>
          <w:highlight w:val="yellow"/>
        </w:rPr>
      </w:pPr>
      <w:r w:rsidRPr="00595706">
        <w:rPr>
          <w:sz w:val="24"/>
          <w:szCs w:val="24"/>
        </w:rPr>
        <w:t xml:space="preserve">Vyššie územné celky čerpajú bankové úvery najmä za účelom </w:t>
      </w:r>
      <w:proofErr w:type="spellStart"/>
      <w:r w:rsidRPr="00595706">
        <w:rPr>
          <w:sz w:val="24"/>
          <w:szCs w:val="24"/>
        </w:rPr>
        <w:t>predfinancovania</w:t>
      </w:r>
      <w:proofErr w:type="spellEnd"/>
      <w:r w:rsidRPr="00595706">
        <w:rPr>
          <w:sz w:val="24"/>
          <w:szCs w:val="24"/>
        </w:rPr>
        <w:t xml:space="preserve"> investičných projektov financovaných z európskych štrukturálnych a investičných fondov, napríklad na obnovu budov samosprávnych krajov (hlavne školských zariadení) s cieľom zníženia ich energetickej náročnosti a celkovej modernizácie, na obnovu cestnej infraštruktúry a na refundáciu už vynaložených investičných výdavkov. Medziročne vzrástli bankové úvery úhrnom o 24 968 tis. eur. Viaceré (najmä) dlhodobé úvery boli priebežne splácané, ale boli prijaté aj nové úvery. </w:t>
      </w:r>
      <w:r w:rsidRPr="008D4C79">
        <w:rPr>
          <w:sz w:val="24"/>
          <w:szCs w:val="24"/>
        </w:rPr>
        <w:t xml:space="preserve">Banskobystrický samosprávny kraj čerpal ďalšie domáce úvery vo výške </w:t>
      </w:r>
      <w:r>
        <w:rPr>
          <w:sz w:val="24"/>
          <w:szCs w:val="24"/>
        </w:rPr>
        <w:t>20 797</w:t>
      </w:r>
      <w:r w:rsidRPr="008D4C79">
        <w:rPr>
          <w:sz w:val="24"/>
          <w:szCs w:val="24"/>
        </w:rPr>
        <w:t> tis. eur</w:t>
      </w:r>
      <w:r>
        <w:rPr>
          <w:sz w:val="24"/>
          <w:szCs w:val="24"/>
        </w:rPr>
        <w:t xml:space="preserve"> Košický samosprávny kraj prijal nové úvery vo výške 18 570 tis. eur, z toho 15 000 zo zahraničia, </w:t>
      </w:r>
      <w:r w:rsidRPr="008D4C79">
        <w:rPr>
          <w:sz w:val="24"/>
          <w:szCs w:val="24"/>
        </w:rPr>
        <w:t xml:space="preserve">Nitriansky samosprávny kraj čerpal nové domáce úvery vo výške 14 920 tis. eur, </w:t>
      </w:r>
      <w:r>
        <w:rPr>
          <w:sz w:val="24"/>
          <w:szCs w:val="24"/>
        </w:rPr>
        <w:t xml:space="preserve">Bratislavský samosprávny kraj prijal ďalšie úvery vo výške 14 000 tis. eur, z toho 3 000 tis. eur zo zahraničia, </w:t>
      </w:r>
      <w:r w:rsidRPr="008D4C79">
        <w:rPr>
          <w:sz w:val="24"/>
          <w:szCs w:val="24"/>
        </w:rPr>
        <w:t xml:space="preserve">Žilinský samosprávny kraj čerpal ďalšie úvery </w:t>
      </w:r>
      <w:r>
        <w:rPr>
          <w:sz w:val="24"/>
          <w:szCs w:val="24"/>
        </w:rPr>
        <w:t>v hodnote 10 7000</w:t>
      </w:r>
      <w:r w:rsidRPr="008D4C79">
        <w:rPr>
          <w:sz w:val="24"/>
          <w:szCs w:val="24"/>
        </w:rPr>
        <w:t xml:space="preserve"> tis. eur, z toho </w:t>
      </w:r>
      <w:r>
        <w:rPr>
          <w:sz w:val="24"/>
          <w:szCs w:val="24"/>
        </w:rPr>
        <w:t>7 000</w:t>
      </w:r>
      <w:r w:rsidRPr="008D4C79">
        <w:rPr>
          <w:sz w:val="24"/>
          <w:szCs w:val="24"/>
        </w:rPr>
        <w:t xml:space="preserve"> tis. eur zo zahraničia, </w:t>
      </w:r>
      <w:r w:rsidRPr="00595706">
        <w:rPr>
          <w:sz w:val="24"/>
          <w:szCs w:val="24"/>
        </w:rPr>
        <w:t xml:space="preserve">Trnavský samosprávny kraj prijal </w:t>
      </w:r>
      <w:r>
        <w:rPr>
          <w:sz w:val="24"/>
          <w:szCs w:val="24"/>
        </w:rPr>
        <w:t>zahraničné</w:t>
      </w:r>
      <w:r w:rsidRPr="00595706">
        <w:rPr>
          <w:sz w:val="24"/>
          <w:szCs w:val="24"/>
        </w:rPr>
        <w:t xml:space="preserve"> úvery vo výške </w:t>
      </w:r>
      <w:r>
        <w:rPr>
          <w:sz w:val="24"/>
          <w:szCs w:val="24"/>
        </w:rPr>
        <w:t>7 320 tis. eur</w:t>
      </w:r>
      <w:r w:rsidRPr="008D4C79">
        <w:rPr>
          <w:sz w:val="24"/>
          <w:szCs w:val="24"/>
        </w:rPr>
        <w:t xml:space="preserve">, Prešovský samosprávny kraj </w:t>
      </w:r>
      <w:r>
        <w:rPr>
          <w:sz w:val="24"/>
          <w:szCs w:val="24"/>
        </w:rPr>
        <w:t xml:space="preserve">prijal ďalšie úvery vo výške 6 804 tis. eur, z toho 6 000 tis. eur zo zahraničia a </w:t>
      </w:r>
      <w:r w:rsidRPr="008D4C79">
        <w:rPr>
          <w:sz w:val="24"/>
          <w:szCs w:val="24"/>
        </w:rPr>
        <w:t xml:space="preserve">Trenčiansky samosprávny kraj čerpal nové domáce úvery </w:t>
      </w:r>
      <w:r>
        <w:rPr>
          <w:sz w:val="24"/>
          <w:szCs w:val="24"/>
        </w:rPr>
        <w:t>v hodnote 1 108 tis. eur</w:t>
      </w:r>
      <w:r w:rsidRPr="008D4C79">
        <w:rPr>
          <w:sz w:val="24"/>
          <w:szCs w:val="24"/>
        </w:rPr>
        <w:t>.</w:t>
      </w:r>
    </w:p>
    <w:p w14:paraId="0ACBCF67" w14:textId="77777777" w:rsidR="003A0696" w:rsidRPr="00A43D83" w:rsidRDefault="003A0696" w:rsidP="003A0696">
      <w:pPr>
        <w:spacing w:line="240" w:lineRule="auto"/>
        <w:rPr>
          <w:sz w:val="24"/>
          <w:szCs w:val="24"/>
        </w:rPr>
      </w:pPr>
      <w:r w:rsidRPr="00A43D83">
        <w:rPr>
          <w:b/>
          <w:sz w:val="24"/>
          <w:szCs w:val="24"/>
        </w:rPr>
        <w:lastRenderedPageBreak/>
        <w:t>Obchodné spoločnosti štátu</w:t>
      </w:r>
      <w:r w:rsidRPr="00A43D83">
        <w:rPr>
          <w:sz w:val="24"/>
          <w:szCs w:val="24"/>
        </w:rPr>
        <w:t xml:space="preserve"> (patriace do ústrednej správy) majú po štátnom dlhu a obciach najväčší podiel na konsolidovanom dlhu verejnej správy (0,8 %). </w:t>
      </w:r>
    </w:p>
    <w:p w14:paraId="47E06242" w14:textId="77777777" w:rsidR="003A0696" w:rsidRPr="001A39FE" w:rsidRDefault="003A0696" w:rsidP="003A0696">
      <w:pPr>
        <w:spacing w:line="240" w:lineRule="auto"/>
        <w:rPr>
          <w:sz w:val="24"/>
          <w:szCs w:val="24"/>
        </w:rPr>
      </w:pPr>
      <w:r w:rsidRPr="001A39FE">
        <w:rPr>
          <w:sz w:val="24"/>
          <w:szCs w:val="24"/>
        </w:rPr>
        <w:t xml:space="preserve">Dlh </w:t>
      </w:r>
      <w:r w:rsidRPr="001A39FE">
        <w:rPr>
          <w:b/>
          <w:sz w:val="24"/>
          <w:szCs w:val="24"/>
        </w:rPr>
        <w:t>Železničnej spoločnosti Slovensko, a. s. (ŽSSK)</w:t>
      </w:r>
      <w:r w:rsidRPr="001A39FE">
        <w:rPr>
          <w:sz w:val="24"/>
          <w:szCs w:val="24"/>
        </w:rPr>
        <w:t>, ktorý dosiahol v roku 2022 hodnotu 335 407 tis. eur, medziročne klesol o 51 297 tis. eur vzhľadom na to, že splátky úverov presiahli výšku novoprijatých. Načerpanie prostriedkov je však nevyhnuté pre financovanie zámerov zrýchlenia a skvalitnenia osobnej dopravy, s čím sú spojené nároky na modernizáciu, obnovu a údržbu vozňov a rušňov. Dlh ŽSSK tvoria bankové úvery od tuzemských veriteľov vo výške 335 410 tis. eur a krátkodobé zábezpeky v hodnote 267 tis. eur.</w:t>
      </w:r>
    </w:p>
    <w:p w14:paraId="06264E87" w14:textId="77777777" w:rsidR="003A0696" w:rsidRPr="00F309FB" w:rsidRDefault="003A0696" w:rsidP="003A0696">
      <w:pPr>
        <w:spacing w:line="240" w:lineRule="auto"/>
        <w:rPr>
          <w:b/>
          <w:sz w:val="24"/>
          <w:szCs w:val="24"/>
        </w:rPr>
      </w:pPr>
      <w:r w:rsidRPr="00F309FB">
        <w:rPr>
          <w:sz w:val="24"/>
          <w:szCs w:val="24"/>
        </w:rPr>
        <w:t xml:space="preserve">Dlh </w:t>
      </w:r>
      <w:r w:rsidRPr="00F309FB">
        <w:rPr>
          <w:b/>
          <w:sz w:val="24"/>
          <w:szCs w:val="24"/>
        </w:rPr>
        <w:t xml:space="preserve">Železníc Slovenskej republiky (ŽSR), </w:t>
      </w:r>
      <w:r w:rsidRPr="00F309FB">
        <w:rPr>
          <w:sz w:val="24"/>
          <w:szCs w:val="24"/>
        </w:rPr>
        <w:t>ktoré spravujú železničnú infraštruktúru vo vlastníctve štátu a zabezpečujú prepravné a dopravné služby,</w:t>
      </w:r>
      <w:r w:rsidRPr="00F309FB">
        <w:rPr>
          <w:b/>
          <w:sz w:val="24"/>
          <w:szCs w:val="24"/>
        </w:rPr>
        <w:t xml:space="preserve"> </w:t>
      </w:r>
      <w:r w:rsidRPr="00F309FB">
        <w:rPr>
          <w:sz w:val="24"/>
          <w:szCs w:val="24"/>
        </w:rPr>
        <w:t xml:space="preserve">dosiahol v roku 2022 hodnotu 114 322 tis. eur, čo je o 565 tis. eur menej oproti stavu v roku 2021. Dlh predstavujú v prevažnej miere dlhodobé bankové úvery od tuzemských veriteľov vo výške 69 917 tis. eur, ktorých hodnota oproti minulému roku klesla o 10 573 tis. eur vzhľadom na to, že splátky úverov prevyšujú čerpanie. Ďalšiu podstatnú časť dlhu predstavuje pôžička od National </w:t>
      </w:r>
      <w:proofErr w:type="spellStart"/>
      <w:r w:rsidRPr="00F309FB">
        <w:rPr>
          <w:sz w:val="24"/>
          <w:szCs w:val="24"/>
        </w:rPr>
        <w:t>Development</w:t>
      </w:r>
      <w:proofErr w:type="spellEnd"/>
      <w:r w:rsidRPr="00F309FB">
        <w:rPr>
          <w:sz w:val="24"/>
          <w:szCs w:val="24"/>
        </w:rPr>
        <w:t xml:space="preserve"> </w:t>
      </w:r>
      <w:proofErr w:type="spellStart"/>
      <w:r w:rsidRPr="00F309FB">
        <w:rPr>
          <w:sz w:val="24"/>
          <w:szCs w:val="24"/>
        </w:rPr>
        <w:t>Fund</w:t>
      </w:r>
      <w:proofErr w:type="spellEnd"/>
      <w:r w:rsidRPr="00F309FB">
        <w:rPr>
          <w:sz w:val="24"/>
          <w:szCs w:val="24"/>
        </w:rPr>
        <w:t xml:space="preserve"> II., vo výške 41 489 tis. eur, ktorá podlieha konsolidácii. Zvyšnú časť dlhu tvoria krátkodobé zábezpeky vo výške 1 079 tis. eur a dlhodobé záväzky z obchodného styku a prijaté preddavky vo výške 2 916 tis. eur. ŽSR obdobne ako NDS financuje úvermi rozvoj a obnovu dopravnej infraštruktúry, v jej prípade koľajovú infraštruktúru (pri rýchlosť 160 km/h), vlakové stanice, nástupištia a ďalšie prislúchajúce objekty. </w:t>
      </w:r>
    </w:p>
    <w:p w14:paraId="069F4EA3" w14:textId="77777777" w:rsidR="003A0696" w:rsidRPr="00C7357D" w:rsidRDefault="003A0696" w:rsidP="003A0696">
      <w:pPr>
        <w:spacing w:line="240" w:lineRule="auto"/>
        <w:rPr>
          <w:sz w:val="24"/>
          <w:szCs w:val="24"/>
        </w:rPr>
      </w:pPr>
      <w:r w:rsidRPr="00C7357D">
        <w:rPr>
          <w:sz w:val="24"/>
          <w:szCs w:val="24"/>
        </w:rPr>
        <w:t xml:space="preserve">Vývoj dlhu </w:t>
      </w:r>
      <w:r w:rsidRPr="00C7357D">
        <w:rPr>
          <w:b/>
          <w:sz w:val="24"/>
          <w:szCs w:val="24"/>
        </w:rPr>
        <w:t xml:space="preserve">Národnej diaľničnej spoločnosti, a. s., </w:t>
      </w:r>
      <w:r w:rsidRPr="00C7357D">
        <w:rPr>
          <w:sz w:val="24"/>
          <w:szCs w:val="24"/>
        </w:rPr>
        <w:t>ktorej hlavnou činnosťou je údržba a rozvoj diaľničnej siete</w:t>
      </w:r>
      <w:r w:rsidRPr="00C7357D">
        <w:rPr>
          <w:b/>
          <w:sz w:val="24"/>
          <w:szCs w:val="24"/>
        </w:rPr>
        <w:t>,</w:t>
      </w:r>
      <w:r w:rsidRPr="00C7357D">
        <w:rPr>
          <w:sz w:val="24"/>
          <w:szCs w:val="24"/>
        </w:rPr>
        <w:t xml:space="preserve"> mal pozitívny vplyv na maastrichtský dlh verejnej správy. Medziročný pokles dlhu o 29 442 tis. eur na úroveň 24 884 tis. eur bol spôsobený splatením bankových úverov z minulých rokov. Dlh NDS tvoria dlhodobé záväzky z obchodného styku a prijaté preddavky v hodnote 21 995 tis. eur, krátkodobé zábezpeky vo výške 2 888 tis. eur a bankové úvery v hodnote 1 tis. eur.</w:t>
      </w:r>
    </w:p>
    <w:p w14:paraId="28988288" w14:textId="77777777" w:rsidR="003A0696" w:rsidRPr="00C7357D" w:rsidRDefault="003A0696" w:rsidP="003A0696">
      <w:pPr>
        <w:spacing w:line="240" w:lineRule="auto"/>
        <w:rPr>
          <w:sz w:val="24"/>
          <w:szCs w:val="24"/>
        </w:rPr>
      </w:pPr>
      <w:r w:rsidRPr="00C7357D">
        <w:rPr>
          <w:sz w:val="24"/>
          <w:szCs w:val="24"/>
        </w:rPr>
        <w:t xml:space="preserve">Dlh spoločnosti </w:t>
      </w:r>
      <w:r w:rsidRPr="00C7357D">
        <w:rPr>
          <w:b/>
          <w:sz w:val="24"/>
          <w:szCs w:val="24"/>
        </w:rPr>
        <w:t>MH Manažment, a. s.,</w:t>
      </w:r>
      <w:r w:rsidRPr="00C7357D">
        <w:rPr>
          <w:sz w:val="24"/>
          <w:szCs w:val="24"/>
        </w:rPr>
        <w:t xml:space="preserve"> ktorý vznikol z emisie dlhopisov Fondu národného majetku v roku 1996, predstavuje 77 tis. eur. Oproti roku 2021 prišlo k poklesu dlhu o 3 tis. eur. </w:t>
      </w:r>
    </w:p>
    <w:p w14:paraId="7DD46189" w14:textId="77777777" w:rsidR="003A0696" w:rsidRPr="00C7357D" w:rsidRDefault="003A0696" w:rsidP="003A0696">
      <w:pPr>
        <w:spacing w:line="240" w:lineRule="auto"/>
        <w:rPr>
          <w:sz w:val="24"/>
          <w:szCs w:val="24"/>
        </w:rPr>
      </w:pPr>
      <w:r w:rsidRPr="00C7357D">
        <w:rPr>
          <w:sz w:val="24"/>
          <w:szCs w:val="24"/>
        </w:rPr>
        <w:t>Dlh spoločnosti</w:t>
      </w:r>
      <w:r w:rsidRPr="00C7357D">
        <w:rPr>
          <w:b/>
          <w:sz w:val="24"/>
          <w:szCs w:val="24"/>
        </w:rPr>
        <w:t xml:space="preserve"> MH </w:t>
      </w:r>
      <w:proofErr w:type="spellStart"/>
      <w:r w:rsidRPr="00C7357D">
        <w:rPr>
          <w:b/>
          <w:sz w:val="24"/>
          <w:szCs w:val="24"/>
        </w:rPr>
        <w:t>Invest</w:t>
      </w:r>
      <w:proofErr w:type="spellEnd"/>
      <w:r w:rsidRPr="00C7357D">
        <w:rPr>
          <w:b/>
          <w:sz w:val="24"/>
          <w:szCs w:val="24"/>
        </w:rPr>
        <w:t xml:space="preserve"> II, s. r. o</w:t>
      </w:r>
      <w:r w:rsidRPr="00C7357D">
        <w:rPr>
          <w:sz w:val="24"/>
          <w:szCs w:val="24"/>
        </w:rPr>
        <w:t>. tvorí v prevažnej miere návratná finančná výpomoc poskytnutá zo štátneho rozpočtu vo výške 600 tis. eur, ktorá bola prevedená zo spoločnosti MH </w:t>
      </w:r>
      <w:proofErr w:type="spellStart"/>
      <w:r w:rsidRPr="00C7357D">
        <w:rPr>
          <w:sz w:val="24"/>
          <w:szCs w:val="24"/>
        </w:rPr>
        <w:t>Invest</w:t>
      </w:r>
      <w:proofErr w:type="spellEnd"/>
      <w:r w:rsidRPr="00C7357D">
        <w:rPr>
          <w:sz w:val="24"/>
          <w:szCs w:val="24"/>
        </w:rPr>
        <w:t xml:space="preserve">, s. r. o. Jej výška sa oproti predchádzajúcemu roku znížila o 2 120 z dôvodu splácania, o rovnakú sumu zároveň klesla celková úroveň zadlženosti subjektu. Krátkodobé zábezpeky v hodnote 10 tis. eur predstavujú zvyšnú časť dlhu. </w:t>
      </w:r>
    </w:p>
    <w:p w14:paraId="57AEC592" w14:textId="77777777" w:rsidR="003A0696" w:rsidRPr="00714C00" w:rsidRDefault="003A0696" w:rsidP="003A0696">
      <w:pPr>
        <w:spacing w:line="240" w:lineRule="auto"/>
        <w:rPr>
          <w:sz w:val="24"/>
          <w:szCs w:val="24"/>
        </w:rPr>
      </w:pPr>
      <w:r w:rsidRPr="00714C00">
        <w:rPr>
          <w:b/>
          <w:sz w:val="24"/>
          <w:szCs w:val="24"/>
        </w:rPr>
        <w:t xml:space="preserve">Jadrová a vyraďovacia spoločnosť, a. s., </w:t>
      </w:r>
      <w:r w:rsidRPr="00714C00">
        <w:rPr>
          <w:sz w:val="24"/>
          <w:szCs w:val="24"/>
        </w:rPr>
        <w:t>sa podieľa na  maastrichtskom dlhu verejnej správy dlhom vo výške 6 276 tis. eur. Podstatnú časť dlhu predstavujú dlhodobé záväzky z obchodného styku a prijaté preddavky vo výške 5 026 tis. eur, 1 243 tis. eur predstavujú zábezpeky a 7 tis. eur krátkodobé bankové úvery.</w:t>
      </w:r>
    </w:p>
    <w:p w14:paraId="66DE552B" w14:textId="77777777" w:rsidR="003A0696" w:rsidRPr="003817E5" w:rsidRDefault="003A0696" w:rsidP="003A0696">
      <w:pPr>
        <w:spacing w:line="240" w:lineRule="auto"/>
        <w:rPr>
          <w:sz w:val="24"/>
          <w:szCs w:val="24"/>
        </w:rPr>
      </w:pPr>
      <w:r w:rsidRPr="003817E5">
        <w:rPr>
          <w:sz w:val="24"/>
          <w:szCs w:val="24"/>
        </w:rPr>
        <w:t xml:space="preserve">Dlh </w:t>
      </w:r>
      <w:r w:rsidRPr="003817E5">
        <w:rPr>
          <w:b/>
          <w:sz w:val="24"/>
          <w:szCs w:val="24"/>
        </w:rPr>
        <w:t xml:space="preserve">Agentúry pre núdzové zásoby ropy a ropných výrobkov takmer celý tvorí </w:t>
      </w:r>
      <w:r w:rsidRPr="003817E5">
        <w:rPr>
          <w:sz w:val="24"/>
          <w:szCs w:val="24"/>
        </w:rPr>
        <w:t>návratná finančná výpomoc zo štátnych finančných aktív vo výške 240 000 tis. eur. Jej úroveň oproti stavu v roku 2021 klesla o 40 000 tis. eur, z dôvodu úhrady splátky. Finančná výpomoc je na úrovni celej verejnej správy predmetom konsolidácie. Zvyšnú časť dlhu subjektu predstavujú krátkodobé zábezpeky vo výške 1 357 tis. eur.</w:t>
      </w:r>
    </w:p>
    <w:p w14:paraId="7A76385F" w14:textId="77777777" w:rsidR="003A0696" w:rsidRPr="00960279" w:rsidRDefault="003A0696" w:rsidP="003A0696">
      <w:pPr>
        <w:spacing w:line="240" w:lineRule="auto"/>
        <w:rPr>
          <w:sz w:val="24"/>
          <w:szCs w:val="24"/>
        </w:rPr>
      </w:pPr>
      <w:r w:rsidRPr="00960279">
        <w:rPr>
          <w:sz w:val="24"/>
          <w:szCs w:val="24"/>
        </w:rPr>
        <w:t xml:space="preserve">Dlh </w:t>
      </w:r>
      <w:r w:rsidRPr="00960279">
        <w:rPr>
          <w:b/>
          <w:sz w:val="24"/>
          <w:szCs w:val="24"/>
        </w:rPr>
        <w:t>ústredných zdravotníckych zariadení</w:t>
      </w:r>
      <w:r w:rsidRPr="00960279">
        <w:rPr>
          <w:sz w:val="24"/>
          <w:szCs w:val="24"/>
        </w:rPr>
        <w:t xml:space="preserve"> medziročne klesol oproti stavu za rok 2021 o 18 758 tis. eur. Dlh vo výške 193 477 tis. eur tvoria v rozhodujúcej miere záväzky po zmene veriteľa vo výške 111 029 tis. eur. Dlh ústredných zdravotníckych zariadení ďalej tvoria bankové úvery, ktorých stav sa medziročne znížil o 5 087 tis. eur na úroveň 38 928 tis. eur, pôžičky od nebankových subjektov vo výške 28 534 tis. eur, záväzky vyplývajúce z ostatných zmlúv o energetickej efektívnosti v hodnote 3 177 tis. eur, finančný prenájom vo výške 1 660 tis. eur, </w:t>
      </w:r>
      <w:r w:rsidRPr="00960279">
        <w:rPr>
          <w:sz w:val="24"/>
          <w:szCs w:val="24"/>
        </w:rPr>
        <w:lastRenderedPageBreak/>
        <w:t>zábezpeky vo výške 770 tis. eur a návratné finančné výpomoci vo hodnote 1 184 tis. eur. Dlhodobé záväzky z obchodného styku a prijaté preddavky zvyšujú úroveň dlhu ústredných zdravotníckych zariadení o 8 195 tis. eur.</w:t>
      </w:r>
    </w:p>
    <w:p w14:paraId="245D87FA" w14:textId="77777777" w:rsidR="003A0696" w:rsidRPr="002A6F2D" w:rsidRDefault="003A0696" w:rsidP="003A0696">
      <w:pPr>
        <w:spacing w:line="240" w:lineRule="auto"/>
        <w:rPr>
          <w:sz w:val="24"/>
          <w:szCs w:val="24"/>
        </w:rPr>
      </w:pPr>
      <w:r w:rsidRPr="002A6F2D">
        <w:rPr>
          <w:b/>
          <w:sz w:val="24"/>
          <w:szCs w:val="24"/>
        </w:rPr>
        <w:t xml:space="preserve">Exportno-importná banka Slovenskej republiky </w:t>
      </w:r>
      <w:r w:rsidRPr="002A6F2D">
        <w:rPr>
          <w:sz w:val="24"/>
          <w:szCs w:val="24"/>
        </w:rPr>
        <w:t xml:space="preserve">sa podieľa na dlhu verejnej správy v roku 2022 sumou 188 740 tis. eur. Oproti predchádzajúcemu roku dlh vzrástol o 14 435 tis. eur najmä z dôvodu nárastu krátkodobých záväzkov voči klientom, ktorých </w:t>
      </w:r>
      <w:r>
        <w:rPr>
          <w:sz w:val="24"/>
          <w:szCs w:val="24"/>
        </w:rPr>
        <w:t>úroveň</w:t>
      </w:r>
      <w:r w:rsidRPr="002A6F2D">
        <w:rPr>
          <w:sz w:val="24"/>
          <w:szCs w:val="24"/>
        </w:rPr>
        <w:t xml:space="preserve"> oproti predchádzajúcemu roku v</w:t>
      </w:r>
      <w:r>
        <w:rPr>
          <w:sz w:val="24"/>
          <w:szCs w:val="24"/>
        </w:rPr>
        <w:t>zrástla</w:t>
      </w:r>
      <w:r w:rsidRPr="002A6F2D">
        <w:rPr>
          <w:sz w:val="24"/>
          <w:szCs w:val="24"/>
        </w:rPr>
        <w:t xml:space="preserve"> o 11 863 tis. eur na súčasnú hodnotu 14 827 tis. eur. Nárast dlhu bol v roku 2022 spôsobený aj vyšším čerpaním kontokorentných úverov vo výške 3 881 tis. eur, pričom bankové úvery dosiahli spolu výšku 173 881 tis. eur.  Výška zábezpek sa dlhodobo nemení a zostáva na úrovni 32 tis. eur.</w:t>
      </w:r>
    </w:p>
    <w:p w14:paraId="33365837" w14:textId="77777777" w:rsidR="003A0696" w:rsidRDefault="003A0696" w:rsidP="003A0696">
      <w:pPr>
        <w:spacing w:line="240" w:lineRule="auto"/>
        <w:rPr>
          <w:sz w:val="24"/>
          <w:szCs w:val="24"/>
        </w:rPr>
      </w:pPr>
      <w:r w:rsidRPr="00347193">
        <w:rPr>
          <w:sz w:val="24"/>
          <w:szCs w:val="24"/>
        </w:rPr>
        <w:t>Dlh</w:t>
      </w:r>
      <w:r w:rsidRPr="00347193">
        <w:rPr>
          <w:b/>
          <w:sz w:val="24"/>
          <w:szCs w:val="24"/>
        </w:rPr>
        <w:t xml:space="preserve"> dopravných podnikov</w:t>
      </w:r>
      <w:r w:rsidRPr="00347193">
        <w:rPr>
          <w:sz w:val="24"/>
          <w:szCs w:val="24"/>
        </w:rPr>
        <w:t xml:space="preserve"> </w:t>
      </w:r>
      <w:r w:rsidRPr="00347193">
        <w:rPr>
          <w:b/>
          <w:sz w:val="24"/>
          <w:szCs w:val="24"/>
        </w:rPr>
        <w:t>miestnej samosprávy</w:t>
      </w:r>
      <w:r w:rsidRPr="00347193">
        <w:rPr>
          <w:sz w:val="24"/>
          <w:szCs w:val="24"/>
        </w:rPr>
        <w:t xml:space="preserve"> dosiahol v roku 2022 dlh vo výške 108 950 tis. eur, čo znamená nárast o 43 623 tis. eur oproti stavu v roku 2021. Väčšinu dlhu tvoria domáce bankové úvery v výške 90 010 tis. eur. V priebehu roka 2022 čerpali nové úvery Dopravný podnik Bratislava, a. s. 46 627 tis. eur, Dopravný podnik mesta Košice, a. s. 26 485 tis. eur a Dopravný podnik mesta Martin, s. r. o. vo výške 2 956 tis. eur, spolu 76 069 tis. eur. Zároveň boli realizované splátky bankových úverov v súhrnnej výške 33 104 tis. eur. Okrem bankových úverov tvoria dlh dopravných podnikov dlhodobé záväzky z obchodného styku a prijaté preddavky (15 574 tis. eur), pôžičky od nebankových subjektov (2 724 tis. eur), krátkodobé zábezpeky (140 tis. eur) a finančný prenájom (91 tis. eur). Dlh dopravných podnikov majoritne tvoria záväzky so splatnosťou dlhšou ako jeden rok (99,5 %), voči tuzemským veriteľom (100,0 %).</w:t>
      </w:r>
    </w:p>
    <w:p w14:paraId="46E2FA04" w14:textId="77777777" w:rsidR="003A0696" w:rsidRPr="00062FFE" w:rsidRDefault="003A0696" w:rsidP="003A0696">
      <w:pPr>
        <w:spacing w:line="240" w:lineRule="auto"/>
        <w:rPr>
          <w:sz w:val="24"/>
          <w:szCs w:val="24"/>
          <w:highlight w:val="yellow"/>
        </w:rPr>
      </w:pPr>
      <w:r w:rsidRPr="00347193">
        <w:rPr>
          <w:sz w:val="24"/>
          <w:szCs w:val="24"/>
        </w:rPr>
        <w:t>Bankové úvery čerpajú dopravné podniky za účelom postupnej obnovy vozového parku (autobusy, trolejbusy, električky) ako aj obnovu prislúchajúcej infraštruktúry (trakčné vedenia, depá a podobne). Väčšina z komerčných úverov má zároveň dojednanú formu zabezpečenia v podobe nakúpeného investičného majetku alebo peňažnými pohľadávkami z obchodného styku (napr. zo zmlúv o službách v mestskej hromadnej doprave).</w:t>
      </w:r>
    </w:p>
    <w:p w14:paraId="0C9E4299" w14:textId="77777777" w:rsidR="003A0696" w:rsidRDefault="003A0696" w:rsidP="003A0696">
      <w:pPr>
        <w:spacing w:after="160" w:line="259" w:lineRule="auto"/>
        <w:jc w:val="left"/>
      </w:pPr>
      <w:r>
        <w:br w:type="page"/>
      </w:r>
    </w:p>
    <w:p w14:paraId="2E6DA493" w14:textId="77777777" w:rsidR="003A0696" w:rsidRDefault="003A0696" w:rsidP="003A0696">
      <w:pPr>
        <w:pStyle w:val="Nadpis2"/>
      </w:pPr>
      <w:bookmarkStart w:id="30" w:name="_Toc6415639"/>
      <w:bookmarkStart w:id="31" w:name="_Toc132929083"/>
      <w:r w:rsidRPr="00C24665">
        <w:lastRenderedPageBreak/>
        <w:t>Porovnanie salda a dlhu verejnej správy v Európskej únii</w:t>
      </w:r>
      <w:bookmarkEnd w:id="30"/>
      <w:bookmarkEnd w:id="31"/>
    </w:p>
    <w:p w14:paraId="3F4F6FB2" w14:textId="77777777" w:rsidR="003A0696" w:rsidRPr="00C06569" w:rsidRDefault="003A0696" w:rsidP="003A0696">
      <w:pPr>
        <w:spacing w:line="240" w:lineRule="auto"/>
        <w:rPr>
          <w:b/>
          <w:sz w:val="24"/>
          <w:szCs w:val="24"/>
        </w:rPr>
      </w:pPr>
      <w:r w:rsidRPr="002651D3">
        <w:rPr>
          <w:sz w:val="24"/>
          <w:szCs w:val="24"/>
        </w:rPr>
        <w:t xml:space="preserve">V rámci Európskej </w:t>
      </w:r>
      <w:r w:rsidRPr="00C06569">
        <w:rPr>
          <w:sz w:val="24"/>
          <w:szCs w:val="24"/>
        </w:rPr>
        <w:t xml:space="preserve">únie (27 krajín) v roku 2022 dosiahlo 15 krajín vyšší schodok a 13 krajín dosiahlo vyšší dlh verejnej správy ako Slovenská republika. </w:t>
      </w:r>
      <w:r w:rsidRPr="00C06569">
        <w:rPr>
          <w:b/>
          <w:sz w:val="24"/>
          <w:szCs w:val="24"/>
        </w:rPr>
        <w:t xml:space="preserve">Priemerný schodok EÚ 27 bol 3,4 % HDP a priemerný dlh verejnej správy EÚ 27 bol 84,0 % HDP. </w:t>
      </w:r>
    </w:p>
    <w:p w14:paraId="657CE6C3" w14:textId="77777777" w:rsidR="003A0696" w:rsidRDefault="003A0696" w:rsidP="003A0696">
      <w:pPr>
        <w:spacing w:line="240" w:lineRule="auto"/>
        <w:rPr>
          <w:sz w:val="24"/>
          <w:szCs w:val="24"/>
        </w:rPr>
      </w:pPr>
      <w:r w:rsidRPr="00C06569">
        <w:rPr>
          <w:sz w:val="24"/>
          <w:szCs w:val="24"/>
        </w:rPr>
        <w:t xml:space="preserve">V rámci krajín EÚ 27 došlo k nárastu HDP o 1 274 854 mil. eur (o 8,1 %) a nárastu dlhu o 482 148 mil. eur (o 3,6 %). Slovenská republika dosiahla v porovnaní s priemerom krajín EÚ </w:t>
      </w:r>
      <w:r w:rsidRPr="001A58F8">
        <w:rPr>
          <w:sz w:val="24"/>
          <w:szCs w:val="24"/>
        </w:rPr>
        <w:t xml:space="preserve">aj Eurozóny </w:t>
      </w:r>
      <w:r>
        <w:rPr>
          <w:sz w:val="24"/>
          <w:szCs w:val="24"/>
        </w:rPr>
        <w:t>lepšie</w:t>
      </w:r>
      <w:r w:rsidRPr="001A58F8">
        <w:rPr>
          <w:sz w:val="24"/>
          <w:szCs w:val="24"/>
        </w:rPr>
        <w:t xml:space="preserve"> hodnoty deficitu a dlhu.</w:t>
      </w:r>
      <w:r>
        <w:rPr>
          <w:sz w:val="24"/>
          <w:szCs w:val="24"/>
        </w:rPr>
        <w:t xml:space="preserve"> Medziročne v porovnaní s ostatnými EÚ krajinami dosiahla Slovenská republika tretie najvyššie medziročné zlepšenie deficitu oproti roku 2021.</w:t>
      </w:r>
    </w:p>
    <w:p w14:paraId="03ADC4A6" w14:textId="77777777" w:rsidR="003A0696" w:rsidRDefault="003A0696" w:rsidP="003A0696">
      <w:pPr>
        <w:spacing w:line="240" w:lineRule="auto"/>
        <w:rPr>
          <w:sz w:val="24"/>
          <w:szCs w:val="24"/>
          <w:highlight w:val="yellow"/>
        </w:rPr>
      </w:pPr>
      <w:r w:rsidRPr="003A30A9">
        <w:rPr>
          <w:sz w:val="24"/>
          <w:szCs w:val="24"/>
        </w:rPr>
        <w:t>V roku 2022 v</w:t>
      </w:r>
      <w:r>
        <w:rPr>
          <w:sz w:val="24"/>
          <w:szCs w:val="24"/>
        </w:rPr>
        <w:t> </w:t>
      </w:r>
      <w:r w:rsidRPr="003A30A9">
        <w:rPr>
          <w:sz w:val="24"/>
          <w:szCs w:val="24"/>
        </w:rPr>
        <w:t>Eurozóne</w:t>
      </w:r>
      <w:r>
        <w:rPr>
          <w:sz w:val="24"/>
          <w:szCs w:val="24"/>
        </w:rPr>
        <w:t xml:space="preserve"> (19)</w:t>
      </w:r>
      <w:r w:rsidRPr="003A30A9">
        <w:rPr>
          <w:sz w:val="24"/>
          <w:szCs w:val="24"/>
        </w:rPr>
        <w:t xml:space="preserve"> aj v rámci všetkých krajín EÚ v porovnaní s rokom 2021 </w:t>
      </w:r>
      <w:r>
        <w:rPr>
          <w:sz w:val="24"/>
          <w:szCs w:val="24"/>
        </w:rPr>
        <w:t xml:space="preserve">percentuálne </w:t>
      </w:r>
      <w:r w:rsidRPr="003A30A9">
        <w:rPr>
          <w:sz w:val="24"/>
          <w:szCs w:val="24"/>
        </w:rPr>
        <w:t xml:space="preserve">poklesol vládny schodok </w:t>
      </w:r>
      <w:r w:rsidRPr="00862D67">
        <w:rPr>
          <w:sz w:val="24"/>
          <w:szCs w:val="24"/>
        </w:rPr>
        <w:t>aj vládny dlh. V Eurozóne</w:t>
      </w:r>
      <w:r w:rsidRPr="00771DA1">
        <w:rPr>
          <w:sz w:val="24"/>
          <w:szCs w:val="24"/>
        </w:rPr>
        <w:t xml:space="preserve"> (19) p</w:t>
      </w:r>
      <w:r>
        <w:rPr>
          <w:sz w:val="24"/>
          <w:szCs w:val="24"/>
        </w:rPr>
        <w:t>odiel deficitu k HDP klesol zo 5,3</w:t>
      </w:r>
      <w:r w:rsidRPr="00771DA1">
        <w:rPr>
          <w:sz w:val="24"/>
          <w:szCs w:val="24"/>
        </w:rPr>
        <w:t xml:space="preserve"> % v roku</w:t>
      </w:r>
      <w:r>
        <w:rPr>
          <w:sz w:val="24"/>
          <w:szCs w:val="24"/>
        </w:rPr>
        <w:t xml:space="preserve"> 2021</w:t>
      </w:r>
      <w:r w:rsidRPr="00771DA1">
        <w:rPr>
          <w:sz w:val="24"/>
          <w:szCs w:val="24"/>
        </w:rPr>
        <w:t xml:space="preserve"> na </w:t>
      </w:r>
      <w:r>
        <w:rPr>
          <w:sz w:val="24"/>
          <w:szCs w:val="24"/>
        </w:rPr>
        <w:t>3,6</w:t>
      </w:r>
      <w:r w:rsidRPr="00771DA1">
        <w:rPr>
          <w:sz w:val="24"/>
          <w:szCs w:val="24"/>
        </w:rPr>
        <w:t xml:space="preserve"> % HDP v roku 202</w:t>
      </w:r>
      <w:r>
        <w:rPr>
          <w:sz w:val="24"/>
          <w:szCs w:val="24"/>
        </w:rPr>
        <w:t xml:space="preserve">2 a v rámci EÚ z 4,8 % HDP na 3,4 </w:t>
      </w:r>
      <w:r w:rsidRPr="00771DA1">
        <w:rPr>
          <w:sz w:val="24"/>
          <w:szCs w:val="24"/>
        </w:rPr>
        <w:t>% HDP. V Eurozóne (19) podiel vládneho dlhu k HDP klesol z 95,5 % ku koncu roka 2021 na 91,6 % HDP ku koncu roka 2022 a v rámci EÚ z 88,0 % HDP na 84,0 % HDP.</w:t>
      </w:r>
    </w:p>
    <w:p w14:paraId="3C5DC6CF" w14:textId="77777777" w:rsidR="003A0696" w:rsidRDefault="003A0696" w:rsidP="003A0696">
      <w:pPr>
        <w:spacing w:line="240" w:lineRule="auto"/>
        <w:rPr>
          <w:sz w:val="24"/>
          <w:szCs w:val="24"/>
          <w:highlight w:val="yellow"/>
        </w:rPr>
      </w:pPr>
      <w:r w:rsidRPr="00771DA1">
        <w:rPr>
          <w:sz w:val="24"/>
          <w:szCs w:val="24"/>
        </w:rPr>
        <w:t>Najvyššie schodky verejnej správy v rámci EÚ 27 v roku 2022 vykázali</w:t>
      </w:r>
      <w:r w:rsidRPr="00771DA1">
        <w:rPr>
          <w:color w:val="FF0000"/>
          <w:sz w:val="24"/>
          <w:szCs w:val="24"/>
        </w:rPr>
        <w:t xml:space="preserve"> </w:t>
      </w:r>
      <w:r w:rsidRPr="00771DA1">
        <w:rPr>
          <w:sz w:val="24"/>
          <w:szCs w:val="24"/>
        </w:rPr>
        <w:t xml:space="preserve">krajiny ako Taliansko 8,0 %, Maďarsko 6,2 %, </w:t>
      </w:r>
      <w:r>
        <w:rPr>
          <w:sz w:val="24"/>
          <w:szCs w:val="24"/>
        </w:rPr>
        <w:t>Rumun</w:t>
      </w:r>
      <w:r w:rsidRPr="00771DA1">
        <w:rPr>
          <w:sz w:val="24"/>
          <w:szCs w:val="24"/>
        </w:rPr>
        <w:t xml:space="preserve">sko 6,2 %, Malta 5,8 %, Španielsko 4,8 %, Francúzsko 4,7 % a Lotyšsko 4,4 %. </w:t>
      </w:r>
      <w:r>
        <w:rPr>
          <w:sz w:val="24"/>
          <w:szCs w:val="24"/>
        </w:rPr>
        <w:t>Vyrovnané hospodárenie mala v roku 2022 iba krajina Holandsko.</w:t>
      </w:r>
      <w:r w:rsidRPr="00771DA1">
        <w:rPr>
          <w:sz w:val="24"/>
          <w:szCs w:val="24"/>
        </w:rPr>
        <w:t xml:space="preserve"> </w:t>
      </w:r>
      <w:r w:rsidRPr="004724CB">
        <w:rPr>
          <w:sz w:val="24"/>
          <w:szCs w:val="24"/>
        </w:rPr>
        <w:t xml:space="preserve">Medziročné zlepšenie dosiahlo Grécko o 4,8 p. b., Cyprus o 4,1 p. b., Slovensko o 3,4 p. b., Írsko o 3,2 p. b, Chorvátsko o 2,9 p. b., Lotyšsko o 2,7 p. b. a Rakúsko o 2,6 p. b. </w:t>
      </w:r>
      <w:r>
        <w:rPr>
          <w:sz w:val="24"/>
          <w:szCs w:val="24"/>
        </w:rPr>
        <w:t>M</w:t>
      </w:r>
      <w:r w:rsidRPr="00771DA1">
        <w:rPr>
          <w:sz w:val="24"/>
          <w:szCs w:val="24"/>
        </w:rPr>
        <w:t>edziročné zhoršenie</w:t>
      </w:r>
      <w:r>
        <w:rPr>
          <w:sz w:val="24"/>
          <w:szCs w:val="24"/>
        </w:rPr>
        <w:t xml:space="preserve"> dosiahli</w:t>
      </w:r>
      <w:r w:rsidRPr="00771DA1">
        <w:rPr>
          <w:sz w:val="24"/>
          <w:szCs w:val="24"/>
        </w:rPr>
        <w:t xml:space="preserve"> </w:t>
      </w:r>
      <w:r>
        <w:rPr>
          <w:sz w:val="24"/>
          <w:szCs w:val="24"/>
        </w:rPr>
        <w:t xml:space="preserve">len tri krajiny, a to </w:t>
      </w:r>
      <w:r w:rsidRPr="00771DA1">
        <w:rPr>
          <w:sz w:val="24"/>
          <w:szCs w:val="24"/>
        </w:rPr>
        <w:t>Poľsko o 1,9 p. b., Luxembursko o 0,5 p. b. a Dánsko o 0,3 p. b.</w:t>
      </w:r>
      <w:r>
        <w:rPr>
          <w:sz w:val="24"/>
          <w:szCs w:val="24"/>
        </w:rPr>
        <w:t xml:space="preserve"> Ostatné krajiny zaznamenali zlepšenie hospodárenia oproti predchádzajúcemu roku.</w:t>
      </w:r>
    </w:p>
    <w:p w14:paraId="74A0B702" w14:textId="77777777" w:rsidR="003A0696" w:rsidRDefault="003A0696" w:rsidP="003A0696">
      <w:pPr>
        <w:spacing w:line="240" w:lineRule="auto"/>
        <w:rPr>
          <w:sz w:val="24"/>
          <w:szCs w:val="24"/>
          <w:highlight w:val="yellow"/>
        </w:rPr>
      </w:pPr>
      <w:r w:rsidRPr="00014BA7">
        <w:rPr>
          <w:sz w:val="24"/>
          <w:szCs w:val="24"/>
        </w:rPr>
        <w:t xml:space="preserve">Medzi krajinami s najvyšším dlhom sa nachádzajú krajiny s dlhodobo vysokými dlhmi ako Grécko a Taliansko. Šesť krajín dosiahlo úroveň zadlženosti nad 100 % HDP. Najvyšší dlh verejnej správy v roku 2022 opäť vykázalo Grécko 171,3 % HDP, Taliansko 144,4 % HDP, Portugalsko 113,9 % HDP, Španielsko 113,2 % HDP, Francúzsko 111,6 % a Belgicko 105,1 %. </w:t>
      </w:r>
      <w:r w:rsidRPr="00972918">
        <w:rPr>
          <w:sz w:val="24"/>
          <w:szCs w:val="24"/>
        </w:rPr>
        <w:t>Najvýraznejší medziročný pokles dlhu dosiahlo Grécko o 23,3 p. b., Cyprus o 14,7 p. b., Portugalsko o 11,5 p. b., Írsko  o 10,7 p. b. a Chorvátsko o 10,0 p. b. Medziročný nárast  dlhu dosiahli štyri krajiny, a to Česká republika o 2,1 p. b., Estónsko o 0,8 p. b., Fínsko o 0,4 p. b. a Luxembursko o 0,1 p. b.</w:t>
      </w:r>
      <w:r w:rsidRPr="00014BA7">
        <w:rPr>
          <w:sz w:val="24"/>
          <w:szCs w:val="24"/>
        </w:rPr>
        <w:t xml:space="preserve"> </w:t>
      </w:r>
      <w:r>
        <w:rPr>
          <w:sz w:val="24"/>
          <w:szCs w:val="24"/>
        </w:rPr>
        <w:t>Ostatné krajiny zaznamenali zníženie zadlženosti oproti predchádzajúcemu roku.</w:t>
      </w:r>
    </w:p>
    <w:p w14:paraId="5499B053" w14:textId="77777777" w:rsidR="003A0696" w:rsidRDefault="003A0696" w:rsidP="003A0696">
      <w:pPr>
        <w:spacing w:line="240" w:lineRule="auto"/>
        <w:rPr>
          <w:sz w:val="24"/>
          <w:szCs w:val="24"/>
        </w:rPr>
      </w:pPr>
      <w:r w:rsidRPr="00014BA7">
        <w:rPr>
          <w:sz w:val="24"/>
          <w:szCs w:val="24"/>
        </w:rPr>
        <w:t>Najnižší dlh vykázalo opäť Estónsko vo výške 18,4 % HDP, Bulharsko 22,9 % HDP a Luxembursko 24,6 % HDP.</w:t>
      </w:r>
    </w:p>
    <w:p w14:paraId="270E4FDF" w14:textId="77777777" w:rsidR="003A0696" w:rsidRDefault="003A0696" w:rsidP="003A0696">
      <w:pPr>
        <w:spacing w:after="160" w:line="259" w:lineRule="auto"/>
        <w:jc w:val="left"/>
        <w:rPr>
          <w:sz w:val="24"/>
          <w:szCs w:val="24"/>
        </w:rPr>
      </w:pPr>
      <w:r>
        <w:rPr>
          <w:sz w:val="24"/>
          <w:szCs w:val="24"/>
        </w:rPr>
        <w:br w:type="page"/>
      </w:r>
    </w:p>
    <w:tbl>
      <w:tblPr>
        <w:tblW w:w="9838" w:type="dxa"/>
        <w:tblCellMar>
          <w:left w:w="70" w:type="dxa"/>
          <w:right w:w="70" w:type="dxa"/>
        </w:tblCellMar>
        <w:tblLook w:val="04A0" w:firstRow="1" w:lastRow="0" w:firstColumn="1" w:lastColumn="0" w:noHBand="0" w:noVBand="1"/>
      </w:tblPr>
      <w:tblGrid>
        <w:gridCol w:w="9838"/>
      </w:tblGrid>
      <w:tr w:rsidR="003A0696" w14:paraId="68378860" w14:textId="77777777" w:rsidTr="003A0696">
        <w:trPr>
          <w:trHeight w:val="326"/>
        </w:trPr>
        <w:tc>
          <w:tcPr>
            <w:tcW w:w="9838" w:type="dxa"/>
            <w:noWrap/>
            <w:vAlign w:val="center"/>
            <w:hideMark/>
          </w:tcPr>
          <w:p w14:paraId="6B1AF12E" w14:textId="6C76E7DE" w:rsidR="003A0696" w:rsidRDefault="003A0696" w:rsidP="003A0696">
            <w:pPr>
              <w:spacing w:after="0" w:line="240" w:lineRule="auto"/>
              <w:rPr>
                <w:rFonts w:eastAsia="Times New Roman" w:cs="Times New Roman"/>
                <w:b/>
                <w:bCs/>
                <w:color w:val="5B9BD5" w:themeColor="accent1"/>
                <w:sz w:val="20"/>
                <w:szCs w:val="20"/>
                <w:vertAlign w:val="superscript"/>
                <w:lang w:eastAsia="sk-SK"/>
              </w:rPr>
            </w:pPr>
            <w:r w:rsidRPr="00C06569">
              <w:rPr>
                <w:rFonts w:eastAsia="Times New Roman" w:cs="Times New Roman"/>
                <w:b/>
                <w:bCs/>
                <w:color w:val="5B9BD5" w:themeColor="accent1"/>
                <w:sz w:val="20"/>
                <w:szCs w:val="20"/>
                <w:lang w:eastAsia="sk-SK"/>
              </w:rPr>
              <w:lastRenderedPageBreak/>
              <w:t xml:space="preserve">Tabuľka </w:t>
            </w:r>
            <w:r>
              <w:rPr>
                <w:rFonts w:eastAsia="Times New Roman" w:cs="Times New Roman"/>
                <w:b/>
                <w:bCs/>
                <w:color w:val="5B9BD5" w:themeColor="accent1"/>
                <w:sz w:val="20"/>
                <w:szCs w:val="20"/>
                <w:lang w:eastAsia="sk-SK"/>
              </w:rPr>
              <w:t>22</w:t>
            </w:r>
            <w:r w:rsidRPr="00C06569">
              <w:rPr>
                <w:rFonts w:eastAsia="Times New Roman" w:cs="Times New Roman"/>
                <w:b/>
                <w:bCs/>
                <w:color w:val="5B9BD5" w:themeColor="accent1"/>
                <w:sz w:val="20"/>
                <w:szCs w:val="20"/>
                <w:lang w:eastAsia="sk-SK"/>
              </w:rPr>
              <w:t xml:space="preserve"> - Saldo a dlh verejnej správy v EÚ 27 (% HDP)</w:t>
            </w:r>
            <w:r w:rsidRPr="00C06569">
              <w:rPr>
                <w:rFonts w:eastAsia="Times New Roman" w:cs="Times New Roman"/>
                <w:b/>
                <w:bCs/>
                <w:color w:val="5B9BD5" w:themeColor="accent1"/>
                <w:sz w:val="20"/>
                <w:szCs w:val="20"/>
                <w:vertAlign w:val="superscript"/>
                <w:lang w:eastAsia="sk-SK"/>
              </w:rPr>
              <w:t>1)</w:t>
            </w:r>
          </w:p>
          <w:tbl>
            <w:tblPr>
              <w:tblW w:w="9404" w:type="dxa"/>
              <w:tblCellMar>
                <w:left w:w="70" w:type="dxa"/>
                <w:right w:w="70" w:type="dxa"/>
              </w:tblCellMar>
              <w:tblLook w:val="04A0" w:firstRow="1" w:lastRow="0" w:firstColumn="1" w:lastColumn="0" w:noHBand="0" w:noVBand="1"/>
            </w:tblPr>
            <w:tblGrid>
              <w:gridCol w:w="1542"/>
              <w:gridCol w:w="764"/>
              <w:gridCol w:w="826"/>
              <w:gridCol w:w="742"/>
              <w:gridCol w:w="728"/>
              <w:gridCol w:w="1453"/>
              <w:gridCol w:w="843"/>
              <w:gridCol w:w="843"/>
              <w:gridCol w:w="864"/>
              <w:gridCol w:w="799"/>
            </w:tblGrid>
            <w:tr w:rsidR="003A0696" w:rsidRPr="00E03AC1" w14:paraId="5A7F60AE" w14:textId="77777777" w:rsidTr="003A0696">
              <w:trPr>
                <w:trHeight w:val="259"/>
              </w:trPr>
              <w:tc>
                <w:tcPr>
                  <w:tcW w:w="460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3A36362" w14:textId="77777777" w:rsidR="003A0696" w:rsidRPr="00E03AC1" w:rsidRDefault="003A0696" w:rsidP="003A0696">
                  <w:pPr>
                    <w:spacing w:after="0" w:line="240" w:lineRule="auto"/>
                    <w:jc w:val="center"/>
                    <w:rPr>
                      <w:b/>
                      <w:bCs/>
                      <w:sz w:val="20"/>
                      <w:szCs w:val="20"/>
                      <w:lang w:eastAsia="sk-SK"/>
                    </w:rPr>
                  </w:pPr>
                  <w:r w:rsidRPr="00E03AC1">
                    <w:rPr>
                      <w:b/>
                      <w:bCs/>
                      <w:sz w:val="20"/>
                      <w:szCs w:val="20"/>
                      <w:lang w:eastAsia="sk-SK"/>
                    </w:rPr>
                    <w:t xml:space="preserve">Saldo verejnej správy </w:t>
                  </w:r>
                </w:p>
              </w:tc>
              <w:tc>
                <w:tcPr>
                  <w:tcW w:w="4802" w:type="dxa"/>
                  <w:gridSpan w:val="5"/>
                  <w:tcBorders>
                    <w:top w:val="single" w:sz="4" w:space="0" w:color="auto"/>
                    <w:left w:val="nil"/>
                    <w:bottom w:val="single" w:sz="4" w:space="0" w:color="auto"/>
                    <w:right w:val="single" w:sz="4" w:space="0" w:color="auto"/>
                  </w:tcBorders>
                  <w:shd w:val="clear" w:color="auto" w:fill="auto"/>
                  <w:vAlign w:val="center"/>
                  <w:hideMark/>
                </w:tcPr>
                <w:p w14:paraId="2E2848D8" w14:textId="77777777" w:rsidR="003A0696" w:rsidRPr="00E03AC1" w:rsidRDefault="003A0696" w:rsidP="003A0696">
                  <w:pPr>
                    <w:spacing w:after="0" w:line="240" w:lineRule="auto"/>
                    <w:jc w:val="center"/>
                    <w:rPr>
                      <w:b/>
                      <w:bCs/>
                      <w:sz w:val="20"/>
                      <w:szCs w:val="20"/>
                      <w:lang w:eastAsia="sk-SK"/>
                    </w:rPr>
                  </w:pPr>
                  <w:r w:rsidRPr="00E03AC1">
                    <w:rPr>
                      <w:b/>
                      <w:bCs/>
                      <w:sz w:val="20"/>
                      <w:szCs w:val="20"/>
                      <w:lang w:eastAsia="sk-SK"/>
                    </w:rPr>
                    <w:t xml:space="preserve">Hrubý dlh verejnej správy </w:t>
                  </w:r>
                </w:p>
              </w:tc>
            </w:tr>
            <w:tr w:rsidR="003A0696" w:rsidRPr="00E03AC1" w14:paraId="1E562F5B" w14:textId="77777777" w:rsidTr="003A0696">
              <w:trPr>
                <w:trHeight w:val="477"/>
              </w:trPr>
              <w:tc>
                <w:tcPr>
                  <w:tcW w:w="1542" w:type="dxa"/>
                  <w:tcBorders>
                    <w:top w:val="nil"/>
                    <w:left w:val="single" w:sz="4" w:space="0" w:color="auto"/>
                    <w:bottom w:val="single" w:sz="4" w:space="0" w:color="auto"/>
                    <w:right w:val="nil"/>
                  </w:tcBorders>
                  <w:shd w:val="clear" w:color="auto" w:fill="auto"/>
                  <w:vAlign w:val="center"/>
                  <w:hideMark/>
                </w:tcPr>
                <w:p w14:paraId="63ACE7B9" w14:textId="77777777" w:rsidR="003A0696" w:rsidRPr="00E03AC1" w:rsidRDefault="003A0696" w:rsidP="003A0696">
                  <w:pPr>
                    <w:spacing w:after="0" w:line="240" w:lineRule="auto"/>
                    <w:rPr>
                      <w:b/>
                      <w:bCs/>
                      <w:sz w:val="20"/>
                      <w:szCs w:val="20"/>
                      <w:lang w:eastAsia="sk-SK"/>
                    </w:rPr>
                  </w:pPr>
                  <w:r w:rsidRPr="00E03AC1">
                    <w:rPr>
                      <w:b/>
                      <w:bCs/>
                      <w:sz w:val="20"/>
                      <w:szCs w:val="20"/>
                      <w:lang w:eastAsia="sk-SK"/>
                    </w:rPr>
                    <w:t> </w:t>
                  </w:r>
                </w:p>
              </w:tc>
              <w:tc>
                <w:tcPr>
                  <w:tcW w:w="764" w:type="dxa"/>
                  <w:tcBorders>
                    <w:top w:val="nil"/>
                    <w:left w:val="nil"/>
                    <w:bottom w:val="single" w:sz="4" w:space="0" w:color="auto"/>
                    <w:right w:val="nil"/>
                  </w:tcBorders>
                  <w:shd w:val="clear" w:color="auto" w:fill="auto"/>
                  <w:vAlign w:val="center"/>
                  <w:hideMark/>
                </w:tcPr>
                <w:p w14:paraId="7B428F5A" w14:textId="77777777" w:rsidR="003A0696" w:rsidRPr="00E03AC1" w:rsidRDefault="003A0696" w:rsidP="003A0696">
                  <w:pPr>
                    <w:spacing w:after="0" w:line="240" w:lineRule="auto"/>
                    <w:jc w:val="center"/>
                    <w:rPr>
                      <w:b/>
                      <w:bCs/>
                      <w:sz w:val="20"/>
                      <w:szCs w:val="20"/>
                      <w:lang w:eastAsia="sk-SK"/>
                    </w:rPr>
                  </w:pPr>
                  <w:r>
                    <w:rPr>
                      <w:b/>
                      <w:bCs/>
                      <w:sz w:val="20"/>
                      <w:szCs w:val="20"/>
                      <w:lang w:eastAsia="sk-SK"/>
                    </w:rPr>
                    <w:t>2020</w:t>
                  </w:r>
                </w:p>
              </w:tc>
              <w:tc>
                <w:tcPr>
                  <w:tcW w:w="826" w:type="dxa"/>
                  <w:tcBorders>
                    <w:top w:val="nil"/>
                    <w:left w:val="nil"/>
                    <w:bottom w:val="single" w:sz="4" w:space="0" w:color="auto"/>
                    <w:right w:val="nil"/>
                  </w:tcBorders>
                  <w:shd w:val="clear" w:color="auto" w:fill="auto"/>
                  <w:vAlign w:val="center"/>
                  <w:hideMark/>
                </w:tcPr>
                <w:p w14:paraId="43826628" w14:textId="77777777" w:rsidR="003A0696" w:rsidRPr="00E03AC1" w:rsidRDefault="003A0696" w:rsidP="003A0696">
                  <w:pPr>
                    <w:spacing w:after="0" w:line="240" w:lineRule="auto"/>
                    <w:jc w:val="center"/>
                    <w:rPr>
                      <w:b/>
                      <w:bCs/>
                      <w:sz w:val="20"/>
                      <w:szCs w:val="20"/>
                      <w:lang w:eastAsia="sk-SK"/>
                    </w:rPr>
                  </w:pPr>
                  <w:r w:rsidRPr="00E03AC1">
                    <w:rPr>
                      <w:b/>
                      <w:bCs/>
                      <w:sz w:val="20"/>
                      <w:szCs w:val="20"/>
                      <w:lang w:eastAsia="sk-SK"/>
                    </w:rPr>
                    <w:t>2</w:t>
                  </w:r>
                  <w:r>
                    <w:rPr>
                      <w:b/>
                      <w:bCs/>
                      <w:sz w:val="20"/>
                      <w:szCs w:val="20"/>
                      <w:lang w:eastAsia="sk-SK"/>
                    </w:rPr>
                    <w:t>021</w:t>
                  </w:r>
                </w:p>
              </w:tc>
              <w:tc>
                <w:tcPr>
                  <w:tcW w:w="742" w:type="dxa"/>
                  <w:tcBorders>
                    <w:top w:val="nil"/>
                    <w:left w:val="nil"/>
                    <w:bottom w:val="single" w:sz="4" w:space="0" w:color="auto"/>
                    <w:right w:val="nil"/>
                  </w:tcBorders>
                  <w:shd w:val="clear" w:color="auto" w:fill="auto"/>
                  <w:vAlign w:val="center"/>
                  <w:hideMark/>
                </w:tcPr>
                <w:p w14:paraId="7C95ED1C" w14:textId="77777777" w:rsidR="003A0696" w:rsidRPr="00E03AC1" w:rsidRDefault="003A0696" w:rsidP="003A0696">
                  <w:pPr>
                    <w:spacing w:after="0" w:line="240" w:lineRule="auto"/>
                    <w:jc w:val="center"/>
                    <w:rPr>
                      <w:b/>
                      <w:bCs/>
                      <w:sz w:val="20"/>
                      <w:szCs w:val="20"/>
                      <w:lang w:eastAsia="sk-SK"/>
                    </w:rPr>
                  </w:pPr>
                  <w:r w:rsidRPr="00E03AC1">
                    <w:rPr>
                      <w:b/>
                      <w:bCs/>
                      <w:sz w:val="20"/>
                      <w:szCs w:val="20"/>
                      <w:lang w:eastAsia="sk-SK"/>
                    </w:rPr>
                    <w:t>202</w:t>
                  </w:r>
                  <w:r>
                    <w:rPr>
                      <w:b/>
                      <w:bCs/>
                      <w:sz w:val="20"/>
                      <w:szCs w:val="20"/>
                      <w:lang w:eastAsia="sk-SK"/>
                    </w:rPr>
                    <w:t>2</w:t>
                  </w:r>
                </w:p>
              </w:tc>
              <w:tc>
                <w:tcPr>
                  <w:tcW w:w="728" w:type="dxa"/>
                  <w:tcBorders>
                    <w:top w:val="nil"/>
                    <w:left w:val="nil"/>
                    <w:bottom w:val="single" w:sz="4" w:space="0" w:color="auto"/>
                    <w:right w:val="nil"/>
                  </w:tcBorders>
                  <w:shd w:val="clear" w:color="auto" w:fill="auto"/>
                  <w:vAlign w:val="center"/>
                  <w:hideMark/>
                </w:tcPr>
                <w:p w14:paraId="1EB6508C" w14:textId="77777777" w:rsidR="003A0696" w:rsidRPr="00E03AC1" w:rsidRDefault="003A0696" w:rsidP="003A0696">
                  <w:pPr>
                    <w:spacing w:after="0" w:line="240" w:lineRule="auto"/>
                    <w:jc w:val="center"/>
                    <w:rPr>
                      <w:b/>
                      <w:bCs/>
                      <w:sz w:val="20"/>
                      <w:szCs w:val="20"/>
                      <w:lang w:eastAsia="sk-SK"/>
                    </w:rPr>
                  </w:pPr>
                  <w:r w:rsidRPr="00E03AC1">
                    <w:rPr>
                      <w:b/>
                      <w:bCs/>
                      <w:sz w:val="20"/>
                      <w:szCs w:val="20"/>
                      <w:lang w:eastAsia="sk-SK"/>
                    </w:rPr>
                    <w:t>Δ 202</w:t>
                  </w:r>
                  <w:r>
                    <w:rPr>
                      <w:b/>
                      <w:bCs/>
                      <w:sz w:val="20"/>
                      <w:szCs w:val="20"/>
                      <w:lang w:eastAsia="sk-SK"/>
                    </w:rPr>
                    <w:t>2 -2021</w:t>
                  </w:r>
                </w:p>
              </w:tc>
              <w:tc>
                <w:tcPr>
                  <w:tcW w:w="1453" w:type="dxa"/>
                  <w:tcBorders>
                    <w:top w:val="nil"/>
                    <w:left w:val="single" w:sz="4" w:space="0" w:color="auto"/>
                    <w:bottom w:val="single" w:sz="4" w:space="0" w:color="auto"/>
                    <w:right w:val="nil"/>
                  </w:tcBorders>
                  <w:shd w:val="clear" w:color="auto" w:fill="auto"/>
                  <w:noWrap/>
                  <w:vAlign w:val="center"/>
                  <w:hideMark/>
                </w:tcPr>
                <w:p w14:paraId="533CCA9F" w14:textId="77777777" w:rsidR="003A0696" w:rsidRPr="00E03AC1" w:rsidRDefault="003A0696" w:rsidP="003A0696">
                  <w:pPr>
                    <w:spacing w:after="0" w:line="240" w:lineRule="auto"/>
                    <w:ind w:firstLineChars="100" w:firstLine="200"/>
                    <w:jc w:val="right"/>
                    <w:rPr>
                      <w:b/>
                      <w:bCs/>
                      <w:sz w:val="20"/>
                      <w:szCs w:val="20"/>
                      <w:lang w:eastAsia="sk-SK"/>
                    </w:rPr>
                  </w:pPr>
                  <w:r w:rsidRPr="00E03AC1">
                    <w:rPr>
                      <w:b/>
                      <w:bCs/>
                      <w:sz w:val="20"/>
                      <w:szCs w:val="20"/>
                      <w:lang w:eastAsia="sk-SK"/>
                    </w:rPr>
                    <w:t> </w:t>
                  </w:r>
                </w:p>
              </w:tc>
              <w:tc>
                <w:tcPr>
                  <w:tcW w:w="843" w:type="dxa"/>
                  <w:tcBorders>
                    <w:top w:val="nil"/>
                    <w:left w:val="nil"/>
                    <w:bottom w:val="single" w:sz="4" w:space="0" w:color="auto"/>
                    <w:right w:val="nil"/>
                  </w:tcBorders>
                  <w:shd w:val="clear" w:color="auto" w:fill="auto"/>
                  <w:vAlign w:val="center"/>
                  <w:hideMark/>
                </w:tcPr>
                <w:p w14:paraId="5E3625B4" w14:textId="77777777" w:rsidR="003A0696" w:rsidRPr="00E03AC1" w:rsidRDefault="003A0696" w:rsidP="003A0696">
                  <w:pPr>
                    <w:spacing w:after="0" w:line="240" w:lineRule="auto"/>
                    <w:jc w:val="center"/>
                    <w:rPr>
                      <w:b/>
                      <w:bCs/>
                      <w:sz w:val="20"/>
                      <w:szCs w:val="20"/>
                      <w:lang w:eastAsia="sk-SK"/>
                    </w:rPr>
                  </w:pPr>
                  <w:r>
                    <w:rPr>
                      <w:b/>
                      <w:bCs/>
                      <w:sz w:val="20"/>
                      <w:szCs w:val="20"/>
                      <w:lang w:eastAsia="sk-SK"/>
                    </w:rPr>
                    <w:t>2020</w:t>
                  </w:r>
                </w:p>
              </w:tc>
              <w:tc>
                <w:tcPr>
                  <w:tcW w:w="843" w:type="dxa"/>
                  <w:tcBorders>
                    <w:top w:val="nil"/>
                    <w:left w:val="nil"/>
                    <w:bottom w:val="single" w:sz="4" w:space="0" w:color="auto"/>
                    <w:right w:val="nil"/>
                  </w:tcBorders>
                  <w:shd w:val="clear" w:color="auto" w:fill="auto"/>
                  <w:vAlign w:val="center"/>
                  <w:hideMark/>
                </w:tcPr>
                <w:p w14:paraId="5E515277" w14:textId="77777777" w:rsidR="003A0696" w:rsidRPr="00E03AC1" w:rsidRDefault="003A0696" w:rsidP="003A0696">
                  <w:pPr>
                    <w:spacing w:after="0" w:line="240" w:lineRule="auto"/>
                    <w:jc w:val="center"/>
                    <w:rPr>
                      <w:b/>
                      <w:bCs/>
                      <w:sz w:val="20"/>
                      <w:szCs w:val="20"/>
                      <w:lang w:eastAsia="sk-SK"/>
                    </w:rPr>
                  </w:pPr>
                  <w:r w:rsidRPr="00E03AC1">
                    <w:rPr>
                      <w:b/>
                      <w:bCs/>
                      <w:sz w:val="20"/>
                      <w:szCs w:val="20"/>
                      <w:lang w:eastAsia="sk-SK"/>
                    </w:rPr>
                    <w:t>2</w:t>
                  </w:r>
                  <w:r>
                    <w:rPr>
                      <w:b/>
                      <w:bCs/>
                      <w:sz w:val="20"/>
                      <w:szCs w:val="20"/>
                      <w:lang w:eastAsia="sk-SK"/>
                    </w:rPr>
                    <w:t>021</w:t>
                  </w:r>
                </w:p>
              </w:tc>
              <w:tc>
                <w:tcPr>
                  <w:tcW w:w="864" w:type="dxa"/>
                  <w:tcBorders>
                    <w:top w:val="nil"/>
                    <w:left w:val="nil"/>
                    <w:bottom w:val="single" w:sz="4" w:space="0" w:color="auto"/>
                    <w:right w:val="nil"/>
                  </w:tcBorders>
                  <w:shd w:val="clear" w:color="auto" w:fill="auto"/>
                  <w:vAlign w:val="center"/>
                  <w:hideMark/>
                </w:tcPr>
                <w:p w14:paraId="70D58488" w14:textId="77777777" w:rsidR="003A0696" w:rsidRPr="00E03AC1" w:rsidRDefault="003A0696" w:rsidP="003A0696">
                  <w:pPr>
                    <w:spacing w:after="0" w:line="240" w:lineRule="auto"/>
                    <w:jc w:val="center"/>
                    <w:rPr>
                      <w:b/>
                      <w:bCs/>
                      <w:sz w:val="20"/>
                      <w:szCs w:val="20"/>
                      <w:lang w:eastAsia="sk-SK"/>
                    </w:rPr>
                  </w:pPr>
                  <w:r w:rsidRPr="00E03AC1">
                    <w:rPr>
                      <w:b/>
                      <w:bCs/>
                      <w:sz w:val="20"/>
                      <w:szCs w:val="20"/>
                      <w:lang w:eastAsia="sk-SK"/>
                    </w:rPr>
                    <w:t>202</w:t>
                  </w:r>
                  <w:r>
                    <w:rPr>
                      <w:b/>
                      <w:bCs/>
                      <w:sz w:val="20"/>
                      <w:szCs w:val="20"/>
                      <w:lang w:eastAsia="sk-SK"/>
                    </w:rPr>
                    <w:t>2</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4A4A456C" w14:textId="77777777" w:rsidR="003A0696" w:rsidRPr="00E03AC1" w:rsidRDefault="003A0696" w:rsidP="003A0696">
                  <w:pPr>
                    <w:spacing w:after="0" w:line="240" w:lineRule="auto"/>
                    <w:jc w:val="center"/>
                    <w:rPr>
                      <w:b/>
                      <w:bCs/>
                      <w:sz w:val="20"/>
                      <w:szCs w:val="20"/>
                      <w:lang w:eastAsia="sk-SK"/>
                    </w:rPr>
                  </w:pPr>
                  <w:r w:rsidRPr="00E03AC1">
                    <w:rPr>
                      <w:b/>
                      <w:bCs/>
                      <w:sz w:val="20"/>
                      <w:szCs w:val="20"/>
                      <w:lang w:eastAsia="sk-SK"/>
                    </w:rPr>
                    <w:t>Δ 202</w:t>
                  </w:r>
                  <w:r>
                    <w:rPr>
                      <w:b/>
                      <w:bCs/>
                      <w:sz w:val="20"/>
                      <w:szCs w:val="20"/>
                      <w:lang w:eastAsia="sk-SK"/>
                    </w:rPr>
                    <w:t>2 -2021</w:t>
                  </w:r>
                </w:p>
              </w:tc>
            </w:tr>
            <w:tr w:rsidR="003A0696" w:rsidRPr="00E03AC1" w14:paraId="04A20747"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6B6377D8" w14:textId="77777777" w:rsidR="003A0696" w:rsidRPr="00E03AC1" w:rsidRDefault="003A0696" w:rsidP="003A0696">
                  <w:pPr>
                    <w:spacing w:after="0" w:line="240" w:lineRule="auto"/>
                    <w:rPr>
                      <w:b/>
                      <w:bCs/>
                      <w:sz w:val="20"/>
                      <w:szCs w:val="20"/>
                      <w:lang w:eastAsia="sk-SK"/>
                    </w:rPr>
                  </w:pPr>
                  <w:r>
                    <w:rPr>
                      <w:b/>
                      <w:bCs/>
                      <w:sz w:val="20"/>
                      <w:szCs w:val="20"/>
                    </w:rPr>
                    <w:t>EÚ (27 krajín)</w:t>
                  </w:r>
                </w:p>
              </w:tc>
              <w:tc>
                <w:tcPr>
                  <w:tcW w:w="764" w:type="dxa"/>
                  <w:tcBorders>
                    <w:top w:val="nil"/>
                    <w:left w:val="nil"/>
                    <w:bottom w:val="nil"/>
                    <w:right w:val="nil"/>
                  </w:tcBorders>
                  <w:shd w:val="clear" w:color="auto" w:fill="auto"/>
                  <w:noWrap/>
                  <w:vAlign w:val="center"/>
                  <w:hideMark/>
                </w:tcPr>
                <w:p w14:paraId="61F985BD"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-6,7</w:t>
                  </w:r>
                </w:p>
              </w:tc>
              <w:tc>
                <w:tcPr>
                  <w:tcW w:w="826" w:type="dxa"/>
                  <w:tcBorders>
                    <w:top w:val="nil"/>
                    <w:left w:val="nil"/>
                    <w:bottom w:val="nil"/>
                    <w:right w:val="nil"/>
                  </w:tcBorders>
                  <w:shd w:val="clear" w:color="auto" w:fill="auto"/>
                  <w:noWrap/>
                  <w:vAlign w:val="center"/>
                  <w:hideMark/>
                </w:tcPr>
                <w:p w14:paraId="3C8C8FA2"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-4,8</w:t>
                  </w:r>
                </w:p>
              </w:tc>
              <w:tc>
                <w:tcPr>
                  <w:tcW w:w="742" w:type="dxa"/>
                  <w:tcBorders>
                    <w:top w:val="nil"/>
                    <w:left w:val="nil"/>
                    <w:bottom w:val="nil"/>
                    <w:right w:val="nil"/>
                  </w:tcBorders>
                  <w:shd w:val="clear" w:color="auto" w:fill="auto"/>
                  <w:noWrap/>
                  <w:vAlign w:val="center"/>
                  <w:hideMark/>
                </w:tcPr>
                <w:p w14:paraId="776F09DF"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-3,4</w:t>
                  </w:r>
                </w:p>
              </w:tc>
              <w:tc>
                <w:tcPr>
                  <w:tcW w:w="728" w:type="dxa"/>
                  <w:tcBorders>
                    <w:top w:val="nil"/>
                    <w:left w:val="nil"/>
                    <w:bottom w:val="nil"/>
                    <w:right w:val="nil"/>
                  </w:tcBorders>
                  <w:shd w:val="clear" w:color="auto" w:fill="auto"/>
                  <w:noWrap/>
                  <w:vAlign w:val="center"/>
                  <w:hideMark/>
                </w:tcPr>
                <w:p w14:paraId="79DAAFE9" w14:textId="77777777" w:rsidR="003A0696" w:rsidRPr="00E03AC1" w:rsidRDefault="003A0696" w:rsidP="003A0696">
                  <w:pPr>
                    <w:spacing w:after="0" w:line="240" w:lineRule="auto"/>
                    <w:ind w:firstLineChars="100" w:firstLine="200"/>
                    <w:jc w:val="center"/>
                    <w:rPr>
                      <w:b/>
                      <w:bCs/>
                      <w:color w:val="00B050"/>
                      <w:sz w:val="20"/>
                      <w:szCs w:val="20"/>
                      <w:lang w:eastAsia="sk-SK"/>
                    </w:rPr>
                  </w:pPr>
                  <w:r>
                    <w:rPr>
                      <w:b/>
                      <w:bCs/>
                      <w:color w:val="00B050"/>
                      <w:sz w:val="20"/>
                      <w:szCs w:val="20"/>
                    </w:rPr>
                    <w:t>1,4</w:t>
                  </w:r>
                </w:p>
              </w:tc>
              <w:tc>
                <w:tcPr>
                  <w:tcW w:w="1453" w:type="dxa"/>
                  <w:tcBorders>
                    <w:top w:val="nil"/>
                    <w:left w:val="single" w:sz="4" w:space="0" w:color="auto"/>
                    <w:bottom w:val="nil"/>
                    <w:right w:val="nil"/>
                  </w:tcBorders>
                  <w:shd w:val="clear" w:color="auto" w:fill="auto"/>
                  <w:noWrap/>
                  <w:vAlign w:val="center"/>
                  <w:hideMark/>
                </w:tcPr>
                <w:p w14:paraId="559B803E" w14:textId="77777777" w:rsidR="003A0696" w:rsidRPr="00E03AC1" w:rsidRDefault="003A0696" w:rsidP="003A0696">
                  <w:pPr>
                    <w:spacing w:after="0" w:line="240" w:lineRule="auto"/>
                    <w:ind w:right="-349"/>
                    <w:rPr>
                      <w:b/>
                      <w:bCs/>
                      <w:sz w:val="20"/>
                      <w:szCs w:val="20"/>
                      <w:lang w:eastAsia="sk-SK"/>
                    </w:rPr>
                  </w:pPr>
                  <w:r>
                    <w:rPr>
                      <w:b/>
                      <w:bCs/>
                      <w:sz w:val="20"/>
                      <w:szCs w:val="20"/>
                    </w:rPr>
                    <w:t>EÚ (27 krajín)</w:t>
                  </w:r>
                </w:p>
              </w:tc>
              <w:tc>
                <w:tcPr>
                  <w:tcW w:w="843" w:type="dxa"/>
                  <w:tcBorders>
                    <w:top w:val="nil"/>
                    <w:left w:val="nil"/>
                    <w:bottom w:val="nil"/>
                    <w:right w:val="nil"/>
                  </w:tcBorders>
                  <w:shd w:val="clear" w:color="auto" w:fill="auto"/>
                  <w:noWrap/>
                  <w:vAlign w:val="center"/>
                  <w:hideMark/>
                </w:tcPr>
                <w:p w14:paraId="4993BB71"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90,0</w:t>
                  </w:r>
                </w:p>
              </w:tc>
              <w:tc>
                <w:tcPr>
                  <w:tcW w:w="843" w:type="dxa"/>
                  <w:tcBorders>
                    <w:top w:val="nil"/>
                    <w:left w:val="nil"/>
                    <w:bottom w:val="nil"/>
                    <w:right w:val="nil"/>
                  </w:tcBorders>
                  <w:shd w:val="clear" w:color="auto" w:fill="auto"/>
                  <w:noWrap/>
                  <w:vAlign w:val="center"/>
                  <w:hideMark/>
                </w:tcPr>
                <w:p w14:paraId="438AADA0"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88,0</w:t>
                  </w:r>
                </w:p>
              </w:tc>
              <w:tc>
                <w:tcPr>
                  <w:tcW w:w="864" w:type="dxa"/>
                  <w:tcBorders>
                    <w:top w:val="nil"/>
                    <w:left w:val="nil"/>
                    <w:bottom w:val="nil"/>
                    <w:right w:val="nil"/>
                  </w:tcBorders>
                  <w:shd w:val="clear" w:color="auto" w:fill="auto"/>
                  <w:noWrap/>
                  <w:vAlign w:val="center"/>
                  <w:hideMark/>
                </w:tcPr>
                <w:p w14:paraId="3A33A938"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84,0</w:t>
                  </w:r>
                </w:p>
              </w:tc>
              <w:tc>
                <w:tcPr>
                  <w:tcW w:w="799" w:type="dxa"/>
                  <w:tcBorders>
                    <w:top w:val="nil"/>
                    <w:left w:val="nil"/>
                    <w:bottom w:val="nil"/>
                    <w:right w:val="single" w:sz="4" w:space="0" w:color="auto"/>
                  </w:tcBorders>
                  <w:shd w:val="clear" w:color="auto" w:fill="auto"/>
                  <w:noWrap/>
                  <w:vAlign w:val="center"/>
                  <w:hideMark/>
                </w:tcPr>
                <w:p w14:paraId="6AEF97DE" w14:textId="77777777" w:rsidR="003A0696" w:rsidRPr="00E03AC1" w:rsidRDefault="003A0696" w:rsidP="003A0696">
                  <w:pPr>
                    <w:tabs>
                      <w:tab w:val="decimal" w:pos="230"/>
                    </w:tabs>
                    <w:spacing w:after="0" w:line="240" w:lineRule="auto"/>
                    <w:ind w:right="32" w:firstLineChars="100" w:firstLine="200"/>
                    <w:jc w:val="right"/>
                    <w:rPr>
                      <w:b/>
                      <w:bCs/>
                      <w:color w:val="00B050"/>
                      <w:sz w:val="20"/>
                      <w:szCs w:val="20"/>
                      <w:lang w:eastAsia="sk-SK"/>
                    </w:rPr>
                  </w:pPr>
                  <w:r>
                    <w:rPr>
                      <w:b/>
                      <w:bCs/>
                      <w:color w:val="00B050"/>
                      <w:sz w:val="20"/>
                      <w:szCs w:val="20"/>
                    </w:rPr>
                    <w:t>-4,0</w:t>
                  </w:r>
                </w:p>
              </w:tc>
            </w:tr>
            <w:tr w:rsidR="003A0696" w:rsidRPr="00E03AC1" w14:paraId="3AEFB3A0"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56FDEA5C" w14:textId="77777777" w:rsidR="003A0696" w:rsidRPr="00E03AC1" w:rsidRDefault="003A0696" w:rsidP="003A0696">
                  <w:pPr>
                    <w:spacing w:after="0" w:line="240" w:lineRule="auto"/>
                    <w:rPr>
                      <w:b/>
                      <w:bCs/>
                      <w:sz w:val="20"/>
                      <w:szCs w:val="20"/>
                      <w:lang w:eastAsia="sk-SK"/>
                    </w:rPr>
                  </w:pPr>
                  <w:r>
                    <w:rPr>
                      <w:b/>
                      <w:bCs/>
                      <w:sz w:val="20"/>
                      <w:szCs w:val="20"/>
                    </w:rPr>
                    <w:t>Euro zóna (19)</w:t>
                  </w:r>
                </w:p>
              </w:tc>
              <w:tc>
                <w:tcPr>
                  <w:tcW w:w="764" w:type="dxa"/>
                  <w:tcBorders>
                    <w:top w:val="nil"/>
                    <w:left w:val="nil"/>
                    <w:bottom w:val="nil"/>
                    <w:right w:val="nil"/>
                  </w:tcBorders>
                  <w:shd w:val="clear" w:color="auto" w:fill="auto"/>
                  <w:noWrap/>
                  <w:vAlign w:val="center"/>
                  <w:hideMark/>
                </w:tcPr>
                <w:p w14:paraId="6614B4C5"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-7,1</w:t>
                  </w:r>
                </w:p>
              </w:tc>
              <w:tc>
                <w:tcPr>
                  <w:tcW w:w="826" w:type="dxa"/>
                  <w:tcBorders>
                    <w:top w:val="nil"/>
                    <w:left w:val="nil"/>
                    <w:bottom w:val="nil"/>
                    <w:right w:val="nil"/>
                  </w:tcBorders>
                  <w:shd w:val="clear" w:color="auto" w:fill="auto"/>
                  <w:noWrap/>
                  <w:vAlign w:val="center"/>
                  <w:hideMark/>
                </w:tcPr>
                <w:p w14:paraId="4367D23E"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-5,3</w:t>
                  </w:r>
                </w:p>
              </w:tc>
              <w:tc>
                <w:tcPr>
                  <w:tcW w:w="742" w:type="dxa"/>
                  <w:tcBorders>
                    <w:top w:val="nil"/>
                    <w:left w:val="nil"/>
                    <w:bottom w:val="nil"/>
                    <w:right w:val="nil"/>
                  </w:tcBorders>
                  <w:shd w:val="clear" w:color="auto" w:fill="auto"/>
                  <w:noWrap/>
                  <w:vAlign w:val="center"/>
                  <w:hideMark/>
                </w:tcPr>
                <w:p w14:paraId="00F964DA"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-3,6</w:t>
                  </w:r>
                </w:p>
              </w:tc>
              <w:tc>
                <w:tcPr>
                  <w:tcW w:w="728" w:type="dxa"/>
                  <w:tcBorders>
                    <w:top w:val="nil"/>
                    <w:left w:val="nil"/>
                    <w:bottom w:val="nil"/>
                    <w:right w:val="nil"/>
                  </w:tcBorders>
                  <w:shd w:val="clear" w:color="auto" w:fill="auto"/>
                  <w:noWrap/>
                  <w:vAlign w:val="center"/>
                  <w:hideMark/>
                </w:tcPr>
                <w:p w14:paraId="7A9EA7E1" w14:textId="77777777" w:rsidR="003A0696" w:rsidRPr="00E03AC1" w:rsidRDefault="003A0696" w:rsidP="003A0696">
                  <w:pPr>
                    <w:spacing w:after="0" w:line="240" w:lineRule="auto"/>
                    <w:ind w:firstLineChars="100" w:firstLine="200"/>
                    <w:jc w:val="center"/>
                    <w:rPr>
                      <w:b/>
                      <w:bCs/>
                      <w:color w:val="00B050"/>
                      <w:sz w:val="20"/>
                      <w:szCs w:val="20"/>
                      <w:lang w:eastAsia="sk-SK"/>
                    </w:rPr>
                  </w:pPr>
                  <w:r>
                    <w:rPr>
                      <w:b/>
                      <w:bCs/>
                      <w:color w:val="00B050"/>
                      <w:sz w:val="20"/>
                      <w:szCs w:val="20"/>
                    </w:rPr>
                    <w:t>1,7</w:t>
                  </w:r>
                </w:p>
              </w:tc>
              <w:tc>
                <w:tcPr>
                  <w:tcW w:w="1453" w:type="dxa"/>
                  <w:tcBorders>
                    <w:top w:val="nil"/>
                    <w:left w:val="single" w:sz="4" w:space="0" w:color="auto"/>
                    <w:bottom w:val="nil"/>
                    <w:right w:val="nil"/>
                  </w:tcBorders>
                  <w:shd w:val="clear" w:color="auto" w:fill="auto"/>
                  <w:noWrap/>
                  <w:vAlign w:val="center"/>
                  <w:hideMark/>
                </w:tcPr>
                <w:p w14:paraId="339B54C8" w14:textId="77777777" w:rsidR="003A0696" w:rsidRPr="00E03AC1" w:rsidRDefault="003A0696" w:rsidP="003A0696">
                  <w:pPr>
                    <w:spacing w:after="0" w:line="240" w:lineRule="auto"/>
                    <w:ind w:right="-207"/>
                    <w:rPr>
                      <w:b/>
                      <w:bCs/>
                      <w:sz w:val="20"/>
                      <w:szCs w:val="20"/>
                      <w:lang w:eastAsia="sk-SK"/>
                    </w:rPr>
                  </w:pPr>
                  <w:r>
                    <w:rPr>
                      <w:b/>
                      <w:bCs/>
                      <w:sz w:val="20"/>
                      <w:szCs w:val="20"/>
                    </w:rPr>
                    <w:t>Euro zóna (19)</w:t>
                  </w:r>
                </w:p>
              </w:tc>
              <w:tc>
                <w:tcPr>
                  <w:tcW w:w="843" w:type="dxa"/>
                  <w:tcBorders>
                    <w:top w:val="nil"/>
                    <w:left w:val="nil"/>
                    <w:bottom w:val="nil"/>
                    <w:right w:val="nil"/>
                  </w:tcBorders>
                  <w:shd w:val="clear" w:color="auto" w:fill="auto"/>
                  <w:noWrap/>
                  <w:vAlign w:val="center"/>
                  <w:hideMark/>
                </w:tcPr>
                <w:p w14:paraId="69104D34"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97,2</w:t>
                  </w:r>
                </w:p>
              </w:tc>
              <w:tc>
                <w:tcPr>
                  <w:tcW w:w="843" w:type="dxa"/>
                  <w:tcBorders>
                    <w:top w:val="nil"/>
                    <w:left w:val="nil"/>
                    <w:bottom w:val="nil"/>
                    <w:right w:val="nil"/>
                  </w:tcBorders>
                  <w:shd w:val="clear" w:color="auto" w:fill="auto"/>
                  <w:noWrap/>
                  <w:vAlign w:val="center"/>
                  <w:hideMark/>
                </w:tcPr>
                <w:p w14:paraId="316EA7D9"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95,5</w:t>
                  </w:r>
                </w:p>
              </w:tc>
              <w:tc>
                <w:tcPr>
                  <w:tcW w:w="864" w:type="dxa"/>
                  <w:tcBorders>
                    <w:top w:val="nil"/>
                    <w:left w:val="nil"/>
                    <w:bottom w:val="nil"/>
                    <w:right w:val="nil"/>
                  </w:tcBorders>
                  <w:shd w:val="clear" w:color="auto" w:fill="auto"/>
                  <w:noWrap/>
                  <w:vAlign w:val="center"/>
                  <w:hideMark/>
                </w:tcPr>
                <w:p w14:paraId="7D29EF25"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91,6</w:t>
                  </w:r>
                </w:p>
              </w:tc>
              <w:tc>
                <w:tcPr>
                  <w:tcW w:w="799" w:type="dxa"/>
                  <w:tcBorders>
                    <w:top w:val="nil"/>
                    <w:left w:val="nil"/>
                    <w:bottom w:val="nil"/>
                    <w:right w:val="single" w:sz="4" w:space="0" w:color="auto"/>
                  </w:tcBorders>
                  <w:shd w:val="clear" w:color="auto" w:fill="auto"/>
                  <w:noWrap/>
                  <w:vAlign w:val="center"/>
                  <w:hideMark/>
                </w:tcPr>
                <w:p w14:paraId="4CC84AF0" w14:textId="77777777" w:rsidR="003A0696" w:rsidRPr="00E03AC1" w:rsidRDefault="003A0696" w:rsidP="003A0696">
                  <w:pPr>
                    <w:tabs>
                      <w:tab w:val="decimal" w:pos="230"/>
                    </w:tabs>
                    <w:spacing w:after="0" w:line="240" w:lineRule="auto"/>
                    <w:ind w:right="32" w:firstLineChars="100" w:firstLine="200"/>
                    <w:jc w:val="right"/>
                    <w:rPr>
                      <w:b/>
                      <w:bCs/>
                      <w:color w:val="00B050"/>
                      <w:sz w:val="20"/>
                      <w:szCs w:val="20"/>
                      <w:lang w:eastAsia="sk-SK"/>
                    </w:rPr>
                  </w:pPr>
                  <w:r>
                    <w:rPr>
                      <w:b/>
                      <w:bCs/>
                      <w:color w:val="00B050"/>
                      <w:sz w:val="20"/>
                      <w:szCs w:val="20"/>
                    </w:rPr>
                    <w:t>-3,9</w:t>
                  </w:r>
                </w:p>
              </w:tc>
            </w:tr>
            <w:tr w:rsidR="003A0696" w:rsidRPr="00E03AC1" w14:paraId="0FCFD8CB" w14:textId="77777777" w:rsidTr="003A0696">
              <w:trPr>
                <w:trHeight w:val="307"/>
              </w:trPr>
              <w:tc>
                <w:tcPr>
                  <w:tcW w:w="1542" w:type="dxa"/>
                  <w:tcBorders>
                    <w:top w:val="nil"/>
                    <w:left w:val="single" w:sz="4" w:space="0" w:color="auto"/>
                    <w:bottom w:val="nil"/>
                    <w:right w:val="nil"/>
                  </w:tcBorders>
                  <w:shd w:val="clear" w:color="auto" w:fill="auto"/>
                  <w:noWrap/>
                  <w:vAlign w:val="center"/>
                </w:tcPr>
                <w:p w14:paraId="18CAE42F" w14:textId="77777777" w:rsidR="003A0696" w:rsidRPr="00E03AC1" w:rsidRDefault="003A0696" w:rsidP="003A0696">
                  <w:pPr>
                    <w:spacing w:after="0" w:line="240" w:lineRule="auto"/>
                    <w:rPr>
                      <w:b/>
                      <w:bCs/>
                      <w:sz w:val="20"/>
                      <w:szCs w:val="20"/>
                      <w:lang w:eastAsia="sk-SK"/>
                    </w:rPr>
                  </w:pPr>
                  <w:r>
                    <w:rPr>
                      <w:b/>
                      <w:bCs/>
                      <w:sz w:val="20"/>
                      <w:szCs w:val="20"/>
                    </w:rPr>
                    <w:t>Euro zóna (20)</w:t>
                  </w:r>
                  <w:r w:rsidRPr="007E7988">
                    <w:rPr>
                      <w:b/>
                      <w:bCs/>
                      <w:sz w:val="20"/>
                      <w:szCs w:val="20"/>
                      <w:vertAlign w:val="superscript"/>
                    </w:rPr>
                    <w:t>2</w:t>
                  </w:r>
                </w:p>
              </w:tc>
              <w:tc>
                <w:tcPr>
                  <w:tcW w:w="764" w:type="dxa"/>
                  <w:tcBorders>
                    <w:top w:val="nil"/>
                    <w:left w:val="nil"/>
                    <w:bottom w:val="nil"/>
                    <w:right w:val="nil"/>
                  </w:tcBorders>
                  <w:shd w:val="clear" w:color="auto" w:fill="auto"/>
                  <w:noWrap/>
                  <w:vAlign w:val="center"/>
                </w:tcPr>
                <w:p w14:paraId="3AA0977F"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-7,1</w:t>
                  </w:r>
                </w:p>
              </w:tc>
              <w:tc>
                <w:tcPr>
                  <w:tcW w:w="826" w:type="dxa"/>
                  <w:tcBorders>
                    <w:top w:val="nil"/>
                    <w:left w:val="nil"/>
                    <w:bottom w:val="nil"/>
                    <w:right w:val="nil"/>
                  </w:tcBorders>
                  <w:shd w:val="clear" w:color="auto" w:fill="auto"/>
                  <w:noWrap/>
                  <w:vAlign w:val="center"/>
                </w:tcPr>
                <w:p w14:paraId="3DE0B45C"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-5,3</w:t>
                  </w:r>
                </w:p>
              </w:tc>
              <w:tc>
                <w:tcPr>
                  <w:tcW w:w="742" w:type="dxa"/>
                  <w:tcBorders>
                    <w:top w:val="nil"/>
                    <w:left w:val="nil"/>
                    <w:bottom w:val="nil"/>
                    <w:right w:val="nil"/>
                  </w:tcBorders>
                  <w:shd w:val="clear" w:color="auto" w:fill="auto"/>
                  <w:noWrap/>
                  <w:vAlign w:val="center"/>
                </w:tcPr>
                <w:p w14:paraId="7074035D"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-3,6</w:t>
                  </w:r>
                </w:p>
              </w:tc>
              <w:tc>
                <w:tcPr>
                  <w:tcW w:w="728" w:type="dxa"/>
                  <w:tcBorders>
                    <w:top w:val="nil"/>
                    <w:left w:val="nil"/>
                    <w:bottom w:val="nil"/>
                    <w:right w:val="nil"/>
                  </w:tcBorders>
                  <w:shd w:val="clear" w:color="auto" w:fill="auto"/>
                  <w:noWrap/>
                  <w:vAlign w:val="center"/>
                </w:tcPr>
                <w:p w14:paraId="2DB1EDBD" w14:textId="77777777" w:rsidR="003A0696" w:rsidRPr="00E03AC1" w:rsidRDefault="003A0696" w:rsidP="003A0696">
                  <w:pPr>
                    <w:spacing w:after="0" w:line="240" w:lineRule="auto"/>
                    <w:ind w:firstLineChars="100" w:firstLine="200"/>
                    <w:jc w:val="center"/>
                    <w:rPr>
                      <w:b/>
                      <w:bCs/>
                      <w:color w:val="00B050"/>
                      <w:sz w:val="20"/>
                      <w:szCs w:val="20"/>
                      <w:lang w:eastAsia="sk-SK"/>
                    </w:rPr>
                  </w:pPr>
                  <w:r>
                    <w:rPr>
                      <w:b/>
                      <w:bCs/>
                      <w:color w:val="00B050"/>
                      <w:sz w:val="20"/>
                      <w:szCs w:val="20"/>
                    </w:rPr>
                    <w:t>1,7</w:t>
                  </w:r>
                </w:p>
              </w:tc>
              <w:tc>
                <w:tcPr>
                  <w:tcW w:w="1453" w:type="dxa"/>
                  <w:tcBorders>
                    <w:top w:val="nil"/>
                    <w:left w:val="single" w:sz="4" w:space="0" w:color="auto"/>
                    <w:bottom w:val="nil"/>
                    <w:right w:val="nil"/>
                  </w:tcBorders>
                  <w:shd w:val="clear" w:color="auto" w:fill="auto"/>
                  <w:noWrap/>
                  <w:vAlign w:val="center"/>
                </w:tcPr>
                <w:p w14:paraId="1DFA3551" w14:textId="77777777" w:rsidR="003A0696" w:rsidRPr="00E03AC1" w:rsidRDefault="003A0696" w:rsidP="003A0696">
                  <w:pPr>
                    <w:spacing w:after="0" w:line="240" w:lineRule="auto"/>
                    <w:ind w:right="-66"/>
                    <w:rPr>
                      <w:b/>
                      <w:bCs/>
                      <w:sz w:val="20"/>
                      <w:szCs w:val="20"/>
                      <w:lang w:eastAsia="sk-SK"/>
                    </w:rPr>
                  </w:pPr>
                  <w:r>
                    <w:rPr>
                      <w:b/>
                      <w:bCs/>
                      <w:sz w:val="20"/>
                      <w:szCs w:val="20"/>
                    </w:rPr>
                    <w:t>Euro zóna (20)</w:t>
                  </w:r>
                  <w:r w:rsidRPr="007E7988">
                    <w:rPr>
                      <w:b/>
                      <w:bCs/>
                      <w:sz w:val="20"/>
                      <w:szCs w:val="20"/>
                      <w:vertAlign w:val="superscript"/>
                    </w:rPr>
                    <w:t>2</w:t>
                  </w:r>
                </w:p>
              </w:tc>
              <w:tc>
                <w:tcPr>
                  <w:tcW w:w="843" w:type="dxa"/>
                  <w:tcBorders>
                    <w:top w:val="nil"/>
                    <w:left w:val="nil"/>
                    <w:bottom w:val="nil"/>
                    <w:right w:val="nil"/>
                  </w:tcBorders>
                  <w:shd w:val="clear" w:color="auto" w:fill="auto"/>
                  <w:noWrap/>
                  <w:vAlign w:val="center"/>
                </w:tcPr>
                <w:p w14:paraId="22DC2D1C"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97,2</w:t>
                  </w:r>
                </w:p>
              </w:tc>
              <w:tc>
                <w:tcPr>
                  <w:tcW w:w="843" w:type="dxa"/>
                  <w:tcBorders>
                    <w:top w:val="nil"/>
                    <w:left w:val="nil"/>
                    <w:bottom w:val="nil"/>
                    <w:right w:val="nil"/>
                  </w:tcBorders>
                  <w:shd w:val="clear" w:color="auto" w:fill="auto"/>
                  <w:noWrap/>
                  <w:vAlign w:val="center"/>
                </w:tcPr>
                <w:p w14:paraId="73BB45FD"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95,4</w:t>
                  </w:r>
                </w:p>
              </w:tc>
              <w:tc>
                <w:tcPr>
                  <w:tcW w:w="864" w:type="dxa"/>
                  <w:tcBorders>
                    <w:top w:val="nil"/>
                    <w:left w:val="nil"/>
                    <w:bottom w:val="nil"/>
                    <w:right w:val="nil"/>
                  </w:tcBorders>
                  <w:shd w:val="clear" w:color="auto" w:fill="auto"/>
                  <w:noWrap/>
                  <w:vAlign w:val="center"/>
                </w:tcPr>
                <w:p w14:paraId="7278EB4D"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91,5</w:t>
                  </w:r>
                </w:p>
              </w:tc>
              <w:tc>
                <w:tcPr>
                  <w:tcW w:w="799" w:type="dxa"/>
                  <w:tcBorders>
                    <w:top w:val="nil"/>
                    <w:left w:val="nil"/>
                    <w:bottom w:val="nil"/>
                    <w:right w:val="single" w:sz="4" w:space="0" w:color="auto"/>
                  </w:tcBorders>
                  <w:shd w:val="clear" w:color="auto" w:fill="auto"/>
                  <w:noWrap/>
                  <w:vAlign w:val="center"/>
                </w:tcPr>
                <w:p w14:paraId="23E7D47F" w14:textId="77777777" w:rsidR="003A0696" w:rsidRPr="00E03AC1" w:rsidRDefault="003A0696" w:rsidP="003A0696">
                  <w:pPr>
                    <w:tabs>
                      <w:tab w:val="decimal" w:pos="230"/>
                    </w:tabs>
                    <w:spacing w:after="0" w:line="240" w:lineRule="auto"/>
                    <w:ind w:right="32" w:firstLineChars="100" w:firstLine="200"/>
                    <w:jc w:val="right"/>
                    <w:rPr>
                      <w:b/>
                      <w:bCs/>
                      <w:color w:val="00B050"/>
                      <w:sz w:val="20"/>
                      <w:szCs w:val="20"/>
                      <w:lang w:eastAsia="sk-SK"/>
                    </w:rPr>
                  </w:pPr>
                  <w:r>
                    <w:rPr>
                      <w:b/>
                      <w:bCs/>
                      <w:color w:val="00B050"/>
                      <w:sz w:val="20"/>
                      <w:szCs w:val="20"/>
                    </w:rPr>
                    <w:t>-3,9</w:t>
                  </w:r>
                </w:p>
              </w:tc>
            </w:tr>
            <w:tr w:rsidR="003A0696" w:rsidRPr="00E03AC1" w14:paraId="63B916A4"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33BC9041" w14:textId="77777777" w:rsidR="003A0696" w:rsidRPr="00E03AC1" w:rsidRDefault="003A0696" w:rsidP="003A0696">
                  <w:pPr>
                    <w:spacing w:after="0" w:line="240" w:lineRule="auto"/>
                    <w:rPr>
                      <w:sz w:val="20"/>
                      <w:szCs w:val="20"/>
                      <w:lang w:eastAsia="sk-SK"/>
                    </w:rPr>
                  </w:pPr>
                  <w:r>
                    <w:rPr>
                      <w:sz w:val="20"/>
                      <w:szCs w:val="20"/>
                    </w:rPr>
                    <w:t>Taliansko</w:t>
                  </w:r>
                </w:p>
              </w:tc>
              <w:tc>
                <w:tcPr>
                  <w:tcW w:w="764" w:type="dxa"/>
                  <w:tcBorders>
                    <w:top w:val="nil"/>
                    <w:left w:val="nil"/>
                    <w:bottom w:val="nil"/>
                    <w:right w:val="nil"/>
                  </w:tcBorders>
                  <w:shd w:val="clear" w:color="auto" w:fill="auto"/>
                  <w:noWrap/>
                  <w:vAlign w:val="center"/>
                  <w:hideMark/>
                </w:tcPr>
                <w:p w14:paraId="63F6E36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-9,7</w:t>
                  </w:r>
                </w:p>
              </w:tc>
              <w:tc>
                <w:tcPr>
                  <w:tcW w:w="826" w:type="dxa"/>
                  <w:tcBorders>
                    <w:top w:val="nil"/>
                    <w:left w:val="nil"/>
                    <w:bottom w:val="nil"/>
                    <w:right w:val="nil"/>
                  </w:tcBorders>
                  <w:shd w:val="clear" w:color="auto" w:fill="auto"/>
                  <w:noWrap/>
                  <w:vAlign w:val="center"/>
                  <w:hideMark/>
                </w:tcPr>
                <w:p w14:paraId="117EE5C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-9,0</w:t>
                  </w:r>
                </w:p>
              </w:tc>
              <w:tc>
                <w:tcPr>
                  <w:tcW w:w="742" w:type="dxa"/>
                  <w:tcBorders>
                    <w:top w:val="nil"/>
                    <w:left w:val="nil"/>
                    <w:bottom w:val="nil"/>
                    <w:right w:val="nil"/>
                  </w:tcBorders>
                  <w:shd w:val="clear" w:color="auto" w:fill="auto"/>
                  <w:noWrap/>
                  <w:vAlign w:val="center"/>
                  <w:hideMark/>
                </w:tcPr>
                <w:p w14:paraId="4C4294DB"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-8,0</w:t>
                  </w:r>
                </w:p>
              </w:tc>
              <w:tc>
                <w:tcPr>
                  <w:tcW w:w="728" w:type="dxa"/>
                  <w:tcBorders>
                    <w:top w:val="nil"/>
                    <w:left w:val="nil"/>
                    <w:bottom w:val="nil"/>
                    <w:right w:val="nil"/>
                  </w:tcBorders>
                  <w:shd w:val="clear" w:color="auto" w:fill="auto"/>
                  <w:noWrap/>
                  <w:vAlign w:val="center"/>
                  <w:hideMark/>
                </w:tcPr>
                <w:p w14:paraId="315575EB"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1,0</w:t>
                  </w:r>
                </w:p>
              </w:tc>
              <w:tc>
                <w:tcPr>
                  <w:tcW w:w="1453" w:type="dxa"/>
                  <w:tcBorders>
                    <w:top w:val="nil"/>
                    <w:left w:val="single" w:sz="4" w:space="0" w:color="auto"/>
                    <w:bottom w:val="nil"/>
                    <w:right w:val="nil"/>
                  </w:tcBorders>
                  <w:shd w:val="clear" w:color="auto" w:fill="auto"/>
                  <w:noWrap/>
                  <w:vAlign w:val="center"/>
                  <w:hideMark/>
                </w:tcPr>
                <w:p w14:paraId="3699827A" w14:textId="77777777" w:rsidR="003A0696" w:rsidRPr="00E03AC1" w:rsidRDefault="003A0696" w:rsidP="003A0696">
                  <w:pPr>
                    <w:spacing w:after="0" w:line="240" w:lineRule="auto"/>
                    <w:rPr>
                      <w:sz w:val="20"/>
                      <w:szCs w:val="20"/>
                      <w:lang w:eastAsia="sk-SK"/>
                    </w:rPr>
                  </w:pPr>
                  <w:r>
                    <w:rPr>
                      <w:sz w:val="20"/>
                      <w:szCs w:val="20"/>
                    </w:rPr>
                    <w:t>Grécko</w:t>
                  </w:r>
                </w:p>
              </w:tc>
              <w:tc>
                <w:tcPr>
                  <w:tcW w:w="843" w:type="dxa"/>
                  <w:tcBorders>
                    <w:top w:val="nil"/>
                    <w:left w:val="nil"/>
                    <w:bottom w:val="nil"/>
                    <w:right w:val="nil"/>
                  </w:tcBorders>
                  <w:shd w:val="clear" w:color="auto" w:fill="auto"/>
                  <w:noWrap/>
                  <w:vAlign w:val="center"/>
                  <w:hideMark/>
                </w:tcPr>
                <w:p w14:paraId="3A2F4E7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206,3</w:t>
                  </w:r>
                </w:p>
              </w:tc>
              <w:tc>
                <w:tcPr>
                  <w:tcW w:w="843" w:type="dxa"/>
                  <w:tcBorders>
                    <w:top w:val="nil"/>
                    <w:left w:val="nil"/>
                    <w:bottom w:val="nil"/>
                    <w:right w:val="nil"/>
                  </w:tcBorders>
                  <w:shd w:val="clear" w:color="auto" w:fill="auto"/>
                  <w:noWrap/>
                  <w:vAlign w:val="center"/>
                  <w:hideMark/>
                </w:tcPr>
                <w:p w14:paraId="43E15A3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194,6</w:t>
                  </w:r>
                </w:p>
              </w:tc>
              <w:tc>
                <w:tcPr>
                  <w:tcW w:w="864" w:type="dxa"/>
                  <w:tcBorders>
                    <w:top w:val="nil"/>
                    <w:left w:val="nil"/>
                    <w:bottom w:val="nil"/>
                    <w:right w:val="nil"/>
                  </w:tcBorders>
                  <w:shd w:val="clear" w:color="auto" w:fill="auto"/>
                  <w:noWrap/>
                  <w:vAlign w:val="center"/>
                  <w:hideMark/>
                </w:tcPr>
                <w:p w14:paraId="374F7C1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171,3</w:t>
                  </w:r>
                </w:p>
              </w:tc>
              <w:tc>
                <w:tcPr>
                  <w:tcW w:w="799" w:type="dxa"/>
                  <w:tcBorders>
                    <w:top w:val="nil"/>
                    <w:left w:val="nil"/>
                    <w:bottom w:val="nil"/>
                    <w:right w:val="single" w:sz="4" w:space="0" w:color="auto"/>
                  </w:tcBorders>
                  <w:shd w:val="clear" w:color="auto" w:fill="auto"/>
                  <w:noWrap/>
                  <w:vAlign w:val="center"/>
                  <w:hideMark/>
                </w:tcPr>
                <w:p w14:paraId="7F57BB4B"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-23,3</w:t>
                  </w:r>
                </w:p>
              </w:tc>
            </w:tr>
            <w:tr w:rsidR="003A0696" w:rsidRPr="00E03AC1" w14:paraId="3EDD69A6"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4EA68F15" w14:textId="77777777" w:rsidR="003A0696" w:rsidRPr="00E03AC1" w:rsidRDefault="003A0696" w:rsidP="003A0696">
                  <w:pPr>
                    <w:spacing w:after="0" w:line="240" w:lineRule="auto"/>
                    <w:rPr>
                      <w:sz w:val="20"/>
                      <w:szCs w:val="20"/>
                      <w:lang w:eastAsia="sk-SK"/>
                    </w:rPr>
                  </w:pPr>
                  <w:r>
                    <w:rPr>
                      <w:sz w:val="20"/>
                      <w:szCs w:val="20"/>
                    </w:rPr>
                    <w:t>Maďarsko</w:t>
                  </w:r>
                </w:p>
              </w:tc>
              <w:tc>
                <w:tcPr>
                  <w:tcW w:w="764" w:type="dxa"/>
                  <w:tcBorders>
                    <w:top w:val="nil"/>
                    <w:left w:val="nil"/>
                    <w:bottom w:val="nil"/>
                    <w:right w:val="nil"/>
                  </w:tcBorders>
                  <w:shd w:val="clear" w:color="auto" w:fill="auto"/>
                  <w:noWrap/>
                  <w:vAlign w:val="center"/>
                  <w:hideMark/>
                </w:tcPr>
                <w:p w14:paraId="66CBFBFB"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-7,5</w:t>
                  </w:r>
                </w:p>
              </w:tc>
              <w:tc>
                <w:tcPr>
                  <w:tcW w:w="826" w:type="dxa"/>
                  <w:tcBorders>
                    <w:top w:val="nil"/>
                    <w:left w:val="nil"/>
                    <w:bottom w:val="nil"/>
                    <w:right w:val="nil"/>
                  </w:tcBorders>
                  <w:shd w:val="clear" w:color="auto" w:fill="auto"/>
                  <w:noWrap/>
                  <w:vAlign w:val="center"/>
                  <w:hideMark/>
                </w:tcPr>
                <w:p w14:paraId="3A8EC6D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-7,1</w:t>
                  </w:r>
                </w:p>
              </w:tc>
              <w:tc>
                <w:tcPr>
                  <w:tcW w:w="742" w:type="dxa"/>
                  <w:tcBorders>
                    <w:top w:val="nil"/>
                    <w:left w:val="nil"/>
                    <w:bottom w:val="nil"/>
                    <w:right w:val="nil"/>
                  </w:tcBorders>
                  <w:shd w:val="clear" w:color="auto" w:fill="auto"/>
                  <w:noWrap/>
                  <w:vAlign w:val="center"/>
                  <w:hideMark/>
                </w:tcPr>
                <w:p w14:paraId="126F0D36"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-6,2</w:t>
                  </w:r>
                </w:p>
              </w:tc>
              <w:tc>
                <w:tcPr>
                  <w:tcW w:w="728" w:type="dxa"/>
                  <w:tcBorders>
                    <w:top w:val="nil"/>
                    <w:left w:val="nil"/>
                    <w:bottom w:val="nil"/>
                    <w:right w:val="nil"/>
                  </w:tcBorders>
                  <w:shd w:val="clear" w:color="auto" w:fill="auto"/>
                  <w:noWrap/>
                  <w:vAlign w:val="center"/>
                  <w:hideMark/>
                </w:tcPr>
                <w:p w14:paraId="495A81B2"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0,9</w:t>
                  </w:r>
                </w:p>
              </w:tc>
              <w:tc>
                <w:tcPr>
                  <w:tcW w:w="1453" w:type="dxa"/>
                  <w:tcBorders>
                    <w:top w:val="nil"/>
                    <w:left w:val="single" w:sz="4" w:space="0" w:color="auto"/>
                    <w:bottom w:val="nil"/>
                    <w:right w:val="nil"/>
                  </w:tcBorders>
                  <w:shd w:val="clear" w:color="auto" w:fill="auto"/>
                  <w:noWrap/>
                  <w:vAlign w:val="center"/>
                  <w:hideMark/>
                </w:tcPr>
                <w:p w14:paraId="302E6288" w14:textId="77777777" w:rsidR="003A0696" w:rsidRPr="00E03AC1" w:rsidRDefault="003A0696" w:rsidP="003A0696">
                  <w:pPr>
                    <w:spacing w:after="0" w:line="240" w:lineRule="auto"/>
                    <w:rPr>
                      <w:sz w:val="20"/>
                      <w:szCs w:val="20"/>
                      <w:lang w:eastAsia="sk-SK"/>
                    </w:rPr>
                  </w:pPr>
                  <w:r>
                    <w:rPr>
                      <w:sz w:val="20"/>
                      <w:szCs w:val="20"/>
                    </w:rPr>
                    <w:t>Taliansko</w:t>
                  </w:r>
                </w:p>
              </w:tc>
              <w:tc>
                <w:tcPr>
                  <w:tcW w:w="843" w:type="dxa"/>
                  <w:tcBorders>
                    <w:top w:val="nil"/>
                    <w:left w:val="nil"/>
                    <w:bottom w:val="nil"/>
                    <w:right w:val="nil"/>
                  </w:tcBorders>
                  <w:shd w:val="clear" w:color="auto" w:fill="auto"/>
                  <w:noWrap/>
                  <w:vAlign w:val="center"/>
                  <w:hideMark/>
                </w:tcPr>
                <w:p w14:paraId="7E86BF36"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154,9</w:t>
                  </w:r>
                </w:p>
              </w:tc>
              <w:tc>
                <w:tcPr>
                  <w:tcW w:w="843" w:type="dxa"/>
                  <w:tcBorders>
                    <w:top w:val="nil"/>
                    <w:left w:val="nil"/>
                    <w:bottom w:val="nil"/>
                    <w:right w:val="nil"/>
                  </w:tcBorders>
                  <w:shd w:val="clear" w:color="auto" w:fill="auto"/>
                  <w:noWrap/>
                  <w:vAlign w:val="center"/>
                  <w:hideMark/>
                </w:tcPr>
                <w:p w14:paraId="12628995"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149,9</w:t>
                  </w:r>
                </w:p>
              </w:tc>
              <w:tc>
                <w:tcPr>
                  <w:tcW w:w="864" w:type="dxa"/>
                  <w:tcBorders>
                    <w:top w:val="nil"/>
                    <w:left w:val="nil"/>
                    <w:bottom w:val="nil"/>
                    <w:right w:val="nil"/>
                  </w:tcBorders>
                  <w:shd w:val="clear" w:color="auto" w:fill="auto"/>
                  <w:noWrap/>
                  <w:vAlign w:val="center"/>
                  <w:hideMark/>
                </w:tcPr>
                <w:p w14:paraId="6944E27B"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144,4</w:t>
                  </w:r>
                </w:p>
              </w:tc>
              <w:tc>
                <w:tcPr>
                  <w:tcW w:w="799" w:type="dxa"/>
                  <w:tcBorders>
                    <w:top w:val="nil"/>
                    <w:left w:val="nil"/>
                    <w:bottom w:val="nil"/>
                    <w:right w:val="single" w:sz="4" w:space="0" w:color="auto"/>
                  </w:tcBorders>
                  <w:shd w:val="clear" w:color="auto" w:fill="auto"/>
                  <w:noWrap/>
                  <w:vAlign w:val="center"/>
                  <w:hideMark/>
                </w:tcPr>
                <w:p w14:paraId="12B18238"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-5,5</w:t>
                  </w:r>
                </w:p>
              </w:tc>
            </w:tr>
            <w:tr w:rsidR="003A0696" w:rsidRPr="00E03AC1" w14:paraId="1F4C76F7"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4F2ACDD6" w14:textId="77777777" w:rsidR="003A0696" w:rsidRPr="00E03AC1" w:rsidRDefault="003A0696" w:rsidP="003A0696">
                  <w:pPr>
                    <w:spacing w:after="0" w:line="240" w:lineRule="auto"/>
                    <w:rPr>
                      <w:sz w:val="20"/>
                      <w:szCs w:val="20"/>
                      <w:lang w:eastAsia="sk-SK"/>
                    </w:rPr>
                  </w:pPr>
                  <w:r>
                    <w:rPr>
                      <w:sz w:val="20"/>
                      <w:szCs w:val="20"/>
                    </w:rPr>
                    <w:t>Rumunsko</w:t>
                  </w:r>
                </w:p>
              </w:tc>
              <w:tc>
                <w:tcPr>
                  <w:tcW w:w="764" w:type="dxa"/>
                  <w:tcBorders>
                    <w:top w:val="nil"/>
                    <w:left w:val="nil"/>
                    <w:bottom w:val="nil"/>
                    <w:right w:val="nil"/>
                  </w:tcBorders>
                  <w:shd w:val="clear" w:color="auto" w:fill="auto"/>
                  <w:noWrap/>
                  <w:vAlign w:val="center"/>
                  <w:hideMark/>
                </w:tcPr>
                <w:p w14:paraId="38275DF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-9,2</w:t>
                  </w:r>
                </w:p>
              </w:tc>
              <w:tc>
                <w:tcPr>
                  <w:tcW w:w="826" w:type="dxa"/>
                  <w:tcBorders>
                    <w:top w:val="nil"/>
                    <w:left w:val="nil"/>
                    <w:bottom w:val="nil"/>
                    <w:right w:val="nil"/>
                  </w:tcBorders>
                  <w:shd w:val="clear" w:color="auto" w:fill="auto"/>
                  <w:noWrap/>
                  <w:vAlign w:val="center"/>
                  <w:hideMark/>
                </w:tcPr>
                <w:p w14:paraId="594D852E"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-7,1</w:t>
                  </w:r>
                </w:p>
              </w:tc>
              <w:tc>
                <w:tcPr>
                  <w:tcW w:w="742" w:type="dxa"/>
                  <w:tcBorders>
                    <w:top w:val="nil"/>
                    <w:left w:val="nil"/>
                    <w:bottom w:val="nil"/>
                    <w:right w:val="nil"/>
                  </w:tcBorders>
                  <w:shd w:val="clear" w:color="auto" w:fill="auto"/>
                  <w:noWrap/>
                  <w:vAlign w:val="center"/>
                  <w:hideMark/>
                </w:tcPr>
                <w:p w14:paraId="0DFB207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-6,2</w:t>
                  </w:r>
                </w:p>
              </w:tc>
              <w:tc>
                <w:tcPr>
                  <w:tcW w:w="728" w:type="dxa"/>
                  <w:tcBorders>
                    <w:top w:val="nil"/>
                    <w:left w:val="nil"/>
                    <w:bottom w:val="nil"/>
                    <w:right w:val="nil"/>
                  </w:tcBorders>
                  <w:shd w:val="clear" w:color="auto" w:fill="auto"/>
                  <w:noWrap/>
                  <w:vAlign w:val="center"/>
                  <w:hideMark/>
                </w:tcPr>
                <w:p w14:paraId="761A08AA"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0,9</w:t>
                  </w:r>
                </w:p>
              </w:tc>
              <w:tc>
                <w:tcPr>
                  <w:tcW w:w="1453" w:type="dxa"/>
                  <w:tcBorders>
                    <w:top w:val="nil"/>
                    <w:left w:val="single" w:sz="4" w:space="0" w:color="auto"/>
                    <w:bottom w:val="nil"/>
                    <w:right w:val="nil"/>
                  </w:tcBorders>
                  <w:shd w:val="clear" w:color="auto" w:fill="auto"/>
                  <w:noWrap/>
                  <w:vAlign w:val="center"/>
                  <w:hideMark/>
                </w:tcPr>
                <w:p w14:paraId="5FCB56DE" w14:textId="77777777" w:rsidR="003A0696" w:rsidRPr="00E03AC1" w:rsidRDefault="003A0696" w:rsidP="003A0696">
                  <w:pPr>
                    <w:spacing w:after="0" w:line="240" w:lineRule="auto"/>
                    <w:rPr>
                      <w:sz w:val="20"/>
                      <w:szCs w:val="20"/>
                      <w:lang w:eastAsia="sk-SK"/>
                    </w:rPr>
                  </w:pPr>
                  <w:r>
                    <w:rPr>
                      <w:sz w:val="20"/>
                      <w:szCs w:val="20"/>
                    </w:rPr>
                    <w:t>Portugalsko</w:t>
                  </w:r>
                </w:p>
              </w:tc>
              <w:tc>
                <w:tcPr>
                  <w:tcW w:w="843" w:type="dxa"/>
                  <w:tcBorders>
                    <w:top w:val="nil"/>
                    <w:left w:val="nil"/>
                    <w:bottom w:val="nil"/>
                    <w:right w:val="nil"/>
                  </w:tcBorders>
                  <w:shd w:val="clear" w:color="auto" w:fill="auto"/>
                  <w:noWrap/>
                  <w:vAlign w:val="center"/>
                  <w:hideMark/>
                </w:tcPr>
                <w:p w14:paraId="16D07F4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134,9</w:t>
                  </w:r>
                </w:p>
              </w:tc>
              <w:tc>
                <w:tcPr>
                  <w:tcW w:w="843" w:type="dxa"/>
                  <w:tcBorders>
                    <w:top w:val="nil"/>
                    <w:left w:val="nil"/>
                    <w:bottom w:val="nil"/>
                    <w:right w:val="nil"/>
                  </w:tcBorders>
                  <w:shd w:val="clear" w:color="auto" w:fill="auto"/>
                  <w:noWrap/>
                  <w:vAlign w:val="center"/>
                  <w:hideMark/>
                </w:tcPr>
                <w:p w14:paraId="57AEBD1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125,4</w:t>
                  </w:r>
                </w:p>
              </w:tc>
              <w:tc>
                <w:tcPr>
                  <w:tcW w:w="864" w:type="dxa"/>
                  <w:tcBorders>
                    <w:top w:val="nil"/>
                    <w:left w:val="nil"/>
                    <w:bottom w:val="nil"/>
                    <w:right w:val="nil"/>
                  </w:tcBorders>
                  <w:shd w:val="clear" w:color="auto" w:fill="auto"/>
                  <w:noWrap/>
                  <w:vAlign w:val="center"/>
                  <w:hideMark/>
                </w:tcPr>
                <w:p w14:paraId="6598614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113,9</w:t>
                  </w:r>
                </w:p>
              </w:tc>
              <w:tc>
                <w:tcPr>
                  <w:tcW w:w="799" w:type="dxa"/>
                  <w:tcBorders>
                    <w:top w:val="nil"/>
                    <w:left w:val="nil"/>
                    <w:bottom w:val="nil"/>
                    <w:right w:val="single" w:sz="4" w:space="0" w:color="auto"/>
                  </w:tcBorders>
                  <w:shd w:val="clear" w:color="auto" w:fill="auto"/>
                  <w:noWrap/>
                  <w:vAlign w:val="center"/>
                  <w:hideMark/>
                </w:tcPr>
                <w:p w14:paraId="21D91021"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-11,5</w:t>
                  </w:r>
                </w:p>
              </w:tc>
            </w:tr>
            <w:tr w:rsidR="003A0696" w:rsidRPr="00E03AC1" w14:paraId="42F58CE5"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537CA551" w14:textId="77777777" w:rsidR="003A0696" w:rsidRPr="00E03AC1" w:rsidRDefault="003A0696" w:rsidP="003A0696">
                  <w:pPr>
                    <w:spacing w:after="0" w:line="240" w:lineRule="auto"/>
                    <w:rPr>
                      <w:sz w:val="20"/>
                      <w:szCs w:val="20"/>
                      <w:lang w:eastAsia="sk-SK"/>
                    </w:rPr>
                  </w:pPr>
                  <w:r>
                    <w:rPr>
                      <w:sz w:val="20"/>
                      <w:szCs w:val="20"/>
                    </w:rPr>
                    <w:t>Malta</w:t>
                  </w:r>
                </w:p>
              </w:tc>
              <w:tc>
                <w:tcPr>
                  <w:tcW w:w="764" w:type="dxa"/>
                  <w:tcBorders>
                    <w:top w:val="nil"/>
                    <w:left w:val="nil"/>
                    <w:bottom w:val="nil"/>
                    <w:right w:val="nil"/>
                  </w:tcBorders>
                  <w:shd w:val="clear" w:color="auto" w:fill="auto"/>
                  <w:noWrap/>
                  <w:vAlign w:val="center"/>
                  <w:hideMark/>
                </w:tcPr>
                <w:p w14:paraId="6FDEE81E"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-9,7</w:t>
                  </w:r>
                </w:p>
              </w:tc>
              <w:tc>
                <w:tcPr>
                  <w:tcW w:w="826" w:type="dxa"/>
                  <w:tcBorders>
                    <w:top w:val="nil"/>
                    <w:left w:val="nil"/>
                    <w:bottom w:val="nil"/>
                    <w:right w:val="nil"/>
                  </w:tcBorders>
                  <w:shd w:val="clear" w:color="auto" w:fill="auto"/>
                  <w:noWrap/>
                  <w:vAlign w:val="center"/>
                  <w:hideMark/>
                </w:tcPr>
                <w:p w14:paraId="557BC2FB"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-7,8</w:t>
                  </w:r>
                </w:p>
              </w:tc>
              <w:tc>
                <w:tcPr>
                  <w:tcW w:w="742" w:type="dxa"/>
                  <w:tcBorders>
                    <w:top w:val="nil"/>
                    <w:left w:val="nil"/>
                    <w:bottom w:val="nil"/>
                    <w:right w:val="nil"/>
                  </w:tcBorders>
                  <w:shd w:val="clear" w:color="auto" w:fill="auto"/>
                  <w:noWrap/>
                  <w:vAlign w:val="center"/>
                  <w:hideMark/>
                </w:tcPr>
                <w:p w14:paraId="07F3E93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-5,8</w:t>
                  </w:r>
                </w:p>
              </w:tc>
              <w:tc>
                <w:tcPr>
                  <w:tcW w:w="728" w:type="dxa"/>
                  <w:tcBorders>
                    <w:top w:val="nil"/>
                    <w:left w:val="nil"/>
                    <w:bottom w:val="nil"/>
                    <w:right w:val="nil"/>
                  </w:tcBorders>
                  <w:shd w:val="clear" w:color="auto" w:fill="auto"/>
                  <w:noWrap/>
                  <w:vAlign w:val="center"/>
                  <w:hideMark/>
                </w:tcPr>
                <w:p w14:paraId="3347524D"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2,0</w:t>
                  </w:r>
                </w:p>
              </w:tc>
              <w:tc>
                <w:tcPr>
                  <w:tcW w:w="1453" w:type="dxa"/>
                  <w:tcBorders>
                    <w:top w:val="nil"/>
                    <w:left w:val="single" w:sz="4" w:space="0" w:color="auto"/>
                    <w:bottom w:val="nil"/>
                    <w:right w:val="nil"/>
                  </w:tcBorders>
                  <w:shd w:val="clear" w:color="auto" w:fill="auto"/>
                  <w:noWrap/>
                  <w:vAlign w:val="center"/>
                  <w:hideMark/>
                </w:tcPr>
                <w:p w14:paraId="522D33F4" w14:textId="77777777" w:rsidR="003A0696" w:rsidRPr="00E03AC1" w:rsidRDefault="003A0696" w:rsidP="003A0696">
                  <w:pPr>
                    <w:spacing w:after="0" w:line="240" w:lineRule="auto"/>
                    <w:rPr>
                      <w:sz w:val="20"/>
                      <w:szCs w:val="20"/>
                      <w:lang w:eastAsia="sk-SK"/>
                    </w:rPr>
                  </w:pPr>
                  <w:r>
                    <w:rPr>
                      <w:sz w:val="20"/>
                      <w:szCs w:val="20"/>
                    </w:rPr>
                    <w:t>Španielsko</w:t>
                  </w:r>
                </w:p>
              </w:tc>
              <w:tc>
                <w:tcPr>
                  <w:tcW w:w="843" w:type="dxa"/>
                  <w:tcBorders>
                    <w:top w:val="nil"/>
                    <w:left w:val="nil"/>
                    <w:bottom w:val="nil"/>
                    <w:right w:val="nil"/>
                  </w:tcBorders>
                  <w:shd w:val="clear" w:color="auto" w:fill="auto"/>
                  <w:noWrap/>
                  <w:vAlign w:val="center"/>
                  <w:hideMark/>
                </w:tcPr>
                <w:p w14:paraId="2B2F0BA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120,4</w:t>
                  </w:r>
                </w:p>
              </w:tc>
              <w:tc>
                <w:tcPr>
                  <w:tcW w:w="843" w:type="dxa"/>
                  <w:tcBorders>
                    <w:top w:val="nil"/>
                    <w:left w:val="nil"/>
                    <w:bottom w:val="nil"/>
                    <w:right w:val="nil"/>
                  </w:tcBorders>
                  <w:shd w:val="clear" w:color="auto" w:fill="auto"/>
                  <w:noWrap/>
                  <w:vAlign w:val="center"/>
                  <w:hideMark/>
                </w:tcPr>
                <w:p w14:paraId="46DE003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118,3</w:t>
                  </w:r>
                </w:p>
              </w:tc>
              <w:tc>
                <w:tcPr>
                  <w:tcW w:w="864" w:type="dxa"/>
                  <w:tcBorders>
                    <w:top w:val="nil"/>
                    <w:left w:val="nil"/>
                    <w:bottom w:val="nil"/>
                    <w:right w:val="nil"/>
                  </w:tcBorders>
                  <w:shd w:val="clear" w:color="auto" w:fill="auto"/>
                  <w:noWrap/>
                  <w:vAlign w:val="center"/>
                  <w:hideMark/>
                </w:tcPr>
                <w:p w14:paraId="4DBB514A"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113,2</w:t>
                  </w:r>
                </w:p>
              </w:tc>
              <w:tc>
                <w:tcPr>
                  <w:tcW w:w="799" w:type="dxa"/>
                  <w:tcBorders>
                    <w:top w:val="nil"/>
                    <w:left w:val="nil"/>
                    <w:bottom w:val="nil"/>
                    <w:right w:val="single" w:sz="4" w:space="0" w:color="auto"/>
                  </w:tcBorders>
                  <w:shd w:val="clear" w:color="auto" w:fill="auto"/>
                  <w:noWrap/>
                  <w:vAlign w:val="center"/>
                  <w:hideMark/>
                </w:tcPr>
                <w:p w14:paraId="262A61C5"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-5,1</w:t>
                  </w:r>
                </w:p>
              </w:tc>
            </w:tr>
            <w:tr w:rsidR="003A0696" w:rsidRPr="00E03AC1" w14:paraId="26F725B6"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612B0E39" w14:textId="77777777" w:rsidR="003A0696" w:rsidRPr="00E03AC1" w:rsidRDefault="003A0696" w:rsidP="003A0696">
                  <w:pPr>
                    <w:spacing w:after="0" w:line="240" w:lineRule="auto"/>
                    <w:rPr>
                      <w:sz w:val="20"/>
                      <w:szCs w:val="20"/>
                      <w:lang w:eastAsia="sk-SK"/>
                    </w:rPr>
                  </w:pPr>
                  <w:r>
                    <w:rPr>
                      <w:sz w:val="20"/>
                      <w:szCs w:val="20"/>
                    </w:rPr>
                    <w:t>Španielsko</w:t>
                  </w:r>
                </w:p>
              </w:tc>
              <w:tc>
                <w:tcPr>
                  <w:tcW w:w="764" w:type="dxa"/>
                  <w:tcBorders>
                    <w:top w:val="nil"/>
                    <w:left w:val="nil"/>
                    <w:bottom w:val="nil"/>
                    <w:right w:val="nil"/>
                  </w:tcBorders>
                  <w:shd w:val="clear" w:color="auto" w:fill="auto"/>
                  <w:noWrap/>
                  <w:vAlign w:val="center"/>
                  <w:hideMark/>
                </w:tcPr>
                <w:p w14:paraId="4BCD832A"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-10,1</w:t>
                  </w:r>
                </w:p>
              </w:tc>
              <w:tc>
                <w:tcPr>
                  <w:tcW w:w="826" w:type="dxa"/>
                  <w:tcBorders>
                    <w:top w:val="nil"/>
                    <w:left w:val="nil"/>
                    <w:bottom w:val="nil"/>
                    <w:right w:val="nil"/>
                  </w:tcBorders>
                  <w:shd w:val="clear" w:color="auto" w:fill="auto"/>
                  <w:noWrap/>
                  <w:vAlign w:val="center"/>
                  <w:hideMark/>
                </w:tcPr>
                <w:p w14:paraId="262DAFA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-6,9</w:t>
                  </w:r>
                </w:p>
              </w:tc>
              <w:tc>
                <w:tcPr>
                  <w:tcW w:w="742" w:type="dxa"/>
                  <w:tcBorders>
                    <w:top w:val="nil"/>
                    <w:left w:val="nil"/>
                    <w:bottom w:val="nil"/>
                    <w:right w:val="nil"/>
                  </w:tcBorders>
                  <w:shd w:val="clear" w:color="auto" w:fill="auto"/>
                  <w:noWrap/>
                  <w:vAlign w:val="center"/>
                  <w:hideMark/>
                </w:tcPr>
                <w:p w14:paraId="41B8B23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-4,8</w:t>
                  </w:r>
                </w:p>
              </w:tc>
              <w:tc>
                <w:tcPr>
                  <w:tcW w:w="728" w:type="dxa"/>
                  <w:tcBorders>
                    <w:top w:val="nil"/>
                    <w:left w:val="nil"/>
                    <w:bottom w:val="nil"/>
                    <w:right w:val="nil"/>
                  </w:tcBorders>
                  <w:shd w:val="clear" w:color="auto" w:fill="auto"/>
                  <w:noWrap/>
                  <w:vAlign w:val="center"/>
                  <w:hideMark/>
                </w:tcPr>
                <w:p w14:paraId="659A07A7"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2,1</w:t>
                  </w:r>
                </w:p>
              </w:tc>
              <w:tc>
                <w:tcPr>
                  <w:tcW w:w="1453" w:type="dxa"/>
                  <w:tcBorders>
                    <w:top w:val="nil"/>
                    <w:left w:val="single" w:sz="4" w:space="0" w:color="auto"/>
                    <w:bottom w:val="nil"/>
                    <w:right w:val="nil"/>
                  </w:tcBorders>
                  <w:shd w:val="clear" w:color="auto" w:fill="auto"/>
                  <w:noWrap/>
                  <w:vAlign w:val="center"/>
                  <w:hideMark/>
                </w:tcPr>
                <w:p w14:paraId="61246E6D" w14:textId="77777777" w:rsidR="003A0696" w:rsidRPr="00E03AC1" w:rsidRDefault="003A0696" w:rsidP="003A0696">
                  <w:pPr>
                    <w:spacing w:after="0" w:line="240" w:lineRule="auto"/>
                    <w:rPr>
                      <w:sz w:val="20"/>
                      <w:szCs w:val="20"/>
                      <w:lang w:eastAsia="sk-SK"/>
                    </w:rPr>
                  </w:pPr>
                  <w:r>
                    <w:rPr>
                      <w:sz w:val="20"/>
                      <w:szCs w:val="20"/>
                    </w:rPr>
                    <w:t>Francúzsko</w:t>
                  </w:r>
                </w:p>
              </w:tc>
              <w:tc>
                <w:tcPr>
                  <w:tcW w:w="843" w:type="dxa"/>
                  <w:tcBorders>
                    <w:top w:val="nil"/>
                    <w:left w:val="nil"/>
                    <w:bottom w:val="nil"/>
                    <w:right w:val="nil"/>
                  </w:tcBorders>
                  <w:shd w:val="clear" w:color="auto" w:fill="auto"/>
                  <w:noWrap/>
                  <w:vAlign w:val="center"/>
                  <w:hideMark/>
                </w:tcPr>
                <w:p w14:paraId="4DAD46DB"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114,6</w:t>
                  </w:r>
                </w:p>
              </w:tc>
              <w:tc>
                <w:tcPr>
                  <w:tcW w:w="843" w:type="dxa"/>
                  <w:tcBorders>
                    <w:top w:val="nil"/>
                    <w:left w:val="nil"/>
                    <w:bottom w:val="nil"/>
                    <w:right w:val="nil"/>
                  </w:tcBorders>
                  <w:shd w:val="clear" w:color="auto" w:fill="auto"/>
                  <w:noWrap/>
                  <w:vAlign w:val="center"/>
                  <w:hideMark/>
                </w:tcPr>
                <w:p w14:paraId="0B8411AF"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112,9</w:t>
                  </w:r>
                </w:p>
              </w:tc>
              <w:tc>
                <w:tcPr>
                  <w:tcW w:w="864" w:type="dxa"/>
                  <w:tcBorders>
                    <w:top w:val="nil"/>
                    <w:left w:val="nil"/>
                    <w:bottom w:val="nil"/>
                    <w:right w:val="nil"/>
                  </w:tcBorders>
                  <w:shd w:val="clear" w:color="auto" w:fill="auto"/>
                  <w:noWrap/>
                  <w:vAlign w:val="center"/>
                  <w:hideMark/>
                </w:tcPr>
                <w:p w14:paraId="64A71D0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111,6</w:t>
                  </w:r>
                </w:p>
              </w:tc>
              <w:tc>
                <w:tcPr>
                  <w:tcW w:w="799" w:type="dxa"/>
                  <w:tcBorders>
                    <w:top w:val="nil"/>
                    <w:left w:val="nil"/>
                    <w:bottom w:val="nil"/>
                    <w:right w:val="single" w:sz="4" w:space="0" w:color="auto"/>
                  </w:tcBorders>
                  <w:shd w:val="clear" w:color="auto" w:fill="auto"/>
                  <w:noWrap/>
                  <w:vAlign w:val="center"/>
                  <w:hideMark/>
                </w:tcPr>
                <w:p w14:paraId="7A123138"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-1,3</w:t>
                  </w:r>
                </w:p>
              </w:tc>
            </w:tr>
            <w:tr w:rsidR="003A0696" w:rsidRPr="00E03AC1" w14:paraId="71D02625"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726E6E09" w14:textId="77777777" w:rsidR="003A0696" w:rsidRPr="00E03AC1" w:rsidRDefault="003A0696" w:rsidP="003A0696">
                  <w:pPr>
                    <w:spacing w:after="0" w:line="240" w:lineRule="auto"/>
                    <w:rPr>
                      <w:sz w:val="20"/>
                      <w:szCs w:val="20"/>
                      <w:lang w:eastAsia="sk-SK"/>
                    </w:rPr>
                  </w:pPr>
                  <w:r>
                    <w:rPr>
                      <w:sz w:val="20"/>
                      <w:szCs w:val="20"/>
                    </w:rPr>
                    <w:t>Francúzsko</w:t>
                  </w:r>
                </w:p>
              </w:tc>
              <w:tc>
                <w:tcPr>
                  <w:tcW w:w="764" w:type="dxa"/>
                  <w:tcBorders>
                    <w:top w:val="nil"/>
                    <w:left w:val="nil"/>
                    <w:bottom w:val="nil"/>
                    <w:right w:val="nil"/>
                  </w:tcBorders>
                  <w:shd w:val="clear" w:color="auto" w:fill="auto"/>
                  <w:noWrap/>
                  <w:vAlign w:val="center"/>
                  <w:hideMark/>
                </w:tcPr>
                <w:p w14:paraId="118054F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-9,0</w:t>
                  </w:r>
                </w:p>
              </w:tc>
              <w:tc>
                <w:tcPr>
                  <w:tcW w:w="826" w:type="dxa"/>
                  <w:tcBorders>
                    <w:top w:val="nil"/>
                    <w:left w:val="nil"/>
                    <w:bottom w:val="nil"/>
                    <w:right w:val="nil"/>
                  </w:tcBorders>
                  <w:shd w:val="clear" w:color="auto" w:fill="auto"/>
                  <w:noWrap/>
                  <w:vAlign w:val="center"/>
                  <w:hideMark/>
                </w:tcPr>
                <w:p w14:paraId="03477D31"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-6,5</w:t>
                  </w:r>
                </w:p>
              </w:tc>
              <w:tc>
                <w:tcPr>
                  <w:tcW w:w="742" w:type="dxa"/>
                  <w:tcBorders>
                    <w:top w:val="nil"/>
                    <w:left w:val="nil"/>
                    <w:bottom w:val="nil"/>
                    <w:right w:val="nil"/>
                  </w:tcBorders>
                  <w:shd w:val="clear" w:color="auto" w:fill="auto"/>
                  <w:noWrap/>
                  <w:vAlign w:val="center"/>
                  <w:hideMark/>
                </w:tcPr>
                <w:p w14:paraId="689A79E5"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-4,7</w:t>
                  </w:r>
                </w:p>
              </w:tc>
              <w:tc>
                <w:tcPr>
                  <w:tcW w:w="728" w:type="dxa"/>
                  <w:tcBorders>
                    <w:top w:val="nil"/>
                    <w:left w:val="nil"/>
                    <w:bottom w:val="nil"/>
                    <w:right w:val="nil"/>
                  </w:tcBorders>
                  <w:shd w:val="clear" w:color="auto" w:fill="auto"/>
                  <w:noWrap/>
                  <w:vAlign w:val="center"/>
                  <w:hideMark/>
                </w:tcPr>
                <w:p w14:paraId="09432FC5" w14:textId="77777777" w:rsidR="003A0696" w:rsidRPr="00E03AC1" w:rsidRDefault="003A0696" w:rsidP="003A0696">
                  <w:pPr>
                    <w:spacing w:after="0" w:line="240" w:lineRule="auto"/>
                    <w:ind w:firstLineChars="100" w:firstLine="200"/>
                    <w:jc w:val="center"/>
                    <w:rPr>
                      <w:color w:val="FF0000"/>
                      <w:sz w:val="20"/>
                      <w:szCs w:val="20"/>
                      <w:lang w:eastAsia="sk-SK"/>
                    </w:rPr>
                  </w:pPr>
                  <w:r>
                    <w:rPr>
                      <w:color w:val="00B050"/>
                      <w:sz w:val="20"/>
                      <w:szCs w:val="20"/>
                    </w:rPr>
                    <w:t>1,8</w:t>
                  </w:r>
                </w:p>
              </w:tc>
              <w:tc>
                <w:tcPr>
                  <w:tcW w:w="1453" w:type="dxa"/>
                  <w:tcBorders>
                    <w:top w:val="nil"/>
                    <w:left w:val="single" w:sz="4" w:space="0" w:color="auto"/>
                    <w:bottom w:val="nil"/>
                    <w:right w:val="nil"/>
                  </w:tcBorders>
                  <w:shd w:val="clear" w:color="auto" w:fill="auto"/>
                  <w:noWrap/>
                  <w:vAlign w:val="center"/>
                  <w:hideMark/>
                </w:tcPr>
                <w:p w14:paraId="718C606C" w14:textId="77777777" w:rsidR="003A0696" w:rsidRPr="00E03AC1" w:rsidRDefault="003A0696" w:rsidP="003A0696">
                  <w:pPr>
                    <w:spacing w:after="0" w:line="240" w:lineRule="auto"/>
                    <w:rPr>
                      <w:sz w:val="20"/>
                      <w:szCs w:val="20"/>
                      <w:lang w:eastAsia="sk-SK"/>
                    </w:rPr>
                  </w:pPr>
                  <w:r>
                    <w:rPr>
                      <w:sz w:val="20"/>
                      <w:szCs w:val="20"/>
                    </w:rPr>
                    <w:t>Belgicko</w:t>
                  </w:r>
                </w:p>
              </w:tc>
              <w:tc>
                <w:tcPr>
                  <w:tcW w:w="843" w:type="dxa"/>
                  <w:tcBorders>
                    <w:top w:val="nil"/>
                    <w:left w:val="nil"/>
                    <w:bottom w:val="nil"/>
                    <w:right w:val="nil"/>
                  </w:tcBorders>
                  <w:shd w:val="clear" w:color="auto" w:fill="auto"/>
                  <w:noWrap/>
                  <w:vAlign w:val="center"/>
                  <w:hideMark/>
                </w:tcPr>
                <w:p w14:paraId="315BF07E"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112,0</w:t>
                  </w:r>
                </w:p>
              </w:tc>
              <w:tc>
                <w:tcPr>
                  <w:tcW w:w="843" w:type="dxa"/>
                  <w:tcBorders>
                    <w:top w:val="nil"/>
                    <w:left w:val="nil"/>
                    <w:bottom w:val="nil"/>
                    <w:right w:val="nil"/>
                  </w:tcBorders>
                  <w:shd w:val="clear" w:color="auto" w:fill="auto"/>
                  <w:noWrap/>
                  <w:vAlign w:val="center"/>
                  <w:hideMark/>
                </w:tcPr>
                <w:p w14:paraId="2F25E2E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109,1</w:t>
                  </w:r>
                </w:p>
              </w:tc>
              <w:tc>
                <w:tcPr>
                  <w:tcW w:w="864" w:type="dxa"/>
                  <w:tcBorders>
                    <w:top w:val="nil"/>
                    <w:left w:val="nil"/>
                    <w:bottom w:val="nil"/>
                    <w:right w:val="nil"/>
                  </w:tcBorders>
                  <w:shd w:val="clear" w:color="auto" w:fill="auto"/>
                  <w:noWrap/>
                  <w:vAlign w:val="center"/>
                  <w:hideMark/>
                </w:tcPr>
                <w:p w14:paraId="5B7F46B5"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105,1</w:t>
                  </w:r>
                </w:p>
              </w:tc>
              <w:tc>
                <w:tcPr>
                  <w:tcW w:w="799" w:type="dxa"/>
                  <w:tcBorders>
                    <w:top w:val="nil"/>
                    <w:left w:val="nil"/>
                    <w:bottom w:val="nil"/>
                    <w:right w:val="single" w:sz="4" w:space="0" w:color="auto"/>
                  </w:tcBorders>
                  <w:shd w:val="clear" w:color="auto" w:fill="auto"/>
                  <w:noWrap/>
                  <w:vAlign w:val="center"/>
                  <w:hideMark/>
                </w:tcPr>
                <w:p w14:paraId="3CC878D4"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-4,0</w:t>
                  </w:r>
                </w:p>
              </w:tc>
            </w:tr>
            <w:tr w:rsidR="003A0696" w:rsidRPr="00E03AC1" w14:paraId="0EF8601A"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59543E12" w14:textId="77777777" w:rsidR="003A0696" w:rsidRPr="00E03AC1" w:rsidRDefault="003A0696" w:rsidP="003A0696">
                  <w:pPr>
                    <w:spacing w:after="0" w:line="240" w:lineRule="auto"/>
                    <w:rPr>
                      <w:sz w:val="20"/>
                      <w:szCs w:val="20"/>
                      <w:lang w:eastAsia="sk-SK"/>
                    </w:rPr>
                  </w:pPr>
                  <w:r>
                    <w:rPr>
                      <w:sz w:val="20"/>
                      <w:szCs w:val="20"/>
                    </w:rPr>
                    <w:t>Lotyšsko</w:t>
                  </w:r>
                </w:p>
              </w:tc>
              <w:tc>
                <w:tcPr>
                  <w:tcW w:w="764" w:type="dxa"/>
                  <w:tcBorders>
                    <w:top w:val="nil"/>
                    <w:left w:val="nil"/>
                    <w:bottom w:val="nil"/>
                    <w:right w:val="nil"/>
                  </w:tcBorders>
                  <w:shd w:val="clear" w:color="auto" w:fill="auto"/>
                  <w:noWrap/>
                  <w:vAlign w:val="center"/>
                  <w:hideMark/>
                </w:tcPr>
                <w:p w14:paraId="0FDE104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-4,4</w:t>
                  </w:r>
                </w:p>
              </w:tc>
              <w:tc>
                <w:tcPr>
                  <w:tcW w:w="826" w:type="dxa"/>
                  <w:tcBorders>
                    <w:top w:val="nil"/>
                    <w:left w:val="nil"/>
                    <w:bottom w:val="nil"/>
                    <w:right w:val="nil"/>
                  </w:tcBorders>
                  <w:shd w:val="clear" w:color="auto" w:fill="auto"/>
                  <w:noWrap/>
                  <w:vAlign w:val="center"/>
                  <w:hideMark/>
                </w:tcPr>
                <w:p w14:paraId="5523688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-7,1</w:t>
                  </w:r>
                </w:p>
              </w:tc>
              <w:tc>
                <w:tcPr>
                  <w:tcW w:w="742" w:type="dxa"/>
                  <w:tcBorders>
                    <w:top w:val="nil"/>
                    <w:left w:val="nil"/>
                    <w:bottom w:val="nil"/>
                    <w:right w:val="nil"/>
                  </w:tcBorders>
                  <w:shd w:val="clear" w:color="auto" w:fill="auto"/>
                  <w:noWrap/>
                  <w:vAlign w:val="center"/>
                  <w:hideMark/>
                </w:tcPr>
                <w:p w14:paraId="4A6E031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-4,4</w:t>
                  </w:r>
                </w:p>
              </w:tc>
              <w:tc>
                <w:tcPr>
                  <w:tcW w:w="728" w:type="dxa"/>
                  <w:tcBorders>
                    <w:top w:val="nil"/>
                    <w:left w:val="nil"/>
                    <w:bottom w:val="nil"/>
                    <w:right w:val="nil"/>
                  </w:tcBorders>
                  <w:shd w:val="clear" w:color="auto" w:fill="auto"/>
                  <w:noWrap/>
                  <w:vAlign w:val="center"/>
                  <w:hideMark/>
                </w:tcPr>
                <w:p w14:paraId="797999D0"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2,7</w:t>
                  </w:r>
                </w:p>
              </w:tc>
              <w:tc>
                <w:tcPr>
                  <w:tcW w:w="1453" w:type="dxa"/>
                  <w:tcBorders>
                    <w:top w:val="nil"/>
                    <w:left w:val="single" w:sz="4" w:space="0" w:color="auto"/>
                    <w:bottom w:val="nil"/>
                    <w:right w:val="nil"/>
                  </w:tcBorders>
                  <w:shd w:val="clear" w:color="auto" w:fill="auto"/>
                  <w:noWrap/>
                  <w:vAlign w:val="center"/>
                  <w:hideMark/>
                </w:tcPr>
                <w:p w14:paraId="490EC88F" w14:textId="77777777" w:rsidR="003A0696" w:rsidRPr="00E03AC1" w:rsidRDefault="003A0696" w:rsidP="003A0696">
                  <w:pPr>
                    <w:spacing w:after="0" w:line="240" w:lineRule="auto"/>
                    <w:rPr>
                      <w:sz w:val="20"/>
                      <w:szCs w:val="20"/>
                      <w:lang w:eastAsia="sk-SK"/>
                    </w:rPr>
                  </w:pPr>
                  <w:r>
                    <w:rPr>
                      <w:sz w:val="20"/>
                      <w:szCs w:val="20"/>
                    </w:rPr>
                    <w:t>Cyprus</w:t>
                  </w:r>
                </w:p>
              </w:tc>
              <w:tc>
                <w:tcPr>
                  <w:tcW w:w="843" w:type="dxa"/>
                  <w:tcBorders>
                    <w:top w:val="nil"/>
                    <w:left w:val="nil"/>
                    <w:bottom w:val="nil"/>
                    <w:right w:val="nil"/>
                  </w:tcBorders>
                  <w:shd w:val="clear" w:color="auto" w:fill="auto"/>
                  <w:noWrap/>
                  <w:vAlign w:val="center"/>
                  <w:hideMark/>
                </w:tcPr>
                <w:p w14:paraId="5730E380"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113,8</w:t>
                  </w:r>
                </w:p>
              </w:tc>
              <w:tc>
                <w:tcPr>
                  <w:tcW w:w="843" w:type="dxa"/>
                  <w:tcBorders>
                    <w:top w:val="nil"/>
                    <w:left w:val="nil"/>
                    <w:bottom w:val="nil"/>
                    <w:right w:val="nil"/>
                  </w:tcBorders>
                  <w:shd w:val="clear" w:color="auto" w:fill="auto"/>
                  <w:noWrap/>
                  <w:vAlign w:val="center"/>
                  <w:hideMark/>
                </w:tcPr>
                <w:p w14:paraId="09947F45"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101,2</w:t>
                  </w:r>
                </w:p>
              </w:tc>
              <w:tc>
                <w:tcPr>
                  <w:tcW w:w="864" w:type="dxa"/>
                  <w:tcBorders>
                    <w:top w:val="nil"/>
                    <w:left w:val="nil"/>
                    <w:bottom w:val="nil"/>
                    <w:right w:val="nil"/>
                  </w:tcBorders>
                  <w:shd w:val="clear" w:color="auto" w:fill="auto"/>
                  <w:noWrap/>
                  <w:vAlign w:val="center"/>
                  <w:hideMark/>
                </w:tcPr>
                <w:p w14:paraId="20E31E6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86,5</w:t>
                  </w:r>
                </w:p>
              </w:tc>
              <w:tc>
                <w:tcPr>
                  <w:tcW w:w="799" w:type="dxa"/>
                  <w:tcBorders>
                    <w:top w:val="nil"/>
                    <w:left w:val="nil"/>
                    <w:bottom w:val="nil"/>
                    <w:right w:val="single" w:sz="4" w:space="0" w:color="auto"/>
                  </w:tcBorders>
                  <w:shd w:val="clear" w:color="auto" w:fill="auto"/>
                  <w:noWrap/>
                  <w:vAlign w:val="center"/>
                  <w:hideMark/>
                </w:tcPr>
                <w:p w14:paraId="4412594B"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-14,7</w:t>
                  </w:r>
                </w:p>
              </w:tc>
            </w:tr>
            <w:tr w:rsidR="003A0696" w:rsidRPr="00E03AC1" w14:paraId="7A1B9901"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698B6E5B" w14:textId="77777777" w:rsidR="003A0696" w:rsidRPr="00E03AC1" w:rsidRDefault="003A0696" w:rsidP="003A0696">
                  <w:pPr>
                    <w:spacing w:after="0" w:line="240" w:lineRule="auto"/>
                    <w:rPr>
                      <w:sz w:val="20"/>
                      <w:szCs w:val="20"/>
                      <w:lang w:eastAsia="sk-SK"/>
                    </w:rPr>
                  </w:pPr>
                  <w:r>
                    <w:rPr>
                      <w:sz w:val="20"/>
                      <w:szCs w:val="20"/>
                    </w:rPr>
                    <w:t>Belgicko</w:t>
                  </w:r>
                </w:p>
              </w:tc>
              <w:tc>
                <w:tcPr>
                  <w:tcW w:w="764" w:type="dxa"/>
                  <w:tcBorders>
                    <w:top w:val="nil"/>
                    <w:left w:val="nil"/>
                    <w:bottom w:val="nil"/>
                    <w:right w:val="nil"/>
                  </w:tcBorders>
                  <w:shd w:val="clear" w:color="auto" w:fill="auto"/>
                  <w:noWrap/>
                  <w:vAlign w:val="center"/>
                  <w:hideMark/>
                </w:tcPr>
                <w:p w14:paraId="251579A5"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-9,0</w:t>
                  </w:r>
                </w:p>
              </w:tc>
              <w:tc>
                <w:tcPr>
                  <w:tcW w:w="826" w:type="dxa"/>
                  <w:tcBorders>
                    <w:top w:val="nil"/>
                    <w:left w:val="nil"/>
                    <w:bottom w:val="nil"/>
                    <w:right w:val="nil"/>
                  </w:tcBorders>
                  <w:shd w:val="clear" w:color="auto" w:fill="auto"/>
                  <w:noWrap/>
                  <w:vAlign w:val="center"/>
                  <w:hideMark/>
                </w:tcPr>
                <w:p w14:paraId="43E86796"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-5,5</w:t>
                  </w:r>
                </w:p>
              </w:tc>
              <w:tc>
                <w:tcPr>
                  <w:tcW w:w="742" w:type="dxa"/>
                  <w:tcBorders>
                    <w:top w:val="nil"/>
                    <w:left w:val="nil"/>
                    <w:bottom w:val="nil"/>
                    <w:right w:val="nil"/>
                  </w:tcBorders>
                  <w:shd w:val="clear" w:color="auto" w:fill="auto"/>
                  <w:noWrap/>
                  <w:vAlign w:val="center"/>
                  <w:hideMark/>
                </w:tcPr>
                <w:p w14:paraId="45DACB9F"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-3,9</w:t>
                  </w:r>
                </w:p>
              </w:tc>
              <w:tc>
                <w:tcPr>
                  <w:tcW w:w="728" w:type="dxa"/>
                  <w:tcBorders>
                    <w:top w:val="nil"/>
                    <w:left w:val="nil"/>
                    <w:bottom w:val="nil"/>
                    <w:right w:val="nil"/>
                  </w:tcBorders>
                  <w:shd w:val="clear" w:color="auto" w:fill="auto"/>
                  <w:noWrap/>
                  <w:vAlign w:val="center"/>
                  <w:hideMark/>
                </w:tcPr>
                <w:p w14:paraId="75C25C57"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1,6</w:t>
                  </w:r>
                </w:p>
              </w:tc>
              <w:tc>
                <w:tcPr>
                  <w:tcW w:w="1453" w:type="dxa"/>
                  <w:tcBorders>
                    <w:top w:val="nil"/>
                    <w:left w:val="single" w:sz="4" w:space="0" w:color="auto"/>
                    <w:bottom w:val="nil"/>
                    <w:right w:val="nil"/>
                  </w:tcBorders>
                  <w:shd w:val="clear" w:color="auto" w:fill="auto"/>
                  <w:noWrap/>
                  <w:vAlign w:val="center"/>
                  <w:hideMark/>
                </w:tcPr>
                <w:p w14:paraId="3C5D5DAE" w14:textId="77777777" w:rsidR="003A0696" w:rsidRPr="00E03AC1" w:rsidRDefault="003A0696" w:rsidP="003A0696">
                  <w:pPr>
                    <w:spacing w:after="0" w:line="240" w:lineRule="auto"/>
                    <w:rPr>
                      <w:sz w:val="20"/>
                      <w:szCs w:val="20"/>
                      <w:lang w:eastAsia="sk-SK"/>
                    </w:rPr>
                  </w:pPr>
                  <w:r>
                    <w:rPr>
                      <w:sz w:val="20"/>
                      <w:szCs w:val="20"/>
                    </w:rPr>
                    <w:t>Rakúsko</w:t>
                  </w:r>
                </w:p>
              </w:tc>
              <w:tc>
                <w:tcPr>
                  <w:tcW w:w="843" w:type="dxa"/>
                  <w:tcBorders>
                    <w:top w:val="nil"/>
                    <w:left w:val="nil"/>
                    <w:bottom w:val="nil"/>
                    <w:right w:val="nil"/>
                  </w:tcBorders>
                  <w:shd w:val="clear" w:color="auto" w:fill="auto"/>
                  <w:noWrap/>
                  <w:vAlign w:val="center"/>
                  <w:hideMark/>
                </w:tcPr>
                <w:p w14:paraId="64DFC196"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82,9</w:t>
                  </w:r>
                </w:p>
              </w:tc>
              <w:tc>
                <w:tcPr>
                  <w:tcW w:w="843" w:type="dxa"/>
                  <w:tcBorders>
                    <w:top w:val="nil"/>
                    <w:left w:val="nil"/>
                    <w:bottom w:val="nil"/>
                    <w:right w:val="nil"/>
                  </w:tcBorders>
                  <w:shd w:val="clear" w:color="auto" w:fill="auto"/>
                  <w:noWrap/>
                  <w:vAlign w:val="center"/>
                  <w:hideMark/>
                </w:tcPr>
                <w:p w14:paraId="77128E7A"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82,3</w:t>
                  </w:r>
                </w:p>
              </w:tc>
              <w:tc>
                <w:tcPr>
                  <w:tcW w:w="864" w:type="dxa"/>
                  <w:tcBorders>
                    <w:top w:val="nil"/>
                    <w:left w:val="nil"/>
                    <w:bottom w:val="nil"/>
                    <w:right w:val="nil"/>
                  </w:tcBorders>
                  <w:shd w:val="clear" w:color="auto" w:fill="auto"/>
                  <w:noWrap/>
                  <w:vAlign w:val="center"/>
                  <w:hideMark/>
                </w:tcPr>
                <w:p w14:paraId="1DF0C93F"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78,4</w:t>
                  </w:r>
                </w:p>
              </w:tc>
              <w:tc>
                <w:tcPr>
                  <w:tcW w:w="799" w:type="dxa"/>
                  <w:tcBorders>
                    <w:top w:val="nil"/>
                    <w:left w:val="nil"/>
                    <w:bottom w:val="nil"/>
                    <w:right w:val="single" w:sz="4" w:space="0" w:color="auto"/>
                  </w:tcBorders>
                  <w:shd w:val="clear" w:color="auto" w:fill="auto"/>
                  <w:noWrap/>
                  <w:vAlign w:val="center"/>
                  <w:hideMark/>
                </w:tcPr>
                <w:p w14:paraId="39653128"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-3,9</w:t>
                  </w:r>
                </w:p>
              </w:tc>
            </w:tr>
            <w:tr w:rsidR="003A0696" w:rsidRPr="00E03AC1" w14:paraId="1299BA5D"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0FC9B487" w14:textId="77777777" w:rsidR="003A0696" w:rsidRPr="00E03AC1" w:rsidRDefault="003A0696" w:rsidP="003A0696">
                  <w:pPr>
                    <w:spacing w:after="0" w:line="240" w:lineRule="auto"/>
                    <w:rPr>
                      <w:sz w:val="20"/>
                      <w:szCs w:val="20"/>
                      <w:lang w:eastAsia="sk-SK"/>
                    </w:rPr>
                  </w:pPr>
                  <w:r>
                    <w:rPr>
                      <w:sz w:val="20"/>
                      <w:szCs w:val="20"/>
                    </w:rPr>
                    <w:t>Poľsko</w:t>
                  </w:r>
                </w:p>
              </w:tc>
              <w:tc>
                <w:tcPr>
                  <w:tcW w:w="764" w:type="dxa"/>
                  <w:tcBorders>
                    <w:top w:val="nil"/>
                    <w:left w:val="nil"/>
                    <w:bottom w:val="nil"/>
                    <w:right w:val="nil"/>
                  </w:tcBorders>
                  <w:shd w:val="clear" w:color="auto" w:fill="auto"/>
                  <w:noWrap/>
                  <w:vAlign w:val="center"/>
                  <w:hideMark/>
                </w:tcPr>
                <w:p w14:paraId="481F479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-6,9</w:t>
                  </w:r>
                </w:p>
              </w:tc>
              <w:tc>
                <w:tcPr>
                  <w:tcW w:w="826" w:type="dxa"/>
                  <w:tcBorders>
                    <w:top w:val="nil"/>
                    <w:left w:val="nil"/>
                    <w:bottom w:val="nil"/>
                    <w:right w:val="nil"/>
                  </w:tcBorders>
                  <w:shd w:val="clear" w:color="auto" w:fill="auto"/>
                  <w:noWrap/>
                  <w:vAlign w:val="center"/>
                  <w:hideMark/>
                </w:tcPr>
                <w:p w14:paraId="7309DCDE"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-1,8</w:t>
                  </w:r>
                </w:p>
              </w:tc>
              <w:tc>
                <w:tcPr>
                  <w:tcW w:w="742" w:type="dxa"/>
                  <w:tcBorders>
                    <w:top w:val="nil"/>
                    <w:left w:val="nil"/>
                    <w:bottom w:val="nil"/>
                    <w:right w:val="nil"/>
                  </w:tcBorders>
                  <w:shd w:val="clear" w:color="auto" w:fill="auto"/>
                  <w:noWrap/>
                  <w:vAlign w:val="center"/>
                  <w:hideMark/>
                </w:tcPr>
                <w:p w14:paraId="5C6B244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-3,7</w:t>
                  </w:r>
                </w:p>
              </w:tc>
              <w:tc>
                <w:tcPr>
                  <w:tcW w:w="728" w:type="dxa"/>
                  <w:tcBorders>
                    <w:top w:val="nil"/>
                    <w:left w:val="nil"/>
                    <w:bottom w:val="nil"/>
                    <w:right w:val="nil"/>
                  </w:tcBorders>
                  <w:shd w:val="clear" w:color="auto" w:fill="auto"/>
                  <w:noWrap/>
                  <w:vAlign w:val="center"/>
                  <w:hideMark/>
                </w:tcPr>
                <w:p w14:paraId="155B02AC"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FF0000"/>
                      <w:sz w:val="20"/>
                      <w:szCs w:val="20"/>
                    </w:rPr>
                    <w:t>-1,9</w:t>
                  </w:r>
                </w:p>
              </w:tc>
              <w:tc>
                <w:tcPr>
                  <w:tcW w:w="1453" w:type="dxa"/>
                  <w:tcBorders>
                    <w:top w:val="nil"/>
                    <w:left w:val="single" w:sz="4" w:space="0" w:color="auto"/>
                    <w:bottom w:val="nil"/>
                    <w:right w:val="nil"/>
                  </w:tcBorders>
                  <w:shd w:val="clear" w:color="auto" w:fill="auto"/>
                  <w:noWrap/>
                  <w:vAlign w:val="center"/>
                  <w:hideMark/>
                </w:tcPr>
                <w:p w14:paraId="5F823C47" w14:textId="77777777" w:rsidR="003A0696" w:rsidRPr="00E03AC1" w:rsidRDefault="003A0696" w:rsidP="003A0696">
                  <w:pPr>
                    <w:spacing w:after="0" w:line="240" w:lineRule="auto"/>
                    <w:rPr>
                      <w:sz w:val="20"/>
                      <w:szCs w:val="20"/>
                      <w:lang w:eastAsia="sk-SK"/>
                    </w:rPr>
                  </w:pPr>
                  <w:r>
                    <w:rPr>
                      <w:sz w:val="20"/>
                      <w:szCs w:val="20"/>
                    </w:rPr>
                    <w:t>Maďarsko</w:t>
                  </w:r>
                </w:p>
              </w:tc>
              <w:tc>
                <w:tcPr>
                  <w:tcW w:w="843" w:type="dxa"/>
                  <w:tcBorders>
                    <w:top w:val="nil"/>
                    <w:left w:val="nil"/>
                    <w:bottom w:val="nil"/>
                    <w:right w:val="nil"/>
                  </w:tcBorders>
                  <w:shd w:val="clear" w:color="auto" w:fill="auto"/>
                  <w:noWrap/>
                  <w:vAlign w:val="center"/>
                  <w:hideMark/>
                </w:tcPr>
                <w:p w14:paraId="224F47B0"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79,3</w:t>
                  </w:r>
                </w:p>
              </w:tc>
              <w:tc>
                <w:tcPr>
                  <w:tcW w:w="843" w:type="dxa"/>
                  <w:tcBorders>
                    <w:top w:val="nil"/>
                    <w:left w:val="nil"/>
                    <w:bottom w:val="nil"/>
                    <w:right w:val="nil"/>
                  </w:tcBorders>
                  <w:shd w:val="clear" w:color="auto" w:fill="auto"/>
                  <w:noWrap/>
                  <w:vAlign w:val="center"/>
                  <w:hideMark/>
                </w:tcPr>
                <w:p w14:paraId="567DE0E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76,6</w:t>
                  </w:r>
                </w:p>
              </w:tc>
              <w:tc>
                <w:tcPr>
                  <w:tcW w:w="864" w:type="dxa"/>
                  <w:tcBorders>
                    <w:top w:val="nil"/>
                    <w:left w:val="nil"/>
                    <w:bottom w:val="nil"/>
                    <w:right w:val="nil"/>
                  </w:tcBorders>
                  <w:shd w:val="clear" w:color="auto" w:fill="auto"/>
                  <w:noWrap/>
                  <w:vAlign w:val="center"/>
                  <w:hideMark/>
                </w:tcPr>
                <w:p w14:paraId="362935EA"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73,3</w:t>
                  </w:r>
                </w:p>
              </w:tc>
              <w:tc>
                <w:tcPr>
                  <w:tcW w:w="799" w:type="dxa"/>
                  <w:tcBorders>
                    <w:top w:val="nil"/>
                    <w:left w:val="nil"/>
                    <w:bottom w:val="nil"/>
                    <w:right w:val="single" w:sz="4" w:space="0" w:color="auto"/>
                  </w:tcBorders>
                  <w:shd w:val="clear" w:color="auto" w:fill="auto"/>
                  <w:noWrap/>
                  <w:vAlign w:val="center"/>
                  <w:hideMark/>
                </w:tcPr>
                <w:p w14:paraId="6606167E"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-3,3</w:t>
                  </w:r>
                </w:p>
              </w:tc>
            </w:tr>
            <w:tr w:rsidR="003A0696" w:rsidRPr="00E03AC1" w14:paraId="3AB12B37"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2E8F4C6A" w14:textId="77777777" w:rsidR="003A0696" w:rsidRPr="00E03AC1" w:rsidRDefault="003A0696" w:rsidP="003A0696">
                  <w:pPr>
                    <w:spacing w:after="0" w:line="240" w:lineRule="auto"/>
                    <w:rPr>
                      <w:sz w:val="20"/>
                      <w:szCs w:val="20"/>
                      <w:lang w:eastAsia="sk-SK"/>
                    </w:rPr>
                  </w:pPr>
                  <w:r>
                    <w:rPr>
                      <w:sz w:val="20"/>
                      <w:szCs w:val="20"/>
                    </w:rPr>
                    <w:t>Česká republika</w:t>
                  </w:r>
                </w:p>
              </w:tc>
              <w:tc>
                <w:tcPr>
                  <w:tcW w:w="764" w:type="dxa"/>
                  <w:tcBorders>
                    <w:top w:val="nil"/>
                    <w:left w:val="nil"/>
                    <w:bottom w:val="nil"/>
                    <w:right w:val="nil"/>
                  </w:tcBorders>
                  <w:shd w:val="clear" w:color="auto" w:fill="auto"/>
                  <w:noWrap/>
                  <w:vAlign w:val="center"/>
                  <w:hideMark/>
                </w:tcPr>
                <w:p w14:paraId="4A73550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-5,8</w:t>
                  </w:r>
                </w:p>
              </w:tc>
              <w:tc>
                <w:tcPr>
                  <w:tcW w:w="826" w:type="dxa"/>
                  <w:tcBorders>
                    <w:top w:val="nil"/>
                    <w:left w:val="nil"/>
                    <w:bottom w:val="nil"/>
                    <w:right w:val="nil"/>
                  </w:tcBorders>
                  <w:shd w:val="clear" w:color="auto" w:fill="auto"/>
                  <w:noWrap/>
                  <w:vAlign w:val="center"/>
                  <w:hideMark/>
                </w:tcPr>
                <w:p w14:paraId="4592A5B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-5,1</w:t>
                  </w:r>
                </w:p>
              </w:tc>
              <w:tc>
                <w:tcPr>
                  <w:tcW w:w="742" w:type="dxa"/>
                  <w:tcBorders>
                    <w:top w:val="nil"/>
                    <w:left w:val="nil"/>
                    <w:bottom w:val="nil"/>
                    <w:right w:val="nil"/>
                  </w:tcBorders>
                  <w:shd w:val="clear" w:color="auto" w:fill="auto"/>
                  <w:noWrap/>
                  <w:vAlign w:val="center"/>
                  <w:hideMark/>
                </w:tcPr>
                <w:p w14:paraId="25EB6C91"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-3,6</w:t>
                  </w:r>
                </w:p>
              </w:tc>
              <w:tc>
                <w:tcPr>
                  <w:tcW w:w="728" w:type="dxa"/>
                  <w:tcBorders>
                    <w:top w:val="nil"/>
                    <w:left w:val="nil"/>
                    <w:bottom w:val="nil"/>
                    <w:right w:val="nil"/>
                  </w:tcBorders>
                  <w:shd w:val="clear" w:color="auto" w:fill="auto"/>
                  <w:noWrap/>
                  <w:vAlign w:val="center"/>
                  <w:hideMark/>
                </w:tcPr>
                <w:p w14:paraId="53B0B46A"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1,5</w:t>
                  </w:r>
                </w:p>
              </w:tc>
              <w:tc>
                <w:tcPr>
                  <w:tcW w:w="1453" w:type="dxa"/>
                  <w:tcBorders>
                    <w:top w:val="nil"/>
                    <w:left w:val="single" w:sz="4" w:space="0" w:color="auto"/>
                    <w:bottom w:val="nil"/>
                    <w:right w:val="nil"/>
                  </w:tcBorders>
                  <w:shd w:val="clear" w:color="auto" w:fill="auto"/>
                  <w:noWrap/>
                  <w:vAlign w:val="center"/>
                  <w:hideMark/>
                </w:tcPr>
                <w:p w14:paraId="3D063A1F" w14:textId="77777777" w:rsidR="003A0696" w:rsidRPr="00E03AC1" w:rsidRDefault="003A0696" w:rsidP="003A0696">
                  <w:pPr>
                    <w:spacing w:after="0" w:line="240" w:lineRule="auto"/>
                    <w:rPr>
                      <w:sz w:val="20"/>
                      <w:szCs w:val="20"/>
                      <w:lang w:eastAsia="sk-SK"/>
                    </w:rPr>
                  </w:pPr>
                  <w:r>
                    <w:rPr>
                      <w:sz w:val="20"/>
                      <w:szCs w:val="20"/>
                    </w:rPr>
                    <w:t>Fínsko</w:t>
                  </w:r>
                </w:p>
              </w:tc>
              <w:tc>
                <w:tcPr>
                  <w:tcW w:w="843" w:type="dxa"/>
                  <w:tcBorders>
                    <w:top w:val="nil"/>
                    <w:left w:val="nil"/>
                    <w:bottom w:val="nil"/>
                    <w:right w:val="nil"/>
                  </w:tcBorders>
                  <w:shd w:val="clear" w:color="auto" w:fill="auto"/>
                  <w:noWrap/>
                  <w:vAlign w:val="center"/>
                  <w:hideMark/>
                </w:tcPr>
                <w:p w14:paraId="32F09B8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74,7</w:t>
                  </w:r>
                </w:p>
              </w:tc>
              <w:tc>
                <w:tcPr>
                  <w:tcW w:w="843" w:type="dxa"/>
                  <w:tcBorders>
                    <w:top w:val="nil"/>
                    <w:left w:val="nil"/>
                    <w:bottom w:val="nil"/>
                    <w:right w:val="nil"/>
                  </w:tcBorders>
                  <w:shd w:val="clear" w:color="auto" w:fill="auto"/>
                  <w:noWrap/>
                  <w:vAlign w:val="center"/>
                  <w:hideMark/>
                </w:tcPr>
                <w:p w14:paraId="538AF22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72,6</w:t>
                  </w:r>
                </w:p>
              </w:tc>
              <w:tc>
                <w:tcPr>
                  <w:tcW w:w="864" w:type="dxa"/>
                  <w:tcBorders>
                    <w:top w:val="nil"/>
                    <w:left w:val="nil"/>
                    <w:bottom w:val="nil"/>
                    <w:right w:val="nil"/>
                  </w:tcBorders>
                  <w:shd w:val="clear" w:color="auto" w:fill="auto"/>
                  <w:noWrap/>
                  <w:vAlign w:val="center"/>
                  <w:hideMark/>
                </w:tcPr>
                <w:p w14:paraId="14782B1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73,0</w:t>
                  </w:r>
                </w:p>
              </w:tc>
              <w:tc>
                <w:tcPr>
                  <w:tcW w:w="799" w:type="dxa"/>
                  <w:tcBorders>
                    <w:top w:val="nil"/>
                    <w:left w:val="nil"/>
                    <w:bottom w:val="nil"/>
                    <w:right w:val="single" w:sz="4" w:space="0" w:color="auto"/>
                  </w:tcBorders>
                  <w:shd w:val="clear" w:color="auto" w:fill="auto"/>
                  <w:noWrap/>
                  <w:vAlign w:val="center"/>
                  <w:hideMark/>
                </w:tcPr>
                <w:p w14:paraId="6119ED4A"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FF0000"/>
                      <w:sz w:val="20"/>
                      <w:szCs w:val="20"/>
                    </w:rPr>
                    <w:t>0,4</w:t>
                  </w:r>
                </w:p>
              </w:tc>
            </w:tr>
            <w:tr w:rsidR="003A0696" w:rsidRPr="00E03AC1" w14:paraId="2DB122E9"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39D3B612" w14:textId="77777777" w:rsidR="003A0696" w:rsidRPr="00E03AC1" w:rsidRDefault="003A0696" w:rsidP="003A0696">
                  <w:pPr>
                    <w:spacing w:after="0" w:line="240" w:lineRule="auto"/>
                    <w:rPr>
                      <w:b/>
                      <w:bCs/>
                      <w:sz w:val="20"/>
                      <w:szCs w:val="20"/>
                      <w:lang w:eastAsia="sk-SK"/>
                    </w:rPr>
                  </w:pPr>
                  <w:r>
                    <w:rPr>
                      <w:sz w:val="20"/>
                      <w:szCs w:val="20"/>
                    </w:rPr>
                    <w:t>Rakúsko</w:t>
                  </w:r>
                </w:p>
              </w:tc>
              <w:tc>
                <w:tcPr>
                  <w:tcW w:w="764" w:type="dxa"/>
                  <w:tcBorders>
                    <w:top w:val="nil"/>
                    <w:left w:val="nil"/>
                    <w:bottom w:val="nil"/>
                    <w:right w:val="nil"/>
                  </w:tcBorders>
                  <w:shd w:val="clear" w:color="auto" w:fill="auto"/>
                  <w:noWrap/>
                  <w:vAlign w:val="center"/>
                  <w:hideMark/>
                </w:tcPr>
                <w:p w14:paraId="09FCA942" w14:textId="77777777" w:rsidR="003A0696" w:rsidRPr="00E03AC1" w:rsidRDefault="003A0696" w:rsidP="003A0696">
                  <w:pPr>
                    <w:spacing w:after="0" w:line="240" w:lineRule="auto"/>
                    <w:ind w:firstLineChars="100" w:firstLine="200"/>
                    <w:jc w:val="right"/>
                    <w:rPr>
                      <w:b/>
                      <w:bCs/>
                      <w:color w:val="000000"/>
                      <w:sz w:val="20"/>
                      <w:szCs w:val="20"/>
                      <w:lang w:eastAsia="sk-SK"/>
                    </w:rPr>
                  </w:pPr>
                  <w:r>
                    <w:rPr>
                      <w:color w:val="000000"/>
                      <w:sz w:val="20"/>
                      <w:szCs w:val="20"/>
                    </w:rPr>
                    <w:t>-8,0</w:t>
                  </w:r>
                </w:p>
              </w:tc>
              <w:tc>
                <w:tcPr>
                  <w:tcW w:w="826" w:type="dxa"/>
                  <w:tcBorders>
                    <w:top w:val="nil"/>
                    <w:left w:val="nil"/>
                    <w:bottom w:val="nil"/>
                    <w:right w:val="nil"/>
                  </w:tcBorders>
                  <w:shd w:val="clear" w:color="auto" w:fill="auto"/>
                  <w:noWrap/>
                  <w:vAlign w:val="center"/>
                  <w:hideMark/>
                </w:tcPr>
                <w:p w14:paraId="3CF5FEDA" w14:textId="77777777" w:rsidR="003A0696" w:rsidRPr="00E03AC1" w:rsidRDefault="003A0696" w:rsidP="003A0696">
                  <w:pPr>
                    <w:spacing w:after="0" w:line="240" w:lineRule="auto"/>
                    <w:ind w:firstLineChars="100" w:firstLine="200"/>
                    <w:jc w:val="right"/>
                    <w:rPr>
                      <w:b/>
                      <w:bCs/>
                      <w:color w:val="000000"/>
                      <w:sz w:val="20"/>
                      <w:szCs w:val="20"/>
                      <w:lang w:eastAsia="sk-SK"/>
                    </w:rPr>
                  </w:pPr>
                  <w:r>
                    <w:rPr>
                      <w:color w:val="000000"/>
                      <w:sz w:val="20"/>
                      <w:szCs w:val="20"/>
                    </w:rPr>
                    <w:t>-5,8</w:t>
                  </w:r>
                </w:p>
              </w:tc>
              <w:tc>
                <w:tcPr>
                  <w:tcW w:w="742" w:type="dxa"/>
                  <w:tcBorders>
                    <w:top w:val="nil"/>
                    <w:left w:val="nil"/>
                    <w:bottom w:val="nil"/>
                    <w:right w:val="nil"/>
                  </w:tcBorders>
                  <w:shd w:val="clear" w:color="auto" w:fill="auto"/>
                  <w:noWrap/>
                  <w:vAlign w:val="center"/>
                  <w:hideMark/>
                </w:tcPr>
                <w:p w14:paraId="443EBBAD" w14:textId="77777777" w:rsidR="003A0696" w:rsidRPr="00E03AC1" w:rsidRDefault="003A0696" w:rsidP="003A0696">
                  <w:pPr>
                    <w:spacing w:after="0" w:line="240" w:lineRule="auto"/>
                    <w:ind w:firstLineChars="100" w:firstLine="200"/>
                    <w:jc w:val="right"/>
                    <w:rPr>
                      <w:b/>
                      <w:bCs/>
                      <w:color w:val="000000"/>
                      <w:sz w:val="20"/>
                      <w:szCs w:val="20"/>
                      <w:lang w:eastAsia="sk-SK"/>
                    </w:rPr>
                  </w:pPr>
                  <w:r>
                    <w:rPr>
                      <w:color w:val="000000"/>
                      <w:sz w:val="20"/>
                      <w:szCs w:val="20"/>
                    </w:rPr>
                    <w:t>-3,2</w:t>
                  </w:r>
                </w:p>
              </w:tc>
              <w:tc>
                <w:tcPr>
                  <w:tcW w:w="728" w:type="dxa"/>
                  <w:tcBorders>
                    <w:top w:val="nil"/>
                    <w:left w:val="nil"/>
                    <w:bottom w:val="nil"/>
                    <w:right w:val="nil"/>
                  </w:tcBorders>
                  <w:shd w:val="clear" w:color="auto" w:fill="auto"/>
                  <w:noWrap/>
                  <w:vAlign w:val="center"/>
                  <w:hideMark/>
                </w:tcPr>
                <w:p w14:paraId="35B2A474" w14:textId="77777777" w:rsidR="003A0696" w:rsidRPr="000A5316" w:rsidRDefault="003A0696" w:rsidP="003A0696">
                  <w:pPr>
                    <w:spacing w:after="0" w:line="240" w:lineRule="auto"/>
                    <w:ind w:firstLineChars="100" w:firstLine="200"/>
                    <w:jc w:val="center"/>
                    <w:rPr>
                      <w:b/>
                      <w:color w:val="FF0000"/>
                      <w:sz w:val="20"/>
                      <w:szCs w:val="20"/>
                      <w:lang w:eastAsia="sk-SK"/>
                    </w:rPr>
                  </w:pPr>
                  <w:r>
                    <w:rPr>
                      <w:color w:val="00B050"/>
                      <w:sz w:val="20"/>
                      <w:szCs w:val="20"/>
                    </w:rPr>
                    <w:t>2,6</w:t>
                  </w:r>
                </w:p>
              </w:tc>
              <w:tc>
                <w:tcPr>
                  <w:tcW w:w="1453" w:type="dxa"/>
                  <w:tcBorders>
                    <w:top w:val="nil"/>
                    <w:left w:val="single" w:sz="4" w:space="0" w:color="auto"/>
                    <w:bottom w:val="nil"/>
                    <w:right w:val="nil"/>
                  </w:tcBorders>
                  <w:shd w:val="clear" w:color="auto" w:fill="auto"/>
                  <w:noWrap/>
                  <w:vAlign w:val="center"/>
                  <w:hideMark/>
                </w:tcPr>
                <w:p w14:paraId="215BD05B" w14:textId="77777777" w:rsidR="003A0696" w:rsidRPr="00E03AC1" w:rsidRDefault="003A0696" w:rsidP="003A0696">
                  <w:pPr>
                    <w:spacing w:after="0" w:line="240" w:lineRule="auto"/>
                    <w:rPr>
                      <w:sz w:val="20"/>
                      <w:szCs w:val="20"/>
                      <w:lang w:eastAsia="sk-SK"/>
                    </w:rPr>
                  </w:pPr>
                  <w:r>
                    <w:rPr>
                      <w:sz w:val="20"/>
                      <w:szCs w:val="20"/>
                    </w:rPr>
                    <w:t>Slovinsko</w:t>
                  </w:r>
                </w:p>
              </w:tc>
              <w:tc>
                <w:tcPr>
                  <w:tcW w:w="843" w:type="dxa"/>
                  <w:tcBorders>
                    <w:top w:val="nil"/>
                    <w:left w:val="nil"/>
                    <w:bottom w:val="nil"/>
                    <w:right w:val="nil"/>
                  </w:tcBorders>
                  <w:shd w:val="clear" w:color="auto" w:fill="auto"/>
                  <w:noWrap/>
                  <w:vAlign w:val="center"/>
                  <w:hideMark/>
                </w:tcPr>
                <w:p w14:paraId="5A550135"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79,6</w:t>
                  </w:r>
                </w:p>
              </w:tc>
              <w:tc>
                <w:tcPr>
                  <w:tcW w:w="843" w:type="dxa"/>
                  <w:tcBorders>
                    <w:top w:val="nil"/>
                    <w:left w:val="nil"/>
                    <w:bottom w:val="nil"/>
                    <w:right w:val="nil"/>
                  </w:tcBorders>
                  <w:shd w:val="clear" w:color="auto" w:fill="auto"/>
                  <w:noWrap/>
                  <w:vAlign w:val="center"/>
                  <w:hideMark/>
                </w:tcPr>
                <w:p w14:paraId="0A1C396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74,5</w:t>
                  </w:r>
                </w:p>
              </w:tc>
              <w:tc>
                <w:tcPr>
                  <w:tcW w:w="864" w:type="dxa"/>
                  <w:tcBorders>
                    <w:top w:val="nil"/>
                    <w:left w:val="nil"/>
                    <w:bottom w:val="nil"/>
                    <w:right w:val="nil"/>
                  </w:tcBorders>
                  <w:shd w:val="clear" w:color="auto" w:fill="auto"/>
                  <w:noWrap/>
                  <w:vAlign w:val="center"/>
                  <w:hideMark/>
                </w:tcPr>
                <w:p w14:paraId="77D2F48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69,9</w:t>
                  </w:r>
                </w:p>
              </w:tc>
              <w:tc>
                <w:tcPr>
                  <w:tcW w:w="799" w:type="dxa"/>
                  <w:tcBorders>
                    <w:top w:val="nil"/>
                    <w:left w:val="nil"/>
                    <w:bottom w:val="nil"/>
                    <w:right w:val="single" w:sz="4" w:space="0" w:color="auto"/>
                  </w:tcBorders>
                  <w:shd w:val="clear" w:color="auto" w:fill="auto"/>
                  <w:noWrap/>
                  <w:vAlign w:val="center"/>
                  <w:hideMark/>
                </w:tcPr>
                <w:p w14:paraId="72FB4C75"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-4,6</w:t>
                  </w:r>
                </w:p>
              </w:tc>
            </w:tr>
            <w:tr w:rsidR="003A0696" w:rsidRPr="00E03AC1" w14:paraId="4F184706"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7F95089A" w14:textId="77777777" w:rsidR="003A0696" w:rsidRPr="00E03AC1" w:rsidRDefault="003A0696" w:rsidP="003A0696">
                  <w:pPr>
                    <w:spacing w:after="0" w:line="240" w:lineRule="auto"/>
                    <w:ind w:right="-81"/>
                    <w:rPr>
                      <w:sz w:val="20"/>
                      <w:szCs w:val="20"/>
                      <w:lang w:eastAsia="sk-SK"/>
                    </w:rPr>
                  </w:pPr>
                  <w:r>
                    <w:rPr>
                      <w:sz w:val="20"/>
                      <w:szCs w:val="20"/>
                    </w:rPr>
                    <w:t>Slovinsko</w:t>
                  </w:r>
                </w:p>
              </w:tc>
              <w:tc>
                <w:tcPr>
                  <w:tcW w:w="764" w:type="dxa"/>
                  <w:tcBorders>
                    <w:top w:val="nil"/>
                    <w:left w:val="nil"/>
                    <w:bottom w:val="nil"/>
                    <w:right w:val="nil"/>
                  </w:tcBorders>
                  <w:shd w:val="clear" w:color="auto" w:fill="auto"/>
                  <w:noWrap/>
                  <w:vAlign w:val="center"/>
                  <w:hideMark/>
                </w:tcPr>
                <w:p w14:paraId="1377F27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-7,7</w:t>
                  </w:r>
                </w:p>
              </w:tc>
              <w:tc>
                <w:tcPr>
                  <w:tcW w:w="826" w:type="dxa"/>
                  <w:tcBorders>
                    <w:top w:val="nil"/>
                    <w:left w:val="nil"/>
                    <w:bottom w:val="nil"/>
                    <w:right w:val="nil"/>
                  </w:tcBorders>
                  <w:shd w:val="clear" w:color="auto" w:fill="auto"/>
                  <w:noWrap/>
                  <w:vAlign w:val="center"/>
                  <w:hideMark/>
                </w:tcPr>
                <w:p w14:paraId="7B9E404E"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-4,6</w:t>
                  </w:r>
                </w:p>
              </w:tc>
              <w:tc>
                <w:tcPr>
                  <w:tcW w:w="742" w:type="dxa"/>
                  <w:tcBorders>
                    <w:top w:val="nil"/>
                    <w:left w:val="nil"/>
                    <w:bottom w:val="nil"/>
                    <w:right w:val="nil"/>
                  </w:tcBorders>
                  <w:shd w:val="clear" w:color="auto" w:fill="auto"/>
                  <w:noWrap/>
                  <w:vAlign w:val="center"/>
                  <w:hideMark/>
                </w:tcPr>
                <w:p w14:paraId="0115F88F"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-3,0</w:t>
                  </w:r>
                </w:p>
              </w:tc>
              <w:tc>
                <w:tcPr>
                  <w:tcW w:w="728" w:type="dxa"/>
                  <w:tcBorders>
                    <w:top w:val="nil"/>
                    <w:left w:val="nil"/>
                    <w:bottom w:val="nil"/>
                    <w:right w:val="nil"/>
                  </w:tcBorders>
                  <w:shd w:val="clear" w:color="auto" w:fill="auto"/>
                  <w:noWrap/>
                  <w:vAlign w:val="center"/>
                  <w:hideMark/>
                </w:tcPr>
                <w:p w14:paraId="42ED421E"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1,6</w:t>
                  </w:r>
                </w:p>
              </w:tc>
              <w:tc>
                <w:tcPr>
                  <w:tcW w:w="1453" w:type="dxa"/>
                  <w:tcBorders>
                    <w:top w:val="nil"/>
                    <w:left w:val="single" w:sz="4" w:space="0" w:color="auto"/>
                    <w:bottom w:val="nil"/>
                    <w:right w:val="nil"/>
                  </w:tcBorders>
                  <w:shd w:val="clear" w:color="auto" w:fill="auto"/>
                  <w:noWrap/>
                  <w:vAlign w:val="center"/>
                  <w:hideMark/>
                </w:tcPr>
                <w:p w14:paraId="230E4D45" w14:textId="77777777" w:rsidR="003A0696" w:rsidRPr="00E03AC1" w:rsidRDefault="003A0696" w:rsidP="003A0696">
                  <w:pPr>
                    <w:spacing w:after="0" w:line="240" w:lineRule="auto"/>
                    <w:rPr>
                      <w:sz w:val="20"/>
                      <w:szCs w:val="20"/>
                      <w:lang w:eastAsia="sk-SK"/>
                    </w:rPr>
                  </w:pPr>
                  <w:r>
                    <w:rPr>
                      <w:sz w:val="20"/>
                      <w:szCs w:val="20"/>
                    </w:rPr>
                    <w:t>Chorvátsko</w:t>
                  </w:r>
                </w:p>
              </w:tc>
              <w:tc>
                <w:tcPr>
                  <w:tcW w:w="843" w:type="dxa"/>
                  <w:tcBorders>
                    <w:top w:val="nil"/>
                    <w:left w:val="nil"/>
                    <w:bottom w:val="nil"/>
                    <w:right w:val="nil"/>
                  </w:tcBorders>
                  <w:shd w:val="clear" w:color="auto" w:fill="auto"/>
                  <w:noWrap/>
                  <w:vAlign w:val="center"/>
                  <w:hideMark/>
                </w:tcPr>
                <w:p w14:paraId="76B7233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87,0</w:t>
                  </w:r>
                </w:p>
              </w:tc>
              <w:tc>
                <w:tcPr>
                  <w:tcW w:w="843" w:type="dxa"/>
                  <w:tcBorders>
                    <w:top w:val="nil"/>
                    <w:left w:val="nil"/>
                    <w:bottom w:val="nil"/>
                    <w:right w:val="nil"/>
                  </w:tcBorders>
                  <w:shd w:val="clear" w:color="auto" w:fill="auto"/>
                  <w:noWrap/>
                  <w:vAlign w:val="center"/>
                  <w:hideMark/>
                </w:tcPr>
                <w:p w14:paraId="6ACFA676"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78,4</w:t>
                  </w:r>
                </w:p>
              </w:tc>
              <w:tc>
                <w:tcPr>
                  <w:tcW w:w="864" w:type="dxa"/>
                  <w:tcBorders>
                    <w:top w:val="nil"/>
                    <w:left w:val="nil"/>
                    <w:bottom w:val="nil"/>
                    <w:right w:val="nil"/>
                  </w:tcBorders>
                  <w:shd w:val="clear" w:color="auto" w:fill="auto"/>
                  <w:noWrap/>
                  <w:vAlign w:val="center"/>
                  <w:hideMark/>
                </w:tcPr>
                <w:p w14:paraId="3B31EBD6"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68,4</w:t>
                  </w:r>
                </w:p>
              </w:tc>
              <w:tc>
                <w:tcPr>
                  <w:tcW w:w="799" w:type="dxa"/>
                  <w:tcBorders>
                    <w:top w:val="nil"/>
                    <w:left w:val="nil"/>
                    <w:bottom w:val="nil"/>
                    <w:right w:val="single" w:sz="4" w:space="0" w:color="auto"/>
                  </w:tcBorders>
                  <w:shd w:val="clear" w:color="auto" w:fill="auto"/>
                  <w:noWrap/>
                  <w:vAlign w:val="center"/>
                  <w:hideMark/>
                </w:tcPr>
                <w:p w14:paraId="05314B09"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-10,0</w:t>
                  </w:r>
                </w:p>
              </w:tc>
            </w:tr>
            <w:tr w:rsidR="003A0696" w:rsidRPr="00E03AC1" w14:paraId="25482762"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71699834" w14:textId="77777777" w:rsidR="003A0696" w:rsidRPr="00E03AC1" w:rsidRDefault="003A0696" w:rsidP="003A0696">
                  <w:pPr>
                    <w:spacing w:after="0" w:line="240" w:lineRule="auto"/>
                    <w:rPr>
                      <w:sz w:val="20"/>
                      <w:szCs w:val="20"/>
                      <w:lang w:eastAsia="sk-SK"/>
                    </w:rPr>
                  </w:pPr>
                  <w:r>
                    <w:rPr>
                      <w:sz w:val="20"/>
                      <w:szCs w:val="20"/>
                    </w:rPr>
                    <w:t>Bulharsko</w:t>
                  </w:r>
                </w:p>
              </w:tc>
              <w:tc>
                <w:tcPr>
                  <w:tcW w:w="764" w:type="dxa"/>
                  <w:tcBorders>
                    <w:top w:val="nil"/>
                    <w:left w:val="nil"/>
                    <w:bottom w:val="nil"/>
                    <w:right w:val="nil"/>
                  </w:tcBorders>
                  <w:shd w:val="clear" w:color="auto" w:fill="auto"/>
                  <w:noWrap/>
                  <w:vAlign w:val="center"/>
                  <w:hideMark/>
                </w:tcPr>
                <w:p w14:paraId="7B00F9B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-3,8</w:t>
                  </w:r>
                </w:p>
              </w:tc>
              <w:tc>
                <w:tcPr>
                  <w:tcW w:w="826" w:type="dxa"/>
                  <w:tcBorders>
                    <w:top w:val="nil"/>
                    <w:left w:val="nil"/>
                    <w:bottom w:val="nil"/>
                    <w:right w:val="nil"/>
                  </w:tcBorders>
                  <w:shd w:val="clear" w:color="auto" w:fill="auto"/>
                  <w:noWrap/>
                  <w:vAlign w:val="center"/>
                  <w:hideMark/>
                </w:tcPr>
                <w:p w14:paraId="6F7931B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-3,9</w:t>
                  </w:r>
                </w:p>
              </w:tc>
              <w:tc>
                <w:tcPr>
                  <w:tcW w:w="742" w:type="dxa"/>
                  <w:tcBorders>
                    <w:top w:val="nil"/>
                    <w:left w:val="nil"/>
                    <w:bottom w:val="nil"/>
                    <w:right w:val="nil"/>
                  </w:tcBorders>
                  <w:shd w:val="clear" w:color="auto" w:fill="auto"/>
                  <w:noWrap/>
                  <w:vAlign w:val="center"/>
                  <w:hideMark/>
                </w:tcPr>
                <w:p w14:paraId="1774BE3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-2,8</w:t>
                  </w:r>
                </w:p>
              </w:tc>
              <w:tc>
                <w:tcPr>
                  <w:tcW w:w="728" w:type="dxa"/>
                  <w:tcBorders>
                    <w:top w:val="nil"/>
                    <w:left w:val="nil"/>
                    <w:bottom w:val="nil"/>
                    <w:right w:val="nil"/>
                  </w:tcBorders>
                  <w:shd w:val="clear" w:color="auto" w:fill="auto"/>
                  <w:noWrap/>
                  <w:vAlign w:val="center"/>
                  <w:hideMark/>
                </w:tcPr>
                <w:p w14:paraId="74B19572"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1,1</w:t>
                  </w:r>
                </w:p>
              </w:tc>
              <w:tc>
                <w:tcPr>
                  <w:tcW w:w="1453" w:type="dxa"/>
                  <w:tcBorders>
                    <w:top w:val="nil"/>
                    <w:left w:val="single" w:sz="4" w:space="0" w:color="auto"/>
                    <w:bottom w:val="nil"/>
                    <w:right w:val="nil"/>
                  </w:tcBorders>
                  <w:shd w:val="clear" w:color="auto" w:fill="auto"/>
                  <w:noWrap/>
                  <w:vAlign w:val="center"/>
                  <w:hideMark/>
                </w:tcPr>
                <w:p w14:paraId="5BBF3E55" w14:textId="77777777" w:rsidR="003A0696" w:rsidRPr="00E03AC1" w:rsidRDefault="003A0696" w:rsidP="003A0696">
                  <w:pPr>
                    <w:spacing w:after="0" w:line="240" w:lineRule="auto"/>
                    <w:rPr>
                      <w:sz w:val="20"/>
                      <w:szCs w:val="20"/>
                      <w:lang w:eastAsia="sk-SK"/>
                    </w:rPr>
                  </w:pPr>
                  <w:r>
                    <w:rPr>
                      <w:sz w:val="20"/>
                      <w:szCs w:val="20"/>
                    </w:rPr>
                    <w:t>Nemecko</w:t>
                  </w:r>
                </w:p>
              </w:tc>
              <w:tc>
                <w:tcPr>
                  <w:tcW w:w="843" w:type="dxa"/>
                  <w:tcBorders>
                    <w:top w:val="nil"/>
                    <w:left w:val="nil"/>
                    <w:bottom w:val="nil"/>
                    <w:right w:val="nil"/>
                  </w:tcBorders>
                  <w:shd w:val="clear" w:color="auto" w:fill="auto"/>
                  <w:noWrap/>
                  <w:vAlign w:val="center"/>
                  <w:hideMark/>
                </w:tcPr>
                <w:p w14:paraId="52C72FE6"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68,7</w:t>
                  </w:r>
                </w:p>
              </w:tc>
              <w:tc>
                <w:tcPr>
                  <w:tcW w:w="843" w:type="dxa"/>
                  <w:tcBorders>
                    <w:top w:val="nil"/>
                    <w:left w:val="nil"/>
                    <w:bottom w:val="nil"/>
                    <w:right w:val="nil"/>
                  </w:tcBorders>
                  <w:shd w:val="clear" w:color="auto" w:fill="auto"/>
                  <w:noWrap/>
                  <w:vAlign w:val="center"/>
                  <w:hideMark/>
                </w:tcPr>
                <w:p w14:paraId="3E856F6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69,3</w:t>
                  </w:r>
                </w:p>
              </w:tc>
              <w:tc>
                <w:tcPr>
                  <w:tcW w:w="864" w:type="dxa"/>
                  <w:tcBorders>
                    <w:top w:val="nil"/>
                    <w:left w:val="nil"/>
                    <w:bottom w:val="nil"/>
                    <w:right w:val="nil"/>
                  </w:tcBorders>
                  <w:shd w:val="clear" w:color="auto" w:fill="auto"/>
                  <w:noWrap/>
                  <w:vAlign w:val="center"/>
                  <w:hideMark/>
                </w:tcPr>
                <w:p w14:paraId="200FD55B"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66,3</w:t>
                  </w:r>
                </w:p>
              </w:tc>
              <w:tc>
                <w:tcPr>
                  <w:tcW w:w="799" w:type="dxa"/>
                  <w:tcBorders>
                    <w:top w:val="nil"/>
                    <w:left w:val="nil"/>
                    <w:bottom w:val="nil"/>
                    <w:right w:val="single" w:sz="4" w:space="0" w:color="auto"/>
                  </w:tcBorders>
                  <w:shd w:val="clear" w:color="auto" w:fill="auto"/>
                  <w:noWrap/>
                  <w:vAlign w:val="center"/>
                  <w:hideMark/>
                </w:tcPr>
                <w:p w14:paraId="1A78BF1B" w14:textId="77777777" w:rsidR="003A0696" w:rsidRPr="00E03AC1" w:rsidRDefault="003A0696" w:rsidP="003A0696">
                  <w:pPr>
                    <w:tabs>
                      <w:tab w:val="decimal" w:pos="230"/>
                    </w:tabs>
                    <w:spacing w:after="0" w:line="240" w:lineRule="auto"/>
                    <w:ind w:right="32" w:firstLineChars="100" w:firstLine="200"/>
                    <w:jc w:val="right"/>
                    <w:rPr>
                      <w:color w:val="FF0000"/>
                      <w:sz w:val="20"/>
                      <w:szCs w:val="20"/>
                      <w:lang w:eastAsia="sk-SK"/>
                    </w:rPr>
                  </w:pPr>
                  <w:r>
                    <w:rPr>
                      <w:color w:val="00B050"/>
                      <w:sz w:val="20"/>
                      <w:szCs w:val="20"/>
                    </w:rPr>
                    <w:t>-3,0</w:t>
                  </w:r>
                </w:p>
              </w:tc>
            </w:tr>
            <w:tr w:rsidR="003A0696" w:rsidRPr="00E03AC1" w14:paraId="5B448B3D"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5C1B9365" w14:textId="77777777" w:rsidR="003A0696" w:rsidRPr="00E03AC1" w:rsidRDefault="003A0696" w:rsidP="003A0696">
                  <w:pPr>
                    <w:spacing w:after="0" w:line="240" w:lineRule="auto"/>
                    <w:rPr>
                      <w:sz w:val="20"/>
                      <w:szCs w:val="20"/>
                      <w:lang w:eastAsia="sk-SK"/>
                    </w:rPr>
                  </w:pPr>
                  <w:r>
                    <w:rPr>
                      <w:sz w:val="20"/>
                      <w:szCs w:val="20"/>
                    </w:rPr>
                    <w:t>Nemecko</w:t>
                  </w:r>
                </w:p>
              </w:tc>
              <w:tc>
                <w:tcPr>
                  <w:tcW w:w="764" w:type="dxa"/>
                  <w:tcBorders>
                    <w:top w:val="nil"/>
                    <w:left w:val="nil"/>
                    <w:bottom w:val="nil"/>
                    <w:right w:val="nil"/>
                  </w:tcBorders>
                  <w:shd w:val="clear" w:color="auto" w:fill="auto"/>
                  <w:noWrap/>
                  <w:vAlign w:val="center"/>
                  <w:hideMark/>
                </w:tcPr>
                <w:p w14:paraId="28F27DC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-4,3</w:t>
                  </w:r>
                </w:p>
              </w:tc>
              <w:tc>
                <w:tcPr>
                  <w:tcW w:w="826" w:type="dxa"/>
                  <w:tcBorders>
                    <w:top w:val="nil"/>
                    <w:left w:val="nil"/>
                    <w:bottom w:val="nil"/>
                    <w:right w:val="nil"/>
                  </w:tcBorders>
                  <w:shd w:val="clear" w:color="auto" w:fill="auto"/>
                  <w:noWrap/>
                  <w:vAlign w:val="center"/>
                  <w:hideMark/>
                </w:tcPr>
                <w:p w14:paraId="79CF3CD0"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-3,7</w:t>
                  </w:r>
                </w:p>
              </w:tc>
              <w:tc>
                <w:tcPr>
                  <w:tcW w:w="742" w:type="dxa"/>
                  <w:tcBorders>
                    <w:top w:val="nil"/>
                    <w:left w:val="nil"/>
                    <w:bottom w:val="nil"/>
                    <w:right w:val="nil"/>
                  </w:tcBorders>
                  <w:shd w:val="clear" w:color="auto" w:fill="auto"/>
                  <w:noWrap/>
                  <w:vAlign w:val="center"/>
                  <w:hideMark/>
                </w:tcPr>
                <w:p w14:paraId="1E5CE06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-2,6</w:t>
                  </w:r>
                </w:p>
              </w:tc>
              <w:tc>
                <w:tcPr>
                  <w:tcW w:w="728" w:type="dxa"/>
                  <w:tcBorders>
                    <w:top w:val="nil"/>
                    <w:left w:val="nil"/>
                    <w:bottom w:val="nil"/>
                    <w:right w:val="nil"/>
                  </w:tcBorders>
                  <w:shd w:val="clear" w:color="auto" w:fill="auto"/>
                  <w:noWrap/>
                  <w:vAlign w:val="center"/>
                  <w:hideMark/>
                </w:tcPr>
                <w:p w14:paraId="6C19144C" w14:textId="77777777" w:rsidR="003A0696" w:rsidRPr="00E03AC1" w:rsidRDefault="003A0696" w:rsidP="003A0696">
                  <w:pPr>
                    <w:spacing w:after="0" w:line="240" w:lineRule="auto"/>
                    <w:ind w:firstLineChars="100" w:firstLine="200"/>
                    <w:jc w:val="center"/>
                    <w:rPr>
                      <w:color w:val="FF0000"/>
                      <w:sz w:val="20"/>
                      <w:szCs w:val="20"/>
                      <w:lang w:eastAsia="sk-SK"/>
                    </w:rPr>
                  </w:pPr>
                  <w:r>
                    <w:rPr>
                      <w:color w:val="00B050"/>
                      <w:sz w:val="20"/>
                      <w:szCs w:val="20"/>
                    </w:rPr>
                    <w:t>1,1</w:t>
                  </w:r>
                </w:p>
              </w:tc>
              <w:tc>
                <w:tcPr>
                  <w:tcW w:w="1453" w:type="dxa"/>
                  <w:tcBorders>
                    <w:top w:val="nil"/>
                    <w:left w:val="single" w:sz="4" w:space="0" w:color="auto"/>
                    <w:bottom w:val="nil"/>
                    <w:right w:val="nil"/>
                  </w:tcBorders>
                  <w:shd w:val="clear" w:color="auto" w:fill="auto"/>
                  <w:noWrap/>
                  <w:vAlign w:val="center"/>
                  <w:hideMark/>
                </w:tcPr>
                <w:p w14:paraId="192C9BC0" w14:textId="77777777" w:rsidR="003A0696" w:rsidRPr="00E03AC1" w:rsidRDefault="003A0696" w:rsidP="003A0696">
                  <w:pPr>
                    <w:spacing w:after="0" w:line="240" w:lineRule="auto"/>
                    <w:rPr>
                      <w:b/>
                      <w:bCs/>
                      <w:sz w:val="20"/>
                      <w:szCs w:val="20"/>
                      <w:lang w:eastAsia="sk-SK"/>
                    </w:rPr>
                  </w:pPr>
                  <w:r>
                    <w:rPr>
                      <w:b/>
                      <w:bCs/>
                      <w:sz w:val="20"/>
                      <w:szCs w:val="20"/>
                    </w:rPr>
                    <w:t>Slovensko</w:t>
                  </w:r>
                </w:p>
              </w:tc>
              <w:tc>
                <w:tcPr>
                  <w:tcW w:w="843" w:type="dxa"/>
                  <w:tcBorders>
                    <w:top w:val="nil"/>
                    <w:left w:val="nil"/>
                    <w:bottom w:val="nil"/>
                    <w:right w:val="nil"/>
                  </w:tcBorders>
                  <w:shd w:val="clear" w:color="auto" w:fill="auto"/>
                  <w:noWrap/>
                  <w:vAlign w:val="center"/>
                  <w:hideMark/>
                </w:tcPr>
                <w:p w14:paraId="5F5FDD34"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58,9</w:t>
                  </w:r>
                </w:p>
              </w:tc>
              <w:tc>
                <w:tcPr>
                  <w:tcW w:w="843" w:type="dxa"/>
                  <w:tcBorders>
                    <w:top w:val="nil"/>
                    <w:left w:val="nil"/>
                    <w:bottom w:val="nil"/>
                    <w:right w:val="nil"/>
                  </w:tcBorders>
                  <w:shd w:val="clear" w:color="auto" w:fill="auto"/>
                  <w:noWrap/>
                  <w:vAlign w:val="center"/>
                  <w:hideMark/>
                </w:tcPr>
                <w:p w14:paraId="7BB60687"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61,0</w:t>
                  </w:r>
                </w:p>
              </w:tc>
              <w:tc>
                <w:tcPr>
                  <w:tcW w:w="864" w:type="dxa"/>
                  <w:tcBorders>
                    <w:top w:val="nil"/>
                    <w:left w:val="nil"/>
                    <w:bottom w:val="nil"/>
                    <w:right w:val="nil"/>
                  </w:tcBorders>
                  <w:shd w:val="clear" w:color="auto" w:fill="auto"/>
                  <w:noWrap/>
                  <w:vAlign w:val="center"/>
                  <w:hideMark/>
                </w:tcPr>
                <w:p w14:paraId="112565CD" w14:textId="77777777" w:rsidR="003A0696" w:rsidRPr="00E03AC1" w:rsidRDefault="003A0696" w:rsidP="003A0696">
                  <w:pPr>
                    <w:spacing w:after="0" w:line="240" w:lineRule="auto"/>
                    <w:ind w:firstLineChars="100" w:firstLine="200"/>
                    <w:jc w:val="right"/>
                    <w:rPr>
                      <w:b/>
                      <w:bCs/>
                      <w:color w:val="000000"/>
                      <w:sz w:val="20"/>
                      <w:szCs w:val="20"/>
                      <w:lang w:eastAsia="sk-SK"/>
                    </w:rPr>
                  </w:pPr>
                  <w:r>
                    <w:rPr>
                      <w:b/>
                      <w:bCs/>
                      <w:color w:val="000000"/>
                      <w:sz w:val="20"/>
                      <w:szCs w:val="20"/>
                    </w:rPr>
                    <w:t>57,8</w:t>
                  </w:r>
                </w:p>
              </w:tc>
              <w:tc>
                <w:tcPr>
                  <w:tcW w:w="799" w:type="dxa"/>
                  <w:tcBorders>
                    <w:top w:val="nil"/>
                    <w:left w:val="nil"/>
                    <w:bottom w:val="nil"/>
                    <w:right w:val="single" w:sz="4" w:space="0" w:color="auto"/>
                  </w:tcBorders>
                  <w:shd w:val="clear" w:color="auto" w:fill="auto"/>
                  <w:noWrap/>
                  <w:vAlign w:val="center"/>
                  <w:hideMark/>
                </w:tcPr>
                <w:p w14:paraId="62BF2D95" w14:textId="77777777" w:rsidR="003A0696" w:rsidRPr="00731BC5" w:rsidRDefault="003A0696" w:rsidP="003A0696">
                  <w:pPr>
                    <w:tabs>
                      <w:tab w:val="decimal" w:pos="230"/>
                    </w:tabs>
                    <w:spacing w:after="0" w:line="240" w:lineRule="auto"/>
                    <w:ind w:right="32" w:firstLineChars="100" w:firstLine="200"/>
                    <w:jc w:val="right"/>
                    <w:rPr>
                      <w:b/>
                      <w:color w:val="FF0000"/>
                      <w:sz w:val="20"/>
                      <w:szCs w:val="20"/>
                      <w:lang w:eastAsia="sk-SK"/>
                    </w:rPr>
                  </w:pPr>
                  <w:r w:rsidRPr="00731BC5">
                    <w:rPr>
                      <w:b/>
                      <w:color w:val="00B050"/>
                      <w:sz w:val="20"/>
                      <w:szCs w:val="20"/>
                    </w:rPr>
                    <w:t>-3,2</w:t>
                  </w:r>
                </w:p>
              </w:tc>
            </w:tr>
            <w:tr w:rsidR="003A0696" w:rsidRPr="00E03AC1" w14:paraId="76091DF7"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6F9E8264" w14:textId="77777777" w:rsidR="003A0696" w:rsidRPr="00E03AC1" w:rsidRDefault="003A0696" w:rsidP="003A0696">
                  <w:pPr>
                    <w:spacing w:after="0" w:line="240" w:lineRule="auto"/>
                    <w:rPr>
                      <w:sz w:val="20"/>
                      <w:szCs w:val="20"/>
                      <w:lang w:eastAsia="sk-SK"/>
                    </w:rPr>
                  </w:pPr>
                  <w:r>
                    <w:rPr>
                      <w:sz w:val="20"/>
                      <w:szCs w:val="20"/>
                    </w:rPr>
                    <w:t>Grécko</w:t>
                  </w:r>
                </w:p>
              </w:tc>
              <w:tc>
                <w:tcPr>
                  <w:tcW w:w="764" w:type="dxa"/>
                  <w:tcBorders>
                    <w:top w:val="nil"/>
                    <w:left w:val="nil"/>
                    <w:bottom w:val="nil"/>
                    <w:right w:val="nil"/>
                  </w:tcBorders>
                  <w:shd w:val="clear" w:color="auto" w:fill="auto"/>
                  <w:noWrap/>
                  <w:vAlign w:val="center"/>
                  <w:hideMark/>
                </w:tcPr>
                <w:p w14:paraId="2EFD315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-9,7</w:t>
                  </w:r>
                </w:p>
              </w:tc>
              <w:tc>
                <w:tcPr>
                  <w:tcW w:w="826" w:type="dxa"/>
                  <w:tcBorders>
                    <w:top w:val="nil"/>
                    <w:left w:val="nil"/>
                    <w:bottom w:val="nil"/>
                    <w:right w:val="nil"/>
                  </w:tcBorders>
                  <w:shd w:val="clear" w:color="auto" w:fill="auto"/>
                  <w:noWrap/>
                  <w:vAlign w:val="center"/>
                  <w:hideMark/>
                </w:tcPr>
                <w:p w14:paraId="425B7A27"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-7,1</w:t>
                  </w:r>
                </w:p>
              </w:tc>
              <w:tc>
                <w:tcPr>
                  <w:tcW w:w="742" w:type="dxa"/>
                  <w:tcBorders>
                    <w:top w:val="nil"/>
                    <w:left w:val="nil"/>
                    <w:bottom w:val="nil"/>
                    <w:right w:val="nil"/>
                  </w:tcBorders>
                  <w:shd w:val="clear" w:color="auto" w:fill="auto"/>
                  <w:noWrap/>
                  <w:vAlign w:val="center"/>
                  <w:hideMark/>
                </w:tcPr>
                <w:p w14:paraId="4A69FAF1"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-2,3</w:t>
                  </w:r>
                </w:p>
              </w:tc>
              <w:tc>
                <w:tcPr>
                  <w:tcW w:w="728" w:type="dxa"/>
                  <w:tcBorders>
                    <w:top w:val="nil"/>
                    <w:left w:val="nil"/>
                    <w:bottom w:val="nil"/>
                    <w:right w:val="nil"/>
                  </w:tcBorders>
                  <w:shd w:val="clear" w:color="auto" w:fill="auto"/>
                  <w:noWrap/>
                  <w:vAlign w:val="center"/>
                  <w:hideMark/>
                </w:tcPr>
                <w:p w14:paraId="5ECCC20C"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4,8</w:t>
                  </w:r>
                </w:p>
              </w:tc>
              <w:tc>
                <w:tcPr>
                  <w:tcW w:w="1453" w:type="dxa"/>
                  <w:tcBorders>
                    <w:top w:val="nil"/>
                    <w:left w:val="single" w:sz="4" w:space="0" w:color="auto"/>
                    <w:bottom w:val="nil"/>
                    <w:right w:val="nil"/>
                  </w:tcBorders>
                  <w:shd w:val="clear" w:color="auto" w:fill="auto"/>
                  <w:noWrap/>
                  <w:vAlign w:val="center"/>
                  <w:hideMark/>
                </w:tcPr>
                <w:p w14:paraId="703D1FAC" w14:textId="77777777" w:rsidR="003A0696" w:rsidRPr="00E03AC1" w:rsidRDefault="003A0696" w:rsidP="003A0696">
                  <w:pPr>
                    <w:spacing w:after="0" w:line="240" w:lineRule="auto"/>
                    <w:rPr>
                      <w:sz w:val="20"/>
                      <w:szCs w:val="20"/>
                      <w:lang w:eastAsia="sk-SK"/>
                    </w:rPr>
                  </w:pPr>
                  <w:r>
                    <w:rPr>
                      <w:sz w:val="20"/>
                      <w:szCs w:val="20"/>
                    </w:rPr>
                    <w:t>Malta</w:t>
                  </w:r>
                </w:p>
              </w:tc>
              <w:tc>
                <w:tcPr>
                  <w:tcW w:w="843" w:type="dxa"/>
                  <w:tcBorders>
                    <w:top w:val="nil"/>
                    <w:left w:val="nil"/>
                    <w:bottom w:val="nil"/>
                    <w:right w:val="nil"/>
                  </w:tcBorders>
                  <w:shd w:val="clear" w:color="auto" w:fill="auto"/>
                  <w:noWrap/>
                  <w:vAlign w:val="center"/>
                  <w:hideMark/>
                </w:tcPr>
                <w:p w14:paraId="73F4F71A"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52,9</w:t>
                  </w:r>
                </w:p>
              </w:tc>
              <w:tc>
                <w:tcPr>
                  <w:tcW w:w="843" w:type="dxa"/>
                  <w:tcBorders>
                    <w:top w:val="nil"/>
                    <w:left w:val="nil"/>
                    <w:bottom w:val="nil"/>
                    <w:right w:val="nil"/>
                  </w:tcBorders>
                  <w:shd w:val="clear" w:color="auto" w:fill="auto"/>
                  <w:noWrap/>
                  <w:vAlign w:val="center"/>
                  <w:hideMark/>
                </w:tcPr>
                <w:p w14:paraId="17B896C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55,1</w:t>
                  </w:r>
                </w:p>
              </w:tc>
              <w:tc>
                <w:tcPr>
                  <w:tcW w:w="864" w:type="dxa"/>
                  <w:tcBorders>
                    <w:top w:val="nil"/>
                    <w:left w:val="nil"/>
                    <w:bottom w:val="nil"/>
                    <w:right w:val="nil"/>
                  </w:tcBorders>
                  <w:shd w:val="clear" w:color="auto" w:fill="auto"/>
                  <w:noWrap/>
                  <w:vAlign w:val="center"/>
                  <w:hideMark/>
                </w:tcPr>
                <w:p w14:paraId="1F7C6320"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53,4</w:t>
                  </w:r>
                </w:p>
              </w:tc>
              <w:tc>
                <w:tcPr>
                  <w:tcW w:w="799" w:type="dxa"/>
                  <w:tcBorders>
                    <w:top w:val="nil"/>
                    <w:left w:val="nil"/>
                    <w:bottom w:val="nil"/>
                    <w:right w:val="single" w:sz="4" w:space="0" w:color="auto"/>
                  </w:tcBorders>
                  <w:shd w:val="clear" w:color="auto" w:fill="auto"/>
                  <w:noWrap/>
                  <w:vAlign w:val="center"/>
                  <w:hideMark/>
                </w:tcPr>
                <w:p w14:paraId="01F38384" w14:textId="77777777" w:rsidR="003A0696" w:rsidRPr="00E03AC1" w:rsidRDefault="003A0696" w:rsidP="003A0696">
                  <w:pPr>
                    <w:tabs>
                      <w:tab w:val="decimal" w:pos="230"/>
                    </w:tabs>
                    <w:spacing w:after="0" w:line="240" w:lineRule="auto"/>
                    <w:ind w:right="32" w:firstLineChars="100" w:firstLine="200"/>
                    <w:jc w:val="right"/>
                    <w:rPr>
                      <w:color w:val="FF0000"/>
                      <w:sz w:val="20"/>
                      <w:szCs w:val="20"/>
                      <w:lang w:eastAsia="sk-SK"/>
                    </w:rPr>
                  </w:pPr>
                  <w:r>
                    <w:rPr>
                      <w:color w:val="00B050"/>
                      <w:sz w:val="20"/>
                      <w:szCs w:val="20"/>
                    </w:rPr>
                    <w:t>-1,7</w:t>
                  </w:r>
                </w:p>
              </w:tc>
            </w:tr>
            <w:tr w:rsidR="003A0696" w:rsidRPr="00E03AC1" w14:paraId="549EF845"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56CF83B8" w14:textId="77777777" w:rsidR="003A0696" w:rsidRPr="00E03AC1" w:rsidRDefault="003A0696" w:rsidP="003A0696">
                  <w:pPr>
                    <w:spacing w:after="0" w:line="240" w:lineRule="auto"/>
                    <w:rPr>
                      <w:sz w:val="20"/>
                      <w:szCs w:val="20"/>
                      <w:lang w:eastAsia="sk-SK"/>
                    </w:rPr>
                  </w:pPr>
                  <w:r>
                    <w:rPr>
                      <w:b/>
                      <w:bCs/>
                      <w:sz w:val="20"/>
                      <w:szCs w:val="20"/>
                    </w:rPr>
                    <w:t>Slovensko</w:t>
                  </w:r>
                </w:p>
              </w:tc>
              <w:tc>
                <w:tcPr>
                  <w:tcW w:w="764" w:type="dxa"/>
                  <w:tcBorders>
                    <w:top w:val="nil"/>
                    <w:left w:val="nil"/>
                    <w:bottom w:val="nil"/>
                    <w:right w:val="nil"/>
                  </w:tcBorders>
                  <w:shd w:val="clear" w:color="auto" w:fill="auto"/>
                  <w:noWrap/>
                  <w:vAlign w:val="center"/>
                  <w:hideMark/>
                </w:tcPr>
                <w:p w14:paraId="71FD057A" w14:textId="77777777" w:rsidR="003A0696" w:rsidRPr="00E03AC1" w:rsidRDefault="003A0696" w:rsidP="003A0696">
                  <w:pPr>
                    <w:spacing w:after="0" w:line="240" w:lineRule="auto"/>
                    <w:ind w:firstLineChars="100" w:firstLine="200"/>
                    <w:jc w:val="right"/>
                    <w:rPr>
                      <w:color w:val="000000"/>
                      <w:sz w:val="20"/>
                      <w:szCs w:val="20"/>
                      <w:lang w:eastAsia="sk-SK"/>
                    </w:rPr>
                  </w:pPr>
                  <w:r>
                    <w:rPr>
                      <w:b/>
                      <w:bCs/>
                      <w:color w:val="000000"/>
                      <w:sz w:val="20"/>
                      <w:szCs w:val="20"/>
                    </w:rPr>
                    <w:t>-5,4</w:t>
                  </w:r>
                </w:p>
              </w:tc>
              <w:tc>
                <w:tcPr>
                  <w:tcW w:w="826" w:type="dxa"/>
                  <w:tcBorders>
                    <w:top w:val="nil"/>
                    <w:left w:val="nil"/>
                    <w:bottom w:val="nil"/>
                    <w:right w:val="nil"/>
                  </w:tcBorders>
                  <w:shd w:val="clear" w:color="auto" w:fill="auto"/>
                  <w:noWrap/>
                  <w:vAlign w:val="center"/>
                  <w:hideMark/>
                </w:tcPr>
                <w:p w14:paraId="12C81F25" w14:textId="77777777" w:rsidR="003A0696" w:rsidRPr="00E03AC1" w:rsidRDefault="003A0696" w:rsidP="003A0696">
                  <w:pPr>
                    <w:spacing w:after="0" w:line="240" w:lineRule="auto"/>
                    <w:ind w:firstLineChars="100" w:firstLine="200"/>
                    <w:jc w:val="right"/>
                    <w:rPr>
                      <w:color w:val="000000"/>
                      <w:sz w:val="20"/>
                      <w:szCs w:val="20"/>
                      <w:lang w:eastAsia="sk-SK"/>
                    </w:rPr>
                  </w:pPr>
                  <w:r>
                    <w:rPr>
                      <w:b/>
                      <w:bCs/>
                      <w:color w:val="000000"/>
                      <w:sz w:val="20"/>
                      <w:szCs w:val="20"/>
                    </w:rPr>
                    <w:t>-5,4</w:t>
                  </w:r>
                </w:p>
              </w:tc>
              <w:tc>
                <w:tcPr>
                  <w:tcW w:w="742" w:type="dxa"/>
                  <w:tcBorders>
                    <w:top w:val="nil"/>
                    <w:left w:val="nil"/>
                    <w:bottom w:val="nil"/>
                    <w:right w:val="nil"/>
                  </w:tcBorders>
                  <w:shd w:val="clear" w:color="auto" w:fill="auto"/>
                  <w:noWrap/>
                  <w:vAlign w:val="center"/>
                  <w:hideMark/>
                </w:tcPr>
                <w:p w14:paraId="225F91CE" w14:textId="77777777" w:rsidR="003A0696" w:rsidRPr="00E03AC1" w:rsidRDefault="003A0696" w:rsidP="003A0696">
                  <w:pPr>
                    <w:spacing w:after="0" w:line="240" w:lineRule="auto"/>
                    <w:ind w:firstLineChars="100" w:firstLine="200"/>
                    <w:jc w:val="right"/>
                    <w:rPr>
                      <w:color w:val="000000"/>
                      <w:sz w:val="20"/>
                      <w:szCs w:val="20"/>
                      <w:lang w:eastAsia="sk-SK"/>
                    </w:rPr>
                  </w:pPr>
                  <w:r>
                    <w:rPr>
                      <w:b/>
                      <w:bCs/>
                      <w:color w:val="000000"/>
                      <w:sz w:val="20"/>
                      <w:szCs w:val="20"/>
                    </w:rPr>
                    <w:t>-2,0</w:t>
                  </w:r>
                </w:p>
              </w:tc>
              <w:tc>
                <w:tcPr>
                  <w:tcW w:w="728" w:type="dxa"/>
                  <w:tcBorders>
                    <w:top w:val="nil"/>
                    <w:left w:val="nil"/>
                    <w:bottom w:val="nil"/>
                    <w:right w:val="nil"/>
                  </w:tcBorders>
                  <w:shd w:val="clear" w:color="auto" w:fill="auto"/>
                  <w:noWrap/>
                  <w:vAlign w:val="center"/>
                  <w:hideMark/>
                </w:tcPr>
                <w:p w14:paraId="47694AA0" w14:textId="77777777" w:rsidR="003A0696" w:rsidRPr="00731BC5" w:rsidRDefault="003A0696" w:rsidP="003A0696">
                  <w:pPr>
                    <w:spacing w:after="0" w:line="240" w:lineRule="auto"/>
                    <w:ind w:firstLineChars="100" w:firstLine="200"/>
                    <w:jc w:val="center"/>
                    <w:rPr>
                      <w:b/>
                      <w:color w:val="00B050"/>
                      <w:sz w:val="20"/>
                      <w:szCs w:val="20"/>
                      <w:lang w:eastAsia="sk-SK"/>
                    </w:rPr>
                  </w:pPr>
                  <w:r w:rsidRPr="00731BC5">
                    <w:rPr>
                      <w:b/>
                      <w:color w:val="00B050"/>
                      <w:sz w:val="20"/>
                      <w:szCs w:val="20"/>
                    </w:rPr>
                    <w:t>3,4</w:t>
                  </w:r>
                </w:p>
              </w:tc>
              <w:tc>
                <w:tcPr>
                  <w:tcW w:w="1453" w:type="dxa"/>
                  <w:tcBorders>
                    <w:top w:val="nil"/>
                    <w:left w:val="single" w:sz="4" w:space="0" w:color="auto"/>
                    <w:bottom w:val="nil"/>
                    <w:right w:val="nil"/>
                  </w:tcBorders>
                  <w:shd w:val="clear" w:color="auto" w:fill="auto"/>
                  <w:noWrap/>
                  <w:vAlign w:val="center"/>
                  <w:hideMark/>
                </w:tcPr>
                <w:p w14:paraId="2D60BE35" w14:textId="77777777" w:rsidR="003A0696" w:rsidRPr="00E03AC1" w:rsidRDefault="003A0696" w:rsidP="003A0696">
                  <w:pPr>
                    <w:spacing w:after="0" w:line="240" w:lineRule="auto"/>
                    <w:rPr>
                      <w:sz w:val="20"/>
                      <w:szCs w:val="20"/>
                      <w:lang w:eastAsia="sk-SK"/>
                    </w:rPr>
                  </w:pPr>
                  <w:r>
                    <w:rPr>
                      <w:sz w:val="20"/>
                      <w:szCs w:val="20"/>
                    </w:rPr>
                    <w:t>Holandsko</w:t>
                  </w:r>
                </w:p>
              </w:tc>
              <w:tc>
                <w:tcPr>
                  <w:tcW w:w="843" w:type="dxa"/>
                  <w:tcBorders>
                    <w:top w:val="nil"/>
                    <w:left w:val="nil"/>
                    <w:bottom w:val="nil"/>
                    <w:right w:val="nil"/>
                  </w:tcBorders>
                  <w:shd w:val="clear" w:color="auto" w:fill="auto"/>
                  <w:noWrap/>
                  <w:vAlign w:val="center"/>
                  <w:hideMark/>
                </w:tcPr>
                <w:p w14:paraId="736DC82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54,7</w:t>
                  </w:r>
                </w:p>
              </w:tc>
              <w:tc>
                <w:tcPr>
                  <w:tcW w:w="843" w:type="dxa"/>
                  <w:tcBorders>
                    <w:top w:val="nil"/>
                    <w:left w:val="nil"/>
                    <w:bottom w:val="nil"/>
                    <w:right w:val="nil"/>
                  </w:tcBorders>
                  <w:shd w:val="clear" w:color="auto" w:fill="auto"/>
                  <w:noWrap/>
                  <w:vAlign w:val="center"/>
                  <w:hideMark/>
                </w:tcPr>
                <w:p w14:paraId="55A546C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52,5</w:t>
                  </w:r>
                </w:p>
              </w:tc>
              <w:tc>
                <w:tcPr>
                  <w:tcW w:w="864" w:type="dxa"/>
                  <w:tcBorders>
                    <w:top w:val="nil"/>
                    <w:left w:val="nil"/>
                    <w:bottom w:val="nil"/>
                    <w:right w:val="nil"/>
                  </w:tcBorders>
                  <w:shd w:val="clear" w:color="auto" w:fill="auto"/>
                  <w:noWrap/>
                  <w:vAlign w:val="center"/>
                  <w:hideMark/>
                </w:tcPr>
                <w:p w14:paraId="409937CE"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51,0</w:t>
                  </w:r>
                </w:p>
              </w:tc>
              <w:tc>
                <w:tcPr>
                  <w:tcW w:w="799" w:type="dxa"/>
                  <w:tcBorders>
                    <w:top w:val="nil"/>
                    <w:left w:val="nil"/>
                    <w:bottom w:val="nil"/>
                    <w:right w:val="single" w:sz="4" w:space="0" w:color="auto"/>
                  </w:tcBorders>
                  <w:shd w:val="clear" w:color="auto" w:fill="auto"/>
                  <w:noWrap/>
                  <w:vAlign w:val="center"/>
                  <w:hideMark/>
                </w:tcPr>
                <w:p w14:paraId="50FEA8CF"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-1,5</w:t>
                  </w:r>
                </w:p>
              </w:tc>
            </w:tr>
            <w:tr w:rsidR="003A0696" w:rsidRPr="00E03AC1" w14:paraId="04B96527"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71A75E8F" w14:textId="77777777" w:rsidR="003A0696" w:rsidRPr="00E03AC1" w:rsidRDefault="003A0696" w:rsidP="003A0696">
                  <w:pPr>
                    <w:spacing w:after="0" w:line="240" w:lineRule="auto"/>
                    <w:rPr>
                      <w:sz w:val="20"/>
                      <w:szCs w:val="20"/>
                      <w:lang w:eastAsia="sk-SK"/>
                    </w:rPr>
                  </w:pPr>
                  <w:r>
                    <w:rPr>
                      <w:sz w:val="20"/>
                      <w:szCs w:val="20"/>
                    </w:rPr>
                    <w:t>Estónsko</w:t>
                  </w:r>
                </w:p>
              </w:tc>
              <w:tc>
                <w:tcPr>
                  <w:tcW w:w="764" w:type="dxa"/>
                  <w:tcBorders>
                    <w:top w:val="nil"/>
                    <w:left w:val="nil"/>
                    <w:bottom w:val="nil"/>
                    <w:right w:val="nil"/>
                  </w:tcBorders>
                  <w:shd w:val="clear" w:color="auto" w:fill="auto"/>
                  <w:noWrap/>
                  <w:vAlign w:val="center"/>
                  <w:hideMark/>
                </w:tcPr>
                <w:p w14:paraId="3CE3789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-5,5</w:t>
                  </w:r>
                </w:p>
              </w:tc>
              <w:tc>
                <w:tcPr>
                  <w:tcW w:w="826" w:type="dxa"/>
                  <w:tcBorders>
                    <w:top w:val="nil"/>
                    <w:left w:val="nil"/>
                    <w:bottom w:val="nil"/>
                    <w:right w:val="nil"/>
                  </w:tcBorders>
                  <w:shd w:val="clear" w:color="auto" w:fill="auto"/>
                  <w:noWrap/>
                  <w:vAlign w:val="center"/>
                  <w:hideMark/>
                </w:tcPr>
                <w:p w14:paraId="7D959D81"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-2,4</w:t>
                  </w:r>
                </w:p>
              </w:tc>
              <w:tc>
                <w:tcPr>
                  <w:tcW w:w="742" w:type="dxa"/>
                  <w:tcBorders>
                    <w:top w:val="nil"/>
                    <w:left w:val="nil"/>
                    <w:bottom w:val="nil"/>
                    <w:right w:val="nil"/>
                  </w:tcBorders>
                  <w:shd w:val="clear" w:color="auto" w:fill="auto"/>
                  <w:noWrap/>
                  <w:vAlign w:val="center"/>
                  <w:hideMark/>
                </w:tcPr>
                <w:p w14:paraId="6FC8529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-0,9</w:t>
                  </w:r>
                </w:p>
              </w:tc>
              <w:tc>
                <w:tcPr>
                  <w:tcW w:w="728" w:type="dxa"/>
                  <w:tcBorders>
                    <w:top w:val="nil"/>
                    <w:left w:val="nil"/>
                    <w:bottom w:val="nil"/>
                    <w:right w:val="nil"/>
                  </w:tcBorders>
                  <w:shd w:val="clear" w:color="auto" w:fill="auto"/>
                  <w:noWrap/>
                  <w:vAlign w:val="center"/>
                  <w:hideMark/>
                </w:tcPr>
                <w:p w14:paraId="7315B7C8"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1,5</w:t>
                  </w:r>
                </w:p>
              </w:tc>
              <w:tc>
                <w:tcPr>
                  <w:tcW w:w="1453" w:type="dxa"/>
                  <w:tcBorders>
                    <w:top w:val="nil"/>
                    <w:left w:val="single" w:sz="4" w:space="0" w:color="auto"/>
                    <w:bottom w:val="nil"/>
                    <w:right w:val="nil"/>
                  </w:tcBorders>
                  <w:shd w:val="clear" w:color="auto" w:fill="auto"/>
                  <w:noWrap/>
                  <w:vAlign w:val="center"/>
                  <w:hideMark/>
                </w:tcPr>
                <w:p w14:paraId="23386BC5" w14:textId="77777777" w:rsidR="003A0696" w:rsidRPr="00E03AC1" w:rsidRDefault="003A0696" w:rsidP="003A0696">
                  <w:pPr>
                    <w:spacing w:after="0" w:line="240" w:lineRule="auto"/>
                    <w:rPr>
                      <w:sz w:val="20"/>
                      <w:szCs w:val="20"/>
                      <w:lang w:eastAsia="sk-SK"/>
                    </w:rPr>
                  </w:pPr>
                  <w:r>
                    <w:rPr>
                      <w:sz w:val="20"/>
                      <w:szCs w:val="20"/>
                    </w:rPr>
                    <w:t>Poľsko</w:t>
                  </w:r>
                </w:p>
              </w:tc>
              <w:tc>
                <w:tcPr>
                  <w:tcW w:w="843" w:type="dxa"/>
                  <w:tcBorders>
                    <w:top w:val="nil"/>
                    <w:left w:val="nil"/>
                    <w:bottom w:val="nil"/>
                    <w:right w:val="nil"/>
                  </w:tcBorders>
                  <w:shd w:val="clear" w:color="auto" w:fill="auto"/>
                  <w:noWrap/>
                  <w:vAlign w:val="center"/>
                  <w:hideMark/>
                </w:tcPr>
                <w:p w14:paraId="468B1EA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57,2</w:t>
                  </w:r>
                </w:p>
              </w:tc>
              <w:tc>
                <w:tcPr>
                  <w:tcW w:w="843" w:type="dxa"/>
                  <w:tcBorders>
                    <w:top w:val="nil"/>
                    <w:left w:val="nil"/>
                    <w:bottom w:val="nil"/>
                    <w:right w:val="nil"/>
                  </w:tcBorders>
                  <w:shd w:val="clear" w:color="auto" w:fill="auto"/>
                  <w:noWrap/>
                  <w:vAlign w:val="center"/>
                  <w:hideMark/>
                </w:tcPr>
                <w:p w14:paraId="6223244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53,6</w:t>
                  </w:r>
                </w:p>
              </w:tc>
              <w:tc>
                <w:tcPr>
                  <w:tcW w:w="864" w:type="dxa"/>
                  <w:tcBorders>
                    <w:top w:val="nil"/>
                    <w:left w:val="nil"/>
                    <w:bottom w:val="nil"/>
                    <w:right w:val="nil"/>
                  </w:tcBorders>
                  <w:shd w:val="clear" w:color="auto" w:fill="auto"/>
                  <w:noWrap/>
                  <w:vAlign w:val="center"/>
                  <w:hideMark/>
                </w:tcPr>
                <w:p w14:paraId="7933F2E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49,1</w:t>
                  </w:r>
                </w:p>
              </w:tc>
              <w:tc>
                <w:tcPr>
                  <w:tcW w:w="799" w:type="dxa"/>
                  <w:tcBorders>
                    <w:top w:val="nil"/>
                    <w:left w:val="nil"/>
                    <w:bottom w:val="nil"/>
                    <w:right w:val="single" w:sz="4" w:space="0" w:color="auto"/>
                  </w:tcBorders>
                  <w:shd w:val="clear" w:color="auto" w:fill="auto"/>
                  <w:noWrap/>
                  <w:vAlign w:val="center"/>
                  <w:hideMark/>
                </w:tcPr>
                <w:p w14:paraId="58F9DDA8"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-4,5</w:t>
                  </w:r>
                </w:p>
              </w:tc>
            </w:tr>
            <w:tr w:rsidR="003A0696" w:rsidRPr="00E03AC1" w14:paraId="430E31AF"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576A4AF4" w14:textId="77777777" w:rsidR="003A0696" w:rsidRPr="00E03AC1" w:rsidRDefault="003A0696" w:rsidP="003A0696">
                  <w:pPr>
                    <w:spacing w:after="0" w:line="240" w:lineRule="auto"/>
                    <w:rPr>
                      <w:sz w:val="20"/>
                      <w:szCs w:val="20"/>
                      <w:lang w:eastAsia="sk-SK"/>
                    </w:rPr>
                  </w:pPr>
                  <w:r>
                    <w:rPr>
                      <w:sz w:val="20"/>
                      <w:szCs w:val="20"/>
                    </w:rPr>
                    <w:t>Fínsko</w:t>
                  </w:r>
                </w:p>
              </w:tc>
              <w:tc>
                <w:tcPr>
                  <w:tcW w:w="764" w:type="dxa"/>
                  <w:tcBorders>
                    <w:top w:val="nil"/>
                    <w:left w:val="nil"/>
                    <w:bottom w:val="nil"/>
                    <w:right w:val="nil"/>
                  </w:tcBorders>
                  <w:shd w:val="clear" w:color="auto" w:fill="auto"/>
                  <w:noWrap/>
                  <w:vAlign w:val="center"/>
                  <w:hideMark/>
                </w:tcPr>
                <w:p w14:paraId="23CA5EEA"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-5,6</w:t>
                  </w:r>
                </w:p>
              </w:tc>
              <w:tc>
                <w:tcPr>
                  <w:tcW w:w="826" w:type="dxa"/>
                  <w:tcBorders>
                    <w:top w:val="nil"/>
                    <w:left w:val="nil"/>
                    <w:bottom w:val="nil"/>
                    <w:right w:val="nil"/>
                  </w:tcBorders>
                  <w:shd w:val="clear" w:color="auto" w:fill="auto"/>
                  <w:noWrap/>
                  <w:vAlign w:val="center"/>
                  <w:hideMark/>
                </w:tcPr>
                <w:p w14:paraId="25A7FC8B"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-2,8</w:t>
                  </w:r>
                </w:p>
              </w:tc>
              <w:tc>
                <w:tcPr>
                  <w:tcW w:w="742" w:type="dxa"/>
                  <w:tcBorders>
                    <w:top w:val="nil"/>
                    <w:left w:val="nil"/>
                    <w:bottom w:val="nil"/>
                    <w:right w:val="nil"/>
                  </w:tcBorders>
                  <w:shd w:val="clear" w:color="auto" w:fill="auto"/>
                  <w:noWrap/>
                  <w:vAlign w:val="center"/>
                  <w:hideMark/>
                </w:tcPr>
                <w:p w14:paraId="3890298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-0,9</w:t>
                  </w:r>
                </w:p>
              </w:tc>
              <w:tc>
                <w:tcPr>
                  <w:tcW w:w="728" w:type="dxa"/>
                  <w:tcBorders>
                    <w:top w:val="nil"/>
                    <w:left w:val="nil"/>
                    <w:bottom w:val="nil"/>
                    <w:right w:val="nil"/>
                  </w:tcBorders>
                  <w:shd w:val="clear" w:color="auto" w:fill="auto"/>
                  <w:noWrap/>
                  <w:vAlign w:val="center"/>
                  <w:hideMark/>
                </w:tcPr>
                <w:p w14:paraId="0D96E3E3"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1,9</w:t>
                  </w:r>
                </w:p>
              </w:tc>
              <w:tc>
                <w:tcPr>
                  <w:tcW w:w="1453" w:type="dxa"/>
                  <w:tcBorders>
                    <w:top w:val="nil"/>
                    <w:left w:val="single" w:sz="4" w:space="0" w:color="auto"/>
                    <w:bottom w:val="nil"/>
                    <w:right w:val="nil"/>
                  </w:tcBorders>
                  <w:shd w:val="clear" w:color="auto" w:fill="auto"/>
                  <w:noWrap/>
                  <w:vAlign w:val="center"/>
                  <w:hideMark/>
                </w:tcPr>
                <w:p w14:paraId="70B130E3" w14:textId="77777777" w:rsidR="003A0696" w:rsidRPr="00E03AC1" w:rsidRDefault="003A0696" w:rsidP="003A0696">
                  <w:pPr>
                    <w:spacing w:after="0" w:line="240" w:lineRule="auto"/>
                    <w:rPr>
                      <w:sz w:val="20"/>
                      <w:szCs w:val="20"/>
                      <w:lang w:eastAsia="sk-SK"/>
                    </w:rPr>
                  </w:pPr>
                  <w:r>
                    <w:rPr>
                      <w:sz w:val="20"/>
                      <w:szCs w:val="20"/>
                    </w:rPr>
                    <w:t>Rumunsko</w:t>
                  </w:r>
                </w:p>
              </w:tc>
              <w:tc>
                <w:tcPr>
                  <w:tcW w:w="843" w:type="dxa"/>
                  <w:tcBorders>
                    <w:top w:val="nil"/>
                    <w:left w:val="nil"/>
                    <w:bottom w:val="nil"/>
                    <w:right w:val="nil"/>
                  </w:tcBorders>
                  <w:shd w:val="clear" w:color="auto" w:fill="auto"/>
                  <w:noWrap/>
                  <w:vAlign w:val="center"/>
                  <w:hideMark/>
                </w:tcPr>
                <w:p w14:paraId="58AD61D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46,9</w:t>
                  </w:r>
                </w:p>
              </w:tc>
              <w:tc>
                <w:tcPr>
                  <w:tcW w:w="843" w:type="dxa"/>
                  <w:tcBorders>
                    <w:top w:val="nil"/>
                    <w:left w:val="nil"/>
                    <w:bottom w:val="nil"/>
                    <w:right w:val="nil"/>
                  </w:tcBorders>
                  <w:shd w:val="clear" w:color="auto" w:fill="auto"/>
                  <w:noWrap/>
                  <w:vAlign w:val="center"/>
                  <w:hideMark/>
                </w:tcPr>
                <w:p w14:paraId="0E90164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48,6</w:t>
                  </w:r>
                </w:p>
              </w:tc>
              <w:tc>
                <w:tcPr>
                  <w:tcW w:w="864" w:type="dxa"/>
                  <w:tcBorders>
                    <w:top w:val="nil"/>
                    <w:left w:val="nil"/>
                    <w:bottom w:val="nil"/>
                    <w:right w:val="nil"/>
                  </w:tcBorders>
                  <w:shd w:val="clear" w:color="auto" w:fill="auto"/>
                  <w:noWrap/>
                  <w:vAlign w:val="center"/>
                  <w:hideMark/>
                </w:tcPr>
                <w:p w14:paraId="48B2939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47,3</w:t>
                  </w:r>
                </w:p>
              </w:tc>
              <w:tc>
                <w:tcPr>
                  <w:tcW w:w="799" w:type="dxa"/>
                  <w:tcBorders>
                    <w:top w:val="nil"/>
                    <w:left w:val="nil"/>
                    <w:bottom w:val="nil"/>
                    <w:right w:val="single" w:sz="4" w:space="0" w:color="auto"/>
                  </w:tcBorders>
                  <w:shd w:val="clear" w:color="auto" w:fill="auto"/>
                  <w:noWrap/>
                  <w:vAlign w:val="center"/>
                  <w:hideMark/>
                </w:tcPr>
                <w:p w14:paraId="05D4780D"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-1,3</w:t>
                  </w:r>
                </w:p>
              </w:tc>
            </w:tr>
            <w:tr w:rsidR="003A0696" w:rsidRPr="00E03AC1" w14:paraId="23404ABD"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1294F1CD" w14:textId="77777777" w:rsidR="003A0696" w:rsidRPr="00E03AC1" w:rsidRDefault="003A0696" w:rsidP="003A0696">
                  <w:pPr>
                    <w:spacing w:after="0" w:line="240" w:lineRule="auto"/>
                    <w:rPr>
                      <w:sz w:val="20"/>
                      <w:szCs w:val="20"/>
                      <w:lang w:eastAsia="sk-SK"/>
                    </w:rPr>
                  </w:pPr>
                  <w:r>
                    <w:rPr>
                      <w:sz w:val="20"/>
                      <w:szCs w:val="20"/>
                    </w:rPr>
                    <w:t>Litva</w:t>
                  </w:r>
                </w:p>
              </w:tc>
              <w:tc>
                <w:tcPr>
                  <w:tcW w:w="764" w:type="dxa"/>
                  <w:tcBorders>
                    <w:top w:val="nil"/>
                    <w:left w:val="nil"/>
                    <w:bottom w:val="nil"/>
                    <w:right w:val="nil"/>
                  </w:tcBorders>
                  <w:shd w:val="clear" w:color="auto" w:fill="auto"/>
                  <w:noWrap/>
                  <w:vAlign w:val="center"/>
                  <w:hideMark/>
                </w:tcPr>
                <w:p w14:paraId="770CF62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-6,5</w:t>
                  </w:r>
                </w:p>
              </w:tc>
              <w:tc>
                <w:tcPr>
                  <w:tcW w:w="826" w:type="dxa"/>
                  <w:tcBorders>
                    <w:top w:val="nil"/>
                    <w:left w:val="nil"/>
                    <w:bottom w:val="nil"/>
                    <w:right w:val="nil"/>
                  </w:tcBorders>
                  <w:shd w:val="clear" w:color="auto" w:fill="auto"/>
                  <w:noWrap/>
                  <w:vAlign w:val="center"/>
                  <w:hideMark/>
                </w:tcPr>
                <w:p w14:paraId="474CF8B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-1,2</w:t>
                  </w:r>
                </w:p>
              </w:tc>
              <w:tc>
                <w:tcPr>
                  <w:tcW w:w="742" w:type="dxa"/>
                  <w:tcBorders>
                    <w:top w:val="nil"/>
                    <w:left w:val="nil"/>
                    <w:bottom w:val="nil"/>
                    <w:right w:val="nil"/>
                  </w:tcBorders>
                  <w:shd w:val="clear" w:color="auto" w:fill="auto"/>
                  <w:noWrap/>
                  <w:vAlign w:val="center"/>
                  <w:hideMark/>
                </w:tcPr>
                <w:p w14:paraId="6EEF1CC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-0,6</w:t>
                  </w:r>
                </w:p>
              </w:tc>
              <w:tc>
                <w:tcPr>
                  <w:tcW w:w="728" w:type="dxa"/>
                  <w:tcBorders>
                    <w:top w:val="nil"/>
                    <w:left w:val="nil"/>
                    <w:bottom w:val="nil"/>
                    <w:right w:val="nil"/>
                  </w:tcBorders>
                  <w:shd w:val="clear" w:color="auto" w:fill="auto"/>
                  <w:noWrap/>
                  <w:vAlign w:val="center"/>
                  <w:hideMark/>
                </w:tcPr>
                <w:p w14:paraId="663038B6"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0,6</w:t>
                  </w:r>
                </w:p>
              </w:tc>
              <w:tc>
                <w:tcPr>
                  <w:tcW w:w="1453" w:type="dxa"/>
                  <w:tcBorders>
                    <w:top w:val="nil"/>
                    <w:left w:val="single" w:sz="4" w:space="0" w:color="auto"/>
                    <w:bottom w:val="nil"/>
                    <w:right w:val="nil"/>
                  </w:tcBorders>
                  <w:shd w:val="clear" w:color="auto" w:fill="auto"/>
                  <w:noWrap/>
                  <w:vAlign w:val="center"/>
                  <w:hideMark/>
                </w:tcPr>
                <w:p w14:paraId="62FC9B52" w14:textId="77777777" w:rsidR="003A0696" w:rsidRPr="00E03AC1" w:rsidRDefault="003A0696" w:rsidP="003A0696">
                  <w:pPr>
                    <w:spacing w:after="0" w:line="240" w:lineRule="auto"/>
                    <w:rPr>
                      <w:sz w:val="20"/>
                      <w:szCs w:val="20"/>
                      <w:lang w:eastAsia="sk-SK"/>
                    </w:rPr>
                  </w:pPr>
                  <w:r>
                    <w:rPr>
                      <w:sz w:val="20"/>
                      <w:szCs w:val="20"/>
                    </w:rPr>
                    <w:t>Írsko</w:t>
                  </w:r>
                </w:p>
              </w:tc>
              <w:tc>
                <w:tcPr>
                  <w:tcW w:w="843" w:type="dxa"/>
                  <w:tcBorders>
                    <w:top w:val="nil"/>
                    <w:left w:val="nil"/>
                    <w:bottom w:val="nil"/>
                    <w:right w:val="nil"/>
                  </w:tcBorders>
                  <w:shd w:val="clear" w:color="auto" w:fill="auto"/>
                  <w:noWrap/>
                  <w:vAlign w:val="center"/>
                  <w:hideMark/>
                </w:tcPr>
                <w:p w14:paraId="0FDF86A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58,4</w:t>
                  </w:r>
                </w:p>
              </w:tc>
              <w:tc>
                <w:tcPr>
                  <w:tcW w:w="843" w:type="dxa"/>
                  <w:tcBorders>
                    <w:top w:val="nil"/>
                    <w:left w:val="nil"/>
                    <w:bottom w:val="nil"/>
                    <w:right w:val="nil"/>
                  </w:tcBorders>
                  <w:shd w:val="clear" w:color="auto" w:fill="auto"/>
                  <w:noWrap/>
                  <w:vAlign w:val="center"/>
                  <w:hideMark/>
                </w:tcPr>
                <w:p w14:paraId="0D3CD9A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55,4</w:t>
                  </w:r>
                </w:p>
              </w:tc>
              <w:tc>
                <w:tcPr>
                  <w:tcW w:w="864" w:type="dxa"/>
                  <w:tcBorders>
                    <w:top w:val="nil"/>
                    <w:left w:val="nil"/>
                    <w:bottom w:val="nil"/>
                    <w:right w:val="nil"/>
                  </w:tcBorders>
                  <w:shd w:val="clear" w:color="auto" w:fill="auto"/>
                  <w:noWrap/>
                  <w:vAlign w:val="center"/>
                  <w:hideMark/>
                </w:tcPr>
                <w:p w14:paraId="7275DB17"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44,7</w:t>
                  </w:r>
                </w:p>
              </w:tc>
              <w:tc>
                <w:tcPr>
                  <w:tcW w:w="799" w:type="dxa"/>
                  <w:tcBorders>
                    <w:top w:val="nil"/>
                    <w:left w:val="nil"/>
                    <w:bottom w:val="nil"/>
                    <w:right w:val="single" w:sz="4" w:space="0" w:color="auto"/>
                  </w:tcBorders>
                  <w:shd w:val="clear" w:color="auto" w:fill="auto"/>
                  <w:noWrap/>
                  <w:vAlign w:val="center"/>
                  <w:hideMark/>
                </w:tcPr>
                <w:p w14:paraId="2E62E6E2" w14:textId="77777777" w:rsidR="003A0696" w:rsidRPr="00E03AC1" w:rsidRDefault="003A0696" w:rsidP="003A0696">
                  <w:pPr>
                    <w:tabs>
                      <w:tab w:val="decimal" w:pos="230"/>
                    </w:tabs>
                    <w:spacing w:after="0" w:line="240" w:lineRule="auto"/>
                    <w:ind w:right="32" w:firstLineChars="100" w:firstLine="200"/>
                    <w:jc w:val="right"/>
                    <w:rPr>
                      <w:color w:val="FF0000"/>
                      <w:sz w:val="20"/>
                      <w:szCs w:val="20"/>
                      <w:lang w:eastAsia="sk-SK"/>
                    </w:rPr>
                  </w:pPr>
                  <w:r>
                    <w:rPr>
                      <w:color w:val="00B050"/>
                      <w:sz w:val="20"/>
                      <w:szCs w:val="20"/>
                    </w:rPr>
                    <w:t>-10,7</w:t>
                  </w:r>
                </w:p>
              </w:tc>
            </w:tr>
            <w:tr w:rsidR="003A0696" w:rsidRPr="00E03AC1" w14:paraId="6C732E30"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747FF7F1" w14:textId="77777777" w:rsidR="003A0696" w:rsidRPr="00E03AC1" w:rsidRDefault="003A0696" w:rsidP="003A0696">
                  <w:pPr>
                    <w:spacing w:after="0" w:line="240" w:lineRule="auto"/>
                    <w:rPr>
                      <w:sz w:val="20"/>
                      <w:szCs w:val="20"/>
                      <w:lang w:eastAsia="sk-SK"/>
                    </w:rPr>
                  </w:pPr>
                  <w:r>
                    <w:rPr>
                      <w:sz w:val="20"/>
                      <w:szCs w:val="20"/>
                    </w:rPr>
                    <w:t>Portugalsko</w:t>
                  </w:r>
                </w:p>
              </w:tc>
              <w:tc>
                <w:tcPr>
                  <w:tcW w:w="764" w:type="dxa"/>
                  <w:tcBorders>
                    <w:top w:val="nil"/>
                    <w:left w:val="nil"/>
                    <w:bottom w:val="nil"/>
                    <w:right w:val="nil"/>
                  </w:tcBorders>
                  <w:shd w:val="clear" w:color="auto" w:fill="auto"/>
                  <w:noWrap/>
                  <w:vAlign w:val="center"/>
                  <w:hideMark/>
                </w:tcPr>
                <w:p w14:paraId="6C57DD1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-5,8</w:t>
                  </w:r>
                </w:p>
              </w:tc>
              <w:tc>
                <w:tcPr>
                  <w:tcW w:w="826" w:type="dxa"/>
                  <w:tcBorders>
                    <w:top w:val="nil"/>
                    <w:left w:val="nil"/>
                    <w:bottom w:val="nil"/>
                    <w:right w:val="nil"/>
                  </w:tcBorders>
                  <w:shd w:val="clear" w:color="auto" w:fill="auto"/>
                  <w:noWrap/>
                  <w:vAlign w:val="center"/>
                  <w:hideMark/>
                </w:tcPr>
                <w:p w14:paraId="01C9EE5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-2,9</w:t>
                  </w:r>
                </w:p>
              </w:tc>
              <w:tc>
                <w:tcPr>
                  <w:tcW w:w="742" w:type="dxa"/>
                  <w:tcBorders>
                    <w:top w:val="nil"/>
                    <w:left w:val="nil"/>
                    <w:bottom w:val="nil"/>
                    <w:right w:val="nil"/>
                  </w:tcBorders>
                  <w:shd w:val="clear" w:color="auto" w:fill="auto"/>
                  <w:noWrap/>
                  <w:vAlign w:val="center"/>
                  <w:hideMark/>
                </w:tcPr>
                <w:p w14:paraId="3ACA170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-0,4</w:t>
                  </w:r>
                </w:p>
              </w:tc>
              <w:tc>
                <w:tcPr>
                  <w:tcW w:w="728" w:type="dxa"/>
                  <w:tcBorders>
                    <w:top w:val="nil"/>
                    <w:left w:val="nil"/>
                    <w:bottom w:val="nil"/>
                    <w:right w:val="nil"/>
                  </w:tcBorders>
                  <w:shd w:val="clear" w:color="auto" w:fill="auto"/>
                  <w:noWrap/>
                  <w:vAlign w:val="center"/>
                  <w:hideMark/>
                </w:tcPr>
                <w:p w14:paraId="75E1B4E4"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2,5</w:t>
                  </w:r>
                </w:p>
              </w:tc>
              <w:tc>
                <w:tcPr>
                  <w:tcW w:w="1453" w:type="dxa"/>
                  <w:tcBorders>
                    <w:top w:val="nil"/>
                    <w:left w:val="single" w:sz="4" w:space="0" w:color="auto"/>
                    <w:bottom w:val="nil"/>
                    <w:right w:val="nil"/>
                  </w:tcBorders>
                  <w:shd w:val="clear" w:color="auto" w:fill="auto"/>
                  <w:noWrap/>
                  <w:vAlign w:val="center"/>
                  <w:hideMark/>
                </w:tcPr>
                <w:p w14:paraId="6EE587C3" w14:textId="77777777" w:rsidR="003A0696" w:rsidRPr="00E03AC1" w:rsidRDefault="003A0696" w:rsidP="003A0696">
                  <w:pPr>
                    <w:spacing w:after="0" w:line="240" w:lineRule="auto"/>
                    <w:rPr>
                      <w:sz w:val="20"/>
                      <w:szCs w:val="20"/>
                      <w:lang w:eastAsia="sk-SK"/>
                    </w:rPr>
                  </w:pPr>
                  <w:r>
                    <w:rPr>
                      <w:sz w:val="20"/>
                      <w:szCs w:val="20"/>
                    </w:rPr>
                    <w:t>Česká republika</w:t>
                  </w:r>
                </w:p>
              </w:tc>
              <w:tc>
                <w:tcPr>
                  <w:tcW w:w="843" w:type="dxa"/>
                  <w:tcBorders>
                    <w:top w:val="nil"/>
                    <w:left w:val="nil"/>
                    <w:bottom w:val="nil"/>
                    <w:right w:val="nil"/>
                  </w:tcBorders>
                  <w:shd w:val="clear" w:color="auto" w:fill="auto"/>
                  <w:noWrap/>
                  <w:vAlign w:val="center"/>
                  <w:hideMark/>
                </w:tcPr>
                <w:p w14:paraId="76962445"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37,7</w:t>
                  </w:r>
                </w:p>
              </w:tc>
              <w:tc>
                <w:tcPr>
                  <w:tcW w:w="843" w:type="dxa"/>
                  <w:tcBorders>
                    <w:top w:val="nil"/>
                    <w:left w:val="nil"/>
                    <w:bottom w:val="nil"/>
                    <w:right w:val="nil"/>
                  </w:tcBorders>
                  <w:shd w:val="clear" w:color="auto" w:fill="auto"/>
                  <w:noWrap/>
                  <w:vAlign w:val="center"/>
                  <w:hideMark/>
                </w:tcPr>
                <w:p w14:paraId="78FA629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42,0</w:t>
                  </w:r>
                </w:p>
              </w:tc>
              <w:tc>
                <w:tcPr>
                  <w:tcW w:w="864" w:type="dxa"/>
                  <w:tcBorders>
                    <w:top w:val="nil"/>
                    <w:left w:val="nil"/>
                    <w:bottom w:val="nil"/>
                    <w:right w:val="nil"/>
                  </w:tcBorders>
                  <w:shd w:val="clear" w:color="auto" w:fill="auto"/>
                  <w:noWrap/>
                  <w:vAlign w:val="center"/>
                  <w:hideMark/>
                </w:tcPr>
                <w:p w14:paraId="38A496D1"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44,1</w:t>
                  </w:r>
                </w:p>
              </w:tc>
              <w:tc>
                <w:tcPr>
                  <w:tcW w:w="799" w:type="dxa"/>
                  <w:tcBorders>
                    <w:top w:val="nil"/>
                    <w:left w:val="nil"/>
                    <w:bottom w:val="nil"/>
                    <w:right w:val="single" w:sz="4" w:space="0" w:color="auto"/>
                  </w:tcBorders>
                  <w:shd w:val="clear" w:color="auto" w:fill="auto"/>
                  <w:noWrap/>
                  <w:vAlign w:val="center"/>
                  <w:hideMark/>
                </w:tcPr>
                <w:p w14:paraId="1D3A9BAE"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FF0000"/>
                      <w:sz w:val="20"/>
                      <w:szCs w:val="20"/>
                    </w:rPr>
                    <w:t>2,1</w:t>
                  </w:r>
                </w:p>
              </w:tc>
            </w:tr>
            <w:tr w:rsidR="003A0696" w:rsidRPr="00E03AC1" w14:paraId="7BB160B6"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19BFC853" w14:textId="77777777" w:rsidR="003A0696" w:rsidRPr="00E03AC1" w:rsidRDefault="003A0696" w:rsidP="003A0696">
                  <w:pPr>
                    <w:spacing w:after="0" w:line="240" w:lineRule="auto"/>
                    <w:rPr>
                      <w:sz w:val="20"/>
                      <w:szCs w:val="20"/>
                      <w:lang w:eastAsia="sk-SK"/>
                    </w:rPr>
                  </w:pPr>
                  <w:r>
                    <w:rPr>
                      <w:sz w:val="20"/>
                      <w:szCs w:val="20"/>
                    </w:rPr>
                    <w:t>Holandsko</w:t>
                  </w:r>
                </w:p>
              </w:tc>
              <w:tc>
                <w:tcPr>
                  <w:tcW w:w="764" w:type="dxa"/>
                  <w:tcBorders>
                    <w:top w:val="nil"/>
                    <w:left w:val="nil"/>
                    <w:bottom w:val="nil"/>
                    <w:right w:val="nil"/>
                  </w:tcBorders>
                  <w:shd w:val="clear" w:color="auto" w:fill="auto"/>
                  <w:noWrap/>
                  <w:vAlign w:val="center"/>
                  <w:hideMark/>
                </w:tcPr>
                <w:p w14:paraId="6D74C661"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-3,7</w:t>
                  </w:r>
                </w:p>
              </w:tc>
              <w:tc>
                <w:tcPr>
                  <w:tcW w:w="826" w:type="dxa"/>
                  <w:tcBorders>
                    <w:top w:val="nil"/>
                    <w:left w:val="nil"/>
                    <w:bottom w:val="nil"/>
                    <w:right w:val="nil"/>
                  </w:tcBorders>
                  <w:shd w:val="clear" w:color="auto" w:fill="auto"/>
                  <w:noWrap/>
                  <w:vAlign w:val="center"/>
                  <w:hideMark/>
                </w:tcPr>
                <w:p w14:paraId="33EB7A37"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-2,4</w:t>
                  </w:r>
                </w:p>
              </w:tc>
              <w:tc>
                <w:tcPr>
                  <w:tcW w:w="742" w:type="dxa"/>
                  <w:tcBorders>
                    <w:top w:val="nil"/>
                    <w:left w:val="nil"/>
                    <w:bottom w:val="nil"/>
                    <w:right w:val="nil"/>
                  </w:tcBorders>
                  <w:shd w:val="clear" w:color="auto" w:fill="auto"/>
                  <w:noWrap/>
                  <w:vAlign w:val="center"/>
                  <w:hideMark/>
                </w:tcPr>
                <w:p w14:paraId="6BBC56EF"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0,0</w:t>
                  </w:r>
                </w:p>
              </w:tc>
              <w:tc>
                <w:tcPr>
                  <w:tcW w:w="728" w:type="dxa"/>
                  <w:tcBorders>
                    <w:top w:val="nil"/>
                    <w:left w:val="nil"/>
                    <w:bottom w:val="nil"/>
                    <w:right w:val="nil"/>
                  </w:tcBorders>
                  <w:shd w:val="clear" w:color="auto" w:fill="auto"/>
                  <w:noWrap/>
                  <w:vAlign w:val="center"/>
                  <w:hideMark/>
                </w:tcPr>
                <w:p w14:paraId="33600F8D"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2,4</w:t>
                  </w:r>
                </w:p>
              </w:tc>
              <w:tc>
                <w:tcPr>
                  <w:tcW w:w="1453" w:type="dxa"/>
                  <w:tcBorders>
                    <w:top w:val="nil"/>
                    <w:left w:val="single" w:sz="4" w:space="0" w:color="auto"/>
                    <w:bottom w:val="nil"/>
                    <w:right w:val="nil"/>
                  </w:tcBorders>
                  <w:shd w:val="clear" w:color="auto" w:fill="auto"/>
                  <w:noWrap/>
                  <w:vAlign w:val="center"/>
                  <w:hideMark/>
                </w:tcPr>
                <w:p w14:paraId="07417077" w14:textId="77777777" w:rsidR="003A0696" w:rsidRPr="00E03AC1" w:rsidRDefault="003A0696" w:rsidP="003A0696">
                  <w:pPr>
                    <w:spacing w:after="0" w:line="240" w:lineRule="auto"/>
                    <w:rPr>
                      <w:sz w:val="20"/>
                      <w:szCs w:val="20"/>
                      <w:lang w:eastAsia="sk-SK"/>
                    </w:rPr>
                  </w:pPr>
                  <w:r>
                    <w:rPr>
                      <w:sz w:val="20"/>
                      <w:szCs w:val="20"/>
                    </w:rPr>
                    <w:t>Lotyšsko</w:t>
                  </w:r>
                </w:p>
              </w:tc>
              <w:tc>
                <w:tcPr>
                  <w:tcW w:w="843" w:type="dxa"/>
                  <w:tcBorders>
                    <w:top w:val="nil"/>
                    <w:left w:val="nil"/>
                    <w:bottom w:val="nil"/>
                    <w:right w:val="nil"/>
                  </w:tcBorders>
                  <w:shd w:val="clear" w:color="auto" w:fill="auto"/>
                  <w:noWrap/>
                  <w:vAlign w:val="center"/>
                  <w:hideMark/>
                </w:tcPr>
                <w:p w14:paraId="7484295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42,0</w:t>
                  </w:r>
                </w:p>
              </w:tc>
              <w:tc>
                <w:tcPr>
                  <w:tcW w:w="843" w:type="dxa"/>
                  <w:tcBorders>
                    <w:top w:val="nil"/>
                    <w:left w:val="nil"/>
                    <w:bottom w:val="nil"/>
                    <w:right w:val="nil"/>
                  </w:tcBorders>
                  <w:shd w:val="clear" w:color="auto" w:fill="auto"/>
                  <w:noWrap/>
                  <w:vAlign w:val="center"/>
                  <w:hideMark/>
                </w:tcPr>
                <w:p w14:paraId="0D3303F1"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43,7</w:t>
                  </w:r>
                </w:p>
              </w:tc>
              <w:tc>
                <w:tcPr>
                  <w:tcW w:w="864" w:type="dxa"/>
                  <w:tcBorders>
                    <w:top w:val="nil"/>
                    <w:left w:val="nil"/>
                    <w:bottom w:val="nil"/>
                    <w:right w:val="nil"/>
                  </w:tcBorders>
                  <w:shd w:val="clear" w:color="auto" w:fill="auto"/>
                  <w:noWrap/>
                  <w:vAlign w:val="center"/>
                  <w:hideMark/>
                </w:tcPr>
                <w:p w14:paraId="792AE87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40,8</w:t>
                  </w:r>
                </w:p>
              </w:tc>
              <w:tc>
                <w:tcPr>
                  <w:tcW w:w="799" w:type="dxa"/>
                  <w:tcBorders>
                    <w:top w:val="nil"/>
                    <w:left w:val="nil"/>
                    <w:bottom w:val="nil"/>
                    <w:right w:val="single" w:sz="4" w:space="0" w:color="auto"/>
                  </w:tcBorders>
                  <w:shd w:val="clear" w:color="auto" w:fill="auto"/>
                  <w:noWrap/>
                  <w:vAlign w:val="center"/>
                  <w:hideMark/>
                </w:tcPr>
                <w:p w14:paraId="7E25656F" w14:textId="77777777" w:rsidR="003A0696" w:rsidRPr="00E03AC1" w:rsidRDefault="003A0696" w:rsidP="003A0696">
                  <w:pPr>
                    <w:tabs>
                      <w:tab w:val="decimal" w:pos="230"/>
                    </w:tabs>
                    <w:spacing w:after="0" w:line="240" w:lineRule="auto"/>
                    <w:ind w:right="32" w:firstLineChars="100" w:firstLine="200"/>
                    <w:jc w:val="right"/>
                    <w:rPr>
                      <w:color w:val="FF0000"/>
                      <w:sz w:val="20"/>
                      <w:szCs w:val="20"/>
                      <w:lang w:eastAsia="sk-SK"/>
                    </w:rPr>
                  </w:pPr>
                  <w:r>
                    <w:rPr>
                      <w:color w:val="00B050"/>
                      <w:sz w:val="20"/>
                      <w:szCs w:val="20"/>
                    </w:rPr>
                    <w:t>-2,9</w:t>
                  </w:r>
                </w:p>
              </w:tc>
            </w:tr>
            <w:tr w:rsidR="003A0696" w:rsidRPr="00E03AC1" w14:paraId="58853355"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5ED81D07" w14:textId="77777777" w:rsidR="003A0696" w:rsidRPr="00E03AC1" w:rsidRDefault="003A0696" w:rsidP="003A0696">
                  <w:pPr>
                    <w:spacing w:after="0" w:line="240" w:lineRule="auto"/>
                    <w:rPr>
                      <w:sz w:val="20"/>
                      <w:szCs w:val="20"/>
                      <w:lang w:eastAsia="sk-SK"/>
                    </w:rPr>
                  </w:pPr>
                  <w:r>
                    <w:rPr>
                      <w:sz w:val="20"/>
                      <w:szCs w:val="20"/>
                    </w:rPr>
                    <w:t>Luxembursko</w:t>
                  </w:r>
                </w:p>
              </w:tc>
              <w:tc>
                <w:tcPr>
                  <w:tcW w:w="764" w:type="dxa"/>
                  <w:tcBorders>
                    <w:top w:val="nil"/>
                    <w:left w:val="nil"/>
                    <w:bottom w:val="nil"/>
                    <w:right w:val="nil"/>
                  </w:tcBorders>
                  <w:shd w:val="clear" w:color="auto" w:fill="auto"/>
                  <w:noWrap/>
                  <w:vAlign w:val="center"/>
                  <w:hideMark/>
                </w:tcPr>
                <w:p w14:paraId="23DE799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-3,4</w:t>
                  </w:r>
                </w:p>
              </w:tc>
              <w:tc>
                <w:tcPr>
                  <w:tcW w:w="826" w:type="dxa"/>
                  <w:tcBorders>
                    <w:top w:val="nil"/>
                    <w:left w:val="nil"/>
                    <w:bottom w:val="nil"/>
                    <w:right w:val="nil"/>
                  </w:tcBorders>
                  <w:shd w:val="clear" w:color="auto" w:fill="auto"/>
                  <w:noWrap/>
                  <w:vAlign w:val="center"/>
                  <w:hideMark/>
                </w:tcPr>
                <w:p w14:paraId="28EAC2B0"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0,7</w:t>
                  </w:r>
                </w:p>
              </w:tc>
              <w:tc>
                <w:tcPr>
                  <w:tcW w:w="742" w:type="dxa"/>
                  <w:tcBorders>
                    <w:top w:val="nil"/>
                    <w:left w:val="nil"/>
                    <w:bottom w:val="nil"/>
                    <w:right w:val="nil"/>
                  </w:tcBorders>
                  <w:shd w:val="clear" w:color="auto" w:fill="auto"/>
                  <w:noWrap/>
                  <w:vAlign w:val="center"/>
                  <w:hideMark/>
                </w:tcPr>
                <w:p w14:paraId="513B9BF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0,2</w:t>
                  </w:r>
                </w:p>
              </w:tc>
              <w:tc>
                <w:tcPr>
                  <w:tcW w:w="728" w:type="dxa"/>
                  <w:tcBorders>
                    <w:top w:val="nil"/>
                    <w:left w:val="nil"/>
                    <w:bottom w:val="nil"/>
                    <w:right w:val="nil"/>
                  </w:tcBorders>
                  <w:shd w:val="clear" w:color="auto" w:fill="auto"/>
                  <w:noWrap/>
                  <w:vAlign w:val="center"/>
                  <w:hideMark/>
                </w:tcPr>
                <w:p w14:paraId="76DA9416"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FF0000"/>
                      <w:sz w:val="20"/>
                      <w:szCs w:val="20"/>
                    </w:rPr>
                    <w:t>-0,5</w:t>
                  </w:r>
                </w:p>
              </w:tc>
              <w:tc>
                <w:tcPr>
                  <w:tcW w:w="1453" w:type="dxa"/>
                  <w:tcBorders>
                    <w:top w:val="nil"/>
                    <w:left w:val="single" w:sz="4" w:space="0" w:color="auto"/>
                    <w:bottom w:val="nil"/>
                    <w:right w:val="nil"/>
                  </w:tcBorders>
                  <w:shd w:val="clear" w:color="auto" w:fill="auto"/>
                  <w:noWrap/>
                  <w:vAlign w:val="center"/>
                  <w:hideMark/>
                </w:tcPr>
                <w:p w14:paraId="3A7015E4" w14:textId="77777777" w:rsidR="003A0696" w:rsidRPr="00E03AC1" w:rsidRDefault="003A0696" w:rsidP="003A0696">
                  <w:pPr>
                    <w:spacing w:after="0" w:line="240" w:lineRule="auto"/>
                    <w:ind w:right="-209"/>
                    <w:rPr>
                      <w:sz w:val="20"/>
                      <w:szCs w:val="20"/>
                      <w:lang w:eastAsia="sk-SK"/>
                    </w:rPr>
                  </w:pPr>
                  <w:r>
                    <w:rPr>
                      <w:sz w:val="20"/>
                      <w:szCs w:val="20"/>
                    </w:rPr>
                    <w:t>Litva</w:t>
                  </w:r>
                </w:p>
              </w:tc>
              <w:tc>
                <w:tcPr>
                  <w:tcW w:w="843" w:type="dxa"/>
                  <w:tcBorders>
                    <w:top w:val="nil"/>
                    <w:left w:val="nil"/>
                    <w:bottom w:val="nil"/>
                    <w:right w:val="nil"/>
                  </w:tcBorders>
                  <w:shd w:val="clear" w:color="auto" w:fill="auto"/>
                  <w:noWrap/>
                  <w:vAlign w:val="center"/>
                  <w:hideMark/>
                </w:tcPr>
                <w:p w14:paraId="7904961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46,3</w:t>
                  </w:r>
                </w:p>
              </w:tc>
              <w:tc>
                <w:tcPr>
                  <w:tcW w:w="843" w:type="dxa"/>
                  <w:tcBorders>
                    <w:top w:val="nil"/>
                    <w:left w:val="nil"/>
                    <w:bottom w:val="nil"/>
                    <w:right w:val="nil"/>
                  </w:tcBorders>
                  <w:shd w:val="clear" w:color="auto" w:fill="auto"/>
                  <w:noWrap/>
                  <w:vAlign w:val="center"/>
                  <w:hideMark/>
                </w:tcPr>
                <w:p w14:paraId="3FFE7DB1"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43,7</w:t>
                  </w:r>
                </w:p>
              </w:tc>
              <w:tc>
                <w:tcPr>
                  <w:tcW w:w="864" w:type="dxa"/>
                  <w:tcBorders>
                    <w:top w:val="nil"/>
                    <w:left w:val="nil"/>
                    <w:bottom w:val="nil"/>
                    <w:right w:val="nil"/>
                  </w:tcBorders>
                  <w:shd w:val="clear" w:color="auto" w:fill="auto"/>
                  <w:noWrap/>
                  <w:vAlign w:val="center"/>
                  <w:hideMark/>
                </w:tcPr>
                <w:p w14:paraId="2128D60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38,4</w:t>
                  </w:r>
                </w:p>
              </w:tc>
              <w:tc>
                <w:tcPr>
                  <w:tcW w:w="799" w:type="dxa"/>
                  <w:tcBorders>
                    <w:top w:val="nil"/>
                    <w:left w:val="nil"/>
                    <w:bottom w:val="nil"/>
                    <w:right w:val="single" w:sz="4" w:space="0" w:color="auto"/>
                  </w:tcBorders>
                  <w:shd w:val="clear" w:color="auto" w:fill="auto"/>
                  <w:noWrap/>
                  <w:vAlign w:val="center"/>
                  <w:hideMark/>
                </w:tcPr>
                <w:p w14:paraId="36A7A582" w14:textId="77777777" w:rsidR="003A0696" w:rsidRPr="00E03AC1" w:rsidRDefault="003A0696" w:rsidP="003A0696">
                  <w:pPr>
                    <w:tabs>
                      <w:tab w:val="decimal" w:pos="230"/>
                    </w:tabs>
                    <w:spacing w:after="0" w:line="240" w:lineRule="auto"/>
                    <w:ind w:right="32" w:firstLineChars="100" w:firstLine="200"/>
                    <w:jc w:val="right"/>
                    <w:rPr>
                      <w:color w:val="FF0000"/>
                      <w:sz w:val="20"/>
                      <w:szCs w:val="20"/>
                      <w:lang w:eastAsia="sk-SK"/>
                    </w:rPr>
                  </w:pPr>
                  <w:r>
                    <w:rPr>
                      <w:color w:val="00B050"/>
                      <w:sz w:val="20"/>
                      <w:szCs w:val="20"/>
                    </w:rPr>
                    <w:t>-5,3</w:t>
                  </w:r>
                </w:p>
              </w:tc>
            </w:tr>
            <w:tr w:rsidR="003A0696" w:rsidRPr="00E03AC1" w14:paraId="49AB940B"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090F2C2F" w14:textId="77777777" w:rsidR="003A0696" w:rsidRPr="00E03AC1" w:rsidRDefault="003A0696" w:rsidP="003A0696">
                  <w:pPr>
                    <w:spacing w:after="0" w:line="240" w:lineRule="auto"/>
                    <w:rPr>
                      <w:sz w:val="20"/>
                      <w:szCs w:val="20"/>
                      <w:lang w:eastAsia="sk-SK"/>
                    </w:rPr>
                  </w:pPr>
                  <w:r>
                    <w:rPr>
                      <w:sz w:val="20"/>
                      <w:szCs w:val="20"/>
                    </w:rPr>
                    <w:t>Chorvátsko</w:t>
                  </w:r>
                </w:p>
              </w:tc>
              <w:tc>
                <w:tcPr>
                  <w:tcW w:w="764" w:type="dxa"/>
                  <w:tcBorders>
                    <w:top w:val="nil"/>
                    <w:left w:val="nil"/>
                    <w:bottom w:val="nil"/>
                    <w:right w:val="nil"/>
                  </w:tcBorders>
                  <w:shd w:val="clear" w:color="auto" w:fill="auto"/>
                  <w:noWrap/>
                  <w:vAlign w:val="center"/>
                  <w:hideMark/>
                </w:tcPr>
                <w:p w14:paraId="261EB48F"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-7,3</w:t>
                  </w:r>
                </w:p>
              </w:tc>
              <w:tc>
                <w:tcPr>
                  <w:tcW w:w="826" w:type="dxa"/>
                  <w:tcBorders>
                    <w:top w:val="nil"/>
                    <w:left w:val="nil"/>
                    <w:bottom w:val="nil"/>
                    <w:right w:val="nil"/>
                  </w:tcBorders>
                  <w:shd w:val="clear" w:color="auto" w:fill="auto"/>
                  <w:noWrap/>
                  <w:vAlign w:val="center"/>
                  <w:hideMark/>
                </w:tcPr>
                <w:p w14:paraId="03018F3F"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-2,5</w:t>
                  </w:r>
                </w:p>
              </w:tc>
              <w:tc>
                <w:tcPr>
                  <w:tcW w:w="742" w:type="dxa"/>
                  <w:tcBorders>
                    <w:top w:val="nil"/>
                    <w:left w:val="nil"/>
                    <w:bottom w:val="nil"/>
                    <w:right w:val="nil"/>
                  </w:tcBorders>
                  <w:shd w:val="clear" w:color="auto" w:fill="auto"/>
                  <w:noWrap/>
                  <w:vAlign w:val="center"/>
                  <w:hideMark/>
                </w:tcPr>
                <w:p w14:paraId="6DE1075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0,4</w:t>
                  </w:r>
                </w:p>
              </w:tc>
              <w:tc>
                <w:tcPr>
                  <w:tcW w:w="728" w:type="dxa"/>
                  <w:tcBorders>
                    <w:top w:val="nil"/>
                    <w:left w:val="nil"/>
                    <w:bottom w:val="nil"/>
                    <w:right w:val="nil"/>
                  </w:tcBorders>
                  <w:shd w:val="clear" w:color="auto" w:fill="auto"/>
                  <w:noWrap/>
                  <w:vAlign w:val="center"/>
                  <w:hideMark/>
                </w:tcPr>
                <w:p w14:paraId="6CE2F822"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2,9</w:t>
                  </w:r>
                </w:p>
              </w:tc>
              <w:tc>
                <w:tcPr>
                  <w:tcW w:w="1453" w:type="dxa"/>
                  <w:tcBorders>
                    <w:top w:val="nil"/>
                    <w:left w:val="single" w:sz="4" w:space="0" w:color="auto"/>
                    <w:bottom w:val="nil"/>
                    <w:right w:val="nil"/>
                  </w:tcBorders>
                  <w:shd w:val="clear" w:color="auto" w:fill="auto"/>
                  <w:noWrap/>
                  <w:vAlign w:val="center"/>
                  <w:hideMark/>
                </w:tcPr>
                <w:p w14:paraId="5A56205E" w14:textId="77777777" w:rsidR="003A0696" w:rsidRPr="00E03AC1" w:rsidRDefault="003A0696" w:rsidP="003A0696">
                  <w:pPr>
                    <w:spacing w:after="0" w:line="240" w:lineRule="auto"/>
                    <w:rPr>
                      <w:sz w:val="20"/>
                      <w:szCs w:val="20"/>
                      <w:lang w:eastAsia="sk-SK"/>
                    </w:rPr>
                  </w:pPr>
                  <w:r>
                    <w:rPr>
                      <w:sz w:val="20"/>
                      <w:szCs w:val="20"/>
                    </w:rPr>
                    <w:t>Švédsko</w:t>
                  </w:r>
                </w:p>
              </w:tc>
              <w:tc>
                <w:tcPr>
                  <w:tcW w:w="843" w:type="dxa"/>
                  <w:tcBorders>
                    <w:top w:val="nil"/>
                    <w:left w:val="nil"/>
                    <w:bottom w:val="nil"/>
                    <w:right w:val="nil"/>
                  </w:tcBorders>
                  <w:shd w:val="clear" w:color="auto" w:fill="auto"/>
                  <w:noWrap/>
                  <w:vAlign w:val="center"/>
                  <w:hideMark/>
                </w:tcPr>
                <w:p w14:paraId="3524A545"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39,8</w:t>
                  </w:r>
                </w:p>
              </w:tc>
              <w:tc>
                <w:tcPr>
                  <w:tcW w:w="843" w:type="dxa"/>
                  <w:tcBorders>
                    <w:top w:val="nil"/>
                    <w:left w:val="nil"/>
                    <w:bottom w:val="nil"/>
                    <w:right w:val="nil"/>
                  </w:tcBorders>
                  <w:shd w:val="clear" w:color="auto" w:fill="auto"/>
                  <w:noWrap/>
                  <w:vAlign w:val="center"/>
                  <w:hideMark/>
                </w:tcPr>
                <w:p w14:paraId="59E509DA"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36,5</w:t>
                  </w:r>
                </w:p>
              </w:tc>
              <w:tc>
                <w:tcPr>
                  <w:tcW w:w="864" w:type="dxa"/>
                  <w:tcBorders>
                    <w:top w:val="nil"/>
                    <w:left w:val="nil"/>
                    <w:bottom w:val="nil"/>
                    <w:right w:val="nil"/>
                  </w:tcBorders>
                  <w:shd w:val="clear" w:color="auto" w:fill="auto"/>
                  <w:noWrap/>
                  <w:vAlign w:val="center"/>
                  <w:hideMark/>
                </w:tcPr>
                <w:p w14:paraId="42B7DC78"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33,0</w:t>
                  </w:r>
                </w:p>
              </w:tc>
              <w:tc>
                <w:tcPr>
                  <w:tcW w:w="799" w:type="dxa"/>
                  <w:tcBorders>
                    <w:top w:val="nil"/>
                    <w:left w:val="nil"/>
                    <w:bottom w:val="nil"/>
                    <w:right w:val="single" w:sz="4" w:space="0" w:color="auto"/>
                  </w:tcBorders>
                  <w:shd w:val="clear" w:color="auto" w:fill="auto"/>
                  <w:noWrap/>
                  <w:vAlign w:val="center"/>
                  <w:hideMark/>
                </w:tcPr>
                <w:p w14:paraId="2291AD21"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-3,5</w:t>
                  </w:r>
                </w:p>
              </w:tc>
            </w:tr>
            <w:tr w:rsidR="003A0696" w:rsidRPr="00E03AC1" w14:paraId="0A8D80BD"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565B47A8" w14:textId="77777777" w:rsidR="003A0696" w:rsidRPr="00E03AC1" w:rsidRDefault="003A0696" w:rsidP="003A0696">
                  <w:pPr>
                    <w:spacing w:after="0" w:line="240" w:lineRule="auto"/>
                    <w:rPr>
                      <w:sz w:val="20"/>
                      <w:szCs w:val="20"/>
                      <w:lang w:eastAsia="sk-SK"/>
                    </w:rPr>
                  </w:pPr>
                  <w:r>
                    <w:rPr>
                      <w:sz w:val="20"/>
                      <w:szCs w:val="20"/>
                    </w:rPr>
                    <w:t>Švédsko</w:t>
                  </w:r>
                </w:p>
              </w:tc>
              <w:tc>
                <w:tcPr>
                  <w:tcW w:w="764" w:type="dxa"/>
                  <w:tcBorders>
                    <w:top w:val="nil"/>
                    <w:left w:val="nil"/>
                    <w:bottom w:val="nil"/>
                    <w:right w:val="nil"/>
                  </w:tcBorders>
                  <w:shd w:val="clear" w:color="auto" w:fill="auto"/>
                  <w:noWrap/>
                  <w:vAlign w:val="center"/>
                  <w:hideMark/>
                </w:tcPr>
                <w:p w14:paraId="06D8D3D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-2,8</w:t>
                  </w:r>
                </w:p>
              </w:tc>
              <w:tc>
                <w:tcPr>
                  <w:tcW w:w="826" w:type="dxa"/>
                  <w:tcBorders>
                    <w:top w:val="nil"/>
                    <w:left w:val="nil"/>
                    <w:bottom w:val="nil"/>
                    <w:right w:val="nil"/>
                  </w:tcBorders>
                  <w:shd w:val="clear" w:color="auto" w:fill="auto"/>
                  <w:noWrap/>
                  <w:vAlign w:val="center"/>
                  <w:hideMark/>
                </w:tcPr>
                <w:p w14:paraId="4742E65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0,0</w:t>
                  </w:r>
                </w:p>
              </w:tc>
              <w:tc>
                <w:tcPr>
                  <w:tcW w:w="742" w:type="dxa"/>
                  <w:tcBorders>
                    <w:top w:val="nil"/>
                    <w:left w:val="nil"/>
                    <w:bottom w:val="nil"/>
                    <w:right w:val="nil"/>
                  </w:tcBorders>
                  <w:shd w:val="clear" w:color="auto" w:fill="auto"/>
                  <w:noWrap/>
                  <w:vAlign w:val="center"/>
                  <w:hideMark/>
                </w:tcPr>
                <w:p w14:paraId="6C8AB91E"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0,7</w:t>
                  </w:r>
                </w:p>
              </w:tc>
              <w:tc>
                <w:tcPr>
                  <w:tcW w:w="728" w:type="dxa"/>
                  <w:tcBorders>
                    <w:top w:val="nil"/>
                    <w:left w:val="nil"/>
                    <w:bottom w:val="nil"/>
                    <w:right w:val="nil"/>
                  </w:tcBorders>
                  <w:shd w:val="clear" w:color="auto" w:fill="auto"/>
                  <w:noWrap/>
                  <w:vAlign w:val="center"/>
                  <w:hideMark/>
                </w:tcPr>
                <w:p w14:paraId="20ECB23B"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0,7</w:t>
                  </w:r>
                </w:p>
              </w:tc>
              <w:tc>
                <w:tcPr>
                  <w:tcW w:w="1453" w:type="dxa"/>
                  <w:tcBorders>
                    <w:top w:val="nil"/>
                    <w:left w:val="single" w:sz="4" w:space="0" w:color="auto"/>
                    <w:bottom w:val="nil"/>
                    <w:right w:val="nil"/>
                  </w:tcBorders>
                  <w:shd w:val="clear" w:color="auto" w:fill="auto"/>
                  <w:noWrap/>
                  <w:vAlign w:val="center"/>
                  <w:hideMark/>
                </w:tcPr>
                <w:p w14:paraId="337E3E80" w14:textId="77777777" w:rsidR="003A0696" w:rsidRPr="00E03AC1" w:rsidRDefault="003A0696" w:rsidP="003A0696">
                  <w:pPr>
                    <w:spacing w:after="0" w:line="240" w:lineRule="auto"/>
                    <w:rPr>
                      <w:sz w:val="20"/>
                      <w:szCs w:val="20"/>
                      <w:lang w:eastAsia="sk-SK"/>
                    </w:rPr>
                  </w:pPr>
                  <w:r>
                    <w:rPr>
                      <w:sz w:val="20"/>
                      <w:szCs w:val="20"/>
                    </w:rPr>
                    <w:t>Dánsko</w:t>
                  </w:r>
                </w:p>
              </w:tc>
              <w:tc>
                <w:tcPr>
                  <w:tcW w:w="843" w:type="dxa"/>
                  <w:tcBorders>
                    <w:top w:val="nil"/>
                    <w:left w:val="nil"/>
                    <w:bottom w:val="nil"/>
                    <w:right w:val="nil"/>
                  </w:tcBorders>
                  <w:shd w:val="clear" w:color="auto" w:fill="auto"/>
                  <w:noWrap/>
                  <w:vAlign w:val="center"/>
                  <w:hideMark/>
                </w:tcPr>
                <w:p w14:paraId="0D308FC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42,2</w:t>
                  </w:r>
                </w:p>
              </w:tc>
              <w:tc>
                <w:tcPr>
                  <w:tcW w:w="843" w:type="dxa"/>
                  <w:tcBorders>
                    <w:top w:val="nil"/>
                    <w:left w:val="nil"/>
                    <w:bottom w:val="nil"/>
                    <w:right w:val="nil"/>
                  </w:tcBorders>
                  <w:shd w:val="clear" w:color="auto" w:fill="auto"/>
                  <w:noWrap/>
                  <w:vAlign w:val="center"/>
                  <w:hideMark/>
                </w:tcPr>
                <w:p w14:paraId="1B080ED3"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36,7</w:t>
                  </w:r>
                </w:p>
              </w:tc>
              <w:tc>
                <w:tcPr>
                  <w:tcW w:w="864" w:type="dxa"/>
                  <w:tcBorders>
                    <w:top w:val="nil"/>
                    <w:left w:val="nil"/>
                    <w:bottom w:val="nil"/>
                    <w:right w:val="nil"/>
                  </w:tcBorders>
                  <w:shd w:val="clear" w:color="auto" w:fill="auto"/>
                  <w:noWrap/>
                  <w:vAlign w:val="center"/>
                  <w:hideMark/>
                </w:tcPr>
                <w:p w14:paraId="1F2D661B"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30,1</w:t>
                  </w:r>
                </w:p>
              </w:tc>
              <w:tc>
                <w:tcPr>
                  <w:tcW w:w="799" w:type="dxa"/>
                  <w:tcBorders>
                    <w:top w:val="nil"/>
                    <w:left w:val="nil"/>
                    <w:bottom w:val="nil"/>
                    <w:right w:val="single" w:sz="4" w:space="0" w:color="auto"/>
                  </w:tcBorders>
                  <w:shd w:val="clear" w:color="auto" w:fill="auto"/>
                  <w:noWrap/>
                  <w:vAlign w:val="center"/>
                  <w:hideMark/>
                </w:tcPr>
                <w:p w14:paraId="2BB2EF27"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-6,6</w:t>
                  </w:r>
                </w:p>
              </w:tc>
            </w:tr>
            <w:tr w:rsidR="003A0696" w:rsidRPr="00E03AC1" w14:paraId="4E0092EA"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719096C4" w14:textId="77777777" w:rsidR="003A0696" w:rsidRPr="00E03AC1" w:rsidRDefault="003A0696" w:rsidP="003A0696">
                  <w:pPr>
                    <w:spacing w:after="0" w:line="240" w:lineRule="auto"/>
                    <w:rPr>
                      <w:sz w:val="20"/>
                      <w:szCs w:val="20"/>
                      <w:lang w:eastAsia="sk-SK"/>
                    </w:rPr>
                  </w:pPr>
                  <w:r>
                    <w:rPr>
                      <w:sz w:val="20"/>
                      <w:szCs w:val="20"/>
                    </w:rPr>
                    <w:t>Írsko</w:t>
                  </w:r>
                </w:p>
              </w:tc>
              <w:tc>
                <w:tcPr>
                  <w:tcW w:w="764" w:type="dxa"/>
                  <w:tcBorders>
                    <w:top w:val="nil"/>
                    <w:left w:val="nil"/>
                    <w:bottom w:val="nil"/>
                    <w:right w:val="nil"/>
                  </w:tcBorders>
                  <w:shd w:val="clear" w:color="auto" w:fill="auto"/>
                  <w:noWrap/>
                  <w:vAlign w:val="center"/>
                  <w:hideMark/>
                </w:tcPr>
                <w:p w14:paraId="52F4E1A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-5,0</w:t>
                  </w:r>
                </w:p>
              </w:tc>
              <w:tc>
                <w:tcPr>
                  <w:tcW w:w="826" w:type="dxa"/>
                  <w:tcBorders>
                    <w:top w:val="nil"/>
                    <w:left w:val="nil"/>
                    <w:bottom w:val="nil"/>
                    <w:right w:val="nil"/>
                  </w:tcBorders>
                  <w:shd w:val="clear" w:color="auto" w:fill="auto"/>
                  <w:noWrap/>
                  <w:vAlign w:val="center"/>
                  <w:hideMark/>
                </w:tcPr>
                <w:p w14:paraId="17828916"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-1,6</w:t>
                  </w:r>
                </w:p>
              </w:tc>
              <w:tc>
                <w:tcPr>
                  <w:tcW w:w="742" w:type="dxa"/>
                  <w:tcBorders>
                    <w:top w:val="nil"/>
                    <w:left w:val="nil"/>
                    <w:bottom w:val="nil"/>
                    <w:right w:val="nil"/>
                  </w:tcBorders>
                  <w:shd w:val="clear" w:color="auto" w:fill="auto"/>
                  <w:noWrap/>
                  <w:vAlign w:val="center"/>
                  <w:hideMark/>
                </w:tcPr>
                <w:p w14:paraId="05D1BF4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1,6</w:t>
                  </w:r>
                </w:p>
              </w:tc>
              <w:tc>
                <w:tcPr>
                  <w:tcW w:w="728" w:type="dxa"/>
                  <w:tcBorders>
                    <w:top w:val="nil"/>
                    <w:left w:val="nil"/>
                    <w:bottom w:val="nil"/>
                    <w:right w:val="nil"/>
                  </w:tcBorders>
                  <w:shd w:val="clear" w:color="auto" w:fill="auto"/>
                  <w:noWrap/>
                  <w:vAlign w:val="center"/>
                  <w:hideMark/>
                </w:tcPr>
                <w:p w14:paraId="5AA4AA30"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3,2</w:t>
                  </w:r>
                </w:p>
              </w:tc>
              <w:tc>
                <w:tcPr>
                  <w:tcW w:w="1453" w:type="dxa"/>
                  <w:tcBorders>
                    <w:top w:val="nil"/>
                    <w:left w:val="single" w:sz="4" w:space="0" w:color="auto"/>
                    <w:bottom w:val="nil"/>
                    <w:right w:val="nil"/>
                  </w:tcBorders>
                  <w:shd w:val="clear" w:color="auto" w:fill="auto"/>
                  <w:noWrap/>
                  <w:vAlign w:val="center"/>
                  <w:hideMark/>
                </w:tcPr>
                <w:p w14:paraId="7A21DCA2" w14:textId="77777777" w:rsidR="003A0696" w:rsidRPr="00E03AC1" w:rsidRDefault="003A0696" w:rsidP="003A0696">
                  <w:pPr>
                    <w:spacing w:after="0" w:line="240" w:lineRule="auto"/>
                    <w:rPr>
                      <w:sz w:val="20"/>
                      <w:szCs w:val="20"/>
                      <w:lang w:eastAsia="sk-SK"/>
                    </w:rPr>
                  </w:pPr>
                  <w:r>
                    <w:rPr>
                      <w:sz w:val="20"/>
                      <w:szCs w:val="20"/>
                    </w:rPr>
                    <w:t>Luxembursko</w:t>
                  </w:r>
                </w:p>
              </w:tc>
              <w:tc>
                <w:tcPr>
                  <w:tcW w:w="843" w:type="dxa"/>
                  <w:tcBorders>
                    <w:top w:val="nil"/>
                    <w:left w:val="nil"/>
                    <w:bottom w:val="nil"/>
                    <w:right w:val="nil"/>
                  </w:tcBorders>
                  <w:shd w:val="clear" w:color="auto" w:fill="auto"/>
                  <w:noWrap/>
                  <w:vAlign w:val="center"/>
                  <w:hideMark/>
                </w:tcPr>
                <w:p w14:paraId="001A33F5"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24,5</w:t>
                  </w:r>
                </w:p>
              </w:tc>
              <w:tc>
                <w:tcPr>
                  <w:tcW w:w="843" w:type="dxa"/>
                  <w:tcBorders>
                    <w:top w:val="nil"/>
                    <w:left w:val="nil"/>
                    <w:bottom w:val="nil"/>
                    <w:right w:val="nil"/>
                  </w:tcBorders>
                  <w:shd w:val="clear" w:color="auto" w:fill="auto"/>
                  <w:noWrap/>
                  <w:vAlign w:val="center"/>
                  <w:hideMark/>
                </w:tcPr>
                <w:p w14:paraId="0847F049"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24,5</w:t>
                  </w:r>
                </w:p>
              </w:tc>
              <w:tc>
                <w:tcPr>
                  <w:tcW w:w="864" w:type="dxa"/>
                  <w:tcBorders>
                    <w:top w:val="nil"/>
                    <w:left w:val="nil"/>
                    <w:bottom w:val="nil"/>
                    <w:right w:val="nil"/>
                  </w:tcBorders>
                  <w:shd w:val="clear" w:color="auto" w:fill="auto"/>
                  <w:noWrap/>
                  <w:vAlign w:val="center"/>
                  <w:hideMark/>
                </w:tcPr>
                <w:p w14:paraId="4AD9CF6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24,6</w:t>
                  </w:r>
                </w:p>
              </w:tc>
              <w:tc>
                <w:tcPr>
                  <w:tcW w:w="799" w:type="dxa"/>
                  <w:tcBorders>
                    <w:top w:val="nil"/>
                    <w:left w:val="nil"/>
                    <w:bottom w:val="nil"/>
                    <w:right w:val="single" w:sz="4" w:space="0" w:color="auto"/>
                  </w:tcBorders>
                  <w:shd w:val="clear" w:color="auto" w:fill="auto"/>
                  <w:noWrap/>
                  <w:vAlign w:val="center"/>
                  <w:hideMark/>
                </w:tcPr>
                <w:p w14:paraId="20F76594" w14:textId="77777777" w:rsidR="003A0696" w:rsidRPr="00E03AC1" w:rsidRDefault="003A0696" w:rsidP="003A0696">
                  <w:pPr>
                    <w:tabs>
                      <w:tab w:val="decimal" w:pos="230"/>
                    </w:tabs>
                    <w:spacing w:after="0" w:line="240" w:lineRule="auto"/>
                    <w:ind w:right="32" w:firstLineChars="100" w:firstLine="200"/>
                    <w:jc w:val="right"/>
                    <w:rPr>
                      <w:color w:val="000000"/>
                      <w:sz w:val="20"/>
                      <w:szCs w:val="20"/>
                      <w:lang w:eastAsia="sk-SK"/>
                    </w:rPr>
                  </w:pPr>
                  <w:r>
                    <w:rPr>
                      <w:color w:val="FF0000"/>
                      <w:sz w:val="20"/>
                      <w:szCs w:val="20"/>
                    </w:rPr>
                    <w:t>0,1</w:t>
                  </w:r>
                </w:p>
              </w:tc>
            </w:tr>
            <w:tr w:rsidR="003A0696" w:rsidRPr="00E03AC1" w14:paraId="3D2BAF7B" w14:textId="77777777" w:rsidTr="003A0696">
              <w:trPr>
                <w:trHeight w:val="307"/>
              </w:trPr>
              <w:tc>
                <w:tcPr>
                  <w:tcW w:w="1542" w:type="dxa"/>
                  <w:tcBorders>
                    <w:top w:val="nil"/>
                    <w:left w:val="single" w:sz="4" w:space="0" w:color="auto"/>
                    <w:bottom w:val="nil"/>
                    <w:right w:val="nil"/>
                  </w:tcBorders>
                  <w:shd w:val="clear" w:color="auto" w:fill="auto"/>
                  <w:noWrap/>
                  <w:vAlign w:val="center"/>
                  <w:hideMark/>
                </w:tcPr>
                <w:p w14:paraId="07110509" w14:textId="77777777" w:rsidR="003A0696" w:rsidRPr="00E03AC1" w:rsidRDefault="003A0696" w:rsidP="003A0696">
                  <w:pPr>
                    <w:spacing w:after="0" w:line="240" w:lineRule="auto"/>
                    <w:rPr>
                      <w:sz w:val="20"/>
                      <w:szCs w:val="20"/>
                      <w:lang w:eastAsia="sk-SK"/>
                    </w:rPr>
                  </w:pPr>
                  <w:r>
                    <w:rPr>
                      <w:sz w:val="20"/>
                      <w:szCs w:val="20"/>
                    </w:rPr>
                    <w:t>Cyprus</w:t>
                  </w:r>
                </w:p>
              </w:tc>
              <w:tc>
                <w:tcPr>
                  <w:tcW w:w="764" w:type="dxa"/>
                  <w:tcBorders>
                    <w:top w:val="nil"/>
                    <w:left w:val="nil"/>
                    <w:bottom w:val="nil"/>
                    <w:right w:val="nil"/>
                  </w:tcBorders>
                  <w:shd w:val="clear" w:color="auto" w:fill="auto"/>
                  <w:noWrap/>
                  <w:vAlign w:val="center"/>
                  <w:hideMark/>
                </w:tcPr>
                <w:p w14:paraId="32FADE9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-5,8</w:t>
                  </w:r>
                </w:p>
              </w:tc>
              <w:tc>
                <w:tcPr>
                  <w:tcW w:w="826" w:type="dxa"/>
                  <w:tcBorders>
                    <w:top w:val="nil"/>
                    <w:left w:val="nil"/>
                    <w:bottom w:val="nil"/>
                    <w:right w:val="nil"/>
                  </w:tcBorders>
                  <w:shd w:val="clear" w:color="auto" w:fill="auto"/>
                  <w:noWrap/>
                  <w:vAlign w:val="center"/>
                  <w:hideMark/>
                </w:tcPr>
                <w:p w14:paraId="5D3958A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-2,0</w:t>
                  </w:r>
                </w:p>
              </w:tc>
              <w:tc>
                <w:tcPr>
                  <w:tcW w:w="742" w:type="dxa"/>
                  <w:tcBorders>
                    <w:top w:val="nil"/>
                    <w:left w:val="nil"/>
                    <w:bottom w:val="nil"/>
                    <w:right w:val="nil"/>
                  </w:tcBorders>
                  <w:shd w:val="clear" w:color="auto" w:fill="auto"/>
                  <w:noWrap/>
                  <w:vAlign w:val="center"/>
                  <w:hideMark/>
                </w:tcPr>
                <w:p w14:paraId="7C0A37A2"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2,1</w:t>
                  </w:r>
                </w:p>
              </w:tc>
              <w:tc>
                <w:tcPr>
                  <w:tcW w:w="728" w:type="dxa"/>
                  <w:tcBorders>
                    <w:top w:val="nil"/>
                    <w:left w:val="nil"/>
                    <w:bottom w:val="nil"/>
                    <w:right w:val="nil"/>
                  </w:tcBorders>
                  <w:shd w:val="clear" w:color="auto" w:fill="auto"/>
                  <w:noWrap/>
                  <w:vAlign w:val="center"/>
                  <w:hideMark/>
                </w:tcPr>
                <w:p w14:paraId="2F053A90"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00B050"/>
                      <w:sz w:val="20"/>
                      <w:szCs w:val="20"/>
                    </w:rPr>
                    <w:t>4,1</w:t>
                  </w:r>
                </w:p>
              </w:tc>
              <w:tc>
                <w:tcPr>
                  <w:tcW w:w="1453" w:type="dxa"/>
                  <w:tcBorders>
                    <w:top w:val="nil"/>
                    <w:left w:val="single" w:sz="4" w:space="0" w:color="auto"/>
                    <w:bottom w:val="nil"/>
                    <w:right w:val="nil"/>
                  </w:tcBorders>
                  <w:shd w:val="clear" w:color="auto" w:fill="auto"/>
                  <w:noWrap/>
                  <w:vAlign w:val="center"/>
                  <w:hideMark/>
                </w:tcPr>
                <w:p w14:paraId="76A471C3" w14:textId="77777777" w:rsidR="003A0696" w:rsidRPr="00E03AC1" w:rsidRDefault="003A0696" w:rsidP="003A0696">
                  <w:pPr>
                    <w:spacing w:after="0" w:line="240" w:lineRule="auto"/>
                    <w:rPr>
                      <w:sz w:val="20"/>
                      <w:szCs w:val="20"/>
                      <w:lang w:eastAsia="sk-SK"/>
                    </w:rPr>
                  </w:pPr>
                  <w:r>
                    <w:rPr>
                      <w:sz w:val="20"/>
                      <w:szCs w:val="20"/>
                    </w:rPr>
                    <w:t>Bulharsko</w:t>
                  </w:r>
                </w:p>
              </w:tc>
              <w:tc>
                <w:tcPr>
                  <w:tcW w:w="843" w:type="dxa"/>
                  <w:tcBorders>
                    <w:top w:val="nil"/>
                    <w:left w:val="nil"/>
                    <w:bottom w:val="nil"/>
                    <w:right w:val="nil"/>
                  </w:tcBorders>
                  <w:shd w:val="clear" w:color="auto" w:fill="auto"/>
                  <w:noWrap/>
                  <w:vAlign w:val="center"/>
                  <w:hideMark/>
                </w:tcPr>
                <w:p w14:paraId="1DAD42A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24,5</w:t>
                  </w:r>
                </w:p>
              </w:tc>
              <w:tc>
                <w:tcPr>
                  <w:tcW w:w="843" w:type="dxa"/>
                  <w:tcBorders>
                    <w:top w:val="nil"/>
                    <w:left w:val="nil"/>
                    <w:bottom w:val="nil"/>
                    <w:right w:val="nil"/>
                  </w:tcBorders>
                  <w:shd w:val="clear" w:color="auto" w:fill="auto"/>
                  <w:noWrap/>
                  <w:vAlign w:val="center"/>
                  <w:hideMark/>
                </w:tcPr>
                <w:p w14:paraId="1AE38BA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23,9</w:t>
                  </w:r>
                </w:p>
              </w:tc>
              <w:tc>
                <w:tcPr>
                  <w:tcW w:w="864" w:type="dxa"/>
                  <w:tcBorders>
                    <w:top w:val="nil"/>
                    <w:left w:val="nil"/>
                    <w:bottom w:val="nil"/>
                    <w:right w:val="nil"/>
                  </w:tcBorders>
                  <w:shd w:val="clear" w:color="auto" w:fill="auto"/>
                  <w:noWrap/>
                  <w:vAlign w:val="center"/>
                  <w:hideMark/>
                </w:tcPr>
                <w:p w14:paraId="2670CD2D"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22,9</w:t>
                  </w:r>
                </w:p>
              </w:tc>
              <w:tc>
                <w:tcPr>
                  <w:tcW w:w="799" w:type="dxa"/>
                  <w:tcBorders>
                    <w:top w:val="nil"/>
                    <w:left w:val="nil"/>
                    <w:bottom w:val="nil"/>
                    <w:right w:val="single" w:sz="4" w:space="0" w:color="auto"/>
                  </w:tcBorders>
                  <w:shd w:val="clear" w:color="auto" w:fill="auto"/>
                  <w:noWrap/>
                  <w:vAlign w:val="center"/>
                  <w:hideMark/>
                </w:tcPr>
                <w:p w14:paraId="507BEC79"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00B050"/>
                      <w:sz w:val="20"/>
                      <w:szCs w:val="20"/>
                    </w:rPr>
                    <w:t>-1,0</w:t>
                  </w:r>
                </w:p>
              </w:tc>
            </w:tr>
            <w:tr w:rsidR="003A0696" w:rsidRPr="00E03AC1" w14:paraId="7B6A49E8" w14:textId="77777777" w:rsidTr="003A0696">
              <w:trPr>
                <w:trHeight w:val="307"/>
              </w:trPr>
              <w:tc>
                <w:tcPr>
                  <w:tcW w:w="1542" w:type="dxa"/>
                  <w:tcBorders>
                    <w:top w:val="nil"/>
                    <w:left w:val="single" w:sz="4" w:space="0" w:color="auto"/>
                    <w:bottom w:val="single" w:sz="4" w:space="0" w:color="auto"/>
                    <w:right w:val="nil"/>
                  </w:tcBorders>
                  <w:shd w:val="clear" w:color="auto" w:fill="auto"/>
                  <w:noWrap/>
                  <w:vAlign w:val="center"/>
                  <w:hideMark/>
                </w:tcPr>
                <w:p w14:paraId="4FF7CD23" w14:textId="77777777" w:rsidR="003A0696" w:rsidRPr="00E03AC1" w:rsidRDefault="003A0696" w:rsidP="003A0696">
                  <w:pPr>
                    <w:spacing w:after="0" w:line="240" w:lineRule="auto"/>
                    <w:rPr>
                      <w:sz w:val="20"/>
                      <w:szCs w:val="20"/>
                      <w:lang w:eastAsia="sk-SK"/>
                    </w:rPr>
                  </w:pPr>
                  <w:r>
                    <w:rPr>
                      <w:sz w:val="20"/>
                      <w:szCs w:val="20"/>
                    </w:rPr>
                    <w:t>Dánsko</w:t>
                  </w:r>
                </w:p>
              </w:tc>
              <w:tc>
                <w:tcPr>
                  <w:tcW w:w="764" w:type="dxa"/>
                  <w:tcBorders>
                    <w:top w:val="nil"/>
                    <w:left w:val="nil"/>
                    <w:bottom w:val="single" w:sz="4" w:space="0" w:color="auto"/>
                    <w:right w:val="nil"/>
                  </w:tcBorders>
                  <w:shd w:val="clear" w:color="auto" w:fill="auto"/>
                  <w:noWrap/>
                  <w:vAlign w:val="center"/>
                  <w:hideMark/>
                </w:tcPr>
                <w:p w14:paraId="70858E2E"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0,2</w:t>
                  </w:r>
                </w:p>
              </w:tc>
              <w:tc>
                <w:tcPr>
                  <w:tcW w:w="826" w:type="dxa"/>
                  <w:tcBorders>
                    <w:top w:val="nil"/>
                    <w:left w:val="nil"/>
                    <w:bottom w:val="single" w:sz="4" w:space="0" w:color="auto"/>
                    <w:right w:val="nil"/>
                  </w:tcBorders>
                  <w:shd w:val="clear" w:color="auto" w:fill="auto"/>
                  <w:noWrap/>
                  <w:vAlign w:val="center"/>
                  <w:hideMark/>
                </w:tcPr>
                <w:p w14:paraId="4EAC6C1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3,6</w:t>
                  </w:r>
                </w:p>
              </w:tc>
              <w:tc>
                <w:tcPr>
                  <w:tcW w:w="742" w:type="dxa"/>
                  <w:tcBorders>
                    <w:top w:val="nil"/>
                    <w:left w:val="nil"/>
                    <w:bottom w:val="single" w:sz="4" w:space="0" w:color="auto"/>
                    <w:right w:val="nil"/>
                  </w:tcBorders>
                  <w:shd w:val="clear" w:color="auto" w:fill="auto"/>
                  <w:noWrap/>
                  <w:vAlign w:val="center"/>
                  <w:hideMark/>
                </w:tcPr>
                <w:p w14:paraId="47BB0E5C"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3,3</w:t>
                  </w:r>
                </w:p>
              </w:tc>
              <w:tc>
                <w:tcPr>
                  <w:tcW w:w="728" w:type="dxa"/>
                  <w:tcBorders>
                    <w:top w:val="nil"/>
                    <w:left w:val="nil"/>
                    <w:bottom w:val="single" w:sz="4" w:space="0" w:color="auto"/>
                    <w:right w:val="single" w:sz="4" w:space="0" w:color="auto"/>
                  </w:tcBorders>
                  <w:shd w:val="clear" w:color="auto" w:fill="auto"/>
                  <w:noWrap/>
                  <w:vAlign w:val="center"/>
                  <w:hideMark/>
                </w:tcPr>
                <w:p w14:paraId="6E22CA1E" w14:textId="77777777" w:rsidR="003A0696" w:rsidRPr="00E03AC1" w:rsidRDefault="003A0696" w:rsidP="003A0696">
                  <w:pPr>
                    <w:spacing w:after="0" w:line="240" w:lineRule="auto"/>
                    <w:ind w:firstLineChars="100" w:firstLine="200"/>
                    <w:jc w:val="center"/>
                    <w:rPr>
                      <w:color w:val="00B050"/>
                      <w:sz w:val="20"/>
                      <w:szCs w:val="20"/>
                      <w:lang w:eastAsia="sk-SK"/>
                    </w:rPr>
                  </w:pPr>
                  <w:r>
                    <w:rPr>
                      <w:color w:val="FF0000"/>
                      <w:sz w:val="20"/>
                      <w:szCs w:val="20"/>
                    </w:rPr>
                    <w:t>-0,3</w:t>
                  </w:r>
                </w:p>
              </w:tc>
              <w:tc>
                <w:tcPr>
                  <w:tcW w:w="1453" w:type="dxa"/>
                  <w:tcBorders>
                    <w:top w:val="nil"/>
                    <w:left w:val="nil"/>
                    <w:bottom w:val="single" w:sz="4" w:space="0" w:color="auto"/>
                    <w:right w:val="nil"/>
                  </w:tcBorders>
                  <w:shd w:val="clear" w:color="auto" w:fill="auto"/>
                  <w:noWrap/>
                  <w:vAlign w:val="center"/>
                  <w:hideMark/>
                </w:tcPr>
                <w:p w14:paraId="47B0D3EA" w14:textId="77777777" w:rsidR="003A0696" w:rsidRPr="00E03AC1" w:rsidRDefault="003A0696" w:rsidP="003A0696">
                  <w:pPr>
                    <w:spacing w:after="0" w:line="240" w:lineRule="auto"/>
                    <w:rPr>
                      <w:sz w:val="20"/>
                      <w:szCs w:val="20"/>
                      <w:lang w:eastAsia="sk-SK"/>
                    </w:rPr>
                  </w:pPr>
                  <w:r>
                    <w:rPr>
                      <w:sz w:val="20"/>
                      <w:szCs w:val="20"/>
                    </w:rPr>
                    <w:t>Estónsko</w:t>
                  </w:r>
                </w:p>
              </w:tc>
              <w:tc>
                <w:tcPr>
                  <w:tcW w:w="843" w:type="dxa"/>
                  <w:tcBorders>
                    <w:top w:val="nil"/>
                    <w:left w:val="nil"/>
                    <w:bottom w:val="single" w:sz="4" w:space="0" w:color="auto"/>
                    <w:right w:val="nil"/>
                  </w:tcBorders>
                  <w:shd w:val="clear" w:color="auto" w:fill="auto"/>
                  <w:noWrap/>
                  <w:vAlign w:val="center"/>
                  <w:hideMark/>
                </w:tcPr>
                <w:p w14:paraId="65BE8AF4"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18,5</w:t>
                  </w:r>
                </w:p>
              </w:tc>
              <w:tc>
                <w:tcPr>
                  <w:tcW w:w="843" w:type="dxa"/>
                  <w:tcBorders>
                    <w:top w:val="nil"/>
                    <w:left w:val="nil"/>
                    <w:bottom w:val="single" w:sz="4" w:space="0" w:color="auto"/>
                    <w:right w:val="nil"/>
                  </w:tcBorders>
                  <w:shd w:val="clear" w:color="auto" w:fill="auto"/>
                  <w:noWrap/>
                  <w:vAlign w:val="center"/>
                  <w:hideMark/>
                </w:tcPr>
                <w:p w14:paraId="59E58F67"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17,6</w:t>
                  </w:r>
                </w:p>
              </w:tc>
              <w:tc>
                <w:tcPr>
                  <w:tcW w:w="864" w:type="dxa"/>
                  <w:tcBorders>
                    <w:top w:val="nil"/>
                    <w:left w:val="nil"/>
                    <w:bottom w:val="single" w:sz="4" w:space="0" w:color="auto"/>
                    <w:right w:val="nil"/>
                  </w:tcBorders>
                  <w:shd w:val="clear" w:color="auto" w:fill="auto"/>
                  <w:noWrap/>
                  <w:vAlign w:val="center"/>
                  <w:hideMark/>
                </w:tcPr>
                <w:p w14:paraId="56BB3750" w14:textId="77777777" w:rsidR="003A0696" w:rsidRPr="00E03AC1" w:rsidRDefault="003A0696" w:rsidP="003A0696">
                  <w:pPr>
                    <w:spacing w:after="0" w:line="240" w:lineRule="auto"/>
                    <w:ind w:firstLineChars="100" w:firstLine="200"/>
                    <w:jc w:val="right"/>
                    <w:rPr>
                      <w:color w:val="000000"/>
                      <w:sz w:val="20"/>
                      <w:szCs w:val="20"/>
                      <w:lang w:eastAsia="sk-SK"/>
                    </w:rPr>
                  </w:pPr>
                  <w:r>
                    <w:rPr>
                      <w:color w:val="000000"/>
                      <w:sz w:val="20"/>
                      <w:szCs w:val="20"/>
                    </w:rPr>
                    <w:t>18,4</w:t>
                  </w:r>
                </w:p>
              </w:tc>
              <w:tc>
                <w:tcPr>
                  <w:tcW w:w="799" w:type="dxa"/>
                  <w:tcBorders>
                    <w:top w:val="nil"/>
                    <w:left w:val="nil"/>
                    <w:bottom w:val="single" w:sz="4" w:space="0" w:color="auto"/>
                    <w:right w:val="single" w:sz="4" w:space="0" w:color="auto"/>
                  </w:tcBorders>
                  <w:shd w:val="clear" w:color="auto" w:fill="auto"/>
                  <w:noWrap/>
                  <w:vAlign w:val="center"/>
                  <w:hideMark/>
                </w:tcPr>
                <w:p w14:paraId="6745CA2F" w14:textId="77777777" w:rsidR="003A0696" w:rsidRPr="00E03AC1" w:rsidRDefault="003A0696" w:rsidP="003A0696">
                  <w:pPr>
                    <w:tabs>
                      <w:tab w:val="decimal" w:pos="230"/>
                    </w:tabs>
                    <w:spacing w:after="0" w:line="240" w:lineRule="auto"/>
                    <w:ind w:right="32" w:firstLineChars="100" w:firstLine="200"/>
                    <w:jc w:val="right"/>
                    <w:rPr>
                      <w:color w:val="00B050"/>
                      <w:sz w:val="20"/>
                      <w:szCs w:val="20"/>
                      <w:lang w:eastAsia="sk-SK"/>
                    </w:rPr>
                  </w:pPr>
                  <w:r>
                    <w:rPr>
                      <w:color w:val="FF0000"/>
                      <w:sz w:val="20"/>
                      <w:szCs w:val="20"/>
                    </w:rPr>
                    <w:t>0,8</w:t>
                  </w:r>
                </w:p>
              </w:tc>
            </w:tr>
          </w:tbl>
          <w:p w14:paraId="37A24B82" w14:textId="77777777" w:rsidR="003A0696" w:rsidRPr="00ED731A" w:rsidRDefault="003A0696" w:rsidP="003A0696">
            <w:pPr>
              <w:spacing w:after="0" w:line="240" w:lineRule="auto"/>
              <w:rPr>
                <w:rFonts w:eastAsia="Times New Roman" w:cs="Times New Roman"/>
                <w:b/>
                <w:bCs/>
                <w:sz w:val="20"/>
                <w:szCs w:val="20"/>
                <w:lang w:eastAsia="sk-SK"/>
              </w:rPr>
            </w:pPr>
          </w:p>
        </w:tc>
      </w:tr>
    </w:tbl>
    <w:p w14:paraId="3577B606" w14:textId="77777777" w:rsidR="003A0696" w:rsidRPr="003A30A9" w:rsidRDefault="003A0696" w:rsidP="003A0696">
      <w:pPr>
        <w:tabs>
          <w:tab w:val="left" w:pos="714"/>
          <w:tab w:val="right" w:pos="9214"/>
        </w:tabs>
        <w:spacing w:line="240" w:lineRule="auto"/>
        <w:jc w:val="left"/>
        <w:rPr>
          <w:rFonts w:eastAsia="Times New Roman" w:cs="Times New Roman"/>
          <w:iCs/>
          <w:color w:val="000000"/>
          <w:sz w:val="16"/>
          <w:szCs w:val="16"/>
          <w:lang w:eastAsia="sk-SK"/>
        </w:rPr>
      </w:pPr>
      <w:r>
        <w:rPr>
          <w:rFonts w:eastAsia="Times New Roman" w:cs="Times New Roman"/>
          <w:iCs/>
          <w:color w:val="000000"/>
          <w:sz w:val="16"/>
          <w:szCs w:val="16"/>
          <w:lang w:eastAsia="sk-SK"/>
        </w:rPr>
        <w:tab/>
      </w:r>
      <w:r>
        <w:rPr>
          <w:rFonts w:eastAsia="Times New Roman" w:cs="Times New Roman"/>
          <w:iCs/>
          <w:color w:val="000000"/>
          <w:sz w:val="16"/>
          <w:szCs w:val="16"/>
          <w:lang w:eastAsia="sk-SK"/>
        </w:rPr>
        <w:tab/>
        <w:t xml:space="preserve">   </w:t>
      </w:r>
      <w:r w:rsidRPr="003A30A9">
        <w:rPr>
          <w:rFonts w:eastAsia="Times New Roman" w:cs="Times New Roman"/>
          <w:iCs/>
          <w:color w:val="000000"/>
          <w:sz w:val="16"/>
          <w:szCs w:val="16"/>
          <w:lang w:eastAsia="sk-SK"/>
        </w:rPr>
        <w:t xml:space="preserve">Zdroj: </w:t>
      </w:r>
      <w:proofErr w:type="spellStart"/>
      <w:r w:rsidRPr="003A30A9">
        <w:rPr>
          <w:rFonts w:eastAsia="Times New Roman" w:cs="Times New Roman"/>
          <w:iCs/>
          <w:color w:val="000000"/>
          <w:sz w:val="16"/>
          <w:szCs w:val="16"/>
          <w:lang w:eastAsia="sk-SK"/>
        </w:rPr>
        <w:t>Eurostat</w:t>
      </w:r>
      <w:proofErr w:type="spellEnd"/>
    </w:p>
    <w:p w14:paraId="4C8ED447" w14:textId="313C3190" w:rsidR="003A0696" w:rsidRPr="009A0F27" w:rsidRDefault="003A0696" w:rsidP="00BB6D87">
      <w:pPr>
        <w:pStyle w:val="Odsekzoznamu"/>
        <w:numPr>
          <w:ilvl w:val="0"/>
          <w:numId w:val="20"/>
        </w:numPr>
        <w:ind w:left="284" w:hanging="142"/>
        <w:rPr>
          <w:rFonts w:ascii="Times New Roman" w:eastAsia="Times New Roman" w:hAnsi="Times New Roman"/>
          <w:iCs/>
          <w:color w:val="000000"/>
          <w:sz w:val="18"/>
          <w:szCs w:val="18"/>
          <w:lang w:eastAsia="sk-SK"/>
        </w:rPr>
      </w:pPr>
      <w:r w:rsidRPr="009A0F27">
        <w:rPr>
          <w:rFonts w:ascii="Times New Roman" w:eastAsia="Times New Roman" w:hAnsi="Times New Roman"/>
          <w:iCs/>
          <w:color w:val="000000"/>
          <w:sz w:val="18"/>
          <w:szCs w:val="18"/>
          <w:lang w:eastAsia="sk-SK"/>
        </w:rPr>
        <w:t xml:space="preserve">Predchádzajúce obdobia sú zrevidované podľa aktuálneho press </w:t>
      </w:r>
      <w:proofErr w:type="spellStart"/>
      <w:r w:rsidRPr="009A0F27">
        <w:rPr>
          <w:rFonts w:ascii="Times New Roman" w:eastAsia="Times New Roman" w:hAnsi="Times New Roman"/>
          <w:iCs/>
          <w:color w:val="000000"/>
          <w:sz w:val="18"/>
          <w:szCs w:val="18"/>
          <w:lang w:eastAsia="sk-SK"/>
        </w:rPr>
        <w:t>release</w:t>
      </w:r>
      <w:proofErr w:type="spellEnd"/>
      <w:r w:rsidRPr="009A0F27">
        <w:rPr>
          <w:rFonts w:ascii="Times New Roman" w:eastAsia="Times New Roman" w:hAnsi="Times New Roman"/>
          <w:iCs/>
          <w:color w:val="000000"/>
          <w:sz w:val="18"/>
          <w:szCs w:val="18"/>
          <w:lang w:eastAsia="sk-SK"/>
        </w:rPr>
        <w:t xml:space="preserve"> (21.4.2023). Údaje sú usporiadané podľa poradia deficitu/dlhu v poslednom sledovanom období od </w:t>
      </w:r>
      <w:r w:rsidR="002861C2">
        <w:rPr>
          <w:rFonts w:ascii="Times New Roman" w:eastAsia="Times New Roman" w:hAnsi="Times New Roman"/>
          <w:iCs/>
          <w:color w:val="000000"/>
          <w:sz w:val="18"/>
          <w:szCs w:val="18"/>
          <w:lang w:eastAsia="sk-SK"/>
        </w:rPr>
        <w:t>najvyššieho</w:t>
      </w:r>
      <w:r w:rsidRPr="009A0F27">
        <w:rPr>
          <w:rFonts w:ascii="Times New Roman" w:eastAsia="Times New Roman" w:hAnsi="Times New Roman"/>
          <w:iCs/>
          <w:color w:val="000000"/>
          <w:sz w:val="18"/>
          <w:szCs w:val="18"/>
          <w:lang w:eastAsia="sk-SK"/>
        </w:rPr>
        <w:t xml:space="preserve"> (vzostupne). Zelenou farbou je označené medziročné zlepšenie, resp. červenou farbou medziročné zhoršenie salda/dlhu.</w:t>
      </w:r>
    </w:p>
    <w:p w14:paraId="1E72884E" w14:textId="77777777" w:rsidR="003A0696" w:rsidRPr="001A58F8" w:rsidRDefault="003A0696" w:rsidP="00BB6D87">
      <w:pPr>
        <w:pStyle w:val="Odsekzoznamu"/>
        <w:numPr>
          <w:ilvl w:val="0"/>
          <w:numId w:val="20"/>
        </w:numPr>
        <w:spacing w:after="160" w:line="256" w:lineRule="auto"/>
        <w:ind w:left="284" w:hanging="142"/>
        <w:rPr>
          <w:sz w:val="24"/>
          <w:szCs w:val="24"/>
        </w:rPr>
      </w:pPr>
      <w:r w:rsidRPr="009A0F27">
        <w:rPr>
          <w:rFonts w:ascii="Times New Roman" w:eastAsia="Times New Roman" w:hAnsi="Times New Roman"/>
          <w:iCs/>
          <w:color w:val="000000"/>
          <w:sz w:val="18"/>
          <w:szCs w:val="18"/>
          <w:lang w:eastAsia="sk-SK"/>
        </w:rPr>
        <w:t>Eurozóna (20) zahŕňa aj krajinu Chorvátsko, ktorá je súčasťou Eurozóny od 1.1.2023. V tabuľke sú hodnoty uvedené prvýkrát pre porovnanie.</w:t>
      </w:r>
      <w:r w:rsidRPr="001A58F8">
        <w:rPr>
          <w:rFonts w:eastAsia="Times New Roman"/>
          <w:iCs/>
          <w:color w:val="000000"/>
          <w:sz w:val="16"/>
          <w:szCs w:val="16"/>
          <w:lang w:eastAsia="sk-SK"/>
        </w:rPr>
        <w:t xml:space="preserve">       </w:t>
      </w:r>
      <w:r w:rsidRPr="001A58F8">
        <w:rPr>
          <w:sz w:val="24"/>
          <w:szCs w:val="24"/>
        </w:rPr>
        <w:br w:type="page"/>
      </w:r>
    </w:p>
    <w:p w14:paraId="25C934C7" w14:textId="78362D07" w:rsidR="008254BE" w:rsidRDefault="008254BE" w:rsidP="008D5E94">
      <w:pPr>
        <w:pStyle w:val="Nadpis1"/>
        <w:ind w:left="709"/>
      </w:pPr>
      <w:bookmarkStart w:id="32" w:name="_Toc132929084"/>
      <w:r>
        <w:lastRenderedPageBreak/>
        <w:t xml:space="preserve">Hospodárenie </w:t>
      </w:r>
      <w:r w:rsidRPr="00ED135D">
        <w:t>štátneho</w:t>
      </w:r>
      <w:r>
        <w:t xml:space="preserve"> rozpočtu na hotovostn</w:t>
      </w:r>
      <w:r w:rsidR="00476126">
        <w:t>om</w:t>
      </w:r>
      <w:r>
        <w:t xml:space="preserve"> </w:t>
      </w:r>
      <w:r w:rsidR="00476126">
        <w:t>princípe</w:t>
      </w:r>
      <w:bookmarkEnd w:id="20"/>
      <w:bookmarkEnd w:id="32"/>
    </w:p>
    <w:p w14:paraId="51E86E2C" w14:textId="77777777" w:rsidR="00F75126" w:rsidRPr="00CF58A3" w:rsidRDefault="00F75126" w:rsidP="00F75126">
      <w:pPr>
        <w:spacing w:line="240" w:lineRule="auto"/>
        <w:rPr>
          <w:sz w:val="24"/>
          <w:szCs w:val="24"/>
        </w:rPr>
      </w:pPr>
      <w:r w:rsidRPr="00CF58A3">
        <w:rPr>
          <w:sz w:val="24"/>
          <w:szCs w:val="24"/>
        </w:rPr>
        <w:t xml:space="preserve">Štátny rozpočet je základnou súčasťou rozpočtu verejnej správy a zabezpečuje sa ním financovanie hlavných funkcií štátu v príslušnom rozpočtovom roku. Štátny rozpočet schvaľuje parlament zákonom o štátnom rozpočte, ktorým sa určuje najmä výška príjmov štátneho rozpočtu, limit výdavkov štátneho rozpočtu, maximálna výška rozpočtovaného schodku alebo minimálna výška rozpočtovaného prebytku štátneho rozpočtu, ak nie sú príjmy a výdavky vyrovnané. </w:t>
      </w:r>
    </w:p>
    <w:p w14:paraId="5CD7747C" w14:textId="77777777" w:rsidR="00F75126" w:rsidRPr="00CF58A3" w:rsidRDefault="00F75126" w:rsidP="00F75126">
      <w:pPr>
        <w:spacing w:line="240" w:lineRule="auto"/>
        <w:rPr>
          <w:sz w:val="24"/>
          <w:szCs w:val="24"/>
        </w:rPr>
      </w:pPr>
      <w:r w:rsidRPr="00CF58A3">
        <w:rPr>
          <w:sz w:val="24"/>
          <w:szCs w:val="24"/>
        </w:rPr>
        <w:t xml:space="preserve">Plnenie príjmov štátneho rozpočtu, ako aj realizácia výdavkov štátneho rozpočtu v hotovostnom vyjadrení významne ovplyvňuje aj hospodárenie celej verejnej správy v metodike ESA 2010. Legislatívne zmeny, prijaté opatrenia a zámery vlády SR uvedené v kapitole 2, sa vo väčšine prípadov realizujú práve cez príjmy a výdavky štátneho rozpočtu (napr. zmeny v daňovej legislatíve, opatrenia v oblasti odmeňovania vo verejnej správe, financovanie podporných schém v čase </w:t>
      </w:r>
      <w:r>
        <w:rPr>
          <w:sz w:val="24"/>
          <w:szCs w:val="24"/>
        </w:rPr>
        <w:t xml:space="preserve">krízy </w:t>
      </w:r>
      <w:r w:rsidRPr="00CF58A3">
        <w:rPr>
          <w:sz w:val="24"/>
          <w:szCs w:val="24"/>
        </w:rPr>
        <w:t>a podobne).</w:t>
      </w:r>
    </w:p>
    <w:p w14:paraId="509CA578" w14:textId="77777777" w:rsidR="00F75126" w:rsidRPr="00322FBC" w:rsidRDefault="00F75126" w:rsidP="00F75126">
      <w:pPr>
        <w:spacing w:line="240" w:lineRule="auto"/>
        <w:rPr>
          <w:sz w:val="24"/>
          <w:szCs w:val="24"/>
        </w:rPr>
      </w:pPr>
      <w:r w:rsidRPr="00322FBC">
        <w:rPr>
          <w:sz w:val="24"/>
          <w:szCs w:val="24"/>
        </w:rPr>
        <w:t>Schválený rozpočet je uvádzaný podľa zákona č. 534/2021 Z. z. o štátnom rozpočte na rok 2022 v znení zákona č. 357/202</w:t>
      </w:r>
      <w:r>
        <w:rPr>
          <w:sz w:val="24"/>
          <w:szCs w:val="24"/>
        </w:rPr>
        <w:t>2</w:t>
      </w:r>
      <w:r w:rsidRPr="00322FBC">
        <w:rPr>
          <w:sz w:val="24"/>
          <w:szCs w:val="24"/>
        </w:rPr>
        <w:t xml:space="preserve"> Z. z. (ďalej len „zákon o štátnom rozpočte“ alebo „novelizovaný rozpočet“). Skutočnosť je potom hodnotená voči novelizovanému štátnemu rozpočtu. Prekročenie alebo nenaplnenie rozpočtovaných príjmov a výdavkov je nutné vnímať aj v kontexte faktorov uvedených v kapitole 2. </w:t>
      </w:r>
    </w:p>
    <w:p w14:paraId="2484C011" w14:textId="77777777" w:rsidR="00F75126" w:rsidRPr="00CF58A3" w:rsidRDefault="00F75126" w:rsidP="00F75126">
      <w:pPr>
        <w:spacing w:line="240" w:lineRule="auto"/>
        <w:rPr>
          <w:sz w:val="24"/>
          <w:szCs w:val="24"/>
          <w:highlight w:val="yellow"/>
        </w:rPr>
      </w:pPr>
      <w:r w:rsidRPr="00CF58A3">
        <w:rPr>
          <w:sz w:val="24"/>
          <w:szCs w:val="24"/>
        </w:rPr>
        <w:t xml:space="preserve">Skutočné dosiahnuté hotovostné príjmy štátneho rozpočtu vo výške </w:t>
      </w:r>
      <w:r w:rsidRPr="00BA3F8C">
        <w:rPr>
          <w:sz w:val="24"/>
          <w:szCs w:val="24"/>
        </w:rPr>
        <w:t>19 029 702</w:t>
      </w:r>
      <w:r>
        <w:rPr>
          <w:sz w:val="24"/>
          <w:szCs w:val="24"/>
        </w:rPr>
        <w:t xml:space="preserve"> tis. </w:t>
      </w:r>
      <w:r w:rsidRPr="00BA3F8C">
        <w:rPr>
          <w:sz w:val="24"/>
          <w:szCs w:val="24"/>
        </w:rPr>
        <w:t xml:space="preserve">eur boli oproti schválenému rozpočtu nižšie o 2 442 197  tis. eur a oproti skutočnosti roku 2021 boli vyššie o 1 832 404 tis. eur. </w:t>
      </w:r>
      <w:r w:rsidRPr="002D124F">
        <w:rPr>
          <w:sz w:val="24"/>
          <w:szCs w:val="24"/>
        </w:rPr>
        <w:t>Plnenie celkových príjmov štátneho rozpočtu tak dosiahlo 88</w:t>
      </w:r>
      <w:r>
        <w:rPr>
          <w:sz w:val="24"/>
          <w:szCs w:val="24"/>
        </w:rPr>
        <w:t>,6</w:t>
      </w:r>
      <w:r w:rsidRPr="002D124F">
        <w:rPr>
          <w:sz w:val="24"/>
          <w:szCs w:val="24"/>
        </w:rPr>
        <w:t xml:space="preserve"> %. </w:t>
      </w:r>
    </w:p>
    <w:p w14:paraId="13C90CFE" w14:textId="77777777" w:rsidR="00F75126" w:rsidRPr="00CF58A3" w:rsidRDefault="00F75126" w:rsidP="00F75126">
      <w:pPr>
        <w:spacing w:line="240" w:lineRule="auto"/>
        <w:rPr>
          <w:sz w:val="24"/>
          <w:szCs w:val="24"/>
          <w:highlight w:val="yellow"/>
        </w:rPr>
      </w:pPr>
      <w:r w:rsidRPr="00CF58A3">
        <w:rPr>
          <w:sz w:val="24"/>
          <w:szCs w:val="24"/>
        </w:rPr>
        <w:t xml:space="preserve">Skutočné dosiahnuté hotovostné výdavky štátneho rozpočtu vo výške </w:t>
      </w:r>
      <w:r>
        <w:rPr>
          <w:sz w:val="24"/>
          <w:szCs w:val="24"/>
        </w:rPr>
        <w:t>23 554 555 </w:t>
      </w:r>
      <w:r w:rsidRPr="00CA13F6">
        <w:rPr>
          <w:sz w:val="24"/>
          <w:szCs w:val="24"/>
        </w:rPr>
        <w:t xml:space="preserve">tis. eur boli nižšie ako v schválenom rozpočte, a to o 3 390 862 tis. eur, pričom medziročne </w:t>
      </w:r>
      <w:r w:rsidRPr="00602C39">
        <w:rPr>
          <w:sz w:val="24"/>
          <w:szCs w:val="24"/>
        </w:rPr>
        <w:t>sa znížili o </w:t>
      </w:r>
      <w:r>
        <w:rPr>
          <w:sz w:val="24"/>
          <w:szCs w:val="24"/>
        </w:rPr>
        <w:t>656 870 </w:t>
      </w:r>
      <w:r w:rsidRPr="00602C39">
        <w:rPr>
          <w:sz w:val="24"/>
          <w:szCs w:val="24"/>
        </w:rPr>
        <w:t>tis. eur. Plnenie celkových výdavkov štátneho rozpočtu tak dosiahlo 87,4 % ich rozpočtovanej hodnoty.</w:t>
      </w:r>
    </w:p>
    <w:p w14:paraId="23042452" w14:textId="77777777" w:rsidR="00F75126" w:rsidRPr="00DF6CB7" w:rsidRDefault="00F75126" w:rsidP="00F75126">
      <w:pPr>
        <w:spacing w:line="240" w:lineRule="auto"/>
        <w:rPr>
          <w:sz w:val="24"/>
          <w:szCs w:val="24"/>
        </w:rPr>
      </w:pPr>
      <w:r w:rsidRPr="00CF58A3">
        <w:rPr>
          <w:sz w:val="24"/>
          <w:szCs w:val="24"/>
        </w:rPr>
        <w:t xml:space="preserve">Schodok štátneho rozpočtu na hotovostnej báze vo </w:t>
      </w:r>
      <w:r w:rsidRPr="00DF6CB7">
        <w:rPr>
          <w:sz w:val="24"/>
          <w:szCs w:val="24"/>
        </w:rPr>
        <w:t>výške 4 524 852 tis. eur je vo vzťahu k schválenému rozpočtu nižší o 948 666 tis. eur a vo vzťahu k upravenému rozpočtu je vykázaný schodok nižší o 261 136 tis. eur.</w:t>
      </w:r>
    </w:p>
    <w:p w14:paraId="70F23288" w14:textId="77777777" w:rsidR="00F75126" w:rsidRPr="00602C39" w:rsidRDefault="00F75126" w:rsidP="00F75126">
      <w:pPr>
        <w:spacing w:line="240" w:lineRule="auto"/>
      </w:pPr>
      <w:r w:rsidRPr="00602C39">
        <w:rPr>
          <w:sz w:val="24"/>
          <w:szCs w:val="24"/>
        </w:rPr>
        <w:t>Súhrnný prehľad o rozpočtovaných a skutočne dosiahnutých základných rozpočtových ukazovateľoch v roku 2022 a za predchádzajúce dva roky na hotovostnej báze poskytujú nasledovné údaje:</w:t>
      </w:r>
    </w:p>
    <w:tbl>
      <w:tblPr>
        <w:tblW w:w="9214" w:type="dxa"/>
        <w:tblCellMar>
          <w:left w:w="70" w:type="dxa"/>
          <w:right w:w="70" w:type="dxa"/>
        </w:tblCellMar>
        <w:tblLook w:val="04A0" w:firstRow="1" w:lastRow="0" w:firstColumn="1" w:lastColumn="0" w:noHBand="0" w:noVBand="1"/>
      </w:tblPr>
      <w:tblGrid>
        <w:gridCol w:w="1985"/>
        <w:gridCol w:w="1134"/>
        <w:gridCol w:w="992"/>
        <w:gridCol w:w="1134"/>
        <w:gridCol w:w="992"/>
        <w:gridCol w:w="993"/>
        <w:gridCol w:w="1107"/>
        <w:gridCol w:w="877"/>
      </w:tblGrid>
      <w:tr w:rsidR="00F75126" w:rsidRPr="007A37F7" w14:paraId="327EF6DF" w14:textId="77777777" w:rsidTr="00574126">
        <w:trPr>
          <w:trHeight w:val="259"/>
        </w:trPr>
        <w:tc>
          <w:tcPr>
            <w:tcW w:w="9214" w:type="dxa"/>
            <w:gridSpan w:val="8"/>
            <w:tcBorders>
              <w:top w:val="nil"/>
              <w:left w:val="nil"/>
              <w:bottom w:val="single" w:sz="4" w:space="0" w:color="auto"/>
              <w:right w:val="nil"/>
            </w:tcBorders>
          </w:tcPr>
          <w:p w14:paraId="168975F5" w14:textId="4A9C550A" w:rsidR="00F75126" w:rsidRPr="007A37F7" w:rsidRDefault="008B3212" w:rsidP="00574126">
            <w:pPr>
              <w:spacing w:after="0" w:line="240" w:lineRule="auto"/>
              <w:jc w:val="left"/>
              <w:rPr>
                <w:rFonts w:eastAsia="Times New Roman" w:cs="Times New Roman"/>
                <w:b/>
                <w:bCs/>
                <w:color w:val="2F75B5"/>
                <w:sz w:val="20"/>
                <w:szCs w:val="20"/>
                <w:lang w:eastAsia="sk-SK"/>
              </w:rPr>
            </w:pPr>
            <w:r>
              <w:rPr>
                <w:rFonts w:eastAsia="Times New Roman" w:cs="Times New Roman"/>
                <w:b/>
                <w:bCs/>
                <w:color w:val="5B9BD5" w:themeColor="accent1"/>
                <w:sz w:val="20"/>
                <w:szCs w:val="20"/>
                <w:lang w:eastAsia="sk-SK"/>
              </w:rPr>
              <w:t>Tabuľka 23</w:t>
            </w:r>
            <w:r w:rsidR="00F75126">
              <w:rPr>
                <w:rFonts w:eastAsia="Times New Roman" w:cs="Times New Roman"/>
                <w:b/>
                <w:bCs/>
                <w:color w:val="5B9BD5" w:themeColor="accent1"/>
                <w:sz w:val="20"/>
                <w:szCs w:val="20"/>
                <w:lang w:eastAsia="sk-SK"/>
              </w:rPr>
              <w:t xml:space="preserve"> - </w:t>
            </w:r>
            <w:r w:rsidR="00F75126" w:rsidRPr="00F76676">
              <w:rPr>
                <w:rFonts w:eastAsia="Times New Roman" w:cs="Times New Roman"/>
                <w:b/>
                <w:bCs/>
                <w:color w:val="5B9BD5" w:themeColor="accent1"/>
                <w:sz w:val="20"/>
                <w:szCs w:val="20"/>
                <w:lang w:eastAsia="sk-SK"/>
              </w:rPr>
              <w:t xml:space="preserve">Štátny rozpočet na hotovostnej báze </w:t>
            </w:r>
          </w:p>
        </w:tc>
      </w:tr>
      <w:tr w:rsidR="00F75126" w:rsidRPr="007A37F7" w14:paraId="19F2C000" w14:textId="77777777" w:rsidTr="00574126">
        <w:trPr>
          <w:trHeight w:val="456"/>
        </w:trPr>
        <w:tc>
          <w:tcPr>
            <w:tcW w:w="1985" w:type="dxa"/>
            <w:vMerge w:val="restart"/>
            <w:tcBorders>
              <w:top w:val="single" w:sz="4" w:space="0" w:color="auto"/>
              <w:left w:val="nil"/>
              <w:right w:val="nil"/>
            </w:tcBorders>
            <w:shd w:val="clear" w:color="auto" w:fill="auto"/>
            <w:vAlign w:val="center"/>
            <w:hideMark/>
          </w:tcPr>
          <w:p w14:paraId="4BD18BB3" w14:textId="77777777" w:rsidR="00F75126" w:rsidRPr="007A37F7" w:rsidRDefault="00F75126" w:rsidP="00574126">
            <w:pPr>
              <w:spacing w:after="0" w:line="240" w:lineRule="auto"/>
              <w:jc w:val="left"/>
              <w:rPr>
                <w:rFonts w:eastAsia="Times New Roman" w:cs="Times New Roman"/>
                <w:b/>
                <w:bCs/>
                <w:color w:val="000000"/>
                <w:sz w:val="18"/>
                <w:szCs w:val="18"/>
                <w:lang w:eastAsia="sk-SK"/>
              </w:rPr>
            </w:pPr>
            <w:r w:rsidRPr="007A37F7">
              <w:rPr>
                <w:rFonts w:eastAsia="Times New Roman" w:cs="Times New Roman"/>
                <w:b/>
                <w:bCs/>
                <w:color w:val="000000"/>
                <w:sz w:val="18"/>
                <w:szCs w:val="18"/>
                <w:lang w:eastAsia="sk-SK"/>
              </w:rPr>
              <w:t>v tis. eur</w:t>
            </w:r>
          </w:p>
        </w:tc>
        <w:tc>
          <w:tcPr>
            <w:tcW w:w="1134" w:type="dxa"/>
            <w:tcBorders>
              <w:top w:val="single" w:sz="4" w:space="0" w:color="auto"/>
              <w:left w:val="nil"/>
              <w:bottom w:val="nil"/>
              <w:right w:val="nil"/>
            </w:tcBorders>
            <w:shd w:val="clear" w:color="auto" w:fill="auto"/>
            <w:vAlign w:val="center"/>
            <w:hideMark/>
          </w:tcPr>
          <w:p w14:paraId="40E91ED4"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Pr>
                <w:rFonts w:eastAsia="Times New Roman" w:cs="Times New Roman"/>
                <w:b/>
                <w:bCs/>
                <w:color w:val="000000"/>
                <w:sz w:val="18"/>
                <w:szCs w:val="18"/>
                <w:lang w:eastAsia="sk-SK"/>
              </w:rPr>
              <w:t>2020</w:t>
            </w:r>
            <w:r w:rsidRPr="007A37F7">
              <w:rPr>
                <w:rFonts w:eastAsia="Times New Roman" w:cs="Times New Roman"/>
                <w:b/>
                <w:bCs/>
                <w:color w:val="000000"/>
                <w:sz w:val="18"/>
                <w:szCs w:val="18"/>
                <w:lang w:eastAsia="sk-SK"/>
              </w:rPr>
              <w:t xml:space="preserve"> S</w:t>
            </w:r>
          </w:p>
        </w:tc>
        <w:tc>
          <w:tcPr>
            <w:tcW w:w="992" w:type="dxa"/>
            <w:tcBorders>
              <w:top w:val="single" w:sz="4" w:space="0" w:color="auto"/>
              <w:left w:val="nil"/>
              <w:bottom w:val="nil"/>
              <w:right w:val="nil"/>
            </w:tcBorders>
            <w:shd w:val="clear" w:color="auto" w:fill="auto"/>
            <w:vAlign w:val="center"/>
            <w:hideMark/>
          </w:tcPr>
          <w:p w14:paraId="4A508BD3"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Pr>
                <w:rFonts w:eastAsia="Times New Roman" w:cs="Times New Roman"/>
                <w:b/>
                <w:bCs/>
                <w:color w:val="000000"/>
                <w:sz w:val="18"/>
                <w:szCs w:val="18"/>
                <w:lang w:eastAsia="sk-SK"/>
              </w:rPr>
              <w:t>2021</w:t>
            </w:r>
            <w:r w:rsidRPr="007A37F7">
              <w:rPr>
                <w:rFonts w:eastAsia="Times New Roman" w:cs="Times New Roman"/>
                <w:b/>
                <w:bCs/>
                <w:color w:val="000000"/>
                <w:sz w:val="18"/>
                <w:szCs w:val="18"/>
                <w:lang w:eastAsia="sk-SK"/>
              </w:rPr>
              <w:t xml:space="preserve"> S</w:t>
            </w:r>
          </w:p>
        </w:tc>
        <w:tc>
          <w:tcPr>
            <w:tcW w:w="1134" w:type="dxa"/>
            <w:tcBorders>
              <w:top w:val="single" w:sz="4" w:space="0" w:color="auto"/>
              <w:left w:val="nil"/>
              <w:bottom w:val="nil"/>
              <w:right w:val="nil"/>
            </w:tcBorders>
            <w:shd w:val="clear" w:color="auto" w:fill="auto"/>
            <w:vAlign w:val="center"/>
          </w:tcPr>
          <w:p w14:paraId="0F10EB35" w14:textId="77777777" w:rsidR="00F75126" w:rsidRPr="00B90AE1" w:rsidRDefault="00F75126" w:rsidP="00574126">
            <w:pPr>
              <w:spacing w:after="0" w:line="240" w:lineRule="auto"/>
              <w:jc w:val="center"/>
              <w:rPr>
                <w:rFonts w:eastAsia="Times New Roman" w:cs="Times New Roman"/>
                <w:b/>
                <w:bCs/>
                <w:color w:val="000000"/>
                <w:sz w:val="18"/>
                <w:szCs w:val="18"/>
                <w:highlight w:val="green"/>
                <w:lang w:eastAsia="sk-SK"/>
              </w:rPr>
            </w:pPr>
            <w:r>
              <w:rPr>
                <w:rFonts w:eastAsia="Times New Roman" w:cs="Times New Roman"/>
                <w:b/>
                <w:bCs/>
                <w:color w:val="000000"/>
                <w:sz w:val="18"/>
                <w:szCs w:val="18"/>
                <w:lang w:eastAsia="sk-SK"/>
              </w:rPr>
              <w:t>2022</w:t>
            </w:r>
            <w:r w:rsidRPr="00D83E0F">
              <w:rPr>
                <w:rFonts w:eastAsia="Times New Roman" w:cs="Times New Roman"/>
                <w:b/>
                <w:bCs/>
                <w:color w:val="000000"/>
                <w:sz w:val="18"/>
                <w:szCs w:val="18"/>
                <w:lang w:eastAsia="sk-SK"/>
              </w:rPr>
              <w:t xml:space="preserve"> PS</w:t>
            </w:r>
          </w:p>
        </w:tc>
        <w:tc>
          <w:tcPr>
            <w:tcW w:w="992" w:type="dxa"/>
            <w:tcBorders>
              <w:top w:val="single" w:sz="4" w:space="0" w:color="auto"/>
              <w:left w:val="nil"/>
              <w:bottom w:val="nil"/>
              <w:right w:val="nil"/>
            </w:tcBorders>
            <w:shd w:val="clear" w:color="auto" w:fill="auto"/>
            <w:vAlign w:val="center"/>
            <w:hideMark/>
          </w:tcPr>
          <w:p w14:paraId="171C03A8"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Pr>
                <w:rFonts w:eastAsia="Times New Roman" w:cs="Times New Roman"/>
                <w:b/>
                <w:bCs/>
                <w:color w:val="000000"/>
                <w:sz w:val="18"/>
                <w:szCs w:val="18"/>
                <w:lang w:eastAsia="sk-SK"/>
              </w:rPr>
              <w:t>2022</w:t>
            </w:r>
            <w:r w:rsidRPr="007A37F7">
              <w:rPr>
                <w:rFonts w:eastAsia="Times New Roman" w:cs="Times New Roman"/>
                <w:b/>
                <w:bCs/>
                <w:color w:val="000000"/>
                <w:sz w:val="18"/>
                <w:szCs w:val="18"/>
                <w:lang w:eastAsia="sk-SK"/>
              </w:rPr>
              <w:t xml:space="preserve"> </w:t>
            </w:r>
            <w:r>
              <w:rPr>
                <w:rFonts w:eastAsia="Times New Roman" w:cs="Times New Roman"/>
                <w:b/>
                <w:bCs/>
                <w:color w:val="000000"/>
                <w:sz w:val="18"/>
                <w:szCs w:val="18"/>
                <w:lang w:eastAsia="sk-SK"/>
              </w:rPr>
              <w:t>N</w:t>
            </w:r>
            <w:r w:rsidRPr="007A37F7">
              <w:rPr>
                <w:rFonts w:eastAsia="Times New Roman" w:cs="Times New Roman"/>
                <w:b/>
                <w:bCs/>
                <w:color w:val="000000"/>
                <w:sz w:val="18"/>
                <w:szCs w:val="18"/>
                <w:lang w:eastAsia="sk-SK"/>
              </w:rPr>
              <w:t>R</w:t>
            </w:r>
          </w:p>
        </w:tc>
        <w:tc>
          <w:tcPr>
            <w:tcW w:w="993" w:type="dxa"/>
            <w:tcBorders>
              <w:top w:val="single" w:sz="4" w:space="0" w:color="auto"/>
              <w:left w:val="nil"/>
              <w:bottom w:val="nil"/>
              <w:right w:val="nil"/>
            </w:tcBorders>
            <w:shd w:val="clear" w:color="auto" w:fill="auto"/>
            <w:vAlign w:val="center"/>
            <w:hideMark/>
          </w:tcPr>
          <w:p w14:paraId="28C50EBD"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Pr>
                <w:rFonts w:eastAsia="Times New Roman" w:cs="Times New Roman"/>
                <w:b/>
                <w:bCs/>
                <w:color w:val="000000"/>
                <w:sz w:val="18"/>
                <w:szCs w:val="18"/>
                <w:lang w:eastAsia="sk-SK"/>
              </w:rPr>
              <w:t>2022 U</w:t>
            </w:r>
            <w:r w:rsidRPr="007A37F7">
              <w:rPr>
                <w:rFonts w:eastAsia="Times New Roman" w:cs="Times New Roman"/>
                <w:b/>
                <w:bCs/>
                <w:color w:val="000000"/>
                <w:sz w:val="18"/>
                <w:szCs w:val="18"/>
                <w:lang w:eastAsia="sk-SK"/>
              </w:rPr>
              <w:t>R</w:t>
            </w:r>
          </w:p>
        </w:tc>
        <w:tc>
          <w:tcPr>
            <w:tcW w:w="1107" w:type="dxa"/>
            <w:tcBorders>
              <w:top w:val="single" w:sz="4" w:space="0" w:color="auto"/>
              <w:left w:val="nil"/>
              <w:bottom w:val="nil"/>
              <w:right w:val="nil"/>
            </w:tcBorders>
            <w:shd w:val="clear" w:color="auto" w:fill="auto"/>
            <w:vAlign w:val="center"/>
            <w:hideMark/>
          </w:tcPr>
          <w:p w14:paraId="2AD31FCF"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Pr>
                <w:rFonts w:eastAsia="Times New Roman" w:cs="Times New Roman"/>
                <w:b/>
                <w:bCs/>
                <w:color w:val="000000"/>
                <w:sz w:val="18"/>
                <w:szCs w:val="18"/>
                <w:lang w:eastAsia="sk-SK"/>
              </w:rPr>
              <w:t>2022</w:t>
            </w:r>
            <w:r w:rsidRPr="007A37F7">
              <w:rPr>
                <w:rFonts w:eastAsia="Times New Roman" w:cs="Times New Roman"/>
                <w:b/>
                <w:bCs/>
                <w:color w:val="000000"/>
                <w:sz w:val="18"/>
                <w:szCs w:val="18"/>
                <w:lang w:eastAsia="sk-SK"/>
              </w:rPr>
              <w:t xml:space="preserve"> S</w:t>
            </w:r>
          </w:p>
        </w:tc>
        <w:tc>
          <w:tcPr>
            <w:tcW w:w="877" w:type="dxa"/>
            <w:tcBorders>
              <w:top w:val="single" w:sz="4" w:space="0" w:color="auto"/>
              <w:left w:val="nil"/>
              <w:bottom w:val="nil"/>
              <w:right w:val="nil"/>
            </w:tcBorders>
            <w:shd w:val="clear" w:color="auto" w:fill="auto"/>
            <w:vAlign w:val="center"/>
            <w:hideMark/>
          </w:tcPr>
          <w:p w14:paraId="0078160E"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sidRPr="007A37F7">
              <w:rPr>
                <w:rFonts w:eastAsia="Times New Roman" w:cs="Times New Roman"/>
                <w:b/>
                <w:bCs/>
                <w:color w:val="000000"/>
                <w:sz w:val="18"/>
                <w:szCs w:val="18"/>
                <w:lang w:eastAsia="sk-SK"/>
              </w:rPr>
              <w:t>Rozdiel</w:t>
            </w:r>
          </w:p>
        </w:tc>
      </w:tr>
      <w:tr w:rsidR="00F75126" w:rsidRPr="007A37F7" w14:paraId="3747B956" w14:textId="77777777" w:rsidTr="00574126">
        <w:trPr>
          <w:trHeight w:val="57"/>
        </w:trPr>
        <w:tc>
          <w:tcPr>
            <w:tcW w:w="1985" w:type="dxa"/>
            <w:vMerge/>
            <w:tcBorders>
              <w:left w:val="nil"/>
              <w:bottom w:val="single" w:sz="4" w:space="0" w:color="auto"/>
              <w:right w:val="nil"/>
            </w:tcBorders>
            <w:shd w:val="clear" w:color="auto" w:fill="auto"/>
            <w:vAlign w:val="center"/>
            <w:hideMark/>
          </w:tcPr>
          <w:p w14:paraId="10BC7A39" w14:textId="77777777" w:rsidR="00F75126" w:rsidRPr="007A37F7" w:rsidRDefault="00F75126" w:rsidP="00574126">
            <w:pPr>
              <w:spacing w:after="0" w:line="240" w:lineRule="auto"/>
              <w:jc w:val="left"/>
              <w:rPr>
                <w:rFonts w:eastAsia="Times New Roman" w:cs="Times New Roman"/>
                <w:b/>
                <w:bCs/>
                <w:color w:val="000000"/>
                <w:sz w:val="18"/>
                <w:szCs w:val="18"/>
                <w:lang w:eastAsia="sk-SK"/>
              </w:rPr>
            </w:pPr>
          </w:p>
        </w:tc>
        <w:tc>
          <w:tcPr>
            <w:tcW w:w="1134" w:type="dxa"/>
            <w:tcBorders>
              <w:top w:val="nil"/>
              <w:left w:val="nil"/>
              <w:bottom w:val="single" w:sz="4" w:space="0" w:color="auto"/>
              <w:right w:val="nil"/>
            </w:tcBorders>
            <w:shd w:val="clear" w:color="auto" w:fill="auto"/>
            <w:vAlign w:val="center"/>
            <w:hideMark/>
          </w:tcPr>
          <w:p w14:paraId="29A9A0DB"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sidRPr="007A37F7">
              <w:rPr>
                <w:rFonts w:eastAsia="Times New Roman" w:cs="Times New Roman"/>
                <w:b/>
                <w:bCs/>
                <w:color w:val="000000"/>
                <w:sz w:val="18"/>
                <w:szCs w:val="18"/>
                <w:lang w:eastAsia="sk-SK"/>
              </w:rPr>
              <w:t>1</w:t>
            </w:r>
          </w:p>
        </w:tc>
        <w:tc>
          <w:tcPr>
            <w:tcW w:w="992" w:type="dxa"/>
            <w:tcBorders>
              <w:top w:val="nil"/>
              <w:left w:val="nil"/>
              <w:bottom w:val="single" w:sz="4" w:space="0" w:color="auto"/>
              <w:right w:val="nil"/>
            </w:tcBorders>
            <w:shd w:val="clear" w:color="auto" w:fill="auto"/>
            <w:vAlign w:val="center"/>
            <w:hideMark/>
          </w:tcPr>
          <w:p w14:paraId="6B8CBFF8"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sidRPr="007A37F7">
              <w:rPr>
                <w:rFonts w:eastAsia="Times New Roman" w:cs="Times New Roman"/>
                <w:b/>
                <w:bCs/>
                <w:color w:val="000000"/>
                <w:sz w:val="18"/>
                <w:szCs w:val="18"/>
                <w:lang w:eastAsia="sk-SK"/>
              </w:rPr>
              <w:t>2</w:t>
            </w:r>
          </w:p>
        </w:tc>
        <w:tc>
          <w:tcPr>
            <w:tcW w:w="1134" w:type="dxa"/>
            <w:tcBorders>
              <w:top w:val="nil"/>
              <w:left w:val="nil"/>
              <w:bottom w:val="single" w:sz="4" w:space="0" w:color="auto"/>
              <w:right w:val="nil"/>
            </w:tcBorders>
            <w:shd w:val="clear" w:color="auto" w:fill="auto"/>
            <w:vAlign w:val="center"/>
          </w:tcPr>
          <w:p w14:paraId="11AD7D74"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p>
        </w:tc>
        <w:tc>
          <w:tcPr>
            <w:tcW w:w="992" w:type="dxa"/>
            <w:tcBorders>
              <w:top w:val="nil"/>
              <w:left w:val="nil"/>
              <w:bottom w:val="single" w:sz="4" w:space="0" w:color="auto"/>
              <w:right w:val="nil"/>
            </w:tcBorders>
            <w:shd w:val="clear" w:color="auto" w:fill="auto"/>
            <w:vAlign w:val="center"/>
            <w:hideMark/>
          </w:tcPr>
          <w:p w14:paraId="47B279AC"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sidRPr="007A37F7">
              <w:rPr>
                <w:rFonts w:eastAsia="Times New Roman" w:cs="Times New Roman"/>
                <w:b/>
                <w:bCs/>
                <w:color w:val="000000"/>
                <w:sz w:val="18"/>
                <w:szCs w:val="18"/>
                <w:lang w:eastAsia="sk-SK"/>
              </w:rPr>
              <w:t>3</w:t>
            </w:r>
          </w:p>
        </w:tc>
        <w:tc>
          <w:tcPr>
            <w:tcW w:w="993" w:type="dxa"/>
            <w:tcBorders>
              <w:top w:val="nil"/>
              <w:left w:val="nil"/>
              <w:bottom w:val="single" w:sz="4" w:space="0" w:color="auto"/>
              <w:right w:val="nil"/>
            </w:tcBorders>
            <w:shd w:val="clear" w:color="auto" w:fill="auto"/>
            <w:vAlign w:val="center"/>
            <w:hideMark/>
          </w:tcPr>
          <w:p w14:paraId="24F28D9C"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sidRPr="007A37F7">
              <w:rPr>
                <w:rFonts w:eastAsia="Times New Roman" w:cs="Times New Roman"/>
                <w:b/>
                <w:bCs/>
                <w:color w:val="000000"/>
                <w:sz w:val="18"/>
                <w:szCs w:val="18"/>
                <w:lang w:eastAsia="sk-SK"/>
              </w:rPr>
              <w:t>4</w:t>
            </w:r>
          </w:p>
        </w:tc>
        <w:tc>
          <w:tcPr>
            <w:tcW w:w="1107" w:type="dxa"/>
            <w:tcBorders>
              <w:top w:val="nil"/>
              <w:left w:val="nil"/>
              <w:bottom w:val="single" w:sz="4" w:space="0" w:color="auto"/>
              <w:right w:val="nil"/>
            </w:tcBorders>
            <w:shd w:val="clear" w:color="auto" w:fill="auto"/>
            <w:vAlign w:val="center"/>
            <w:hideMark/>
          </w:tcPr>
          <w:p w14:paraId="082F5026"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sidRPr="007A37F7">
              <w:rPr>
                <w:rFonts w:eastAsia="Times New Roman" w:cs="Times New Roman"/>
                <w:b/>
                <w:bCs/>
                <w:color w:val="000000"/>
                <w:sz w:val="18"/>
                <w:szCs w:val="18"/>
                <w:lang w:eastAsia="sk-SK"/>
              </w:rPr>
              <w:t>5</w:t>
            </w:r>
          </w:p>
        </w:tc>
        <w:tc>
          <w:tcPr>
            <w:tcW w:w="877" w:type="dxa"/>
            <w:tcBorders>
              <w:top w:val="nil"/>
              <w:left w:val="nil"/>
              <w:bottom w:val="single" w:sz="4" w:space="0" w:color="auto"/>
              <w:right w:val="nil"/>
            </w:tcBorders>
            <w:shd w:val="clear" w:color="auto" w:fill="auto"/>
            <w:vAlign w:val="center"/>
            <w:hideMark/>
          </w:tcPr>
          <w:p w14:paraId="1A22774E" w14:textId="77777777" w:rsidR="00F75126" w:rsidRPr="007A37F7" w:rsidRDefault="00F75126" w:rsidP="00574126">
            <w:pPr>
              <w:spacing w:after="0" w:line="240" w:lineRule="auto"/>
              <w:jc w:val="center"/>
              <w:rPr>
                <w:rFonts w:eastAsia="Times New Roman" w:cs="Times New Roman"/>
                <w:b/>
                <w:bCs/>
                <w:color w:val="000000"/>
                <w:sz w:val="18"/>
                <w:szCs w:val="18"/>
                <w:lang w:eastAsia="sk-SK"/>
              </w:rPr>
            </w:pPr>
            <w:r w:rsidRPr="007A37F7">
              <w:rPr>
                <w:rFonts w:eastAsia="Times New Roman" w:cs="Times New Roman"/>
                <w:b/>
                <w:bCs/>
                <w:color w:val="000000"/>
                <w:sz w:val="18"/>
                <w:szCs w:val="18"/>
                <w:lang w:eastAsia="sk-SK"/>
              </w:rPr>
              <w:t>6=5-3</w:t>
            </w:r>
          </w:p>
        </w:tc>
      </w:tr>
      <w:tr w:rsidR="00F75126" w:rsidRPr="007A37F7" w14:paraId="0AB598D6" w14:textId="77777777" w:rsidTr="00574126">
        <w:trPr>
          <w:trHeight w:val="288"/>
        </w:trPr>
        <w:tc>
          <w:tcPr>
            <w:tcW w:w="1985" w:type="dxa"/>
            <w:tcBorders>
              <w:top w:val="nil"/>
              <w:left w:val="nil"/>
              <w:bottom w:val="nil"/>
              <w:right w:val="nil"/>
            </w:tcBorders>
            <w:shd w:val="clear" w:color="auto" w:fill="auto"/>
            <w:noWrap/>
            <w:vAlign w:val="center"/>
            <w:hideMark/>
          </w:tcPr>
          <w:p w14:paraId="559DF574" w14:textId="77777777" w:rsidR="00F75126" w:rsidRPr="001B549A" w:rsidRDefault="00F75126" w:rsidP="00574126">
            <w:pPr>
              <w:spacing w:after="0" w:line="240" w:lineRule="auto"/>
              <w:rPr>
                <w:rFonts w:eastAsia="Times New Roman" w:cs="Times New Roman"/>
                <w:b/>
                <w:bCs/>
                <w:color w:val="000000"/>
                <w:sz w:val="16"/>
                <w:szCs w:val="16"/>
                <w:lang w:eastAsia="sk-SK"/>
              </w:rPr>
            </w:pPr>
            <w:r w:rsidRPr="001B549A">
              <w:rPr>
                <w:rFonts w:eastAsia="Times New Roman" w:cs="Times New Roman"/>
                <w:b/>
                <w:bCs/>
                <w:color w:val="000000"/>
                <w:sz w:val="16"/>
                <w:szCs w:val="16"/>
                <w:lang w:eastAsia="sk-SK"/>
              </w:rPr>
              <w:t>Príjmy spolu</w:t>
            </w:r>
          </w:p>
        </w:tc>
        <w:tc>
          <w:tcPr>
            <w:tcW w:w="1134" w:type="dxa"/>
            <w:tcBorders>
              <w:top w:val="nil"/>
              <w:left w:val="nil"/>
              <w:bottom w:val="nil"/>
              <w:right w:val="nil"/>
            </w:tcBorders>
            <w:shd w:val="clear" w:color="auto" w:fill="auto"/>
            <w:vAlign w:val="center"/>
            <w:hideMark/>
          </w:tcPr>
          <w:p w14:paraId="27DE3B7C"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B86CA4">
              <w:rPr>
                <w:rFonts w:eastAsia="Times New Roman" w:cs="Times New Roman"/>
                <w:b/>
                <w:bCs/>
                <w:color w:val="000000"/>
                <w:sz w:val="16"/>
                <w:szCs w:val="16"/>
                <w:lang w:eastAsia="sk-SK"/>
              </w:rPr>
              <w:t>15 750 634</w:t>
            </w:r>
          </w:p>
        </w:tc>
        <w:tc>
          <w:tcPr>
            <w:tcW w:w="992" w:type="dxa"/>
            <w:tcBorders>
              <w:top w:val="nil"/>
              <w:left w:val="nil"/>
              <w:bottom w:val="nil"/>
              <w:right w:val="nil"/>
            </w:tcBorders>
            <w:shd w:val="clear" w:color="auto" w:fill="auto"/>
            <w:noWrap/>
            <w:vAlign w:val="center"/>
          </w:tcPr>
          <w:p w14:paraId="139CBD72"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F41B01">
              <w:rPr>
                <w:rFonts w:eastAsia="Times New Roman" w:cs="Times New Roman"/>
                <w:b/>
                <w:bCs/>
                <w:color w:val="000000"/>
                <w:sz w:val="16"/>
                <w:szCs w:val="16"/>
                <w:lang w:eastAsia="sk-SK"/>
              </w:rPr>
              <w:t>17 197 298</w:t>
            </w:r>
          </w:p>
        </w:tc>
        <w:tc>
          <w:tcPr>
            <w:tcW w:w="1134" w:type="dxa"/>
            <w:tcBorders>
              <w:top w:val="nil"/>
              <w:left w:val="nil"/>
              <w:bottom w:val="nil"/>
              <w:right w:val="nil"/>
            </w:tcBorders>
            <w:shd w:val="clear" w:color="auto" w:fill="auto"/>
            <w:vAlign w:val="center"/>
          </w:tcPr>
          <w:p w14:paraId="7F1C7722" w14:textId="77777777" w:rsidR="00F75126" w:rsidRPr="00743412" w:rsidRDefault="00F75126" w:rsidP="00574126">
            <w:pPr>
              <w:spacing w:after="0" w:line="240" w:lineRule="auto"/>
              <w:jc w:val="right"/>
              <w:rPr>
                <w:rFonts w:eastAsia="Times New Roman" w:cs="Times New Roman"/>
                <w:b/>
                <w:bCs/>
                <w:color w:val="000000"/>
                <w:sz w:val="16"/>
                <w:szCs w:val="16"/>
                <w:lang w:eastAsia="sk-SK"/>
              </w:rPr>
            </w:pPr>
            <w:r>
              <w:rPr>
                <w:rFonts w:eastAsia="Times New Roman" w:cs="Times New Roman"/>
                <w:b/>
                <w:bCs/>
                <w:color w:val="000000"/>
                <w:sz w:val="16"/>
                <w:szCs w:val="16"/>
                <w:lang w:eastAsia="sk-SK"/>
              </w:rPr>
              <w:t>19 974 242</w:t>
            </w:r>
          </w:p>
        </w:tc>
        <w:tc>
          <w:tcPr>
            <w:tcW w:w="992" w:type="dxa"/>
            <w:tcBorders>
              <w:top w:val="nil"/>
              <w:left w:val="nil"/>
              <w:bottom w:val="nil"/>
              <w:right w:val="nil"/>
            </w:tcBorders>
            <w:shd w:val="clear" w:color="auto" w:fill="auto"/>
            <w:noWrap/>
            <w:vAlign w:val="center"/>
            <w:hideMark/>
          </w:tcPr>
          <w:p w14:paraId="02134074"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743412">
              <w:rPr>
                <w:rFonts w:eastAsia="Times New Roman" w:cs="Times New Roman"/>
                <w:b/>
                <w:bCs/>
                <w:color w:val="000000"/>
                <w:sz w:val="16"/>
                <w:szCs w:val="16"/>
                <w:lang w:eastAsia="sk-SK"/>
              </w:rPr>
              <w:t>21 471 899</w:t>
            </w:r>
          </w:p>
        </w:tc>
        <w:tc>
          <w:tcPr>
            <w:tcW w:w="993" w:type="dxa"/>
            <w:tcBorders>
              <w:top w:val="nil"/>
              <w:left w:val="nil"/>
              <w:bottom w:val="nil"/>
              <w:right w:val="nil"/>
            </w:tcBorders>
            <w:shd w:val="clear" w:color="auto" w:fill="auto"/>
            <w:noWrap/>
            <w:vAlign w:val="center"/>
            <w:hideMark/>
          </w:tcPr>
          <w:p w14:paraId="379C413D"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F34817">
              <w:rPr>
                <w:rFonts w:eastAsia="Times New Roman" w:cs="Times New Roman"/>
                <w:b/>
                <w:bCs/>
                <w:color w:val="000000"/>
                <w:sz w:val="16"/>
                <w:szCs w:val="16"/>
                <w:lang w:eastAsia="sk-SK"/>
              </w:rPr>
              <w:t>19 209 111</w:t>
            </w:r>
          </w:p>
        </w:tc>
        <w:tc>
          <w:tcPr>
            <w:tcW w:w="1107" w:type="dxa"/>
            <w:tcBorders>
              <w:top w:val="nil"/>
              <w:left w:val="nil"/>
              <w:bottom w:val="nil"/>
              <w:right w:val="nil"/>
            </w:tcBorders>
            <w:shd w:val="clear" w:color="auto" w:fill="auto"/>
            <w:vAlign w:val="center"/>
            <w:hideMark/>
          </w:tcPr>
          <w:p w14:paraId="007F8341"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D350D6">
              <w:rPr>
                <w:rFonts w:eastAsia="Times New Roman" w:cs="Times New Roman"/>
                <w:b/>
                <w:bCs/>
                <w:color w:val="000000"/>
                <w:sz w:val="16"/>
                <w:szCs w:val="16"/>
                <w:lang w:eastAsia="sk-SK"/>
              </w:rPr>
              <w:t>19 029 702</w:t>
            </w:r>
          </w:p>
        </w:tc>
        <w:tc>
          <w:tcPr>
            <w:tcW w:w="877" w:type="dxa"/>
            <w:tcBorders>
              <w:top w:val="nil"/>
              <w:left w:val="nil"/>
              <w:bottom w:val="nil"/>
              <w:right w:val="nil"/>
            </w:tcBorders>
            <w:shd w:val="clear" w:color="auto" w:fill="auto"/>
            <w:noWrap/>
            <w:vAlign w:val="center"/>
            <w:hideMark/>
          </w:tcPr>
          <w:p w14:paraId="36DB00AC"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D350D6">
              <w:rPr>
                <w:rFonts w:eastAsia="Times New Roman" w:cs="Times New Roman"/>
                <w:b/>
                <w:bCs/>
                <w:color w:val="000000"/>
                <w:sz w:val="16"/>
                <w:szCs w:val="16"/>
                <w:lang w:eastAsia="sk-SK"/>
              </w:rPr>
              <w:t>-2 442 197</w:t>
            </w:r>
          </w:p>
        </w:tc>
      </w:tr>
      <w:tr w:rsidR="00F75126" w:rsidRPr="007A37F7" w14:paraId="1BBD0827" w14:textId="77777777" w:rsidTr="00574126">
        <w:trPr>
          <w:trHeight w:val="288"/>
        </w:trPr>
        <w:tc>
          <w:tcPr>
            <w:tcW w:w="1985" w:type="dxa"/>
            <w:tcBorders>
              <w:top w:val="nil"/>
              <w:left w:val="nil"/>
              <w:bottom w:val="nil"/>
              <w:right w:val="nil"/>
            </w:tcBorders>
            <w:shd w:val="clear" w:color="auto" w:fill="auto"/>
            <w:noWrap/>
            <w:vAlign w:val="center"/>
            <w:hideMark/>
          </w:tcPr>
          <w:p w14:paraId="73B4FA38" w14:textId="77777777" w:rsidR="00F75126" w:rsidRPr="001B549A" w:rsidRDefault="00F75126" w:rsidP="00574126">
            <w:pPr>
              <w:spacing w:after="0" w:line="240" w:lineRule="auto"/>
              <w:rPr>
                <w:rFonts w:eastAsia="Times New Roman" w:cs="Times New Roman"/>
                <w:color w:val="000000"/>
                <w:sz w:val="16"/>
                <w:szCs w:val="16"/>
                <w:lang w:eastAsia="sk-SK"/>
              </w:rPr>
            </w:pPr>
            <w:r w:rsidRPr="001B549A">
              <w:rPr>
                <w:rFonts w:eastAsia="Times New Roman" w:cs="Times New Roman"/>
                <w:color w:val="000000"/>
                <w:sz w:val="16"/>
                <w:szCs w:val="16"/>
                <w:lang w:eastAsia="sk-SK"/>
              </w:rPr>
              <w:t>v tom: daňové príjmy</w:t>
            </w:r>
          </w:p>
        </w:tc>
        <w:tc>
          <w:tcPr>
            <w:tcW w:w="1134" w:type="dxa"/>
            <w:tcBorders>
              <w:top w:val="nil"/>
              <w:left w:val="nil"/>
              <w:bottom w:val="nil"/>
              <w:right w:val="nil"/>
            </w:tcBorders>
            <w:shd w:val="clear" w:color="auto" w:fill="auto"/>
            <w:vAlign w:val="center"/>
            <w:hideMark/>
          </w:tcPr>
          <w:p w14:paraId="00F02431"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CC13FE">
              <w:rPr>
                <w:rFonts w:eastAsia="Times New Roman" w:cs="Times New Roman"/>
                <w:color w:val="000000"/>
                <w:sz w:val="16"/>
                <w:szCs w:val="16"/>
                <w:lang w:eastAsia="sk-SK"/>
              </w:rPr>
              <w:t>11 865 422</w:t>
            </w:r>
          </w:p>
        </w:tc>
        <w:tc>
          <w:tcPr>
            <w:tcW w:w="992" w:type="dxa"/>
            <w:tcBorders>
              <w:top w:val="nil"/>
              <w:left w:val="nil"/>
              <w:bottom w:val="nil"/>
              <w:right w:val="nil"/>
            </w:tcBorders>
            <w:shd w:val="clear" w:color="auto" w:fill="auto"/>
            <w:noWrap/>
            <w:vAlign w:val="center"/>
          </w:tcPr>
          <w:p w14:paraId="17A92A5E"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41B01">
              <w:rPr>
                <w:rFonts w:eastAsia="Times New Roman" w:cs="Times New Roman"/>
                <w:color w:val="000000"/>
                <w:sz w:val="16"/>
                <w:szCs w:val="16"/>
                <w:lang w:eastAsia="sk-SK"/>
              </w:rPr>
              <w:t>13 546 038</w:t>
            </w:r>
          </w:p>
        </w:tc>
        <w:tc>
          <w:tcPr>
            <w:tcW w:w="1134" w:type="dxa"/>
            <w:tcBorders>
              <w:top w:val="nil"/>
              <w:left w:val="nil"/>
              <w:bottom w:val="nil"/>
              <w:right w:val="nil"/>
            </w:tcBorders>
            <w:shd w:val="clear" w:color="auto" w:fill="auto"/>
            <w:vAlign w:val="center"/>
          </w:tcPr>
          <w:p w14:paraId="4FCB2553" w14:textId="77777777" w:rsidR="00F75126" w:rsidRPr="00743412" w:rsidRDefault="00F75126" w:rsidP="00574126">
            <w:pPr>
              <w:spacing w:after="0" w:line="240" w:lineRule="auto"/>
              <w:jc w:val="right"/>
              <w:rPr>
                <w:rFonts w:eastAsia="Times New Roman" w:cs="Times New Roman"/>
                <w:color w:val="000000"/>
                <w:sz w:val="16"/>
                <w:szCs w:val="16"/>
                <w:lang w:eastAsia="sk-SK"/>
              </w:rPr>
            </w:pPr>
            <w:r>
              <w:rPr>
                <w:rFonts w:eastAsia="Times New Roman" w:cs="Times New Roman"/>
                <w:color w:val="000000"/>
                <w:sz w:val="16"/>
                <w:szCs w:val="16"/>
                <w:lang w:eastAsia="sk-SK"/>
              </w:rPr>
              <w:t>14 348 197</w:t>
            </w:r>
          </w:p>
        </w:tc>
        <w:tc>
          <w:tcPr>
            <w:tcW w:w="992" w:type="dxa"/>
            <w:tcBorders>
              <w:top w:val="nil"/>
              <w:left w:val="nil"/>
              <w:bottom w:val="nil"/>
              <w:right w:val="nil"/>
            </w:tcBorders>
            <w:shd w:val="clear" w:color="auto" w:fill="auto"/>
            <w:noWrap/>
            <w:vAlign w:val="center"/>
            <w:hideMark/>
          </w:tcPr>
          <w:p w14:paraId="3F63C9F1"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743412">
              <w:rPr>
                <w:rFonts w:eastAsia="Times New Roman" w:cs="Times New Roman"/>
                <w:color w:val="000000"/>
                <w:sz w:val="16"/>
                <w:szCs w:val="16"/>
                <w:lang w:eastAsia="sk-SK"/>
              </w:rPr>
              <w:t>15 845 854</w:t>
            </w:r>
          </w:p>
        </w:tc>
        <w:tc>
          <w:tcPr>
            <w:tcW w:w="993" w:type="dxa"/>
            <w:tcBorders>
              <w:top w:val="nil"/>
              <w:left w:val="nil"/>
              <w:bottom w:val="nil"/>
              <w:right w:val="nil"/>
            </w:tcBorders>
            <w:shd w:val="clear" w:color="auto" w:fill="auto"/>
            <w:noWrap/>
            <w:vAlign w:val="center"/>
            <w:hideMark/>
          </w:tcPr>
          <w:p w14:paraId="7246EA2E"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34817">
              <w:rPr>
                <w:rFonts w:eastAsia="Times New Roman" w:cs="Times New Roman"/>
                <w:color w:val="000000"/>
                <w:sz w:val="16"/>
                <w:szCs w:val="16"/>
                <w:lang w:eastAsia="sk-SK"/>
              </w:rPr>
              <w:t>15 845 854</w:t>
            </w:r>
          </w:p>
        </w:tc>
        <w:tc>
          <w:tcPr>
            <w:tcW w:w="1107" w:type="dxa"/>
            <w:tcBorders>
              <w:top w:val="nil"/>
              <w:left w:val="nil"/>
              <w:bottom w:val="nil"/>
              <w:right w:val="nil"/>
            </w:tcBorders>
            <w:shd w:val="clear" w:color="auto" w:fill="auto"/>
            <w:noWrap/>
            <w:vAlign w:val="center"/>
            <w:hideMark/>
          </w:tcPr>
          <w:p w14:paraId="2592D96E"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D350D6">
              <w:rPr>
                <w:rFonts w:eastAsia="Times New Roman" w:cs="Times New Roman"/>
                <w:color w:val="000000"/>
                <w:sz w:val="16"/>
                <w:szCs w:val="16"/>
                <w:lang w:eastAsia="sk-SK"/>
              </w:rPr>
              <w:t>15 517 036</w:t>
            </w:r>
          </w:p>
        </w:tc>
        <w:tc>
          <w:tcPr>
            <w:tcW w:w="877" w:type="dxa"/>
            <w:tcBorders>
              <w:top w:val="nil"/>
              <w:left w:val="nil"/>
              <w:bottom w:val="nil"/>
              <w:right w:val="nil"/>
            </w:tcBorders>
            <w:shd w:val="clear" w:color="auto" w:fill="auto"/>
            <w:noWrap/>
            <w:vAlign w:val="center"/>
            <w:hideMark/>
          </w:tcPr>
          <w:p w14:paraId="0DAC0809"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D350D6">
              <w:rPr>
                <w:rFonts w:eastAsia="Times New Roman" w:cs="Times New Roman"/>
                <w:color w:val="000000"/>
                <w:sz w:val="16"/>
                <w:szCs w:val="16"/>
                <w:lang w:eastAsia="sk-SK"/>
              </w:rPr>
              <w:t>-328 818</w:t>
            </w:r>
          </w:p>
        </w:tc>
      </w:tr>
      <w:tr w:rsidR="00F75126" w:rsidRPr="007A37F7" w14:paraId="4C881D12" w14:textId="77777777" w:rsidTr="00574126">
        <w:trPr>
          <w:trHeight w:val="288"/>
        </w:trPr>
        <w:tc>
          <w:tcPr>
            <w:tcW w:w="1985" w:type="dxa"/>
            <w:tcBorders>
              <w:top w:val="nil"/>
              <w:left w:val="nil"/>
              <w:bottom w:val="nil"/>
              <w:right w:val="nil"/>
            </w:tcBorders>
            <w:shd w:val="clear" w:color="auto" w:fill="auto"/>
            <w:noWrap/>
            <w:vAlign w:val="center"/>
            <w:hideMark/>
          </w:tcPr>
          <w:p w14:paraId="3DEE9390" w14:textId="77777777" w:rsidR="00F75126" w:rsidRPr="001B549A" w:rsidRDefault="00F75126" w:rsidP="00574126">
            <w:pPr>
              <w:spacing w:after="0" w:line="240" w:lineRule="auto"/>
              <w:rPr>
                <w:rFonts w:eastAsia="Times New Roman" w:cs="Times New Roman"/>
                <w:color w:val="000000"/>
                <w:sz w:val="16"/>
                <w:szCs w:val="16"/>
                <w:lang w:eastAsia="sk-SK"/>
              </w:rPr>
            </w:pPr>
            <w:r w:rsidRPr="001B549A">
              <w:rPr>
                <w:rFonts w:eastAsia="Times New Roman" w:cs="Times New Roman"/>
                <w:color w:val="000000"/>
                <w:sz w:val="16"/>
                <w:szCs w:val="16"/>
                <w:lang w:eastAsia="sk-SK"/>
              </w:rPr>
              <w:t xml:space="preserve">            nedaňové príjmy</w:t>
            </w:r>
          </w:p>
        </w:tc>
        <w:tc>
          <w:tcPr>
            <w:tcW w:w="1134" w:type="dxa"/>
            <w:tcBorders>
              <w:top w:val="nil"/>
              <w:left w:val="nil"/>
              <w:bottom w:val="nil"/>
              <w:right w:val="nil"/>
            </w:tcBorders>
            <w:shd w:val="clear" w:color="auto" w:fill="auto"/>
            <w:vAlign w:val="center"/>
            <w:hideMark/>
          </w:tcPr>
          <w:p w14:paraId="049FDB86"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CC13FE">
              <w:rPr>
                <w:rFonts w:eastAsia="Times New Roman" w:cs="Times New Roman"/>
                <w:color w:val="000000"/>
                <w:sz w:val="16"/>
                <w:szCs w:val="16"/>
                <w:lang w:eastAsia="sk-SK"/>
              </w:rPr>
              <w:t>1 296 626</w:t>
            </w:r>
          </w:p>
        </w:tc>
        <w:tc>
          <w:tcPr>
            <w:tcW w:w="992" w:type="dxa"/>
            <w:tcBorders>
              <w:top w:val="nil"/>
              <w:left w:val="nil"/>
              <w:bottom w:val="nil"/>
              <w:right w:val="nil"/>
            </w:tcBorders>
            <w:shd w:val="clear" w:color="auto" w:fill="auto"/>
            <w:noWrap/>
            <w:vAlign w:val="center"/>
          </w:tcPr>
          <w:p w14:paraId="03B55FDA"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41B01">
              <w:rPr>
                <w:rFonts w:eastAsia="Times New Roman" w:cs="Times New Roman"/>
                <w:color w:val="000000"/>
                <w:sz w:val="16"/>
                <w:szCs w:val="16"/>
                <w:lang w:eastAsia="sk-SK"/>
              </w:rPr>
              <w:t>1 338 320</w:t>
            </w:r>
          </w:p>
        </w:tc>
        <w:tc>
          <w:tcPr>
            <w:tcW w:w="1134" w:type="dxa"/>
            <w:tcBorders>
              <w:top w:val="nil"/>
              <w:left w:val="nil"/>
              <w:bottom w:val="nil"/>
              <w:right w:val="nil"/>
            </w:tcBorders>
            <w:shd w:val="clear" w:color="auto" w:fill="auto"/>
            <w:vAlign w:val="center"/>
          </w:tcPr>
          <w:p w14:paraId="602ADC33" w14:textId="77777777" w:rsidR="00F75126" w:rsidRPr="00743412" w:rsidRDefault="00F75126" w:rsidP="00574126">
            <w:pPr>
              <w:spacing w:after="0" w:line="240" w:lineRule="auto"/>
              <w:jc w:val="right"/>
              <w:rPr>
                <w:rFonts w:eastAsia="Times New Roman" w:cs="Times New Roman"/>
                <w:color w:val="000000"/>
                <w:sz w:val="16"/>
                <w:szCs w:val="16"/>
                <w:lang w:eastAsia="sk-SK"/>
              </w:rPr>
            </w:pPr>
            <w:r>
              <w:rPr>
                <w:rFonts w:eastAsia="Times New Roman" w:cs="Times New Roman"/>
                <w:color w:val="000000"/>
                <w:sz w:val="16"/>
                <w:szCs w:val="16"/>
                <w:lang w:eastAsia="sk-SK"/>
              </w:rPr>
              <w:t>1 134 818</w:t>
            </w:r>
          </w:p>
        </w:tc>
        <w:tc>
          <w:tcPr>
            <w:tcW w:w="992" w:type="dxa"/>
            <w:tcBorders>
              <w:top w:val="nil"/>
              <w:left w:val="nil"/>
              <w:bottom w:val="nil"/>
              <w:right w:val="nil"/>
            </w:tcBorders>
            <w:shd w:val="clear" w:color="auto" w:fill="auto"/>
            <w:noWrap/>
            <w:vAlign w:val="center"/>
            <w:hideMark/>
          </w:tcPr>
          <w:p w14:paraId="674E7E98"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743412">
              <w:rPr>
                <w:rFonts w:eastAsia="Times New Roman" w:cs="Times New Roman"/>
                <w:color w:val="000000"/>
                <w:sz w:val="16"/>
                <w:szCs w:val="16"/>
                <w:lang w:eastAsia="sk-SK"/>
              </w:rPr>
              <w:t>1 134 818</w:t>
            </w:r>
          </w:p>
        </w:tc>
        <w:tc>
          <w:tcPr>
            <w:tcW w:w="993" w:type="dxa"/>
            <w:tcBorders>
              <w:top w:val="nil"/>
              <w:left w:val="nil"/>
              <w:bottom w:val="nil"/>
              <w:right w:val="nil"/>
            </w:tcBorders>
            <w:shd w:val="clear" w:color="auto" w:fill="auto"/>
            <w:noWrap/>
            <w:vAlign w:val="center"/>
            <w:hideMark/>
          </w:tcPr>
          <w:p w14:paraId="495B86E7"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34817">
              <w:rPr>
                <w:rFonts w:eastAsia="Times New Roman" w:cs="Times New Roman"/>
                <w:color w:val="000000"/>
                <w:sz w:val="16"/>
                <w:szCs w:val="16"/>
                <w:lang w:eastAsia="sk-SK"/>
              </w:rPr>
              <w:t>1 134 344</w:t>
            </w:r>
          </w:p>
        </w:tc>
        <w:tc>
          <w:tcPr>
            <w:tcW w:w="1107" w:type="dxa"/>
            <w:tcBorders>
              <w:top w:val="nil"/>
              <w:left w:val="nil"/>
              <w:bottom w:val="nil"/>
              <w:right w:val="nil"/>
            </w:tcBorders>
            <w:shd w:val="clear" w:color="auto" w:fill="auto"/>
            <w:noWrap/>
            <w:vAlign w:val="center"/>
            <w:hideMark/>
          </w:tcPr>
          <w:p w14:paraId="57532528"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D350D6">
              <w:rPr>
                <w:rFonts w:eastAsia="Times New Roman" w:cs="Times New Roman"/>
                <w:color w:val="000000"/>
                <w:sz w:val="16"/>
                <w:szCs w:val="16"/>
                <w:lang w:eastAsia="sk-SK"/>
              </w:rPr>
              <w:t>1 285 089</w:t>
            </w:r>
          </w:p>
        </w:tc>
        <w:tc>
          <w:tcPr>
            <w:tcW w:w="877" w:type="dxa"/>
            <w:tcBorders>
              <w:top w:val="nil"/>
              <w:left w:val="nil"/>
              <w:bottom w:val="nil"/>
              <w:right w:val="nil"/>
            </w:tcBorders>
            <w:shd w:val="clear" w:color="auto" w:fill="auto"/>
            <w:noWrap/>
            <w:vAlign w:val="center"/>
            <w:hideMark/>
          </w:tcPr>
          <w:p w14:paraId="2BC5562F"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D350D6">
              <w:rPr>
                <w:rFonts w:eastAsia="Times New Roman" w:cs="Times New Roman"/>
                <w:color w:val="000000"/>
                <w:sz w:val="16"/>
                <w:szCs w:val="16"/>
                <w:lang w:eastAsia="sk-SK"/>
              </w:rPr>
              <w:t>150 271</w:t>
            </w:r>
          </w:p>
        </w:tc>
      </w:tr>
      <w:tr w:rsidR="00F75126" w:rsidRPr="007A37F7" w14:paraId="55556108" w14:textId="77777777" w:rsidTr="00574126">
        <w:trPr>
          <w:trHeight w:val="288"/>
        </w:trPr>
        <w:tc>
          <w:tcPr>
            <w:tcW w:w="1985" w:type="dxa"/>
            <w:tcBorders>
              <w:top w:val="nil"/>
              <w:left w:val="nil"/>
              <w:bottom w:val="nil"/>
              <w:right w:val="nil"/>
            </w:tcBorders>
            <w:shd w:val="clear" w:color="auto" w:fill="auto"/>
            <w:noWrap/>
            <w:vAlign w:val="center"/>
            <w:hideMark/>
          </w:tcPr>
          <w:p w14:paraId="1CD006C5" w14:textId="77777777" w:rsidR="00F75126" w:rsidRPr="001B549A" w:rsidRDefault="00F75126" w:rsidP="00574126">
            <w:pPr>
              <w:spacing w:after="0" w:line="240" w:lineRule="auto"/>
              <w:rPr>
                <w:rFonts w:eastAsia="Times New Roman" w:cs="Times New Roman"/>
                <w:color w:val="000000"/>
                <w:sz w:val="16"/>
                <w:szCs w:val="16"/>
                <w:lang w:eastAsia="sk-SK"/>
              </w:rPr>
            </w:pPr>
            <w:r w:rsidRPr="001B549A">
              <w:rPr>
                <w:rFonts w:eastAsia="Times New Roman" w:cs="Times New Roman"/>
                <w:color w:val="000000"/>
                <w:sz w:val="16"/>
                <w:szCs w:val="16"/>
                <w:lang w:eastAsia="sk-SK"/>
              </w:rPr>
              <w:t xml:space="preserve">            granty a transfery</w:t>
            </w:r>
          </w:p>
        </w:tc>
        <w:tc>
          <w:tcPr>
            <w:tcW w:w="1134" w:type="dxa"/>
            <w:tcBorders>
              <w:top w:val="nil"/>
              <w:left w:val="nil"/>
              <w:bottom w:val="nil"/>
              <w:right w:val="nil"/>
            </w:tcBorders>
            <w:shd w:val="clear" w:color="auto" w:fill="auto"/>
            <w:vAlign w:val="center"/>
            <w:hideMark/>
          </w:tcPr>
          <w:p w14:paraId="73A07520"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CC13FE">
              <w:rPr>
                <w:rFonts w:eastAsia="Times New Roman" w:cs="Times New Roman"/>
                <w:color w:val="000000"/>
                <w:sz w:val="16"/>
                <w:szCs w:val="16"/>
                <w:lang w:eastAsia="sk-SK"/>
              </w:rPr>
              <w:t>2 588 586</w:t>
            </w:r>
          </w:p>
        </w:tc>
        <w:tc>
          <w:tcPr>
            <w:tcW w:w="992" w:type="dxa"/>
            <w:tcBorders>
              <w:top w:val="nil"/>
              <w:left w:val="nil"/>
              <w:bottom w:val="nil"/>
              <w:right w:val="nil"/>
            </w:tcBorders>
            <w:shd w:val="clear" w:color="auto" w:fill="auto"/>
            <w:noWrap/>
            <w:vAlign w:val="center"/>
          </w:tcPr>
          <w:p w14:paraId="6DBA4A5A"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41B01">
              <w:rPr>
                <w:rFonts w:eastAsia="Times New Roman" w:cs="Times New Roman"/>
                <w:color w:val="000000"/>
                <w:sz w:val="16"/>
                <w:szCs w:val="16"/>
                <w:lang w:eastAsia="sk-SK"/>
              </w:rPr>
              <w:t>2 312 939</w:t>
            </w:r>
          </w:p>
        </w:tc>
        <w:tc>
          <w:tcPr>
            <w:tcW w:w="1134" w:type="dxa"/>
            <w:tcBorders>
              <w:top w:val="nil"/>
              <w:left w:val="nil"/>
              <w:bottom w:val="nil"/>
              <w:right w:val="nil"/>
            </w:tcBorders>
            <w:shd w:val="clear" w:color="auto" w:fill="auto"/>
            <w:vAlign w:val="center"/>
          </w:tcPr>
          <w:p w14:paraId="1EC3571C"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34817">
              <w:rPr>
                <w:rFonts w:eastAsia="Times New Roman" w:cs="Times New Roman"/>
                <w:color w:val="000000"/>
                <w:sz w:val="16"/>
                <w:szCs w:val="16"/>
                <w:lang w:eastAsia="sk-SK"/>
              </w:rPr>
              <w:t>4 491 227</w:t>
            </w:r>
          </w:p>
        </w:tc>
        <w:tc>
          <w:tcPr>
            <w:tcW w:w="992" w:type="dxa"/>
            <w:tcBorders>
              <w:top w:val="nil"/>
              <w:left w:val="nil"/>
              <w:bottom w:val="nil"/>
              <w:right w:val="nil"/>
            </w:tcBorders>
            <w:shd w:val="clear" w:color="auto" w:fill="auto"/>
            <w:noWrap/>
            <w:vAlign w:val="center"/>
            <w:hideMark/>
          </w:tcPr>
          <w:p w14:paraId="46F17CC0"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743412">
              <w:rPr>
                <w:rFonts w:eastAsia="Times New Roman" w:cs="Times New Roman"/>
                <w:color w:val="000000"/>
                <w:sz w:val="16"/>
                <w:szCs w:val="16"/>
                <w:lang w:eastAsia="sk-SK"/>
              </w:rPr>
              <w:t>4 491 227</w:t>
            </w:r>
          </w:p>
        </w:tc>
        <w:tc>
          <w:tcPr>
            <w:tcW w:w="993" w:type="dxa"/>
            <w:tcBorders>
              <w:top w:val="nil"/>
              <w:left w:val="nil"/>
              <w:bottom w:val="nil"/>
              <w:right w:val="nil"/>
            </w:tcBorders>
            <w:shd w:val="clear" w:color="auto" w:fill="auto"/>
            <w:noWrap/>
            <w:vAlign w:val="center"/>
            <w:hideMark/>
          </w:tcPr>
          <w:p w14:paraId="394BB8B4"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34817">
              <w:rPr>
                <w:rFonts w:eastAsia="Times New Roman" w:cs="Times New Roman"/>
                <w:color w:val="000000"/>
                <w:sz w:val="16"/>
                <w:szCs w:val="16"/>
                <w:lang w:eastAsia="sk-SK"/>
              </w:rPr>
              <w:t>2 228 913</w:t>
            </w:r>
          </w:p>
        </w:tc>
        <w:tc>
          <w:tcPr>
            <w:tcW w:w="1107" w:type="dxa"/>
            <w:tcBorders>
              <w:top w:val="nil"/>
              <w:left w:val="nil"/>
              <w:bottom w:val="nil"/>
              <w:right w:val="nil"/>
            </w:tcBorders>
            <w:shd w:val="clear" w:color="auto" w:fill="auto"/>
            <w:noWrap/>
            <w:vAlign w:val="center"/>
            <w:hideMark/>
          </w:tcPr>
          <w:p w14:paraId="28F99AE6"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D350D6">
              <w:rPr>
                <w:rFonts w:eastAsia="Times New Roman" w:cs="Times New Roman"/>
                <w:color w:val="000000"/>
                <w:sz w:val="16"/>
                <w:szCs w:val="16"/>
                <w:lang w:eastAsia="sk-SK"/>
              </w:rPr>
              <w:t>2 227 577</w:t>
            </w:r>
          </w:p>
        </w:tc>
        <w:tc>
          <w:tcPr>
            <w:tcW w:w="877" w:type="dxa"/>
            <w:tcBorders>
              <w:top w:val="nil"/>
              <w:left w:val="nil"/>
              <w:bottom w:val="nil"/>
              <w:right w:val="nil"/>
            </w:tcBorders>
            <w:shd w:val="clear" w:color="auto" w:fill="auto"/>
            <w:noWrap/>
            <w:vAlign w:val="center"/>
            <w:hideMark/>
          </w:tcPr>
          <w:p w14:paraId="0AB8244D"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Pr>
                <w:rFonts w:eastAsia="Times New Roman" w:cs="Times New Roman"/>
                <w:color w:val="000000"/>
                <w:sz w:val="16"/>
                <w:szCs w:val="16"/>
                <w:lang w:eastAsia="sk-SK"/>
              </w:rPr>
              <w:t>-2 263 650</w:t>
            </w:r>
          </w:p>
        </w:tc>
      </w:tr>
      <w:tr w:rsidR="00F75126" w:rsidRPr="007A37F7" w14:paraId="54EA84B6" w14:textId="77777777" w:rsidTr="00574126">
        <w:trPr>
          <w:trHeight w:val="288"/>
        </w:trPr>
        <w:tc>
          <w:tcPr>
            <w:tcW w:w="1985" w:type="dxa"/>
            <w:tcBorders>
              <w:top w:val="nil"/>
              <w:left w:val="nil"/>
              <w:bottom w:val="nil"/>
              <w:right w:val="nil"/>
            </w:tcBorders>
            <w:shd w:val="clear" w:color="auto" w:fill="auto"/>
            <w:noWrap/>
            <w:vAlign w:val="center"/>
            <w:hideMark/>
          </w:tcPr>
          <w:p w14:paraId="47785F8D" w14:textId="77777777" w:rsidR="00F75126" w:rsidRPr="001B549A" w:rsidRDefault="00F75126" w:rsidP="00574126">
            <w:pPr>
              <w:spacing w:after="0" w:line="240" w:lineRule="auto"/>
              <w:rPr>
                <w:rFonts w:eastAsia="Times New Roman" w:cs="Times New Roman"/>
                <w:b/>
                <w:bCs/>
                <w:color w:val="000000"/>
                <w:sz w:val="16"/>
                <w:szCs w:val="16"/>
                <w:lang w:eastAsia="sk-SK"/>
              </w:rPr>
            </w:pPr>
            <w:r w:rsidRPr="001B549A">
              <w:rPr>
                <w:rFonts w:eastAsia="Times New Roman" w:cs="Times New Roman"/>
                <w:b/>
                <w:bCs/>
                <w:color w:val="000000"/>
                <w:sz w:val="16"/>
                <w:szCs w:val="16"/>
                <w:lang w:eastAsia="sk-SK"/>
              </w:rPr>
              <w:t>Výdavky spolu</w:t>
            </w:r>
          </w:p>
        </w:tc>
        <w:tc>
          <w:tcPr>
            <w:tcW w:w="1134" w:type="dxa"/>
            <w:tcBorders>
              <w:top w:val="nil"/>
              <w:left w:val="nil"/>
              <w:bottom w:val="nil"/>
              <w:right w:val="nil"/>
            </w:tcBorders>
            <w:shd w:val="clear" w:color="auto" w:fill="auto"/>
            <w:vAlign w:val="center"/>
            <w:hideMark/>
          </w:tcPr>
          <w:p w14:paraId="6FF6706C"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CC13FE">
              <w:rPr>
                <w:rFonts w:eastAsia="Times New Roman" w:cs="Times New Roman"/>
                <w:b/>
                <w:bCs/>
                <w:color w:val="000000"/>
                <w:sz w:val="16"/>
                <w:szCs w:val="16"/>
                <w:lang w:eastAsia="sk-SK"/>
              </w:rPr>
              <w:t>23 509 056</w:t>
            </w:r>
          </w:p>
        </w:tc>
        <w:tc>
          <w:tcPr>
            <w:tcW w:w="992" w:type="dxa"/>
            <w:tcBorders>
              <w:top w:val="nil"/>
              <w:left w:val="nil"/>
              <w:bottom w:val="nil"/>
              <w:right w:val="nil"/>
            </w:tcBorders>
            <w:shd w:val="clear" w:color="auto" w:fill="auto"/>
            <w:noWrap/>
            <w:vAlign w:val="center"/>
          </w:tcPr>
          <w:p w14:paraId="5C43D505"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F41B01">
              <w:rPr>
                <w:rFonts w:eastAsia="Times New Roman" w:cs="Times New Roman"/>
                <w:b/>
                <w:bCs/>
                <w:color w:val="000000"/>
                <w:sz w:val="16"/>
                <w:szCs w:val="16"/>
                <w:lang w:eastAsia="sk-SK"/>
              </w:rPr>
              <w:t>24 211 425</w:t>
            </w:r>
          </w:p>
        </w:tc>
        <w:tc>
          <w:tcPr>
            <w:tcW w:w="1134" w:type="dxa"/>
            <w:tcBorders>
              <w:top w:val="nil"/>
              <w:left w:val="nil"/>
              <w:bottom w:val="nil"/>
              <w:right w:val="nil"/>
            </w:tcBorders>
            <w:shd w:val="clear" w:color="auto" w:fill="auto"/>
            <w:vAlign w:val="center"/>
          </w:tcPr>
          <w:p w14:paraId="31500F56" w14:textId="77777777" w:rsidR="00F75126" w:rsidRPr="00F34817" w:rsidRDefault="00F75126" w:rsidP="00574126">
            <w:pPr>
              <w:spacing w:after="0" w:line="240" w:lineRule="auto"/>
              <w:jc w:val="right"/>
              <w:rPr>
                <w:rFonts w:eastAsia="Times New Roman" w:cs="Times New Roman"/>
                <w:b/>
                <w:bCs/>
                <w:color w:val="000000"/>
                <w:sz w:val="16"/>
                <w:szCs w:val="16"/>
                <w:lang w:eastAsia="sk-SK"/>
              </w:rPr>
            </w:pPr>
            <w:r w:rsidRPr="00F34817">
              <w:rPr>
                <w:rFonts w:eastAsia="Times New Roman" w:cs="Times New Roman"/>
                <w:b/>
                <w:bCs/>
                <w:color w:val="000000"/>
                <w:sz w:val="16"/>
                <w:szCs w:val="16"/>
                <w:lang w:eastAsia="sk-SK"/>
              </w:rPr>
              <w:t>25 447 760</w:t>
            </w:r>
          </w:p>
        </w:tc>
        <w:tc>
          <w:tcPr>
            <w:tcW w:w="992" w:type="dxa"/>
            <w:tcBorders>
              <w:top w:val="nil"/>
              <w:left w:val="nil"/>
              <w:bottom w:val="nil"/>
              <w:right w:val="nil"/>
            </w:tcBorders>
            <w:shd w:val="clear" w:color="auto" w:fill="auto"/>
            <w:noWrap/>
            <w:vAlign w:val="center"/>
            <w:hideMark/>
          </w:tcPr>
          <w:p w14:paraId="67692D02"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743412">
              <w:rPr>
                <w:rFonts w:eastAsia="Times New Roman" w:cs="Times New Roman"/>
                <w:b/>
                <w:bCs/>
                <w:color w:val="000000"/>
                <w:sz w:val="16"/>
                <w:szCs w:val="16"/>
                <w:lang w:eastAsia="sk-SK"/>
              </w:rPr>
              <w:t>26 945 417</w:t>
            </w:r>
          </w:p>
        </w:tc>
        <w:tc>
          <w:tcPr>
            <w:tcW w:w="993" w:type="dxa"/>
            <w:tcBorders>
              <w:top w:val="nil"/>
              <w:left w:val="nil"/>
              <w:bottom w:val="nil"/>
              <w:right w:val="nil"/>
            </w:tcBorders>
            <w:shd w:val="clear" w:color="auto" w:fill="auto"/>
            <w:noWrap/>
            <w:vAlign w:val="center"/>
            <w:hideMark/>
          </w:tcPr>
          <w:p w14:paraId="48F08C9A" w14:textId="77777777" w:rsidR="00F75126" w:rsidRPr="00F34817" w:rsidRDefault="00F75126" w:rsidP="00574126">
            <w:pPr>
              <w:spacing w:after="0" w:line="240" w:lineRule="auto"/>
              <w:jc w:val="right"/>
              <w:rPr>
                <w:rFonts w:eastAsia="Times New Roman" w:cs="Times New Roman"/>
                <w:b/>
                <w:bCs/>
                <w:color w:val="000000"/>
                <w:sz w:val="16"/>
                <w:szCs w:val="16"/>
                <w:lang w:eastAsia="sk-SK"/>
              </w:rPr>
            </w:pPr>
            <w:r w:rsidRPr="00F34817">
              <w:rPr>
                <w:rFonts w:eastAsia="Times New Roman" w:cs="Times New Roman"/>
                <w:b/>
                <w:bCs/>
                <w:color w:val="000000"/>
                <w:sz w:val="16"/>
                <w:szCs w:val="16"/>
                <w:lang w:eastAsia="sk-SK"/>
              </w:rPr>
              <w:t>23 995 099</w:t>
            </w:r>
          </w:p>
        </w:tc>
        <w:tc>
          <w:tcPr>
            <w:tcW w:w="1107" w:type="dxa"/>
            <w:tcBorders>
              <w:top w:val="nil"/>
              <w:left w:val="nil"/>
              <w:bottom w:val="nil"/>
              <w:right w:val="nil"/>
            </w:tcBorders>
            <w:shd w:val="clear" w:color="auto" w:fill="auto"/>
            <w:noWrap/>
            <w:vAlign w:val="center"/>
            <w:hideMark/>
          </w:tcPr>
          <w:p w14:paraId="4F4ED8D8"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2D1A26">
              <w:rPr>
                <w:rFonts w:eastAsia="Times New Roman" w:cs="Times New Roman"/>
                <w:b/>
                <w:bCs/>
                <w:color w:val="000000"/>
                <w:sz w:val="16"/>
                <w:szCs w:val="16"/>
                <w:lang w:eastAsia="sk-SK"/>
              </w:rPr>
              <w:t>23 554 555</w:t>
            </w:r>
          </w:p>
        </w:tc>
        <w:tc>
          <w:tcPr>
            <w:tcW w:w="877" w:type="dxa"/>
            <w:tcBorders>
              <w:top w:val="nil"/>
              <w:left w:val="nil"/>
              <w:bottom w:val="nil"/>
              <w:right w:val="nil"/>
            </w:tcBorders>
            <w:shd w:val="clear" w:color="auto" w:fill="auto"/>
            <w:noWrap/>
            <w:vAlign w:val="center"/>
            <w:hideMark/>
          </w:tcPr>
          <w:p w14:paraId="1EE1BBB3" w14:textId="77777777" w:rsidR="00F75126" w:rsidRPr="00D350D6" w:rsidRDefault="00F75126" w:rsidP="00574126">
            <w:pPr>
              <w:spacing w:after="0" w:line="240" w:lineRule="auto"/>
              <w:jc w:val="right"/>
              <w:rPr>
                <w:rFonts w:eastAsia="Times New Roman" w:cs="Times New Roman"/>
                <w:b/>
                <w:bCs/>
                <w:color w:val="000000"/>
                <w:sz w:val="16"/>
                <w:szCs w:val="16"/>
                <w:lang w:eastAsia="sk-SK"/>
              </w:rPr>
            </w:pPr>
            <w:r w:rsidRPr="00D350D6">
              <w:rPr>
                <w:rFonts w:eastAsia="Times New Roman" w:cs="Times New Roman"/>
                <w:b/>
                <w:bCs/>
                <w:color w:val="000000"/>
                <w:sz w:val="16"/>
                <w:szCs w:val="16"/>
                <w:lang w:eastAsia="sk-SK"/>
              </w:rPr>
              <w:t>-3 390 863</w:t>
            </w:r>
          </w:p>
        </w:tc>
      </w:tr>
      <w:tr w:rsidR="00F75126" w:rsidRPr="007A37F7" w14:paraId="2FF4712C" w14:textId="77777777" w:rsidTr="00574126">
        <w:trPr>
          <w:trHeight w:val="288"/>
        </w:trPr>
        <w:tc>
          <w:tcPr>
            <w:tcW w:w="1985" w:type="dxa"/>
            <w:tcBorders>
              <w:top w:val="nil"/>
              <w:left w:val="nil"/>
              <w:bottom w:val="nil"/>
              <w:right w:val="nil"/>
            </w:tcBorders>
            <w:shd w:val="clear" w:color="auto" w:fill="auto"/>
            <w:noWrap/>
            <w:vAlign w:val="center"/>
            <w:hideMark/>
          </w:tcPr>
          <w:p w14:paraId="43F22D48" w14:textId="77777777" w:rsidR="00F75126" w:rsidRPr="001B549A" w:rsidRDefault="00F75126" w:rsidP="00574126">
            <w:pPr>
              <w:spacing w:after="0" w:line="240" w:lineRule="auto"/>
              <w:rPr>
                <w:rFonts w:eastAsia="Times New Roman" w:cs="Times New Roman"/>
                <w:color w:val="000000"/>
                <w:sz w:val="16"/>
                <w:szCs w:val="16"/>
                <w:lang w:eastAsia="sk-SK"/>
              </w:rPr>
            </w:pPr>
            <w:r w:rsidRPr="001B549A">
              <w:rPr>
                <w:rFonts w:eastAsia="Times New Roman" w:cs="Times New Roman"/>
                <w:color w:val="000000"/>
                <w:sz w:val="16"/>
                <w:szCs w:val="16"/>
                <w:lang w:eastAsia="sk-SK"/>
              </w:rPr>
              <w:t>v tom: bežné výdavky</w:t>
            </w:r>
          </w:p>
        </w:tc>
        <w:tc>
          <w:tcPr>
            <w:tcW w:w="1134" w:type="dxa"/>
            <w:tcBorders>
              <w:top w:val="nil"/>
              <w:left w:val="nil"/>
              <w:bottom w:val="nil"/>
              <w:right w:val="nil"/>
            </w:tcBorders>
            <w:shd w:val="clear" w:color="auto" w:fill="auto"/>
            <w:vAlign w:val="center"/>
            <w:hideMark/>
          </w:tcPr>
          <w:p w14:paraId="3CC003F7"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CC13FE">
              <w:rPr>
                <w:rFonts w:eastAsia="Times New Roman" w:cs="Times New Roman"/>
                <w:color w:val="000000"/>
                <w:sz w:val="16"/>
                <w:szCs w:val="16"/>
                <w:lang w:eastAsia="sk-SK"/>
              </w:rPr>
              <w:t>20 846 610</w:t>
            </w:r>
          </w:p>
        </w:tc>
        <w:tc>
          <w:tcPr>
            <w:tcW w:w="992" w:type="dxa"/>
            <w:tcBorders>
              <w:top w:val="nil"/>
              <w:left w:val="nil"/>
              <w:bottom w:val="nil"/>
              <w:right w:val="nil"/>
            </w:tcBorders>
            <w:shd w:val="clear" w:color="auto" w:fill="auto"/>
            <w:noWrap/>
            <w:vAlign w:val="center"/>
          </w:tcPr>
          <w:p w14:paraId="2D64E848"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41B01">
              <w:rPr>
                <w:rFonts w:eastAsia="Times New Roman" w:cs="Times New Roman"/>
                <w:color w:val="000000"/>
                <w:sz w:val="16"/>
                <w:szCs w:val="16"/>
                <w:lang w:eastAsia="sk-SK"/>
              </w:rPr>
              <w:t>21 771 263</w:t>
            </w:r>
          </w:p>
        </w:tc>
        <w:tc>
          <w:tcPr>
            <w:tcW w:w="1134" w:type="dxa"/>
            <w:tcBorders>
              <w:top w:val="nil"/>
              <w:left w:val="nil"/>
              <w:bottom w:val="nil"/>
              <w:right w:val="nil"/>
            </w:tcBorders>
            <w:shd w:val="clear" w:color="auto" w:fill="auto"/>
            <w:vAlign w:val="center"/>
          </w:tcPr>
          <w:p w14:paraId="132FEBEC" w14:textId="77777777" w:rsidR="00F75126" w:rsidRPr="00F34817" w:rsidRDefault="00F75126" w:rsidP="00574126">
            <w:pPr>
              <w:spacing w:after="0" w:line="240" w:lineRule="auto"/>
              <w:jc w:val="right"/>
              <w:rPr>
                <w:rFonts w:eastAsia="Times New Roman" w:cs="Times New Roman"/>
                <w:color w:val="000000"/>
                <w:sz w:val="16"/>
                <w:szCs w:val="16"/>
                <w:lang w:eastAsia="sk-SK"/>
              </w:rPr>
            </w:pPr>
            <w:r w:rsidRPr="00F34817">
              <w:rPr>
                <w:rFonts w:eastAsia="Times New Roman" w:cs="Times New Roman"/>
                <w:color w:val="000000"/>
                <w:sz w:val="16"/>
                <w:szCs w:val="16"/>
                <w:lang w:eastAsia="sk-SK"/>
              </w:rPr>
              <w:t>21 333 956</w:t>
            </w:r>
          </w:p>
        </w:tc>
        <w:tc>
          <w:tcPr>
            <w:tcW w:w="992" w:type="dxa"/>
            <w:tcBorders>
              <w:top w:val="nil"/>
              <w:left w:val="nil"/>
              <w:bottom w:val="nil"/>
              <w:right w:val="nil"/>
            </w:tcBorders>
            <w:shd w:val="clear" w:color="auto" w:fill="auto"/>
            <w:noWrap/>
            <w:vAlign w:val="center"/>
            <w:hideMark/>
          </w:tcPr>
          <w:p w14:paraId="307A8770"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743412">
              <w:rPr>
                <w:rFonts w:eastAsia="Times New Roman" w:cs="Times New Roman"/>
                <w:color w:val="000000"/>
                <w:sz w:val="16"/>
                <w:szCs w:val="16"/>
                <w:lang w:eastAsia="sk-SK"/>
              </w:rPr>
              <w:t>22 831 612</w:t>
            </w:r>
          </w:p>
        </w:tc>
        <w:tc>
          <w:tcPr>
            <w:tcW w:w="993" w:type="dxa"/>
            <w:tcBorders>
              <w:top w:val="nil"/>
              <w:left w:val="nil"/>
              <w:bottom w:val="nil"/>
              <w:right w:val="nil"/>
            </w:tcBorders>
            <w:shd w:val="clear" w:color="auto" w:fill="auto"/>
            <w:noWrap/>
            <w:vAlign w:val="center"/>
            <w:hideMark/>
          </w:tcPr>
          <w:p w14:paraId="67AAB132" w14:textId="77777777" w:rsidR="00F75126" w:rsidRPr="00F34817" w:rsidRDefault="00F75126" w:rsidP="00574126">
            <w:pPr>
              <w:spacing w:after="0" w:line="240" w:lineRule="auto"/>
              <w:jc w:val="right"/>
              <w:rPr>
                <w:rFonts w:eastAsia="Times New Roman" w:cs="Times New Roman"/>
                <w:color w:val="000000"/>
                <w:sz w:val="16"/>
                <w:szCs w:val="16"/>
                <w:lang w:eastAsia="sk-SK"/>
              </w:rPr>
            </w:pPr>
            <w:r w:rsidRPr="00F34817">
              <w:rPr>
                <w:rFonts w:eastAsia="Times New Roman" w:cs="Times New Roman"/>
                <w:color w:val="000000"/>
                <w:sz w:val="16"/>
                <w:szCs w:val="16"/>
                <w:lang w:eastAsia="sk-SK"/>
              </w:rPr>
              <w:t>21 188 724</w:t>
            </w:r>
          </w:p>
        </w:tc>
        <w:tc>
          <w:tcPr>
            <w:tcW w:w="1107" w:type="dxa"/>
            <w:tcBorders>
              <w:top w:val="nil"/>
              <w:left w:val="nil"/>
              <w:bottom w:val="nil"/>
              <w:right w:val="nil"/>
            </w:tcBorders>
            <w:shd w:val="clear" w:color="auto" w:fill="auto"/>
            <w:noWrap/>
            <w:vAlign w:val="center"/>
            <w:hideMark/>
          </w:tcPr>
          <w:p w14:paraId="1A5CBF61"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2D1A26">
              <w:rPr>
                <w:rFonts w:eastAsia="Times New Roman" w:cs="Times New Roman"/>
                <w:color w:val="000000"/>
                <w:sz w:val="16"/>
                <w:szCs w:val="16"/>
                <w:lang w:eastAsia="sk-SK"/>
              </w:rPr>
              <w:t>20 847 550</w:t>
            </w:r>
          </w:p>
        </w:tc>
        <w:tc>
          <w:tcPr>
            <w:tcW w:w="877" w:type="dxa"/>
            <w:tcBorders>
              <w:top w:val="nil"/>
              <w:left w:val="nil"/>
              <w:bottom w:val="nil"/>
              <w:right w:val="nil"/>
            </w:tcBorders>
            <w:shd w:val="clear" w:color="auto" w:fill="auto"/>
            <w:noWrap/>
            <w:vAlign w:val="center"/>
            <w:hideMark/>
          </w:tcPr>
          <w:p w14:paraId="7326BB82" w14:textId="77777777" w:rsidR="00F75126" w:rsidRPr="00D350D6" w:rsidRDefault="00F75126" w:rsidP="00574126">
            <w:pPr>
              <w:spacing w:after="0" w:line="240" w:lineRule="auto"/>
              <w:jc w:val="right"/>
              <w:rPr>
                <w:rFonts w:eastAsia="Times New Roman" w:cs="Times New Roman"/>
                <w:color w:val="000000"/>
                <w:sz w:val="16"/>
                <w:szCs w:val="16"/>
                <w:lang w:eastAsia="sk-SK"/>
              </w:rPr>
            </w:pPr>
            <w:r w:rsidRPr="00D350D6">
              <w:rPr>
                <w:rFonts w:eastAsia="Times New Roman" w:cs="Times New Roman"/>
                <w:color w:val="000000"/>
                <w:sz w:val="16"/>
                <w:szCs w:val="16"/>
                <w:lang w:eastAsia="sk-SK"/>
              </w:rPr>
              <w:t>-1 984 063</w:t>
            </w:r>
          </w:p>
        </w:tc>
      </w:tr>
      <w:tr w:rsidR="00F75126" w:rsidRPr="007A37F7" w14:paraId="50AF2C03" w14:textId="77777777" w:rsidTr="00574126">
        <w:trPr>
          <w:trHeight w:val="288"/>
        </w:trPr>
        <w:tc>
          <w:tcPr>
            <w:tcW w:w="1985" w:type="dxa"/>
            <w:tcBorders>
              <w:top w:val="nil"/>
              <w:left w:val="nil"/>
              <w:bottom w:val="nil"/>
              <w:right w:val="nil"/>
            </w:tcBorders>
            <w:shd w:val="clear" w:color="auto" w:fill="auto"/>
            <w:noWrap/>
            <w:vAlign w:val="center"/>
            <w:hideMark/>
          </w:tcPr>
          <w:p w14:paraId="4FA68411" w14:textId="77777777" w:rsidR="00F75126" w:rsidRPr="001B549A" w:rsidRDefault="00F75126" w:rsidP="00574126">
            <w:pPr>
              <w:spacing w:after="0" w:line="240" w:lineRule="auto"/>
              <w:rPr>
                <w:rFonts w:eastAsia="Times New Roman" w:cs="Times New Roman"/>
                <w:color w:val="000000"/>
                <w:sz w:val="16"/>
                <w:szCs w:val="16"/>
                <w:lang w:eastAsia="sk-SK"/>
              </w:rPr>
            </w:pPr>
            <w:r w:rsidRPr="001B549A">
              <w:rPr>
                <w:rFonts w:eastAsia="Times New Roman" w:cs="Times New Roman"/>
                <w:color w:val="000000"/>
                <w:sz w:val="16"/>
                <w:szCs w:val="16"/>
                <w:lang w:eastAsia="sk-SK"/>
              </w:rPr>
              <w:t xml:space="preserve">            kapitálové výdavky</w:t>
            </w:r>
          </w:p>
        </w:tc>
        <w:tc>
          <w:tcPr>
            <w:tcW w:w="1134" w:type="dxa"/>
            <w:tcBorders>
              <w:top w:val="nil"/>
              <w:left w:val="nil"/>
              <w:bottom w:val="nil"/>
              <w:right w:val="nil"/>
            </w:tcBorders>
            <w:shd w:val="clear" w:color="auto" w:fill="auto"/>
            <w:vAlign w:val="center"/>
            <w:hideMark/>
          </w:tcPr>
          <w:p w14:paraId="42256D46"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CC13FE">
              <w:rPr>
                <w:rFonts w:eastAsia="Times New Roman" w:cs="Times New Roman"/>
                <w:color w:val="000000"/>
                <w:sz w:val="16"/>
                <w:szCs w:val="16"/>
                <w:lang w:eastAsia="sk-SK"/>
              </w:rPr>
              <w:t>2 662 446</w:t>
            </w:r>
          </w:p>
        </w:tc>
        <w:tc>
          <w:tcPr>
            <w:tcW w:w="992" w:type="dxa"/>
            <w:tcBorders>
              <w:top w:val="nil"/>
              <w:left w:val="nil"/>
              <w:bottom w:val="nil"/>
              <w:right w:val="nil"/>
            </w:tcBorders>
            <w:shd w:val="clear" w:color="auto" w:fill="auto"/>
            <w:noWrap/>
            <w:vAlign w:val="center"/>
          </w:tcPr>
          <w:p w14:paraId="30DDDBE4"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41B01">
              <w:rPr>
                <w:rFonts w:eastAsia="Times New Roman" w:cs="Times New Roman"/>
                <w:color w:val="000000"/>
                <w:sz w:val="16"/>
                <w:szCs w:val="16"/>
                <w:lang w:eastAsia="sk-SK"/>
              </w:rPr>
              <w:t>2 440 161</w:t>
            </w:r>
          </w:p>
        </w:tc>
        <w:tc>
          <w:tcPr>
            <w:tcW w:w="1134" w:type="dxa"/>
            <w:tcBorders>
              <w:top w:val="nil"/>
              <w:left w:val="nil"/>
              <w:bottom w:val="nil"/>
              <w:right w:val="nil"/>
            </w:tcBorders>
            <w:shd w:val="clear" w:color="auto" w:fill="auto"/>
            <w:vAlign w:val="center"/>
          </w:tcPr>
          <w:p w14:paraId="4A497BEA" w14:textId="77777777" w:rsidR="00F75126" w:rsidRPr="00F34817" w:rsidRDefault="00F75126" w:rsidP="00574126">
            <w:pPr>
              <w:spacing w:after="0" w:line="240" w:lineRule="auto"/>
              <w:jc w:val="right"/>
              <w:rPr>
                <w:rFonts w:eastAsia="Times New Roman" w:cs="Times New Roman"/>
                <w:color w:val="000000"/>
                <w:sz w:val="16"/>
                <w:szCs w:val="16"/>
                <w:lang w:eastAsia="sk-SK"/>
              </w:rPr>
            </w:pPr>
            <w:r w:rsidRPr="00F34817">
              <w:rPr>
                <w:rFonts w:eastAsia="Times New Roman" w:cs="Times New Roman"/>
                <w:color w:val="000000"/>
                <w:sz w:val="16"/>
                <w:szCs w:val="16"/>
                <w:lang w:eastAsia="sk-SK"/>
              </w:rPr>
              <w:t>4 113 804</w:t>
            </w:r>
          </w:p>
        </w:tc>
        <w:tc>
          <w:tcPr>
            <w:tcW w:w="992" w:type="dxa"/>
            <w:tcBorders>
              <w:top w:val="nil"/>
              <w:left w:val="nil"/>
              <w:bottom w:val="nil"/>
              <w:right w:val="nil"/>
            </w:tcBorders>
            <w:shd w:val="clear" w:color="auto" w:fill="auto"/>
            <w:noWrap/>
            <w:vAlign w:val="center"/>
            <w:hideMark/>
          </w:tcPr>
          <w:p w14:paraId="0023A1CB"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C14D80">
              <w:rPr>
                <w:rFonts w:eastAsia="Times New Roman" w:cs="Times New Roman"/>
                <w:color w:val="000000"/>
                <w:sz w:val="16"/>
                <w:szCs w:val="16"/>
                <w:lang w:eastAsia="sk-SK"/>
              </w:rPr>
              <w:t>4 113 805</w:t>
            </w:r>
          </w:p>
        </w:tc>
        <w:tc>
          <w:tcPr>
            <w:tcW w:w="993" w:type="dxa"/>
            <w:tcBorders>
              <w:top w:val="nil"/>
              <w:left w:val="nil"/>
              <w:bottom w:val="nil"/>
              <w:right w:val="nil"/>
            </w:tcBorders>
            <w:shd w:val="clear" w:color="auto" w:fill="auto"/>
            <w:noWrap/>
            <w:vAlign w:val="center"/>
            <w:hideMark/>
          </w:tcPr>
          <w:p w14:paraId="72029DCB"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F34817">
              <w:rPr>
                <w:rFonts w:eastAsia="Times New Roman" w:cs="Times New Roman"/>
                <w:color w:val="000000"/>
                <w:sz w:val="16"/>
                <w:szCs w:val="16"/>
                <w:lang w:eastAsia="sk-SK"/>
              </w:rPr>
              <w:t>2 806 375</w:t>
            </w:r>
          </w:p>
        </w:tc>
        <w:tc>
          <w:tcPr>
            <w:tcW w:w="1107" w:type="dxa"/>
            <w:tcBorders>
              <w:top w:val="nil"/>
              <w:left w:val="nil"/>
              <w:bottom w:val="nil"/>
              <w:right w:val="nil"/>
            </w:tcBorders>
            <w:shd w:val="clear" w:color="auto" w:fill="auto"/>
            <w:noWrap/>
            <w:vAlign w:val="center"/>
            <w:hideMark/>
          </w:tcPr>
          <w:p w14:paraId="696C65AA" w14:textId="77777777" w:rsidR="00F75126" w:rsidRPr="00214A1C" w:rsidRDefault="00F75126" w:rsidP="00574126">
            <w:pPr>
              <w:spacing w:after="0" w:line="240" w:lineRule="auto"/>
              <w:jc w:val="right"/>
              <w:rPr>
                <w:rFonts w:eastAsia="Times New Roman" w:cs="Times New Roman"/>
                <w:color w:val="000000"/>
                <w:sz w:val="16"/>
                <w:szCs w:val="16"/>
                <w:highlight w:val="yellow"/>
                <w:lang w:eastAsia="sk-SK"/>
              </w:rPr>
            </w:pPr>
            <w:r w:rsidRPr="002D1A26">
              <w:rPr>
                <w:rFonts w:eastAsia="Times New Roman" w:cs="Times New Roman"/>
                <w:color w:val="000000"/>
                <w:sz w:val="16"/>
                <w:szCs w:val="16"/>
                <w:lang w:eastAsia="sk-SK"/>
              </w:rPr>
              <w:t>2 707 004</w:t>
            </w:r>
          </w:p>
        </w:tc>
        <w:tc>
          <w:tcPr>
            <w:tcW w:w="877" w:type="dxa"/>
            <w:tcBorders>
              <w:top w:val="nil"/>
              <w:left w:val="nil"/>
              <w:bottom w:val="nil"/>
              <w:right w:val="nil"/>
            </w:tcBorders>
            <w:shd w:val="clear" w:color="auto" w:fill="auto"/>
            <w:noWrap/>
            <w:vAlign w:val="center"/>
            <w:hideMark/>
          </w:tcPr>
          <w:p w14:paraId="7E8508CA" w14:textId="77777777" w:rsidR="00F75126" w:rsidRPr="00D350D6" w:rsidRDefault="00F75126" w:rsidP="00574126">
            <w:pPr>
              <w:spacing w:after="0" w:line="240" w:lineRule="auto"/>
              <w:jc w:val="right"/>
              <w:rPr>
                <w:rFonts w:eastAsia="Times New Roman" w:cs="Times New Roman"/>
                <w:color w:val="000000"/>
                <w:sz w:val="16"/>
                <w:szCs w:val="16"/>
                <w:lang w:eastAsia="sk-SK"/>
              </w:rPr>
            </w:pPr>
            <w:r w:rsidRPr="00D350D6">
              <w:rPr>
                <w:rFonts w:eastAsia="Times New Roman" w:cs="Times New Roman"/>
                <w:color w:val="000000"/>
                <w:sz w:val="16"/>
                <w:szCs w:val="16"/>
                <w:lang w:eastAsia="sk-SK"/>
              </w:rPr>
              <w:t>-1 406 800</w:t>
            </w:r>
          </w:p>
        </w:tc>
      </w:tr>
      <w:tr w:rsidR="00F75126" w:rsidRPr="007A37F7" w14:paraId="65C7DB93" w14:textId="77777777" w:rsidTr="00574126">
        <w:trPr>
          <w:trHeight w:val="288"/>
        </w:trPr>
        <w:tc>
          <w:tcPr>
            <w:tcW w:w="1985" w:type="dxa"/>
            <w:tcBorders>
              <w:top w:val="single" w:sz="4" w:space="0" w:color="auto"/>
              <w:left w:val="nil"/>
              <w:bottom w:val="single" w:sz="4" w:space="0" w:color="auto"/>
              <w:right w:val="nil"/>
            </w:tcBorders>
            <w:shd w:val="clear" w:color="auto" w:fill="auto"/>
            <w:noWrap/>
            <w:vAlign w:val="center"/>
            <w:hideMark/>
          </w:tcPr>
          <w:p w14:paraId="6B384807" w14:textId="77777777" w:rsidR="00F75126" w:rsidRPr="001B549A" w:rsidRDefault="00F75126" w:rsidP="00574126">
            <w:pPr>
              <w:spacing w:after="0" w:line="240" w:lineRule="auto"/>
              <w:rPr>
                <w:rFonts w:eastAsia="Times New Roman" w:cs="Times New Roman"/>
                <w:b/>
                <w:bCs/>
                <w:color w:val="000000"/>
                <w:sz w:val="16"/>
                <w:szCs w:val="16"/>
                <w:lang w:eastAsia="sk-SK"/>
              </w:rPr>
            </w:pPr>
            <w:r w:rsidRPr="001B549A">
              <w:rPr>
                <w:rFonts w:eastAsia="Times New Roman" w:cs="Times New Roman"/>
                <w:b/>
                <w:bCs/>
                <w:color w:val="000000"/>
                <w:sz w:val="16"/>
                <w:szCs w:val="16"/>
                <w:lang w:eastAsia="sk-SK"/>
              </w:rPr>
              <w:t>Schodok (-)</w:t>
            </w:r>
          </w:p>
        </w:tc>
        <w:tc>
          <w:tcPr>
            <w:tcW w:w="1134" w:type="dxa"/>
            <w:tcBorders>
              <w:top w:val="single" w:sz="4" w:space="0" w:color="auto"/>
              <w:left w:val="nil"/>
              <w:bottom w:val="single" w:sz="4" w:space="0" w:color="auto"/>
              <w:right w:val="nil"/>
            </w:tcBorders>
            <w:shd w:val="clear" w:color="auto" w:fill="auto"/>
            <w:vAlign w:val="center"/>
            <w:hideMark/>
          </w:tcPr>
          <w:p w14:paraId="693025AF"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CC13FE">
              <w:rPr>
                <w:rFonts w:eastAsia="Times New Roman" w:cs="Times New Roman"/>
                <w:b/>
                <w:bCs/>
                <w:color w:val="000000"/>
                <w:sz w:val="16"/>
                <w:szCs w:val="16"/>
                <w:lang w:eastAsia="sk-SK"/>
              </w:rPr>
              <w:t>-7 758 422</w:t>
            </w:r>
          </w:p>
        </w:tc>
        <w:tc>
          <w:tcPr>
            <w:tcW w:w="992" w:type="dxa"/>
            <w:tcBorders>
              <w:top w:val="single" w:sz="4" w:space="0" w:color="auto"/>
              <w:left w:val="nil"/>
              <w:bottom w:val="single" w:sz="4" w:space="0" w:color="auto"/>
              <w:right w:val="nil"/>
            </w:tcBorders>
            <w:shd w:val="clear" w:color="auto" w:fill="auto"/>
            <w:noWrap/>
            <w:vAlign w:val="center"/>
          </w:tcPr>
          <w:p w14:paraId="77228F33"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F41B01">
              <w:rPr>
                <w:rFonts w:eastAsia="Times New Roman" w:cs="Times New Roman"/>
                <w:b/>
                <w:bCs/>
                <w:color w:val="000000"/>
                <w:sz w:val="16"/>
                <w:szCs w:val="16"/>
                <w:lang w:eastAsia="sk-SK"/>
              </w:rPr>
              <w:t>-7 014 127</w:t>
            </w:r>
          </w:p>
        </w:tc>
        <w:tc>
          <w:tcPr>
            <w:tcW w:w="1134" w:type="dxa"/>
            <w:tcBorders>
              <w:top w:val="single" w:sz="4" w:space="0" w:color="auto"/>
              <w:left w:val="nil"/>
              <w:bottom w:val="single" w:sz="4" w:space="0" w:color="auto"/>
              <w:right w:val="nil"/>
            </w:tcBorders>
            <w:shd w:val="clear" w:color="auto" w:fill="auto"/>
            <w:vAlign w:val="center"/>
          </w:tcPr>
          <w:p w14:paraId="03DC9590" w14:textId="77777777" w:rsidR="00F75126" w:rsidRPr="00F34817" w:rsidRDefault="00F75126" w:rsidP="00574126">
            <w:pPr>
              <w:spacing w:after="0" w:line="240" w:lineRule="auto"/>
              <w:jc w:val="right"/>
              <w:rPr>
                <w:rFonts w:eastAsia="Times New Roman" w:cs="Times New Roman"/>
                <w:b/>
                <w:bCs/>
                <w:color w:val="000000"/>
                <w:sz w:val="16"/>
                <w:szCs w:val="16"/>
                <w:lang w:eastAsia="sk-SK"/>
              </w:rPr>
            </w:pPr>
            <w:r w:rsidRPr="00F34817">
              <w:rPr>
                <w:rFonts w:eastAsia="Times New Roman" w:cs="Times New Roman"/>
                <w:b/>
                <w:bCs/>
                <w:color w:val="000000"/>
                <w:sz w:val="16"/>
                <w:szCs w:val="16"/>
                <w:lang w:eastAsia="sk-SK"/>
              </w:rPr>
              <w:t>-5 473 518</w:t>
            </w:r>
          </w:p>
        </w:tc>
        <w:tc>
          <w:tcPr>
            <w:tcW w:w="992" w:type="dxa"/>
            <w:tcBorders>
              <w:top w:val="single" w:sz="4" w:space="0" w:color="auto"/>
              <w:left w:val="nil"/>
              <w:bottom w:val="single" w:sz="4" w:space="0" w:color="auto"/>
              <w:right w:val="nil"/>
            </w:tcBorders>
            <w:shd w:val="clear" w:color="auto" w:fill="auto"/>
            <w:noWrap/>
            <w:vAlign w:val="center"/>
            <w:hideMark/>
          </w:tcPr>
          <w:p w14:paraId="40625682"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2870BD">
              <w:rPr>
                <w:rFonts w:eastAsia="Times New Roman" w:cs="Times New Roman"/>
                <w:b/>
                <w:bCs/>
                <w:color w:val="000000"/>
                <w:sz w:val="16"/>
                <w:szCs w:val="16"/>
                <w:lang w:eastAsia="sk-SK"/>
              </w:rPr>
              <w:t>-5 473 518</w:t>
            </w:r>
          </w:p>
        </w:tc>
        <w:tc>
          <w:tcPr>
            <w:tcW w:w="993" w:type="dxa"/>
            <w:tcBorders>
              <w:top w:val="single" w:sz="4" w:space="0" w:color="auto"/>
              <w:left w:val="nil"/>
              <w:bottom w:val="single" w:sz="4" w:space="0" w:color="auto"/>
              <w:right w:val="nil"/>
            </w:tcBorders>
            <w:shd w:val="clear" w:color="auto" w:fill="auto"/>
            <w:noWrap/>
            <w:vAlign w:val="center"/>
            <w:hideMark/>
          </w:tcPr>
          <w:p w14:paraId="179D7E9D"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F34817">
              <w:rPr>
                <w:rFonts w:eastAsia="Times New Roman" w:cs="Times New Roman"/>
                <w:b/>
                <w:bCs/>
                <w:color w:val="000000"/>
                <w:sz w:val="16"/>
                <w:szCs w:val="16"/>
                <w:lang w:eastAsia="sk-SK"/>
              </w:rPr>
              <w:t>-4 785 988</w:t>
            </w:r>
          </w:p>
        </w:tc>
        <w:tc>
          <w:tcPr>
            <w:tcW w:w="1107" w:type="dxa"/>
            <w:tcBorders>
              <w:top w:val="single" w:sz="4" w:space="0" w:color="auto"/>
              <w:left w:val="nil"/>
              <w:bottom w:val="single" w:sz="4" w:space="0" w:color="auto"/>
              <w:right w:val="nil"/>
            </w:tcBorders>
            <w:shd w:val="clear" w:color="auto" w:fill="auto"/>
            <w:noWrap/>
            <w:vAlign w:val="center"/>
            <w:hideMark/>
          </w:tcPr>
          <w:p w14:paraId="100F0828"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2D1A26">
              <w:rPr>
                <w:rFonts w:eastAsia="Times New Roman" w:cs="Times New Roman"/>
                <w:b/>
                <w:bCs/>
                <w:color w:val="000000"/>
                <w:sz w:val="16"/>
                <w:szCs w:val="16"/>
                <w:lang w:eastAsia="sk-SK"/>
              </w:rPr>
              <w:t>-4 524 852</w:t>
            </w:r>
          </w:p>
        </w:tc>
        <w:tc>
          <w:tcPr>
            <w:tcW w:w="877" w:type="dxa"/>
            <w:tcBorders>
              <w:top w:val="single" w:sz="4" w:space="0" w:color="auto"/>
              <w:left w:val="nil"/>
              <w:bottom w:val="single" w:sz="4" w:space="0" w:color="auto"/>
              <w:right w:val="nil"/>
            </w:tcBorders>
            <w:shd w:val="clear" w:color="auto" w:fill="auto"/>
            <w:noWrap/>
            <w:vAlign w:val="center"/>
            <w:hideMark/>
          </w:tcPr>
          <w:p w14:paraId="2BB8A612" w14:textId="77777777" w:rsidR="00F75126" w:rsidRPr="00214A1C" w:rsidRDefault="00F75126" w:rsidP="00574126">
            <w:pPr>
              <w:spacing w:after="0" w:line="240" w:lineRule="auto"/>
              <w:jc w:val="right"/>
              <w:rPr>
                <w:rFonts w:eastAsia="Times New Roman" w:cs="Times New Roman"/>
                <w:b/>
                <w:bCs/>
                <w:color w:val="000000"/>
                <w:sz w:val="16"/>
                <w:szCs w:val="16"/>
                <w:highlight w:val="yellow"/>
                <w:lang w:eastAsia="sk-SK"/>
              </w:rPr>
            </w:pPr>
            <w:r w:rsidRPr="00D350D6">
              <w:rPr>
                <w:rFonts w:eastAsia="Times New Roman" w:cs="Times New Roman"/>
                <w:b/>
                <w:bCs/>
                <w:color w:val="000000"/>
                <w:sz w:val="16"/>
                <w:szCs w:val="16"/>
                <w:lang w:eastAsia="sk-SK"/>
              </w:rPr>
              <w:t>948 666</w:t>
            </w:r>
          </w:p>
        </w:tc>
      </w:tr>
      <w:tr w:rsidR="00A55687" w:rsidRPr="00962B7A" w14:paraId="34684ABD" w14:textId="77777777" w:rsidTr="00240940">
        <w:trPr>
          <w:trHeight w:val="288"/>
        </w:trPr>
        <w:tc>
          <w:tcPr>
            <w:tcW w:w="9214" w:type="dxa"/>
            <w:gridSpan w:val="8"/>
            <w:tcBorders>
              <w:top w:val="single" w:sz="4" w:space="0" w:color="auto"/>
              <w:left w:val="nil"/>
              <w:right w:val="nil"/>
            </w:tcBorders>
          </w:tcPr>
          <w:p w14:paraId="4B059AA0" w14:textId="111C8523" w:rsidR="00A55687" w:rsidRDefault="00A55687" w:rsidP="00A55687">
            <w:pPr>
              <w:spacing w:after="0" w:line="240" w:lineRule="auto"/>
              <w:jc w:val="left"/>
              <w:rPr>
                <w:rFonts w:eastAsia="Times New Roman" w:cs="Times New Roman"/>
                <w:bCs/>
                <w:color w:val="000000"/>
                <w:sz w:val="16"/>
                <w:szCs w:val="16"/>
                <w:lang w:eastAsia="sk-SK"/>
              </w:rPr>
            </w:pPr>
            <w:r>
              <w:rPr>
                <w:rFonts w:eastAsia="Times New Roman" w:cs="Times New Roman"/>
                <w:bCs/>
                <w:color w:val="000000"/>
                <w:sz w:val="16"/>
                <w:szCs w:val="16"/>
                <w:lang w:eastAsia="sk-SK"/>
              </w:rPr>
              <w:t>PS - pôvodne schválený rozpočet</w:t>
            </w:r>
            <w:r w:rsidRPr="00962B7A">
              <w:rPr>
                <w:rFonts w:eastAsia="Times New Roman" w:cs="Times New Roman"/>
                <w:bCs/>
                <w:color w:val="000000"/>
                <w:sz w:val="16"/>
                <w:szCs w:val="16"/>
                <w:lang w:eastAsia="sk-SK"/>
              </w:rPr>
              <w:t xml:space="preserve"> </w:t>
            </w:r>
            <w:r>
              <w:rPr>
                <w:rFonts w:eastAsia="Times New Roman" w:cs="Times New Roman"/>
                <w:bCs/>
                <w:color w:val="000000"/>
                <w:sz w:val="16"/>
                <w:szCs w:val="16"/>
                <w:lang w:eastAsia="sk-SK"/>
              </w:rPr>
              <w:t xml:space="preserve">                                                                                                                                                  </w:t>
            </w:r>
            <w:r w:rsidRPr="00962B7A">
              <w:rPr>
                <w:rFonts w:eastAsia="Times New Roman" w:cs="Times New Roman"/>
                <w:bCs/>
                <w:color w:val="000000"/>
                <w:sz w:val="16"/>
                <w:szCs w:val="16"/>
                <w:lang w:eastAsia="sk-SK"/>
              </w:rPr>
              <w:t>Zdroj: MF SR</w:t>
            </w:r>
          </w:p>
          <w:p w14:paraId="377403F7" w14:textId="72E94618" w:rsidR="00A55687" w:rsidRDefault="00A55687" w:rsidP="00A55687">
            <w:pPr>
              <w:spacing w:after="0" w:line="240" w:lineRule="auto"/>
              <w:jc w:val="left"/>
              <w:rPr>
                <w:rFonts w:eastAsia="Times New Roman" w:cs="Times New Roman"/>
                <w:bCs/>
                <w:color w:val="000000"/>
                <w:sz w:val="16"/>
                <w:szCs w:val="16"/>
                <w:lang w:eastAsia="sk-SK"/>
              </w:rPr>
            </w:pPr>
            <w:r>
              <w:rPr>
                <w:rFonts w:eastAsia="Times New Roman" w:cs="Times New Roman"/>
                <w:bCs/>
                <w:color w:val="000000"/>
                <w:sz w:val="16"/>
                <w:szCs w:val="16"/>
                <w:lang w:eastAsia="sk-SK"/>
              </w:rPr>
              <w:t>NR - novelizovaný rozpočet</w:t>
            </w:r>
          </w:p>
          <w:p w14:paraId="2AF9D28A" w14:textId="39C4241C" w:rsidR="00A55687" w:rsidRPr="00962B7A" w:rsidRDefault="00A55687" w:rsidP="00A55687">
            <w:pPr>
              <w:spacing w:after="0" w:line="240" w:lineRule="auto"/>
              <w:jc w:val="left"/>
              <w:rPr>
                <w:rFonts w:eastAsia="Times New Roman" w:cs="Times New Roman"/>
                <w:bCs/>
                <w:color w:val="000000"/>
                <w:sz w:val="16"/>
                <w:szCs w:val="16"/>
                <w:lang w:eastAsia="sk-SK"/>
              </w:rPr>
            </w:pPr>
            <w:r>
              <w:rPr>
                <w:rFonts w:eastAsia="Times New Roman" w:cs="Times New Roman"/>
                <w:bCs/>
                <w:color w:val="000000"/>
                <w:sz w:val="16"/>
                <w:szCs w:val="16"/>
                <w:lang w:eastAsia="sk-SK"/>
              </w:rPr>
              <w:t>UR – upravený rozpočet</w:t>
            </w:r>
          </w:p>
          <w:p w14:paraId="03BE3E4A" w14:textId="597121FA" w:rsidR="00A55687" w:rsidRPr="00962B7A" w:rsidRDefault="00A55687" w:rsidP="00574126">
            <w:pPr>
              <w:spacing w:after="0" w:line="240" w:lineRule="auto"/>
              <w:jc w:val="right"/>
              <w:rPr>
                <w:rFonts w:eastAsia="Times New Roman" w:cs="Times New Roman"/>
                <w:bCs/>
                <w:color w:val="000000"/>
                <w:sz w:val="16"/>
                <w:szCs w:val="16"/>
                <w:lang w:eastAsia="sk-SK"/>
              </w:rPr>
            </w:pPr>
          </w:p>
        </w:tc>
      </w:tr>
    </w:tbl>
    <w:p w14:paraId="200814CC" w14:textId="77777777" w:rsidR="00F75126" w:rsidRPr="00CF58A3" w:rsidRDefault="00F75126" w:rsidP="00F75126">
      <w:pPr>
        <w:spacing w:before="120" w:line="240" w:lineRule="auto"/>
        <w:rPr>
          <w:sz w:val="24"/>
          <w:szCs w:val="24"/>
          <w:highlight w:val="yellow"/>
        </w:rPr>
      </w:pPr>
      <w:r w:rsidRPr="00013AEB">
        <w:rPr>
          <w:sz w:val="24"/>
          <w:szCs w:val="24"/>
        </w:rPr>
        <w:lastRenderedPageBreak/>
        <w:t>Schválené príjmy</w:t>
      </w:r>
      <w:r w:rsidRPr="00013AEB">
        <w:rPr>
          <w:rStyle w:val="Odkaznapoznmkupodiarou"/>
          <w:sz w:val="24"/>
          <w:szCs w:val="24"/>
        </w:rPr>
        <w:footnoteReference w:id="24"/>
      </w:r>
      <w:r w:rsidRPr="00013AEB">
        <w:rPr>
          <w:sz w:val="24"/>
          <w:szCs w:val="24"/>
        </w:rPr>
        <w:t xml:space="preserve"> </w:t>
      </w:r>
      <w:r>
        <w:rPr>
          <w:sz w:val="24"/>
          <w:szCs w:val="24"/>
        </w:rPr>
        <w:t>štátneho rozpočtu na rok 2022</w:t>
      </w:r>
      <w:r w:rsidRPr="00013AEB">
        <w:rPr>
          <w:sz w:val="24"/>
          <w:szCs w:val="24"/>
        </w:rPr>
        <w:t xml:space="preserve"> </w:t>
      </w:r>
      <w:r w:rsidRPr="00016741">
        <w:rPr>
          <w:sz w:val="24"/>
          <w:szCs w:val="24"/>
        </w:rPr>
        <w:t xml:space="preserve">boli oproti schváleným príjmom na rok 2021 vyššie úhrnom o 5 665 746 tis. eur, pričom sa predpokladali </w:t>
      </w:r>
      <w:r w:rsidRPr="00A40D86">
        <w:rPr>
          <w:sz w:val="24"/>
          <w:szCs w:val="24"/>
        </w:rPr>
        <w:t xml:space="preserve">vyššie daňové príjmy o 4 047 003 tis. eur, </w:t>
      </w:r>
      <w:r w:rsidRPr="00E24BE1">
        <w:rPr>
          <w:sz w:val="24"/>
          <w:szCs w:val="24"/>
        </w:rPr>
        <w:t>vyššie príjmy sa očakávali aj z grantov a transferov o 1 667 775 tis. eur</w:t>
      </w:r>
      <w:r>
        <w:rPr>
          <w:sz w:val="24"/>
          <w:szCs w:val="24"/>
          <w:highlight w:val="yellow"/>
        </w:rPr>
        <w:t xml:space="preserve"> </w:t>
      </w:r>
      <w:r w:rsidRPr="00E24BE1">
        <w:rPr>
          <w:sz w:val="24"/>
          <w:szCs w:val="24"/>
        </w:rPr>
        <w:t>a naopak nižšie</w:t>
      </w:r>
      <w:r>
        <w:rPr>
          <w:sz w:val="24"/>
          <w:szCs w:val="24"/>
        </w:rPr>
        <w:t xml:space="preserve"> </w:t>
      </w:r>
      <w:r w:rsidRPr="00E24BE1">
        <w:rPr>
          <w:sz w:val="24"/>
          <w:szCs w:val="24"/>
        </w:rPr>
        <w:t>sa predpokladali nedaňové príjmy o 49 032 tis. eur</w:t>
      </w:r>
      <w:r>
        <w:rPr>
          <w:sz w:val="24"/>
          <w:szCs w:val="24"/>
        </w:rPr>
        <w:t>.</w:t>
      </w:r>
    </w:p>
    <w:p w14:paraId="71128B4E" w14:textId="4B2D92D5" w:rsidR="00F75126" w:rsidRPr="002D6EBB" w:rsidRDefault="00F75126" w:rsidP="00F75126">
      <w:pPr>
        <w:spacing w:line="240" w:lineRule="auto"/>
        <w:rPr>
          <w:sz w:val="24"/>
          <w:szCs w:val="24"/>
        </w:rPr>
      </w:pPr>
      <w:r w:rsidRPr="00E229F2">
        <w:rPr>
          <w:sz w:val="24"/>
          <w:szCs w:val="24"/>
        </w:rPr>
        <w:t xml:space="preserve">Z daňových príjmov bola medziročne vyššie </w:t>
      </w:r>
      <w:r w:rsidRPr="002D6EBB">
        <w:rPr>
          <w:sz w:val="24"/>
          <w:szCs w:val="24"/>
        </w:rPr>
        <w:t>rozpočtovaná</w:t>
      </w:r>
      <w:r>
        <w:rPr>
          <w:sz w:val="24"/>
          <w:szCs w:val="24"/>
        </w:rPr>
        <w:t xml:space="preserve"> daň z príjmov právnickej osoby o 2 106 734 tis. eur,</w:t>
      </w:r>
      <w:r w:rsidRPr="002D6EBB">
        <w:rPr>
          <w:sz w:val="24"/>
          <w:szCs w:val="24"/>
        </w:rPr>
        <w:t xml:space="preserve"> daň z pridanej hodnoty o 1 757 787 tis. </w:t>
      </w:r>
      <w:r>
        <w:rPr>
          <w:sz w:val="24"/>
          <w:szCs w:val="24"/>
        </w:rPr>
        <w:t>eur a</w:t>
      </w:r>
      <w:r w:rsidRPr="002D6EBB">
        <w:rPr>
          <w:sz w:val="24"/>
          <w:szCs w:val="24"/>
        </w:rPr>
        <w:t xml:space="preserve"> spotrebné dane o 73 074 tis. eur. </w:t>
      </w:r>
    </w:p>
    <w:p w14:paraId="6F772E30" w14:textId="77777777" w:rsidR="00F75126" w:rsidRPr="00111445" w:rsidRDefault="00F75126" w:rsidP="00F75126">
      <w:pPr>
        <w:spacing w:line="240" w:lineRule="auto"/>
        <w:rPr>
          <w:sz w:val="24"/>
          <w:szCs w:val="24"/>
        </w:rPr>
      </w:pPr>
      <w:r w:rsidRPr="00293078">
        <w:rPr>
          <w:sz w:val="24"/>
          <w:szCs w:val="24"/>
        </w:rPr>
        <w:t>Príjmy z grantov a transferov sú takmer zo 100 % tvorené transfermi z rozpočtu Európskej únie.</w:t>
      </w:r>
      <w:r>
        <w:rPr>
          <w:sz w:val="24"/>
          <w:szCs w:val="24"/>
          <w:highlight w:val="yellow"/>
        </w:rPr>
        <w:t xml:space="preserve"> </w:t>
      </w:r>
      <w:r w:rsidRPr="00111445">
        <w:rPr>
          <w:sz w:val="24"/>
          <w:szCs w:val="24"/>
        </w:rPr>
        <w:t xml:space="preserve">V porovnaní s rokom 2021 sa rozpočtovali vyššie o 1 667 775 tis. eur. </w:t>
      </w:r>
    </w:p>
    <w:p w14:paraId="4A33D535" w14:textId="6882C19F" w:rsidR="00F75126" w:rsidRPr="00485115" w:rsidRDefault="00F75126" w:rsidP="00F75126">
      <w:pPr>
        <w:spacing w:line="240" w:lineRule="auto"/>
        <w:rPr>
          <w:sz w:val="24"/>
          <w:szCs w:val="24"/>
        </w:rPr>
      </w:pPr>
      <w:r w:rsidRPr="00BE3602">
        <w:rPr>
          <w:sz w:val="24"/>
          <w:szCs w:val="24"/>
        </w:rPr>
        <w:t xml:space="preserve">Z nedaňových príjmov sa </w:t>
      </w:r>
      <w:r w:rsidRPr="00485115">
        <w:rPr>
          <w:sz w:val="24"/>
          <w:szCs w:val="24"/>
        </w:rPr>
        <w:t xml:space="preserve">medziročne vyššie rozpočtovali súdne poplatky o 27 999 tis. eur, </w:t>
      </w:r>
      <w:r>
        <w:rPr>
          <w:sz w:val="24"/>
          <w:szCs w:val="24"/>
        </w:rPr>
        <w:t>za predaj výrobkov, tovarov a služieb o 19 303 tis. eur a z </w:t>
      </w:r>
      <w:proofErr w:type="spellStart"/>
      <w:r>
        <w:rPr>
          <w:sz w:val="24"/>
          <w:szCs w:val="24"/>
        </w:rPr>
        <w:t>vratiek</w:t>
      </w:r>
      <w:proofErr w:type="spellEnd"/>
      <w:r>
        <w:rPr>
          <w:sz w:val="24"/>
          <w:szCs w:val="24"/>
        </w:rPr>
        <w:t xml:space="preserve"> o 2 217 tis. eur</w:t>
      </w:r>
      <w:r w:rsidRPr="00485115">
        <w:rPr>
          <w:sz w:val="24"/>
          <w:szCs w:val="24"/>
        </w:rPr>
        <w:t>. Naopak, nižší príjem sa rozpočtoval z odvodov z hazardných hier o 13 860 tis. eur.</w:t>
      </w:r>
    </w:p>
    <w:p w14:paraId="41873024" w14:textId="77777777" w:rsidR="00F75126" w:rsidRPr="00CF58A3" w:rsidRDefault="00F75126" w:rsidP="00F75126">
      <w:pPr>
        <w:spacing w:line="240" w:lineRule="auto"/>
        <w:rPr>
          <w:sz w:val="24"/>
          <w:szCs w:val="24"/>
          <w:highlight w:val="yellow"/>
        </w:rPr>
      </w:pPr>
      <w:r w:rsidRPr="00897E66">
        <w:rPr>
          <w:sz w:val="24"/>
          <w:szCs w:val="24"/>
        </w:rPr>
        <w:t xml:space="preserve">Výdavky sa v novelizovanom rozpočte </w:t>
      </w:r>
      <w:r w:rsidRPr="00F302C2">
        <w:rPr>
          <w:sz w:val="24"/>
          <w:szCs w:val="24"/>
        </w:rPr>
        <w:t>zvýšili na 26 945 417 tis. eur</w:t>
      </w:r>
      <w:r w:rsidRPr="004040BB">
        <w:rPr>
          <w:sz w:val="24"/>
          <w:szCs w:val="24"/>
        </w:rPr>
        <w:t xml:space="preserve">. V medziročnom porovnaní schválených výdavkov štátneho rozpočtu na roky 2021 a 2020 sa predpokladalo ich zníženie o 658 390 tis. eur. Bežné výdavky sa rozpočtovali medziročne nižšie </w:t>
      </w:r>
      <w:r w:rsidRPr="005464B3">
        <w:rPr>
          <w:sz w:val="24"/>
          <w:szCs w:val="24"/>
        </w:rPr>
        <w:t xml:space="preserve">o 1 865 984 tis. </w:t>
      </w:r>
      <w:r w:rsidRPr="003F5F8C">
        <w:rPr>
          <w:sz w:val="24"/>
          <w:szCs w:val="24"/>
        </w:rPr>
        <w:t xml:space="preserve">eur a kapitálové výdavky vyššie o 1 207 593 tis. eur. </w:t>
      </w:r>
    </w:p>
    <w:p w14:paraId="7A4E9F67" w14:textId="6B0D6089" w:rsidR="00F75126" w:rsidRPr="00CF58A3" w:rsidRDefault="00F75126" w:rsidP="00F75126">
      <w:pPr>
        <w:spacing w:line="240" w:lineRule="auto"/>
        <w:rPr>
          <w:sz w:val="24"/>
          <w:szCs w:val="24"/>
          <w:highlight w:val="yellow"/>
        </w:rPr>
      </w:pPr>
      <w:r w:rsidRPr="0048002B">
        <w:rPr>
          <w:sz w:val="24"/>
          <w:szCs w:val="24"/>
        </w:rPr>
        <w:t xml:space="preserve">Okrem vyššie rozpočtovaných výdavkov na zmiernenie dopadov pandémie v bežných výdavkoch (v skutočnosti čerpaných v riadnych druhových výdavkoch, napríklad mzdy, platy, osobné vyrovnania, tovary a služby) sa medziročne vyššie rozpočtovali mzdy, platy, služobné príjmy a OOV spolu s poistnými odvodmi o 177 511 tis. eur a </w:t>
      </w:r>
      <w:r w:rsidRPr="0003381B">
        <w:rPr>
          <w:sz w:val="24"/>
          <w:szCs w:val="24"/>
        </w:rPr>
        <w:t xml:space="preserve">bežné transfery úhrnom o 108 914 tis. eur. </w:t>
      </w:r>
      <w:r w:rsidRPr="0012230A">
        <w:rPr>
          <w:sz w:val="24"/>
          <w:szCs w:val="24"/>
        </w:rPr>
        <w:t>Rezerva na negatívne vplyvy pandémie ochorenia COVID-1</w:t>
      </w:r>
      <w:r w:rsidR="00C67377">
        <w:rPr>
          <w:sz w:val="24"/>
          <w:szCs w:val="24"/>
        </w:rPr>
        <w:t xml:space="preserve">9 dosiahla sumu </w:t>
      </w:r>
      <w:r w:rsidRPr="0012230A">
        <w:rPr>
          <w:sz w:val="24"/>
          <w:szCs w:val="24"/>
        </w:rPr>
        <w:t xml:space="preserve">717 441 tis. eur. </w:t>
      </w:r>
      <w:r w:rsidRPr="0003381B">
        <w:rPr>
          <w:sz w:val="24"/>
          <w:szCs w:val="24"/>
        </w:rPr>
        <w:t>Z bež</w:t>
      </w:r>
      <w:r>
        <w:rPr>
          <w:sz w:val="24"/>
          <w:szCs w:val="24"/>
        </w:rPr>
        <w:t>ných transferov sa medziročne niž</w:t>
      </w:r>
      <w:r w:rsidRPr="0003381B">
        <w:rPr>
          <w:sz w:val="24"/>
          <w:szCs w:val="24"/>
        </w:rPr>
        <w:t xml:space="preserve">šie rozpočtovali v rámci verejnej správy </w:t>
      </w:r>
      <w:r w:rsidRPr="00A02DB9">
        <w:rPr>
          <w:sz w:val="24"/>
          <w:szCs w:val="24"/>
        </w:rPr>
        <w:t>o 52 852 tis. eur</w:t>
      </w:r>
      <w:r w:rsidRPr="00771222">
        <w:rPr>
          <w:sz w:val="24"/>
          <w:szCs w:val="24"/>
        </w:rPr>
        <w:t xml:space="preserve">, transfery na platené poistné za skupiny osôb ustanovené zákonom o 320 436 tis. eur, </w:t>
      </w:r>
      <w:r>
        <w:rPr>
          <w:sz w:val="24"/>
          <w:szCs w:val="24"/>
        </w:rPr>
        <w:t xml:space="preserve">a </w:t>
      </w:r>
      <w:r w:rsidRPr="0003381B">
        <w:rPr>
          <w:sz w:val="24"/>
          <w:szCs w:val="24"/>
        </w:rPr>
        <w:t xml:space="preserve">na ostatné dávky poskytované štátom </w:t>
      </w:r>
      <w:r>
        <w:rPr>
          <w:sz w:val="24"/>
          <w:szCs w:val="24"/>
        </w:rPr>
        <w:t xml:space="preserve">vyššie </w:t>
      </w:r>
      <w:r w:rsidRPr="0003381B">
        <w:rPr>
          <w:sz w:val="24"/>
          <w:szCs w:val="24"/>
        </w:rPr>
        <w:t>o 237 686 tis. eur</w:t>
      </w:r>
      <w:r>
        <w:rPr>
          <w:sz w:val="24"/>
          <w:szCs w:val="24"/>
        </w:rPr>
        <w:t>.</w:t>
      </w:r>
      <w:r w:rsidRPr="00CF58A3">
        <w:rPr>
          <w:sz w:val="24"/>
          <w:szCs w:val="24"/>
          <w:highlight w:val="yellow"/>
        </w:rPr>
        <w:t xml:space="preserve"> </w:t>
      </w:r>
    </w:p>
    <w:p w14:paraId="354639D0" w14:textId="77777777" w:rsidR="00F75126" w:rsidRPr="00D815F0" w:rsidRDefault="00F75126" w:rsidP="00F75126">
      <w:pPr>
        <w:spacing w:line="240" w:lineRule="auto"/>
        <w:rPr>
          <w:sz w:val="24"/>
          <w:szCs w:val="24"/>
        </w:rPr>
      </w:pPr>
      <w:r w:rsidRPr="00255946">
        <w:rPr>
          <w:sz w:val="24"/>
          <w:szCs w:val="24"/>
        </w:rPr>
        <w:t xml:space="preserve">Kapitálové výdavky sa medziročne </w:t>
      </w:r>
      <w:r w:rsidRPr="00D815F0">
        <w:rPr>
          <w:sz w:val="24"/>
          <w:szCs w:val="24"/>
        </w:rPr>
        <w:t>rozpočtovali vyššie o 1 207 593 tis. eur, a to najmä na obstarávanie kapitálových aktív o 567 379 tis. eur. Kapitálové transfery boli medziročne rozpočtované vyššie, úhrnnom o 640 215 tis. eur, transfery v rámci verejnej správy boli vyššie o 559 030 tis. eur</w:t>
      </w:r>
      <w:r>
        <w:rPr>
          <w:sz w:val="24"/>
          <w:szCs w:val="24"/>
        </w:rPr>
        <w:t xml:space="preserve"> a </w:t>
      </w:r>
      <w:r w:rsidRPr="00D815F0">
        <w:rPr>
          <w:sz w:val="24"/>
          <w:szCs w:val="24"/>
        </w:rPr>
        <w:t>transfery iným subjektom boli nižšie o 10 860 tis. eur.</w:t>
      </w:r>
    </w:p>
    <w:p w14:paraId="6224C317" w14:textId="134CCE61" w:rsidR="00F75126" w:rsidRPr="00907CA1" w:rsidRDefault="00F75126" w:rsidP="00F75126">
      <w:pPr>
        <w:spacing w:line="240" w:lineRule="auto"/>
        <w:rPr>
          <w:b/>
          <w:sz w:val="24"/>
          <w:szCs w:val="24"/>
        </w:rPr>
      </w:pPr>
      <w:r w:rsidRPr="00456DB2">
        <w:rPr>
          <w:b/>
          <w:sz w:val="24"/>
          <w:szCs w:val="24"/>
        </w:rPr>
        <w:t>V priebehu rozpočtového roka 2022 sa vykonali v súlade s rozpočtovými pravidlami rozpočtové opatrenia</w:t>
      </w:r>
      <w:r>
        <w:rPr>
          <w:rStyle w:val="Odkaznapoznmkupodiarou"/>
          <w:b/>
          <w:sz w:val="24"/>
          <w:szCs w:val="24"/>
        </w:rPr>
        <w:footnoteReference w:id="25"/>
      </w:r>
      <w:r w:rsidRPr="00456DB2">
        <w:rPr>
          <w:b/>
          <w:sz w:val="24"/>
          <w:szCs w:val="24"/>
        </w:rPr>
        <w:t xml:space="preserve">, ktoré </w:t>
      </w:r>
      <w:r w:rsidRPr="00FF36B9">
        <w:rPr>
          <w:b/>
          <w:sz w:val="24"/>
          <w:szCs w:val="24"/>
        </w:rPr>
        <w:t xml:space="preserve">znížili celkovo schválené príjmy na rok 2022 </w:t>
      </w:r>
      <w:r w:rsidRPr="00255946">
        <w:rPr>
          <w:b/>
          <w:sz w:val="24"/>
          <w:szCs w:val="24"/>
        </w:rPr>
        <w:t>o 2 262 788 tis. eur na 19 209 111 tis. eur a celkové schválené výdavky o 2 950 318 tis. eur na 23 995 099 tis. eur</w:t>
      </w:r>
      <w:r w:rsidRPr="00907CA1">
        <w:rPr>
          <w:b/>
          <w:sz w:val="24"/>
          <w:szCs w:val="24"/>
        </w:rPr>
        <w:t>. Plánovaný schodok štátneho rozpočtu po úpravách počas roka 2022 mal byť k </w:t>
      </w:r>
      <w:proofErr w:type="spellStart"/>
      <w:r w:rsidRPr="00907CA1">
        <w:rPr>
          <w:b/>
          <w:sz w:val="24"/>
          <w:szCs w:val="24"/>
        </w:rPr>
        <w:t>ultimu</w:t>
      </w:r>
      <w:proofErr w:type="spellEnd"/>
      <w:r w:rsidRPr="00907CA1">
        <w:rPr>
          <w:b/>
          <w:sz w:val="24"/>
          <w:szCs w:val="24"/>
        </w:rPr>
        <w:t xml:space="preserve"> roka nižší oproti schválenému (novelizovanému) o 687 530 tis. eur, vo výške 4 785 988 tis. eur. </w:t>
      </w:r>
    </w:p>
    <w:p w14:paraId="375D4417" w14:textId="77777777" w:rsidR="00F75126" w:rsidRPr="00456DB2" w:rsidRDefault="00F75126" w:rsidP="00F75126">
      <w:pPr>
        <w:spacing w:line="240" w:lineRule="auto"/>
        <w:rPr>
          <w:sz w:val="24"/>
          <w:szCs w:val="24"/>
        </w:rPr>
      </w:pPr>
      <w:r w:rsidRPr="00456DB2">
        <w:rPr>
          <w:sz w:val="24"/>
          <w:szCs w:val="24"/>
        </w:rPr>
        <w:t xml:space="preserve">Úpravy rozpočtu sa realizovali na základe aktualizovaných informácií o plnení úloh a požiadaviek jednotlivých kapitol ŠR počas rozpočtového roku, legislatívnych zmien, ktoré môžu priniesť zmenu v príjmoch alebo výdavkoch, ako aj na základe aktuálneho vývoja ekonomiky a verejných financií. </w:t>
      </w:r>
    </w:p>
    <w:p w14:paraId="1009EE11" w14:textId="77777777" w:rsidR="00F75126" w:rsidRPr="00CA0B53" w:rsidRDefault="00F75126" w:rsidP="00F75126">
      <w:pPr>
        <w:spacing w:line="240" w:lineRule="auto"/>
        <w:rPr>
          <w:sz w:val="24"/>
          <w:szCs w:val="24"/>
        </w:rPr>
      </w:pPr>
      <w:r w:rsidRPr="00255946">
        <w:rPr>
          <w:sz w:val="24"/>
          <w:szCs w:val="24"/>
        </w:rPr>
        <w:t xml:space="preserve">V rámci úprav schváleného rozpočtu príjmov sa predpokladali príjmy nižšie o 2 262 788 tis. eur a v rámci nich bolo zohľadnené najmä nižšie plnenie transferov z rozpočtu Európskej únie o 2 262 271 tis. eur. </w:t>
      </w:r>
      <w:r w:rsidRPr="00CA0B53">
        <w:rPr>
          <w:sz w:val="24"/>
          <w:szCs w:val="24"/>
        </w:rPr>
        <w:t>Daňové príjmy zostali bez zmeny a v rámci nedaňových príjmov sa očakávali nižšie príjmy za predaj výrobkov, tovarov a služieb o 5 028 tis. eur. Naopak, vyššie ako rozpočtované príjmy sa očakávali najmä príjmy z predaja pozemkov o 2 926 tis. eur.</w:t>
      </w:r>
    </w:p>
    <w:p w14:paraId="67FEAF21" w14:textId="77777777" w:rsidR="00F75126" w:rsidRPr="00F37019" w:rsidRDefault="00F75126" w:rsidP="00F75126">
      <w:pPr>
        <w:spacing w:line="240" w:lineRule="auto"/>
        <w:rPr>
          <w:sz w:val="24"/>
          <w:szCs w:val="24"/>
        </w:rPr>
      </w:pPr>
      <w:r w:rsidRPr="00F37019">
        <w:rPr>
          <w:sz w:val="24"/>
          <w:szCs w:val="24"/>
        </w:rPr>
        <w:lastRenderedPageBreak/>
        <w:t>Celková úprava rozpočtu výdavkov predstavova</w:t>
      </w:r>
      <w:r>
        <w:rPr>
          <w:sz w:val="24"/>
          <w:szCs w:val="24"/>
        </w:rPr>
        <w:t>la zníženie bežných výdavkov o 1 642 88</w:t>
      </w:r>
      <w:r w:rsidRPr="00F37019">
        <w:rPr>
          <w:sz w:val="24"/>
          <w:szCs w:val="24"/>
        </w:rPr>
        <w:t xml:space="preserve">8 tis. eur a zníženie kapitálových výdavkov o 1 307 430 tis. eur. </w:t>
      </w:r>
    </w:p>
    <w:p w14:paraId="30918498" w14:textId="77777777" w:rsidR="00F75126" w:rsidRPr="00761DBC" w:rsidRDefault="00F75126" w:rsidP="00F75126">
      <w:pPr>
        <w:spacing w:line="240" w:lineRule="auto"/>
        <w:rPr>
          <w:b/>
          <w:sz w:val="24"/>
          <w:szCs w:val="24"/>
        </w:rPr>
      </w:pPr>
      <w:r w:rsidRPr="00E156C2">
        <w:rPr>
          <w:b/>
          <w:sz w:val="24"/>
          <w:szCs w:val="24"/>
        </w:rPr>
        <w:t xml:space="preserve">Schodok štátneho rozpočtu vykázaný k 31. </w:t>
      </w:r>
      <w:r>
        <w:rPr>
          <w:b/>
          <w:sz w:val="24"/>
          <w:szCs w:val="24"/>
        </w:rPr>
        <w:t>12. 2022</w:t>
      </w:r>
      <w:r w:rsidRPr="00E156C2">
        <w:rPr>
          <w:b/>
          <w:sz w:val="24"/>
          <w:szCs w:val="24"/>
        </w:rPr>
        <w:t xml:space="preserve"> v sume </w:t>
      </w:r>
      <w:r w:rsidRPr="00C22DD2">
        <w:rPr>
          <w:b/>
          <w:sz w:val="24"/>
          <w:szCs w:val="24"/>
        </w:rPr>
        <w:t xml:space="preserve">4 524 852 tis. eur </w:t>
      </w:r>
      <w:r w:rsidRPr="00761DBC">
        <w:rPr>
          <w:b/>
          <w:sz w:val="24"/>
          <w:szCs w:val="24"/>
        </w:rPr>
        <w:t>bol krytý finančnými prostriedkami získanými z predaja štátnych dlhopisov v hodnote 4 424 853 tis. eur a prijatým bankovým úverom od Európskej investičnej banky v hodnote 100 000 tis. eur</w:t>
      </w:r>
      <w:r>
        <w:rPr>
          <w:b/>
          <w:sz w:val="24"/>
          <w:szCs w:val="24"/>
        </w:rPr>
        <w:t>.</w:t>
      </w:r>
      <w:r w:rsidRPr="00761DBC">
        <w:rPr>
          <w:b/>
          <w:sz w:val="24"/>
          <w:szCs w:val="24"/>
        </w:rPr>
        <w:t xml:space="preserve"> </w:t>
      </w:r>
    </w:p>
    <w:p w14:paraId="59987B82" w14:textId="77777777" w:rsidR="00F75126" w:rsidRPr="00A222CA" w:rsidRDefault="00F75126" w:rsidP="00F75126">
      <w:pPr>
        <w:spacing w:line="240" w:lineRule="auto"/>
        <w:rPr>
          <w:sz w:val="24"/>
          <w:szCs w:val="24"/>
        </w:rPr>
      </w:pPr>
      <w:r w:rsidRPr="00A222CA">
        <w:rPr>
          <w:sz w:val="24"/>
          <w:szCs w:val="24"/>
        </w:rPr>
        <w:t>Nasledujúce informácie o príjmoch a výdavkoch štátneho rozpočtu popisujú ich hotovostné plnenie tak, ako sa prejavili na príjmových a výdavkových účtoch štátnych rozpočtových organizácií v priebehu roka 2022. Komentár k jednotlivým položkám príjmov a výdavkov sa sústredí na opis faktorov majúcich vplyv na ich hotovostné plnenie, pričom porovnanie dosiahnutej skutočnosti sa realizuje voči rozpočtu schváleného novelou zákona o štátnom rozpočte na rok 2022.</w:t>
      </w:r>
    </w:p>
    <w:p w14:paraId="49C6FE39" w14:textId="77777777" w:rsidR="00F75126" w:rsidRPr="00A222CA" w:rsidRDefault="00F75126" w:rsidP="00F75126">
      <w:pPr>
        <w:spacing w:line="240" w:lineRule="auto"/>
        <w:rPr>
          <w:sz w:val="24"/>
          <w:szCs w:val="24"/>
        </w:rPr>
      </w:pPr>
      <w:r w:rsidRPr="00A222CA">
        <w:rPr>
          <w:sz w:val="24"/>
          <w:szCs w:val="24"/>
        </w:rPr>
        <w:t>Súčasťou Štátneho záverečného účtu SR je aj tabuľková príloha, ktorá dopĺňa opisnú časť hotovostných príjmov a výdavkov, v členení podľa ekonomickej a organizačnej klasifikácie. Podrobnejšie informácie o príjmoch a výdavkoch jednotlivých kapitol ŠR sú uvedené aj v záverečných účtoch kapitol, ktoré sa zverejňujú na ich webovom sídle.</w:t>
      </w:r>
    </w:p>
    <w:p w14:paraId="72139BEF" w14:textId="77777777" w:rsidR="00F75126" w:rsidRPr="00A222CA" w:rsidRDefault="00F75126" w:rsidP="00F75126">
      <w:pPr>
        <w:spacing w:line="240" w:lineRule="auto"/>
        <w:rPr>
          <w:sz w:val="24"/>
          <w:szCs w:val="24"/>
        </w:rPr>
      </w:pPr>
      <w:r w:rsidRPr="00A222CA">
        <w:rPr>
          <w:sz w:val="24"/>
          <w:szCs w:val="24"/>
        </w:rPr>
        <w:t>Prípadné číselné rozdiely medzi tabuľkovou prílohou a údajmi v textovej časti záverečného účtu sú spôsobené automatickým zaokrúhľovaním.</w:t>
      </w:r>
    </w:p>
    <w:p w14:paraId="32FA6D11" w14:textId="572E0939" w:rsidR="008254BE" w:rsidRDefault="008254BE" w:rsidP="00752862">
      <w:pPr>
        <w:pStyle w:val="Nadpis2"/>
      </w:pPr>
      <w:bookmarkStart w:id="33" w:name="_Toc6415641"/>
      <w:bookmarkStart w:id="34" w:name="_Toc132929085"/>
      <w:r>
        <w:t>Príjmy štátneho rozpočtu</w:t>
      </w:r>
      <w:bookmarkEnd w:id="33"/>
      <w:bookmarkEnd w:id="34"/>
    </w:p>
    <w:p w14:paraId="4C36F68C" w14:textId="19275391" w:rsidR="008254BE" w:rsidRDefault="008254BE" w:rsidP="001205D5">
      <w:pPr>
        <w:pStyle w:val="Nadpis3"/>
      </w:pPr>
      <w:bookmarkStart w:id="35" w:name="_Toc6415642"/>
      <w:bookmarkStart w:id="36" w:name="_Toc132929086"/>
      <w:r w:rsidRPr="00E87CB0">
        <w:t>Daňové príjmy</w:t>
      </w:r>
      <w:bookmarkEnd w:id="35"/>
      <w:bookmarkEnd w:id="36"/>
    </w:p>
    <w:p w14:paraId="31C9AE55" w14:textId="77777777" w:rsidR="004C3312" w:rsidRPr="00B872EA" w:rsidRDefault="004C3312" w:rsidP="004C3312">
      <w:pPr>
        <w:spacing w:line="240" w:lineRule="auto"/>
        <w:rPr>
          <w:sz w:val="24"/>
          <w:szCs w:val="24"/>
        </w:rPr>
      </w:pPr>
      <w:r w:rsidRPr="003877D0">
        <w:rPr>
          <w:sz w:val="24"/>
          <w:szCs w:val="24"/>
        </w:rPr>
        <w:t xml:space="preserve">Pre rok 2022 boli daňové príjmy na hotovostnej báze rozpočtované vo </w:t>
      </w:r>
      <w:r w:rsidRPr="00B872EA">
        <w:rPr>
          <w:sz w:val="24"/>
          <w:szCs w:val="24"/>
        </w:rPr>
        <w:t>výške 15 845 854 tis. eur, čo bolo oproti rozpočtu 2021 viac o 4 047 003 tis. eur</w:t>
      </w:r>
      <w:r>
        <w:rPr>
          <w:sz w:val="24"/>
          <w:szCs w:val="24"/>
        </w:rPr>
        <w:t>, keďže sa po čiastočnom oživení ekonomiky v roku 2021 očakával výraznejší rast ekonomiky v roku 2022 na úrovni 4,2 %.</w:t>
      </w:r>
    </w:p>
    <w:p w14:paraId="2131C993" w14:textId="77777777" w:rsidR="004C3312" w:rsidRPr="00364A87" w:rsidRDefault="004C3312" w:rsidP="004C3312">
      <w:pPr>
        <w:spacing w:line="240" w:lineRule="auto"/>
        <w:rPr>
          <w:sz w:val="24"/>
          <w:szCs w:val="24"/>
        </w:rPr>
      </w:pPr>
      <w:r w:rsidRPr="00B872EA">
        <w:rPr>
          <w:sz w:val="24"/>
          <w:szCs w:val="24"/>
        </w:rPr>
        <w:t>Skutočne vyinkasované daňové príjmy dosiahli 15 517 036 tis. eur, čo v porovnaní s rozpočtovanou hodnotu predstavuje záporný rozdiel o 328 818 tis. eur</w:t>
      </w:r>
      <w:r w:rsidRPr="00364A87">
        <w:rPr>
          <w:sz w:val="24"/>
          <w:szCs w:val="24"/>
        </w:rPr>
        <w:t>. Za nižším výnosom je najmä nižší výnos dane z pridanej hodnoty a dane z príjmov právnických osôb.</w:t>
      </w:r>
    </w:p>
    <w:p w14:paraId="0E0EC5F3" w14:textId="77777777" w:rsidR="004C3312" w:rsidRPr="00A651C1" w:rsidRDefault="004C3312" w:rsidP="004C3312">
      <w:pPr>
        <w:spacing w:line="240" w:lineRule="auto"/>
        <w:rPr>
          <w:sz w:val="24"/>
          <w:szCs w:val="24"/>
        </w:rPr>
      </w:pPr>
      <w:r w:rsidRPr="000C60B1">
        <w:rPr>
          <w:sz w:val="24"/>
          <w:szCs w:val="24"/>
        </w:rPr>
        <w:t>V porovnaní s rokom 2021 boli celko</w:t>
      </w:r>
      <w:r>
        <w:rPr>
          <w:sz w:val="24"/>
          <w:szCs w:val="24"/>
        </w:rPr>
        <w:t>vé daňové príjmy vyššie o 1 970 </w:t>
      </w:r>
      <w:r w:rsidRPr="000C60B1">
        <w:rPr>
          <w:sz w:val="24"/>
          <w:szCs w:val="24"/>
        </w:rPr>
        <w:t xml:space="preserve">997 tis. eur, čo zodpovedá medziročnému rastu na úrovni 14,6 %. </w:t>
      </w:r>
      <w:r w:rsidRPr="00A176CB">
        <w:rPr>
          <w:sz w:val="24"/>
          <w:szCs w:val="24"/>
        </w:rPr>
        <w:t>Nárast ekonomickej aktivity sa odzrkadlil na medziročne vyššom výbere DPH o </w:t>
      </w:r>
      <w:r>
        <w:rPr>
          <w:sz w:val="24"/>
          <w:szCs w:val="24"/>
        </w:rPr>
        <w:t>824</w:t>
      </w:r>
      <w:r w:rsidRPr="00A176CB">
        <w:rPr>
          <w:sz w:val="24"/>
          <w:szCs w:val="24"/>
        </w:rPr>
        <w:t> </w:t>
      </w:r>
      <w:r>
        <w:rPr>
          <w:sz w:val="24"/>
          <w:szCs w:val="24"/>
        </w:rPr>
        <w:t>245</w:t>
      </w:r>
      <w:r w:rsidRPr="00A176CB">
        <w:rPr>
          <w:sz w:val="24"/>
          <w:szCs w:val="24"/>
        </w:rPr>
        <w:t xml:space="preserve"> tis. eur a dane z príjmov a kapitálového majetku o 940 133 tis. eur. </w:t>
      </w:r>
    </w:p>
    <w:p w14:paraId="67CCC1EF" w14:textId="77777777" w:rsidR="004C3312" w:rsidRPr="00793D92" w:rsidRDefault="004C3312" w:rsidP="004C3312">
      <w:pPr>
        <w:spacing w:line="240" w:lineRule="auto"/>
        <w:rPr>
          <w:sz w:val="24"/>
          <w:szCs w:val="24"/>
          <w:highlight w:val="yellow"/>
        </w:rPr>
      </w:pPr>
      <w:r w:rsidRPr="00A651C1">
        <w:rPr>
          <w:sz w:val="24"/>
          <w:szCs w:val="24"/>
        </w:rPr>
        <w:t>Prehľad o plnení daňových príjmov štátneho rozpočtu poskytujú nasledovné údaje:</w:t>
      </w:r>
    </w:p>
    <w:tbl>
      <w:tblPr>
        <w:tblW w:w="9214" w:type="dxa"/>
        <w:tblCellMar>
          <w:left w:w="70" w:type="dxa"/>
          <w:right w:w="70" w:type="dxa"/>
        </w:tblCellMar>
        <w:tblLook w:val="04A0" w:firstRow="1" w:lastRow="0" w:firstColumn="1" w:lastColumn="0" w:noHBand="0" w:noVBand="1"/>
      </w:tblPr>
      <w:tblGrid>
        <w:gridCol w:w="3261"/>
        <w:gridCol w:w="1060"/>
        <w:gridCol w:w="1060"/>
        <w:gridCol w:w="1060"/>
        <w:gridCol w:w="1040"/>
        <w:gridCol w:w="980"/>
        <w:gridCol w:w="753"/>
      </w:tblGrid>
      <w:tr w:rsidR="004C3312" w:rsidRPr="00E53736" w14:paraId="74AF3BC1" w14:textId="77777777" w:rsidTr="004C3312">
        <w:trPr>
          <w:trHeight w:val="288"/>
        </w:trPr>
        <w:tc>
          <w:tcPr>
            <w:tcW w:w="5381" w:type="dxa"/>
            <w:gridSpan w:val="3"/>
            <w:tcBorders>
              <w:top w:val="nil"/>
              <w:left w:val="nil"/>
              <w:bottom w:val="single" w:sz="4" w:space="0" w:color="auto"/>
              <w:right w:val="nil"/>
            </w:tcBorders>
            <w:shd w:val="clear" w:color="auto" w:fill="auto"/>
            <w:noWrap/>
            <w:vAlign w:val="center"/>
            <w:hideMark/>
          </w:tcPr>
          <w:p w14:paraId="7B81927E" w14:textId="599E51A3" w:rsidR="004C3312" w:rsidRPr="00010CE2" w:rsidRDefault="00D50C99" w:rsidP="008B3212">
            <w:pPr>
              <w:spacing w:after="0" w:line="240" w:lineRule="auto"/>
              <w:jc w:val="left"/>
              <w:rPr>
                <w:rFonts w:eastAsia="Times New Roman" w:cs="Times New Roman"/>
                <w:b/>
                <w:bCs/>
                <w:color w:val="5B9BD5" w:themeColor="accent1"/>
                <w:sz w:val="20"/>
                <w:szCs w:val="20"/>
                <w:lang w:eastAsia="sk-SK"/>
              </w:rPr>
            </w:pPr>
            <w:r>
              <w:rPr>
                <w:rFonts w:eastAsia="Times New Roman" w:cs="Times New Roman"/>
                <w:b/>
                <w:bCs/>
                <w:color w:val="5B9BD5" w:themeColor="accent1"/>
                <w:sz w:val="20"/>
                <w:szCs w:val="20"/>
                <w:lang w:eastAsia="sk-SK"/>
              </w:rPr>
              <w:t>Tabuľka 2</w:t>
            </w:r>
            <w:r w:rsidR="008B3212">
              <w:rPr>
                <w:rFonts w:eastAsia="Times New Roman" w:cs="Times New Roman"/>
                <w:b/>
                <w:bCs/>
                <w:color w:val="5B9BD5" w:themeColor="accent1"/>
                <w:sz w:val="20"/>
                <w:szCs w:val="20"/>
                <w:lang w:eastAsia="sk-SK"/>
              </w:rPr>
              <w:t>4</w:t>
            </w:r>
            <w:r w:rsidR="004C3312">
              <w:rPr>
                <w:rFonts w:eastAsia="Times New Roman" w:cs="Times New Roman"/>
                <w:b/>
                <w:bCs/>
                <w:color w:val="5B9BD5" w:themeColor="accent1"/>
                <w:sz w:val="20"/>
                <w:szCs w:val="20"/>
                <w:lang w:eastAsia="sk-SK"/>
              </w:rPr>
              <w:t xml:space="preserve"> - </w:t>
            </w:r>
            <w:r w:rsidR="004C3312" w:rsidRPr="00E53736">
              <w:rPr>
                <w:rFonts w:eastAsia="Times New Roman" w:cs="Times New Roman"/>
                <w:b/>
                <w:bCs/>
                <w:color w:val="5B9BD5" w:themeColor="accent1"/>
                <w:sz w:val="20"/>
                <w:szCs w:val="20"/>
                <w:lang w:eastAsia="sk-SK"/>
              </w:rPr>
              <w:t xml:space="preserve">Daňové príjmy štátneho rozpočtu </w:t>
            </w:r>
          </w:p>
        </w:tc>
        <w:tc>
          <w:tcPr>
            <w:tcW w:w="1060" w:type="dxa"/>
            <w:tcBorders>
              <w:top w:val="nil"/>
              <w:left w:val="nil"/>
              <w:bottom w:val="single" w:sz="4" w:space="0" w:color="auto"/>
              <w:right w:val="nil"/>
            </w:tcBorders>
            <w:shd w:val="clear" w:color="auto" w:fill="auto"/>
            <w:noWrap/>
            <w:vAlign w:val="center"/>
            <w:hideMark/>
          </w:tcPr>
          <w:p w14:paraId="34DDE6C5" w14:textId="77777777" w:rsidR="004C3312" w:rsidRPr="00E53736" w:rsidRDefault="004C3312" w:rsidP="004C3312">
            <w:pPr>
              <w:spacing w:after="0" w:line="240" w:lineRule="auto"/>
              <w:jc w:val="left"/>
              <w:rPr>
                <w:rFonts w:eastAsia="Times New Roman" w:cs="Times New Roman"/>
                <w:b/>
                <w:bCs/>
                <w:color w:val="2F75B5"/>
                <w:sz w:val="20"/>
                <w:szCs w:val="20"/>
                <w:lang w:eastAsia="sk-SK"/>
              </w:rPr>
            </w:pPr>
            <w:r w:rsidRPr="00E53736">
              <w:rPr>
                <w:rFonts w:eastAsia="Times New Roman" w:cs="Times New Roman"/>
                <w:b/>
                <w:bCs/>
                <w:color w:val="2F75B5"/>
                <w:sz w:val="20"/>
                <w:szCs w:val="20"/>
                <w:lang w:eastAsia="sk-SK"/>
              </w:rPr>
              <w:t> </w:t>
            </w:r>
          </w:p>
        </w:tc>
        <w:tc>
          <w:tcPr>
            <w:tcW w:w="1040" w:type="dxa"/>
            <w:tcBorders>
              <w:top w:val="nil"/>
              <w:left w:val="nil"/>
              <w:bottom w:val="single" w:sz="4" w:space="0" w:color="auto"/>
              <w:right w:val="nil"/>
            </w:tcBorders>
            <w:shd w:val="clear" w:color="auto" w:fill="auto"/>
            <w:noWrap/>
            <w:vAlign w:val="center"/>
            <w:hideMark/>
          </w:tcPr>
          <w:p w14:paraId="3FEAE085" w14:textId="77777777" w:rsidR="004C3312" w:rsidRPr="00E53736" w:rsidRDefault="004C3312" w:rsidP="004C3312">
            <w:pPr>
              <w:spacing w:after="0" w:line="240" w:lineRule="auto"/>
              <w:jc w:val="left"/>
              <w:rPr>
                <w:rFonts w:eastAsia="Times New Roman" w:cs="Times New Roman"/>
                <w:b/>
                <w:bCs/>
                <w:color w:val="2F75B5"/>
                <w:sz w:val="20"/>
                <w:szCs w:val="20"/>
                <w:lang w:eastAsia="sk-SK"/>
              </w:rPr>
            </w:pPr>
            <w:r w:rsidRPr="00E53736">
              <w:rPr>
                <w:rFonts w:eastAsia="Times New Roman" w:cs="Times New Roman"/>
                <w:b/>
                <w:bCs/>
                <w:color w:val="2F75B5"/>
                <w:sz w:val="20"/>
                <w:szCs w:val="20"/>
                <w:lang w:eastAsia="sk-SK"/>
              </w:rPr>
              <w:t> </w:t>
            </w:r>
          </w:p>
        </w:tc>
        <w:tc>
          <w:tcPr>
            <w:tcW w:w="980" w:type="dxa"/>
            <w:tcBorders>
              <w:top w:val="nil"/>
              <w:left w:val="nil"/>
              <w:bottom w:val="single" w:sz="4" w:space="0" w:color="auto"/>
              <w:right w:val="nil"/>
            </w:tcBorders>
            <w:shd w:val="clear" w:color="auto" w:fill="auto"/>
            <w:noWrap/>
            <w:vAlign w:val="center"/>
            <w:hideMark/>
          </w:tcPr>
          <w:p w14:paraId="30B416B3" w14:textId="77777777" w:rsidR="004C3312" w:rsidRPr="00E53736" w:rsidRDefault="004C3312" w:rsidP="004C3312">
            <w:pPr>
              <w:spacing w:after="0" w:line="240" w:lineRule="auto"/>
              <w:jc w:val="left"/>
              <w:rPr>
                <w:rFonts w:eastAsia="Times New Roman" w:cs="Times New Roman"/>
                <w:b/>
                <w:bCs/>
                <w:color w:val="2F75B5"/>
                <w:sz w:val="20"/>
                <w:szCs w:val="20"/>
                <w:lang w:eastAsia="sk-SK"/>
              </w:rPr>
            </w:pPr>
            <w:r w:rsidRPr="00E53736">
              <w:rPr>
                <w:rFonts w:eastAsia="Times New Roman" w:cs="Times New Roman"/>
                <w:b/>
                <w:bCs/>
                <w:color w:val="2F75B5"/>
                <w:sz w:val="20"/>
                <w:szCs w:val="20"/>
                <w:lang w:eastAsia="sk-SK"/>
              </w:rPr>
              <w:t> </w:t>
            </w:r>
          </w:p>
        </w:tc>
        <w:tc>
          <w:tcPr>
            <w:tcW w:w="753" w:type="dxa"/>
            <w:tcBorders>
              <w:top w:val="nil"/>
              <w:left w:val="nil"/>
              <w:bottom w:val="single" w:sz="4" w:space="0" w:color="auto"/>
              <w:right w:val="nil"/>
            </w:tcBorders>
            <w:shd w:val="clear" w:color="auto" w:fill="auto"/>
            <w:noWrap/>
            <w:vAlign w:val="center"/>
            <w:hideMark/>
          </w:tcPr>
          <w:p w14:paraId="07D79657" w14:textId="77777777" w:rsidR="004C3312" w:rsidRPr="00E53736" w:rsidRDefault="004C3312" w:rsidP="004C3312">
            <w:pPr>
              <w:spacing w:after="0" w:line="240" w:lineRule="auto"/>
              <w:jc w:val="left"/>
              <w:rPr>
                <w:rFonts w:eastAsia="Times New Roman" w:cs="Times New Roman"/>
                <w:b/>
                <w:bCs/>
                <w:color w:val="2F75B5"/>
                <w:sz w:val="20"/>
                <w:szCs w:val="20"/>
                <w:lang w:eastAsia="sk-SK"/>
              </w:rPr>
            </w:pPr>
            <w:r w:rsidRPr="00E53736">
              <w:rPr>
                <w:rFonts w:eastAsia="Times New Roman" w:cs="Times New Roman"/>
                <w:b/>
                <w:bCs/>
                <w:color w:val="2F75B5"/>
                <w:sz w:val="20"/>
                <w:szCs w:val="20"/>
                <w:lang w:eastAsia="sk-SK"/>
              </w:rPr>
              <w:t> </w:t>
            </w:r>
          </w:p>
        </w:tc>
      </w:tr>
      <w:tr w:rsidR="004C3312" w:rsidRPr="00E53736" w14:paraId="50D5C435" w14:textId="77777777" w:rsidTr="004C3312">
        <w:trPr>
          <w:trHeight w:val="348"/>
        </w:trPr>
        <w:tc>
          <w:tcPr>
            <w:tcW w:w="3261" w:type="dxa"/>
            <w:vMerge w:val="restart"/>
            <w:tcBorders>
              <w:top w:val="nil"/>
              <w:left w:val="nil"/>
              <w:right w:val="nil"/>
            </w:tcBorders>
            <w:shd w:val="clear" w:color="auto" w:fill="auto"/>
            <w:vAlign w:val="center"/>
            <w:hideMark/>
          </w:tcPr>
          <w:p w14:paraId="01944524" w14:textId="77777777" w:rsidR="004C3312" w:rsidRPr="00E53736" w:rsidRDefault="004C3312" w:rsidP="004C3312">
            <w:pPr>
              <w:spacing w:after="0" w:line="240" w:lineRule="auto"/>
              <w:jc w:val="left"/>
              <w:rPr>
                <w:rFonts w:eastAsia="Times New Roman" w:cs="Times New Roman"/>
                <w:b/>
                <w:bCs/>
                <w:color w:val="000000"/>
                <w:lang w:eastAsia="sk-SK"/>
              </w:rPr>
            </w:pPr>
            <w:r w:rsidRPr="00E53736">
              <w:rPr>
                <w:rFonts w:eastAsia="Times New Roman" w:cs="Times New Roman"/>
                <w:b/>
                <w:color w:val="000000"/>
                <w:sz w:val="20"/>
                <w:szCs w:val="20"/>
                <w:lang w:eastAsia="sk-SK"/>
              </w:rPr>
              <w:t>v tis. eur</w:t>
            </w:r>
          </w:p>
        </w:tc>
        <w:tc>
          <w:tcPr>
            <w:tcW w:w="1060" w:type="dxa"/>
            <w:tcBorders>
              <w:top w:val="nil"/>
              <w:left w:val="nil"/>
              <w:bottom w:val="nil"/>
              <w:right w:val="nil"/>
            </w:tcBorders>
            <w:shd w:val="clear" w:color="auto" w:fill="auto"/>
            <w:vAlign w:val="center"/>
            <w:hideMark/>
          </w:tcPr>
          <w:p w14:paraId="302D2A74"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2020</w:t>
            </w:r>
            <w:r w:rsidRPr="00E53736">
              <w:rPr>
                <w:rFonts w:eastAsia="Times New Roman" w:cs="Times New Roman"/>
                <w:b/>
                <w:bCs/>
                <w:color w:val="000000"/>
                <w:sz w:val="20"/>
                <w:szCs w:val="20"/>
                <w:lang w:eastAsia="sk-SK"/>
              </w:rPr>
              <w:t xml:space="preserve"> S</w:t>
            </w:r>
          </w:p>
        </w:tc>
        <w:tc>
          <w:tcPr>
            <w:tcW w:w="1060" w:type="dxa"/>
            <w:tcBorders>
              <w:top w:val="nil"/>
              <w:left w:val="nil"/>
              <w:bottom w:val="nil"/>
              <w:right w:val="nil"/>
            </w:tcBorders>
            <w:shd w:val="clear" w:color="auto" w:fill="auto"/>
            <w:vAlign w:val="center"/>
            <w:hideMark/>
          </w:tcPr>
          <w:p w14:paraId="4FC27CB5"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2021 S</w:t>
            </w:r>
          </w:p>
        </w:tc>
        <w:tc>
          <w:tcPr>
            <w:tcW w:w="1060" w:type="dxa"/>
            <w:tcBorders>
              <w:top w:val="nil"/>
              <w:left w:val="nil"/>
              <w:bottom w:val="nil"/>
              <w:right w:val="nil"/>
            </w:tcBorders>
            <w:shd w:val="clear" w:color="auto" w:fill="auto"/>
            <w:vAlign w:val="center"/>
            <w:hideMark/>
          </w:tcPr>
          <w:p w14:paraId="7337058D"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2022</w:t>
            </w:r>
            <w:r w:rsidRPr="00E53736">
              <w:rPr>
                <w:rFonts w:eastAsia="Times New Roman" w:cs="Times New Roman"/>
                <w:b/>
                <w:bCs/>
                <w:color w:val="000000"/>
                <w:sz w:val="20"/>
                <w:szCs w:val="20"/>
                <w:lang w:eastAsia="sk-SK"/>
              </w:rPr>
              <w:t xml:space="preserve"> R</w:t>
            </w:r>
          </w:p>
        </w:tc>
        <w:tc>
          <w:tcPr>
            <w:tcW w:w="1040" w:type="dxa"/>
            <w:tcBorders>
              <w:top w:val="nil"/>
              <w:left w:val="nil"/>
              <w:bottom w:val="nil"/>
              <w:right w:val="nil"/>
            </w:tcBorders>
            <w:shd w:val="clear" w:color="auto" w:fill="auto"/>
            <w:vAlign w:val="center"/>
            <w:hideMark/>
          </w:tcPr>
          <w:p w14:paraId="20DCF9FF"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2022</w:t>
            </w:r>
            <w:r w:rsidRPr="00E53736">
              <w:rPr>
                <w:rFonts w:eastAsia="Times New Roman" w:cs="Times New Roman"/>
                <w:b/>
                <w:bCs/>
                <w:color w:val="000000"/>
                <w:sz w:val="20"/>
                <w:szCs w:val="20"/>
                <w:lang w:eastAsia="sk-SK"/>
              </w:rPr>
              <w:t xml:space="preserve"> S</w:t>
            </w:r>
          </w:p>
        </w:tc>
        <w:tc>
          <w:tcPr>
            <w:tcW w:w="980" w:type="dxa"/>
            <w:tcBorders>
              <w:top w:val="nil"/>
              <w:left w:val="nil"/>
              <w:bottom w:val="nil"/>
              <w:right w:val="nil"/>
            </w:tcBorders>
            <w:shd w:val="clear" w:color="auto" w:fill="auto"/>
            <w:vAlign w:val="center"/>
            <w:hideMark/>
          </w:tcPr>
          <w:p w14:paraId="586F6435"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Rozdiel</w:t>
            </w:r>
          </w:p>
        </w:tc>
        <w:tc>
          <w:tcPr>
            <w:tcW w:w="753" w:type="dxa"/>
            <w:tcBorders>
              <w:top w:val="nil"/>
              <w:left w:val="nil"/>
              <w:bottom w:val="nil"/>
              <w:right w:val="nil"/>
            </w:tcBorders>
            <w:shd w:val="clear" w:color="auto" w:fill="auto"/>
            <w:vAlign w:val="center"/>
            <w:hideMark/>
          </w:tcPr>
          <w:p w14:paraId="4464246A"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sz w:val="20"/>
                <w:szCs w:val="20"/>
                <w:lang w:eastAsia="sk-SK"/>
              </w:rPr>
              <w:t xml:space="preserve">v </w:t>
            </w:r>
            <w:r w:rsidRPr="00E53736">
              <w:rPr>
                <w:rFonts w:eastAsia="Times New Roman" w:cs="Times New Roman"/>
                <w:b/>
                <w:bCs/>
                <w:color w:val="000000"/>
                <w:sz w:val="20"/>
                <w:szCs w:val="20"/>
                <w:lang w:eastAsia="sk-SK"/>
              </w:rPr>
              <w:t>%</w:t>
            </w:r>
          </w:p>
        </w:tc>
      </w:tr>
      <w:tr w:rsidR="004C3312" w:rsidRPr="00E53736" w14:paraId="77757925" w14:textId="77777777" w:rsidTr="004C3312">
        <w:trPr>
          <w:trHeight w:val="109"/>
        </w:trPr>
        <w:tc>
          <w:tcPr>
            <w:tcW w:w="3261" w:type="dxa"/>
            <w:vMerge/>
            <w:tcBorders>
              <w:left w:val="nil"/>
              <w:bottom w:val="single" w:sz="4" w:space="0" w:color="auto"/>
              <w:right w:val="nil"/>
            </w:tcBorders>
            <w:shd w:val="clear" w:color="auto" w:fill="auto"/>
            <w:vAlign w:val="center"/>
            <w:hideMark/>
          </w:tcPr>
          <w:p w14:paraId="33D50CF5" w14:textId="77777777" w:rsidR="004C3312" w:rsidRPr="00E53736" w:rsidRDefault="004C3312" w:rsidP="004C3312">
            <w:pPr>
              <w:spacing w:after="0" w:line="240" w:lineRule="auto"/>
              <w:jc w:val="left"/>
              <w:rPr>
                <w:rFonts w:eastAsia="Times New Roman" w:cs="Times New Roman"/>
                <w:b/>
                <w:color w:val="000000"/>
                <w:sz w:val="20"/>
                <w:szCs w:val="20"/>
                <w:lang w:eastAsia="sk-SK"/>
              </w:rPr>
            </w:pPr>
          </w:p>
        </w:tc>
        <w:tc>
          <w:tcPr>
            <w:tcW w:w="1060" w:type="dxa"/>
            <w:tcBorders>
              <w:top w:val="nil"/>
              <w:left w:val="nil"/>
              <w:bottom w:val="single" w:sz="4" w:space="0" w:color="auto"/>
              <w:right w:val="nil"/>
            </w:tcBorders>
            <w:shd w:val="clear" w:color="auto" w:fill="auto"/>
            <w:vAlign w:val="center"/>
            <w:hideMark/>
          </w:tcPr>
          <w:p w14:paraId="0F5ED578"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1</w:t>
            </w:r>
          </w:p>
        </w:tc>
        <w:tc>
          <w:tcPr>
            <w:tcW w:w="1060" w:type="dxa"/>
            <w:tcBorders>
              <w:top w:val="nil"/>
              <w:left w:val="nil"/>
              <w:bottom w:val="single" w:sz="4" w:space="0" w:color="auto"/>
              <w:right w:val="nil"/>
            </w:tcBorders>
            <w:shd w:val="clear" w:color="auto" w:fill="auto"/>
            <w:vAlign w:val="center"/>
            <w:hideMark/>
          </w:tcPr>
          <w:p w14:paraId="4430147E"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2</w:t>
            </w:r>
          </w:p>
        </w:tc>
        <w:tc>
          <w:tcPr>
            <w:tcW w:w="1060" w:type="dxa"/>
            <w:tcBorders>
              <w:top w:val="nil"/>
              <w:left w:val="nil"/>
              <w:bottom w:val="single" w:sz="4" w:space="0" w:color="auto"/>
              <w:right w:val="nil"/>
            </w:tcBorders>
            <w:shd w:val="clear" w:color="auto" w:fill="auto"/>
            <w:vAlign w:val="center"/>
            <w:hideMark/>
          </w:tcPr>
          <w:p w14:paraId="038EEC96"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3</w:t>
            </w:r>
          </w:p>
        </w:tc>
        <w:tc>
          <w:tcPr>
            <w:tcW w:w="1040" w:type="dxa"/>
            <w:tcBorders>
              <w:top w:val="nil"/>
              <w:left w:val="nil"/>
              <w:bottom w:val="single" w:sz="4" w:space="0" w:color="auto"/>
              <w:right w:val="nil"/>
            </w:tcBorders>
            <w:shd w:val="clear" w:color="auto" w:fill="auto"/>
            <w:vAlign w:val="center"/>
            <w:hideMark/>
          </w:tcPr>
          <w:p w14:paraId="1D16DC8F"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4</w:t>
            </w:r>
          </w:p>
        </w:tc>
        <w:tc>
          <w:tcPr>
            <w:tcW w:w="980" w:type="dxa"/>
            <w:tcBorders>
              <w:top w:val="nil"/>
              <w:left w:val="nil"/>
              <w:bottom w:val="single" w:sz="4" w:space="0" w:color="auto"/>
              <w:right w:val="nil"/>
            </w:tcBorders>
            <w:shd w:val="clear" w:color="auto" w:fill="auto"/>
            <w:vAlign w:val="center"/>
            <w:hideMark/>
          </w:tcPr>
          <w:p w14:paraId="111817EB"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5=4-3</w:t>
            </w:r>
          </w:p>
        </w:tc>
        <w:tc>
          <w:tcPr>
            <w:tcW w:w="753" w:type="dxa"/>
            <w:tcBorders>
              <w:top w:val="nil"/>
              <w:left w:val="nil"/>
              <w:bottom w:val="single" w:sz="4" w:space="0" w:color="auto"/>
              <w:right w:val="nil"/>
            </w:tcBorders>
            <w:shd w:val="clear" w:color="auto" w:fill="auto"/>
            <w:vAlign w:val="center"/>
            <w:hideMark/>
          </w:tcPr>
          <w:p w14:paraId="645A4E29" w14:textId="77777777" w:rsidR="004C3312" w:rsidRPr="00E53736" w:rsidRDefault="004C3312" w:rsidP="004C3312">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6=4-3</w:t>
            </w:r>
          </w:p>
        </w:tc>
      </w:tr>
      <w:tr w:rsidR="004C3312" w:rsidRPr="00CF58A3" w14:paraId="57130AAE" w14:textId="77777777" w:rsidTr="00517E1F">
        <w:trPr>
          <w:trHeight w:val="454"/>
        </w:trPr>
        <w:tc>
          <w:tcPr>
            <w:tcW w:w="3261" w:type="dxa"/>
            <w:tcBorders>
              <w:top w:val="nil"/>
              <w:left w:val="nil"/>
              <w:bottom w:val="nil"/>
              <w:right w:val="nil"/>
            </w:tcBorders>
            <w:shd w:val="clear" w:color="auto" w:fill="auto"/>
            <w:noWrap/>
            <w:vAlign w:val="center"/>
            <w:hideMark/>
          </w:tcPr>
          <w:p w14:paraId="70B5831D" w14:textId="77777777" w:rsidR="004C3312" w:rsidRPr="00E53736" w:rsidRDefault="004C3312" w:rsidP="004C3312">
            <w:pPr>
              <w:spacing w:after="0" w:line="240" w:lineRule="auto"/>
              <w:jc w:val="left"/>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Dane za tovary a služby</w:t>
            </w:r>
          </w:p>
        </w:tc>
        <w:tc>
          <w:tcPr>
            <w:tcW w:w="1060" w:type="dxa"/>
            <w:tcBorders>
              <w:top w:val="nil"/>
              <w:left w:val="nil"/>
              <w:bottom w:val="nil"/>
              <w:right w:val="nil"/>
            </w:tcBorders>
            <w:shd w:val="clear" w:color="auto" w:fill="auto"/>
            <w:noWrap/>
            <w:vAlign w:val="center"/>
            <w:hideMark/>
          </w:tcPr>
          <w:p w14:paraId="7E73E758"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sidRPr="00F82DBC">
              <w:rPr>
                <w:rFonts w:eastAsia="Calibri" w:cs="Times New Roman"/>
                <w:b/>
                <w:bCs/>
                <w:color w:val="000000"/>
                <w:sz w:val="18"/>
                <w:szCs w:val="18"/>
                <w:lang w:eastAsia="sk-SK"/>
              </w:rPr>
              <w:t>9 268 251</w:t>
            </w:r>
          </w:p>
        </w:tc>
        <w:tc>
          <w:tcPr>
            <w:tcW w:w="1060" w:type="dxa"/>
            <w:tcBorders>
              <w:top w:val="nil"/>
              <w:left w:val="nil"/>
              <w:bottom w:val="nil"/>
              <w:right w:val="nil"/>
            </w:tcBorders>
            <w:shd w:val="clear" w:color="auto" w:fill="auto"/>
            <w:noWrap/>
            <w:vAlign w:val="center"/>
            <w:hideMark/>
          </w:tcPr>
          <w:p w14:paraId="3F7F05E4" w14:textId="77777777" w:rsidR="004C3312" w:rsidRPr="00C106D5" w:rsidRDefault="004C3312" w:rsidP="004C3312">
            <w:pPr>
              <w:spacing w:after="0" w:line="240" w:lineRule="auto"/>
              <w:jc w:val="right"/>
              <w:rPr>
                <w:rFonts w:eastAsia="Times New Roman" w:cs="Times New Roman"/>
                <w:b/>
                <w:bCs/>
                <w:color w:val="000000"/>
                <w:sz w:val="18"/>
                <w:szCs w:val="18"/>
                <w:lang w:eastAsia="sk-SK"/>
              </w:rPr>
            </w:pPr>
            <w:r w:rsidRPr="00C106D5">
              <w:rPr>
                <w:rFonts w:eastAsia="Calibri" w:cs="Times New Roman"/>
                <w:b/>
                <w:bCs/>
                <w:color w:val="000000"/>
                <w:sz w:val="18"/>
                <w:szCs w:val="18"/>
                <w:lang w:eastAsia="sk-SK"/>
              </w:rPr>
              <w:t>10 327 344</w:t>
            </w:r>
          </w:p>
        </w:tc>
        <w:tc>
          <w:tcPr>
            <w:tcW w:w="1060" w:type="dxa"/>
            <w:tcBorders>
              <w:top w:val="nil"/>
              <w:left w:val="nil"/>
              <w:bottom w:val="nil"/>
              <w:right w:val="nil"/>
            </w:tcBorders>
            <w:shd w:val="clear" w:color="000000" w:fill="FFFFFF"/>
            <w:noWrap/>
            <w:vAlign w:val="center"/>
            <w:hideMark/>
          </w:tcPr>
          <w:p w14:paraId="0711DD77"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11 526 510</w:t>
            </w:r>
          </w:p>
        </w:tc>
        <w:tc>
          <w:tcPr>
            <w:tcW w:w="1040" w:type="dxa"/>
            <w:tcBorders>
              <w:top w:val="nil"/>
              <w:left w:val="nil"/>
              <w:bottom w:val="nil"/>
              <w:right w:val="nil"/>
            </w:tcBorders>
            <w:shd w:val="clear" w:color="auto" w:fill="auto"/>
            <w:noWrap/>
            <w:vAlign w:val="center"/>
            <w:hideMark/>
          </w:tcPr>
          <w:p w14:paraId="5369C558"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11 330 228</w:t>
            </w:r>
          </w:p>
        </w:tc>
        <w:tc>
          <w:tcPr>
            <w:tcW w:w="980" w:type="dxa"/>
            <w:tcBorders>
              <w:top w:val="nil"/>
              <w:left w:val="nil"/>
              <w:bottom w:val="nil"/>
              <w:right w:val="nil"/>
            </w:tcBorders>
            <w:shd w:val="clear" w:color="000000" w:fill="FFFFFF"/>
            <w:vAlign w:val="center"/>
            <w:hideMark/>
          </w:tcPr>
          <w:p w14:paraId="1BC493C4"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-196 282</w:t>
            </w:r>
          </w:p>
        </w:tc>
        <w:tc>
          <w:tcPr>
            <w:tcW w:w="753" w:type="dxa"/>
            <w:tcBorders>
              <w:top w:val="nil"/>
              <w:left w:val="nil"/>
              <w:bottom w:val="nil"/>
              <w:right w:val="nil"/>
            </w:tcBorders>
            <w:shd w:val="clear" w:color="000000" w:fill="FFFFFF"/>
            <w:vAlign w:val="center"/>
            <w:hideMark/>
          </w:tcPr>
          <w:p w14:paraId="5F659507"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-1,7</w:t>
            </w:r>
          </w:p>
        </w:tc>
      </w:tr>
      <w:tr w:rsidR="004C3312" w:rsidRPr="00CF58A3" w14:paraId="5E469829" w14:textId="77777777" w:rsidTr="004C3312">
        <w:trPr>
          <w:trHeight w:val="288"/>
        </w:trPr>
        <w:tc>
          <w:tcPr>
            <w:tcW w:w="3261" w:type="dxa"/>
            <w:tcBorders>
              <w:top w:val="nil"/>
              <w:left w:val="nil"/>
              <w:bottom w:val="nil"/>
              <w:right w:val="nil"/>
            </w:tcBorders>
            <w:shd w:val="clear" w:color="auto" w:fill="auto"/>
            <w:noWrap/>
            <w:vAlign w:val="center"/>
            <w:hideMark/>
          </w:tcPr>
          <w:p w14:paraId="108D8696" w14:textId="77777777" w:rsidR="004C3312" w:rsidRPr="00E53736" w:rsidRDefault="004C3312" w:rsidP="004C3312">
            <w:pPr>
              <w:spacing w:after="0" w:line="240" w:lineRule="auto"/>
              <w:jc w:val="left"/>
              <w:rPr>
                <w:rFonts w:eastAsia="Times New Roman" w:cs="Times New Roman"/>
                <w:color w:val="000000"/>
                <w:sz w:val="18"/>
                <w:szCs w:val="18"/>
                <w:lang w:eastAsia="sk-SK"/>
              </w:rPr>
            </w:pPr>
            <w:r w:rsidRPr="00E53736">
              <w:rPr>
                <w:rFonts w:eastAsia="Times New Roman" w:cs="Times New Roman"/>
                <w:color w:val="000000"/>
                <w:sz w:val="18"/>
                <w:szCs w:val="18"/>
                <w:lang w:eastAsia="sk-SK"/>
              </w:rPr>
              <w:t xml:space="preserve">v tom: </w:t>
            </w:r>
          </w:p>
        </w:tc>
        <w:tc>
          <w:tcPr>
            <w:tcW w:w="1060" w:type="dxa"/>
            <w:tcBorders>
              <w:top w:val="nil"/>
              <w:left w:val="nil"/>
              <w:bottom w:val="nil"/>
              <w:right w:val="nil"/>
            </w:tcBorders>
            <w:shd w:val="clear" w:color="auto" w:fill="auto"/>
            <w:noWrap/>
            <w:vAlign w:val="center"/>
            <w:hideMark/>
          </w:tcPr>
          <w:p w14:paraId="2070E603" w14:textId="77777777" w:rsidR="004C3312" w:rsidRPr="00CF58A3" w:rsidRDefault="004C3312" w:rsidP="004C3312">
            <w:pPr>
              <w:spacing w:after="0" w:line="240" w:lineRule="auto"/>
              <w:jc w:val="left"/>
              <w:rPr>
                <w:rFonts w:eastAsia="Times New Roman" w:cs="Times New Roman"/>
                <w:color w:val="000000"/>
                <w:sz w:val="18"/>
                <w:szCs w:val="18"/>
                <w:highlight w:val="yellow"/>
                <w:lang w:eastAsia="sk-SK"/>
              </w:rPr>
            </w:pPr>
          </w:p>
        </w:tc>
        <w:tc>
          <w:tcPr>
            <w:tcW w:w="1060" w:type="dxa"/>
            <w:tcBorders>
              <w:top w:val="nil"/>
              <w:left w:val="nil"/>
              <w:bottom w:val="nil"/>
              <w:right w:val="nil"/>
            </w:tcBorders>
            <w:shd w:val="clear" w:color="auto" w:fill="auto"/>
            <w:noWrap/>
            <w:vAlign w:val="center"/>
            <w:hideMark/>
          </w:tcPr>
          <w:p w14:paraId="2634B970" w14:textId="77777777" w:rsidR="004C3312" w:rsidRPr="00C106D5" w:rsidRDefault="004C3312" w:rsidP="004C3312">
            <w:pPr>
              <w:spacing w:after="0" w:line="240" w:lineRule="auto"/>
              <w:jc w:val="right"/>
              <w:rPr>
                <w:rFonts w:eastAsia="Times New Roman" w:cs="Times New Roman"/>
                <w:sz w:val="20"/>
                <w:szCs w:val="20"/>
                <w:lang w:eastAsia="sk-SK"/>
              </w:rPr>
            </w:pPr>
          </w:p>
        </w:tc>
        <w:tc>
          <w:tcPr>
            <w:tcW w:w="1060" w:type="dxa"/>
            <w:tcBorders>
              <w:top w:val="nil"/>
              <w:left w:val="nil"/>
              <w:bottom w:val="nil"/>
              <w:right w:val="nil"/>
            </w:tcBorders>
            <w:shd w:val="clear" w:color="auto" w:fill="auto"/>
            <w:noWrap/>
            <w:vAlign w:val="center"/>
            <w:hideMark/>
          </w:tcPr>
          <w:p w14:paraId="4FBAC7F1"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p>
        </w:tc>
        <w:tc>
          <w:tcPr>
            <w:tcW w:w="1040" w:type="dxa"/>
            <w:tcBorders>
              <w:top w:val="nil"/>
              <w:left w:val="nil"/>
              <w:bottom w:val="nil"/>
              <w:right w:val="nil"/>
            </w:tcBorders>
            <w:shd w:val="clear" w:color="auto" w:fill="auto"/>
            <w:noWrap/>
            <w:vAlign w:val="center"/>
            <w:hideMark/>
          </w:tcPr>
          <w:p w14:paraId="4B95429D"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p>
        </w:tc>
        <w:tc>
          <w:tcPr>
            <w:tcW w:w="980" w:type="dxa"/>
            <w:tcBorders>
              <w:top w:val="nil"/>
              <w:left w:val="nil"/>
              <w:bottom w:val="nil"/>
              <w:right w:val="nil"/>
            </w:tcBorders>
            <w:shd w:val="clear" w:color="000000" w:fill="FFFFFF"/>
            <w:noWrap/>
            <w:vAlign w:val="center"/>
            <w:hideMark/>
          </w:tcPr>
          <w:p w14:paraId="3829679D"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r>
              <w:rPr>
                <w:b/>
                <w:bCs/>
                <w:color w:val="000000"/>
                <w:sz w:val="18"/>
                <w:szCs w:val="18"/>
              </w:rPr>
              <w:t> </w:t>
            </w:r>
          </w:p>
        </w:tc>
        <w:tc>
          <w:tcPr>
            <w:tcW w:w="753" w:type="dxa"/>
            <w:tcBorders>
              <w:top w:val="nil"/>
              <w:left w:val="nil"/>
              <w:bottom w:val="nil"/>
              <w:right w:val="nil"/>
            </w:tcBorders>
            <w:shd w:val="clear" w:color="auto" w:fill="auto"/>
            <w:noWrap/>
            <w:vAlign w:val="center"/>
            <w:hideMark/>
          </w:tcPr>
          <w:p w14:paraId="2778BF10"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p>
        </w:tc>
      </w:tr>
      <w:tr w:rsidR="004C3312" w:rsidRPr="00CF58A3" w14:paraId="47419BF5" w14:textId="77777777" w:rsidTr="004C3312">
        <w:trPr>
          <w:trHeight w:val="288"/>
        </w:trPr>
        <w:tc>
          <w:tcPr>
            <w:tcW w:w="3261" w:type="dxa"/>
            <w:tcBorders>
              <w:top w:val="nil"/>
              <w:left w:val="nil"/>
              <w:bottom w:val="nil"/>
              <w:right w:val="nil"/>
            </w:tcBorders>
            <w:shd w:val="clear" w:color="auto" w:fill="auto"/>
            <w:noWrap/>
            <w:vAlign w:val="center"/>
            <w:hideMark/>
          </w:tcPr>
          <w:p w14:paraId="55484472" w14:textId="77777777" w:rsidR="004C3312" w:rsidRPr="00E53736" w:rsidRDefault="004C3312" w:rsidP="004C3312">
            <w:pPr>
              <w:spacing w:after="0" w:line="240" w:lineRule="auto"/>
              <w:jc w:val="left"/>
              <w:rPr>
                <w:rFonts w:eastAsia="Times New Roman" w:cs="Times New Roman"/>
                <w:i/>
                <w:iCs/>
                <w:color w:val="000000"/>
                <w:sz w:val="20"/>
                <w:szCs w:val="20"/>
                <w:lang w:eastAsia="sk-SK"/>
              </w:rPr>
            </w:pPr>
            <w:r w:rsidRPr="00E53736">
              <w:rPr>
                <w:rFonts w:eastAsia="Times New Roman" w:cs="Times New Roman"/>
                <w:i/>
                <w:iCs/>
                <w:color w:val="000000"/>
                <w:sz w:val="20"/>
                <w:szCs w:val="20"/>
                <w:lang w:eastAsia="sk-SK"/>
              </w:rPr>
              <w:t xml:space="preserve">     DPH</w:t>
            </w:r>
          </w:p>
        </w:tc>
        <w:tc>
          <w:tcPr>
            <w:tcW w:w="1060" w:type="dxa"/>
            <w:tcBorders>
              <w:top w:val="nil"/>
              <w:left w:val="nil"/>
              <w:bottom w:val="nil"/>
              <w:right w:val="nil"/>
            </w:tcBorders>
            <w:shd w:val="clear" w:color="auto" w:fill="auto"/>
            <w:noWrap/>
            <w:vAlign w:val="center"/>
            <w:hideMark/>
          </w:tcPr>
          <w:p w14:paraId="5076A44D"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Calibri" w:cs="Times New Roman"/>
                <w:color w:val="000000"/>
                <w:sz w:val="18"/>
                <w:szCs w:val="18"/>
                <w:lang w:eastAsia="sk-SK"/>
              </w:rPr>
              <w:t>6 791 757</w:t>
            </w:r>
          </w:p>
        </w:tc>
        <w:tc>
          <w:tcPr>
            <w:tcW w:w="1060" w:type="dxa"/>
            <w:tcBorders>
              <w:top w:val="nil"/>
              <w:left w:val="nil"/>
              <w:bottom w:val="nil"/>
              <w:right w:val="nil"/>
            </w:tcBorders>
            <w:shd w:val="clear" w:color="auto" w:fill="auto"/>
            <w:noWrap/>
            <w:vAlign w:val="center"/>
            <w:hideMark/>
          </w:tcPr>
          <w:p w14:paraId="728A0479" w14:textId="77777777" w:rsidR="004C3312" w:rsidRPr="00C106D5" w:rsidRDefault="004C3312" w:rsidP="004C3312">
            <w:pPr>
              <w:spacing w:after="0" w:line="240" w:lineRule="auto"/>
              <w:jc w:val="right"/>
              <w:rPr>
                <w:rFonts w:eastAsia="Times New Roman" w:cs="Times New Roman"/>
                <w:color w:val="000000"/>
                <w:sz w:val="18"/>
                <w:szCs w:val="18"/>
                <w:lang w:eastAsia="sk-SK"/>
              </w:rPr>
            </w:pPr>
            <w:r w:rsidRPr="00C106D5">
              <w:rPr>
                <w:rFonts w:eastAsia="Calibri" w:cs="Times New Roman"/>
                <w:color w:val="000000"/>
                <w:sz w:val="18"/>
                <w:szCs w:val="18"/>
                <w:lang w:eastAsia="sk-SK"/>
              </w:rPr>
              <w:t>7 760 691</w:t>
            </w:r>
          </w:p>
        </w:tc>
        <w:tc>
          <w:tcPr>
            <w:tcW w:w="1060" w:type="dxa"/>
            <w:tcBorders>
              <w:top w:val="nil"/>
              <w:left w:val="nil"/>
              <w:bottom w:val="nil"/>
              <w:right w:val="nil"/>
            </w:tcBorders>
            <w:shd w:val="clear" w:color="auto" w:fill="auto"/>
            <w:noWrap/>
            <w:vAlign w:val="center"/>
            <w:hideMark/>
          </w:tcPr>
          <w:p w14:paraId="33DA8261"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8 796 579</w:t>
            </w:r>
          </w:p>
        </w:tc>
        <w:tc>
          <w:tcPr>
            <w:tcW w:w="1040" w:type="dxa"/>
            <w:tcBorders>
              <w:top w:val="nil"/>
              <w:left w:val="nil"/>
              <w:bottom w:val="nil"/>
              <w:right w:val="nil"/>
            </w:tcBorders>
            <w:shd w:val="clear" w:color="auto" w:fill="auto"/>
            <w:noWrap/>
            <w:vAlign w:val="center"/>
            <w:hideMark/>
          </w:tcPr>
          <w:p w14:paraId="60C896C8"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8 584 936</w:t>
            </w:r>
          </w:p>
        </w:tc>
        <w:tc>
          <w:tcPr>
            <w:tcW w:w="980" w:type="dxa"/>
            <w:tcBorders>
              <w:top w:val="nil"/>
              <w:left w:val="nil"/>
              <w:bottom w:val="nil"/>
              <w:right w:val="nil"/>
            </w:tcBorders>
            <w:shd w:val="clear" w:color="000000" w:fill="FFFFFF"/>
            <w:noWrap/>
            <w:vAlign w:val="center"/>
            <w:hideMark/>
          </w:tcPr>
          <w:p w14:paraId="0A4D64CE"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-211 643</w:t>
            </w:r>
          </w:p>
        </w:tc>
        <w:tc>
          <w:tcPr>
            <w:tcW w:w="753" w:type="dxa"/>
            <w:tcBorders>
              <w:top w:val="nil"/>
              <w:left w:val="nil"/>
              <w:bottom w:val="nil"/>
              <w:right w:val="nil"/>
            </w:tcBorders>
            <w:shd w:val="clear" w:color="auto" w:fill="auto"/>
            <w:noWrap/>
            <w:vAlign w:val="center"/>
            <w:hideMark/>
          </w:tcPr>
          <w:p w14:paraId="5620E6C3"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-2,4</w:t>
            </w:r>
          </w:p>
        </w:tc>
      </w:tr>
      <w:tr w:rsidR="004C3312" w:rsidRPr="00CF58A3" w14:paraId="0D851498" w14:textId="77777777" w:rsidTr="004C3312">
        <w:trPr>
          <w:trHeight w:val="288"/>
        </w:trPr>
        <w:tc>
          <w:tcPr>
            <w:tcW w:w="3261" w:type="dxa"/>
            <w:tcBorders>
              <w:top w:val="nil"/>
              <w:left w:val="nil"/>
              <w:bottom w:val="nil"/>
              <w:right w:val="nil"/>
            </w:tcBorders>
            <w:shd w:val="clear" w:color="auto" w:fill="auto"/>
            <w:noWrap/>
            <w:vAlign w:val="center"/>
            <w:hideMark/>
          </w:tcPr>
          <w:p w14:paraId="3B08ED08" w14:textId="77777777" w:rsidR="004C3312" w:rsidRPr="00E53736" w:rsidRDefault="004C3312" w:rsidP="004C3312">
            <w:pPr>
              <w:spacing w:after="0" w:line="240" w:lineRule="auto"/>
              <w:jc w:val="left"/>
              <w:rPr>
                <w:rFonts w:eastAsia="Times New Roman" w:cs="Times New Roman"/>
                <w:i/>
                <w:iCs/>
                <w:color w:val="000000"/>
                <w:sz w:val="20"/>
                <w:szCs w:val="20"/>
                <w:lang w:eastAsia="sk-SK"/>
              </w:rPr>
            </w:pPr>
            <w:r w:rsidRPr="00E53736">
              <w:rPr>
                <w:rFonts w:eastAsia="Times New Roman" w:cs="Times New Roman"/>
                <w:i/>
                <w:iCs/>
                <w:color w:val="000000"/>
                <w:sz w:val="20"/>
                <w:szCs w:val="20"/>
                <w:lang w:eastAsia="sk-SK"/>
              </w:rPr>
              <w:t xml:space="preserve">     spotrebné dane</w:t>
            </w:r>
          </w:p>
        </w:tc>
        <w:tc>
          <w:tcPr>
            <w:tcW w:w="1060" w:type="dxa"/>
            <w:tcBorders>
              <w:top w:val="nil"/>
              <w:left w:val="nil"/>
              <w:bottom w:val="nil"/>
              <w:right w:val="nil"/>
            </w:tcBorders>
            <w:shd w:val="clear" w:color="auto" w:fill="auto"/>
            <w:noWrap/>
            <w:vAlign w:val="center"/>
            <w:hideMark/>
          </w:tcPr>
          <w:p w14:paraId="607A1C61"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Calibri" w:cs="Times New Roman"/>
                <w:color w:val="000000"/>
                <w:sz w:val="18"/>
                <w:szCs w:val="18"/>
                <w:lang w:eastAsia="sk-SK"/>
              </w:rPr>
              <w:t>2 257 738</w:t>
            </w:r>
          </w:p>
        </w:tc>
        <w:tc>
          <w:tcPr>
            <w:tcW w:w="1060" w:type="dxa"/>
            <w:tcBorders>
              <w:top w:val="nil"/>
              <w:left w:val="nil"/>
              <w:bottom w:val="nil"/>
              <w:right w:val="nil"/>
            </w:tcBorders>
            <w:shd w:val="clear" w:color="auto" w:fill="auto"/>
            <w:noWrap/>
            <w:vAlign w:val="center"/>
            <w:hideMark/>
          </w:tcPr>
          <w:p w14:paraId="479F9239"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Calibri" w:cs="Times New Roman"/>
                <w:color w:val="000000"/>
                <w:sz w:val="18"/>
                <w:szCs w:val="18"/>
                <w:lang w:eastAsia="sk-SK"/>
              </w:rPr>
              <w:t>2 369 824</w:t>
            </w:r>
          </w:p>
        </w:tc>
        <w:tc>
          <w:tcPr>
            <w:tcW w:w="1060" w:type="dxa"/>
            <w:tcBorders>
              <w:top w:val="nil"/>
              <w:left w:val="nil"/>
              <w:bottom w:val="nil"/>
              <w:right w:val="nil"/>
            </w:tcBorders>
            <w:shd w:val="clear" w:color="auto" w:fill="auto"/>
            <w:noWrap/>
            <w:vAlign w:val="center"/>
            <w:hideMark/>
          </w:tcPr>
          <w:p w14:paraId="4FB97E81"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2 512 063</w:t>
            </w:r>
          </w:p>
        </w:tc>
        <w:tc>
          <w:tcPr>
            <w:tcW w:w="1040" w:type="dxa"/>
            <w:tcBorders>
              <w:top w:val="nil"/>
              <w:left w:val="nil"/>
              <w:bottom w:val="nil"/>
              <w:right w:val="nil"/>
            </w:tcBorders>
            <w:shd w:val="clear" w:color="auto" w:fill="auto"/>
            <w:noWrap/>
            <w:vAlign w:val="center"/>
            <w:hideMark/>
          </w:tcPr>
          <w:p w14:paraId="1A3706FD"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2 524 521</w:t>
            </w:r>
          </w:p>
        </w:tc>
        <w:tc>
          <w:tcPr>
            <w:tcW w:w="980" w:type="dxa"/>
            <w:tcBorders>
              <w:top w:val="nil"/>
              <w:left w:val="nil"/>
              <w:bottom w:val="nil"/>
              <w:right w:val="nil"/>
            </w:tcBorders>
            <w:shd w:val="clear" w:color="000000" w:fill="FFFFFF"/>
            <w:vAlign w:val="center"/>
            <w:hideMark/>
          </w:tcPr>
          <w:p w14:paraId="4C13CF82"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12 458</w:t>
            </w:r>
          </w:p>
        </w:tc>
        <w:tc>
          <w:tcPr>
            <w:tcW w:w="753" w:type="dxa"/>
            <w:tcBorders>
              <w:top w:val="nil"/>
              <w:left w:val="nil"/>
              <w:bottom w:val="nil"/>
              <w:right w:val="nil"/>
            </w:tcBorders>
            <w:shd w:val="clear" w:color="000000" w:fill="FFFFFF"/>
            <w:vAlign w:val="center"/>
            <w:hideMark/>
          </w:tcPr>
          <w:p w14:paraId="2F0C7F86"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0,5</w:t>
            </w:r>
          </w:p>
        </w:tc>
      </w:tr>
      <w:tr w:rsidR="004C3312" w:rsidRPr="00CF58A3" w14:paraId="4EA0CEC7" w14:textId="77777777" w:rsidTr="004C3312">
        <w:trPr>
          <w:trHeight w:val="288"/>
        </w:trPr>
        <w:tc>
          <w:tcPr>
            <w:tcW w:w="3261" w:type="dxa"/>
            <w:tcBorders>
              <w:top w:val="nil"/>
              <w:left w:val="nil"/>
              <w:bottom w:val="nil"/>
              <w:right w:val="nil"/>
            </w:tcBorders>
            <w:shd w:val="clear" w:color="auto" w:fill="auto"/>
            <w:noWrap/>
            <w:vAlign w:val="center"/>
            <w:hideMark/>
          </w:tcPr>
          <w:p w14:paraId="4573C7B0" w14:textId="77777777" w:rsidR="004C3312" w:rsidRPr="00E53736" w:rsidRDefault="004C3312" w:rsidP="004C3312">
            <w:pPr>
              <w:spacing w:after="0" w:line="240" w:lineRule="auto"/>
              <w:jc w:val="left"/>
              <w:rPr>
                <w:rFonts w:eastAsia="Times New Roman" w:cs="Times New Roman"/>
                <w:color w:val="000000"/>
                <w:sz w:val="20"/>
                <w:szCs w:val="20"/>
                <w:lang w:eastAsia="sk-SK"/>
              </w:rPr>
            </w:pPr>
            <w:r w:rsidRPr="00E53736">
              <w:rPr>
                <w:rFonts w:eastAsia="Times New Roman" w:cs="Times New Roman"/>
                <w:color w:val="000000"/>
                <w:sz w:val="20"/>
                <w:szCs w:val="20"/>
                <w:lang w:eastAsia="sk-SK"/>
              </w:rPr>
              <w:t xml:space="preserve">v tom: </w:t>
            </w:r>
          </w:p>
        </w:tc>
        <w:tc>
          <w:tcPr>
            <w:tcW w:w="1060" w:type="dxa"/>
            <w:tcBorders>
              <w:top w:val="nil"/>
              <w:left w:val="nil"/>
              <w:bottom w:val="nil"/>
              <w:right w:val="nil"/>
            </w:tcBorders>
            <w:shd w:val="clear" w:color="auto" w:fill="auto"/>
            <w:noWrap/>
            <w:vAlign w:val="center"/>
            <w:hideMark/>
          </w:tcPr>
          <w:p w14:paraId="05C074D2" w14:textId="77777777" w:rsidR="004C3312" w:rsidRPr="00CF58A3" w:rsidRDefault="004C3312" w:rsidP="004C3312">
            <w:pPr>
              <w:spacing w:after="0" w:line="240" w:lineRule="auto"/>
              <w:jc w:val="left"/>
              <w:rPr>
                <w:rFonts w:eastAsia="Times New Roman" w:cs="Times New Roman"/>
                <w:color w:val="000000"/>
                <w:sz w:val="20"/>
                <w:szCs w:val="20"/>
                <w:highlight w:val="yellow"/>
                <w:lang w:eastAsia="sk-SK"/>
              </w:rPr>
            </w:pPr>
          </w:p>
        </w:tc>
        <w:tc>
          <w:tcPr>
            <w:tcW w:w="1060" w:type="dxa"/>
            <w:tcBorders>
              <w:top w:val="nil"/>
              <w:left w:val="nil"/>
              <w:bottom w:val="nil"/>
              <w:right w:val="nil"/>
            </w:tcBorders>
            <w:shd w:val="clear" w:color="auto" w:fill="auto"/>
            <w:noWrap/>
            <w:vAlign w:val="center"/>
            <w:hideMark/>
          </w:tcPr>
          <w:p w14:paraId="434E5383"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p>
        </w:tc>
        <w:tc>
          <w:tcPr>
            <w:tcW w:w="1060" w:type="dxa"/>
            <w:tcBorders>
              <w:top w:val="nil"/>
              <w:left w:val="nil"/>
              <w:bottom w:val="nil"/>
              <w:right w:val="nil"/>
            </w:tcBorders>
            <w:shd w:val="clear" w:color="auto" w:fill="auto"/>
            <w:noWrap/>
            <w:vAlign w:val="center"/>
            <w:hideMark/>
          </w:tcPr>
          <w:p w14:paraId="2EE69D69"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p>
        </w:tc>
        <w:tc>
          <w:tcPr>
            <w:tcW w:w="1040" w:type="dxa"/>
            <w:tcBorders>
              <w:top w:val="nil"/>
              <w:left w:val="nil"/>
              <w:bottom w:val="nil"/>
              <w:right w:val="nil"/>
            </w:tcBorders>
            <w:shd w:val="clear" w:color="auto" w:fill="auto"/>
            <w:noWrap/>
            <w:vAlign w:val="center"/>
            <w:hideMark/>
          </w:tcPr>
          <w:p w14:paraId="6031904C"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p>
        </w:tc>
        <w:tc>
          <w:tcPr>
            <w:tcW w:w="980" w:type="dxa"/>
            <w:tcBorders>
              <w:top w:val="nil"/>
              <w:left w:val="nil"/>
              <w:bottom w:val="nil"/>
              <w:right w:val="nil"/>
            </w:tcBorders>
            <w:shd w:val="clear" w:color="000000" w:fill="FFFFFF"/>
            <w:vAlign w:val="center"/>
            <w:hideMark/>
          </w:tcPr>
          <w:p w14:paraId="68799490"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 </w:t>
            </w:r>
          </w:p>
        </w:tc>
        <w:tc>
          <w:tcPr>
            <w:tcW w:w="753" w:type="dxa"/>
            <w:tcBorders>
              <w:top w:val="nil"/>
              <w:left w:val="nil"/>
              <w:bottom w:val="nil"/>
              <w:right w:val="nil"/>
            </w:tcBorders>
            <w:shd w:val="clear" w:color="000000" w:fill="FFFFFF"/>
            <w:vAlign w:val="center"/>
            <w:hideMark/>
          </w:tcPr>
          <w:p w14:paraId="1B455A2A"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 </w:t>
            </w:r>
          </w:p>
        </w:tc>
      </w:tr>
      <w:tr w:rsidR="004C3312" w:rsidRPr="00CF58A3" w14:paraId="5BBC36D4" w14:textId="77777777" w:rsidTr="00517E1F">
        <w:trPr>
          <w:trHeight w:val="289"/>
        </w:trPr>
        <w:tc>
          <w:tcPr>
            <w:tcW w:w="3261" w:type="dxa"/>
            <w:tcBorders>
              <w:top w:val="nil"/>
              <w:left w:val="nil"/>
              <w:bottom w:val="nil"/>
              <w:right w:val="nil"/>
            </w:tcBorders>
            <w:shd w:val="clear" w:color="auto" w:fill="auto"/>
            <w:noWrap/>
            <w:vAlign w:val="center"/>
            <w:hideMark/>
          </w:tcPr>
          <w:p w14:paraId="0A299A1D" w14:textId="77777777" w:rsidR="004C3312" w:rsidRPr="00E53736" w:rsidRDefault="004C3312" w:rsidP="004C3312">
            <w:pPr>
              <w:spacing w:after="0" w:line="240" w:lineRule="auto"/>
              <w:ind w:firstLineChars="100" w:firstLine="200"/>
              <w:jc w:val="left"/>
              <w:rPr>
                <w:rFonts w:eastAsia="Times New Roman" w:cs="Times New Roman"/>
                <w:i/>
                <w:iCs/>
                <w:sz w:val="20"/>
                <w:szCs w:val="20"/>
                <w:lang w:eastAsia="sk-SK"/>
              </w:rPr>
            </w:pPr>
            <w:r w:rsidRPr="00E53736">
              <w:rPr>
                <w:rFonts w:eastAsia="Times New Roman" w:cs="Times New Roman"/>
                <w:i/>
                <w:iCs/>
                <w:sz w:val="20"/>
                <w:szCs w:val="20"/>
                <w:lang w:eastAsia="sk-SK"/>
              </w:rPr>
              <w:t>z minerálneho oleja</w:t>
            </w:r>
          </w:p>
        </w:tc>
        <w:tc>
          <w:tcPr>
            <w:tcW w:w="1060" w:type="dxa"/>
            <w:tcBorders>
              <w:top w:val="nil"/>
              <w:left w:val="nil"/>
              <w:bottom w:val="nil"/>
              <w:right w:val="nil"/>
            </w:tcBorders>
            <w:shd w:val="clear" w:color="auto" w:fill="auto"/>
            <w:noWrap/>
            <w:vAlign w:val="center"/>
            <w:hideMark/>
          </w:tcPr>
          <w:p w14:paraId="7909FAA3"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1 199 259</w:t>
            </w:r>
          </w:p>
        </w:tc>
        <w:tc>
          <w:tcPr>
            <w:tcW w:w="1060" w:type="dxa"/>
            <w:tcBorders>
              <w:top w:val="nil"/>
              <w:left w:val="nil"/>
              <w:bottom w:val="nil"/>
              <w:right w:val="nil"/>
            </w:tcBorders>
            <w:shd w:val="clear" w:color="auto" w:fill="auto"/>
            <w:noWrap/>
            <w:vAlign w:val="center"/>
            <w:hideMark/>
          </w:tcPr>
          <w:p w14:paraId="0EE13096"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1 236 780</w:t>
            </w:r>
          </w:p>
        </w:tc>
        <w:tc>
          <w:tcPr>
            <w:tcW w:w="1060" w:type="dxa"/>
            <w:tcBorders>
              <w:top w:val="nil"/>
              <w:left w:val="nil"/>
              <w:bottom w:val="nil"/>
              <w:right w:val="nil"/>
            </w:tcBorders>
            <w:shd w:val="clear" w:color="auto" w:fill="auto"/>
            <w:noWrap/>
            <w:vAlign w:val="center"/>
            <w:hideMark/>
          </w:tcPr>
          <w:p w14:paraId="70119739"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1 286 685</w:t>
            </w:r>
          </w:p>
        </w:tc>
        <w:tc>
          <w:tcPr>
            <w:tcW w:w="1040" w:type="dxa"/>
            <w:tcBorders>
              <w:top w:val="nil"/>
              <w:left w:val="nil"/>
              <w:bottom w:val="nil"/>
              <w:right w:val="nil"/>
            </w:tcBorders>
            <w:shd w:val="clear" w:color="auto" w:fill="auto"/>
            <w:noWrap/>
            <w:vAlign w:val="center"/>
            <w:hideMark/>
          </w:tcPr>
          <w:p w14:paraId="6DE35067"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1 285 538</w:t>
            </w:r>
          </w:p>
        </w:tc>
        <w:tc>
          <w:tcPr>
            <w:tcW w:w="980" w:type="dxa"/>
            <w:tcBorders>
              <w:top w:val="nil"/>
              <w:left w:val="nil"/>
              <w:bottom w:val="nil"/>
              <w:right w:val="nil"/>
            </w:tcBorders>
            <w:shd w:val="clear" w:color="000000" w:fill="FFFFFF"/>
            <w:vAlign w:val="center"/>
            <w:hideMark/>
          </w:tcPr>
          <w:p w14:paraId="4490726F"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-1 147</w:t>
            </w:r>
          </w:p>
        </w:tc>
        <w:tc>
          <w:tcPr>
            <w:tcW w:w="753" w:type="dxa"/>
            <w:tcBorders>
              <w:top w:val="nil"/>
              <w:left w:val="nil"/>
              <w:bottom w:val="nil"/>
              <w:right w:val="nil"/>
            </w:tcBorders>
            <w:shd w:val="clear" w:color="auto" w:fill="auto"/>
            <w:noWrap/>
            <w:vAlign w:val="center"/>
            <w:hideMark/>
          </w:tcPr>
          <w:p w14:paraId="7482DF44"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0,4</w:t>
            </w:r>
          </w:p>
        </w:tc>
      </w:tr>
      <w:tr w:rsidR="004C3312" w:rsidRPr="00CF58A3" w14:paraId="4967EF2F" w14:textId="77777777" w:rsidTr="00517E1F">
        <w:trPr>
          <w:trHeight w:val="289"/>
        </w:trPr>
        <w:tc>
          <w:tcPr>
            <w:tcW w:w="3261" w:type="dxa"/>
            <w:tcBorders>
              <w:top w:val="nil"/>
              <w:left w:val="nil"/>
              <w:bottom w:val="nil"/>
              <w:right w:val="nil"/>
            </w:tcBorders>
            <w:shd w:val="clear" w:color="auto" w:fill="auto"/>
            <w:noWrap/>
            <w:vAlign w:val="center"/>
            <w:hideMark/>
          </w:tcPr>
          <w:p w14:paraId="5E90380F" w14:textId="77777777" w:rsidR="004C3312" w:rsidRPr="00E53736" w:rsidRDefault="004C3312" w:rsidP="004C3312">
            <w:pPr>
              <w:spacing w:after="0" w:line="240" w:lineRule="auto"/>
              <w:ind w:firstLineChars="100" w:firstLine="200"/>
              <w:jc w:val="left"/>
              <w:rPr>
                <w:rFonts w:eastAsia="Times New Roman" w:cs="Times New Roman"/>
                <w:i/>
                <w:iCs/>
                <w:sz w:val="20"/>
                <w:szCs w:val="20"/>
                <w:lang w:eastAsia="sk-SK"/>
              </w:rPr>
            </w:pPr>
            <w:r w:rsidRPr="00E53736">
              <w:rPr>
                <w:rFonts w:eastAsia="Times New Roman" w:cs="Times New Roman"/>
                <w:i/>
                <w:iCs/>
                <w:sz w:val="20"/>
                <w:szCs w:val="20"/>
                <w:lang w:eastAsia="sk-SK"/>
              </w:rPr>
              <w:t>z liehu</w:t>
            </w:r>
          </w:p>
        </w:tc>
        <w:tc>
          <w:tcPr>
            <w:tcW w:w="1060" w:type="dxa"/>
            <w:tcBorders>
              <w:top w:val="nil"/>
              <w:left w:val="nil"/>
              <w:bottom w:val="nil"/>
              <w:right w:val="nil"/>
            </w:tcBorders>
            <w:shd w:val="clear" w:color="auto" w:fill="auto"/>
            <w:noWrap/>
            <w:vAlign w:val="center"/>
            <w:hideMark/>
          </w:tcPr>
          <w:p w14:paraId="5DC37781"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206 554</w:t>
            </w:r>
          </w:p>
        </w:tc>
        <w:tc>
          <w:tcPr>
            <w:tcW w:w="1060" w:type="dxa"/>
            <w:tcBorders>
              <w:top w:val="nil"/>
              <w:left w:val="nil"/>
              <w:bottom w:val="nil"/>
              <w:right w:val="nil"/>
            </w:tcBorders>
            <w:shd w:val="clear" w:color="auto" w:fill="auto"/>
            <w:noWrap/>
            <w:vAlign w:val="center"/>
            <w:hideMark/>
          </w:tcPr>
          <w:p w14:paraId="2ECC8AD2"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214 776</w:t>
            </w:r>
          </w:p>
        </w:tc>
        <w:tc>
          <w:tcPr>
            <w:tcW w:w="1060" w:type="dxa"/>
            <w:tcBorders>
              <w:top w:val="nil"/>
              <w:left w:val="nil"/>
              <w:bottom w:val="nil"/>
              <w:right w:val="nil"/>
            </w:tcBorders>
            <w:shd w:val="clear" w:color="auto" w:fill="auto"/>
            <w:noWrap/>
            <w:vAlign w:val="center"/>
            <w:hideMark/>
          </w:tcPr>
          <w:p w14:paraId="77F676E6"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222 395</w:t>
            </w:r>
          </w:p>
        </w:tc>
        <w:tc>
          <w:tcPr>
            <w:tcW w:w="1040" w:type="dxa"/>
            <w:tcBorders>
              <w:top w:val="nil"/>
              <w:left w:val="nil"/>
              <w:bottom w:val="nil"/>
              <w:right w:val="nil"/>
            </w:tcBorders>
            <w:shd w:val="clear" w:color="auto" w:fill="auto"/>
            <w:noWrap/>
            <w:vAlign w:val="center"/>
            <w:hideMark/>
          </w:tcPr>
          <w:p w14:paraId="453C42E0"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232 466</w:t>
            </w:r>
          </w:p>
        </w:tc>
        <w:tc>
          <w:tcPr>
            <w:tcW w:w="980" w:type="dxa"/>
            <w:tcBorders>
              <w:top w:val="nil"/>
              <w:left w:val="nil"/>
              <w:bottom w:val="nil"/>
              <w:right w:val="nil"/>
            </w:tcBorders>
            <w:shd w:val="clear" w:color="000000" w:fill="FFFFFF"/>
            <w:vAlign w:val="center"/>
            <w:hideMark/>
          </w:tcPr>
          <w:p w14:paraId="33DE65D1"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10 071</w:t>
            </w:r>
          </w:p>
        </w:tc>
        <w:tc>
          <w:tcPr>
            <w:tcW w:w="753" w:type="dxa"/>
            <w:tcBorders>
              <w:top w:val="nil"/>
              <w:left w:val="nil"/>
              <w:bottom w:val="nil"/>
              <w:right w:val="nil"/>
            </w:tcBorders>
            <w:shd w:val="clear" w:color="auto" w:fill="auto"/>
            <w:noWrap/>
            <w:vAlign w:val="center"/>
            <w:hideMark/>
          </w:tcPr>
          <w:p w14:paraId="75F4BF9D"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4,5</w:t>
            </w:r>
          </w:p>
        </w:tc>
      </w:tr>
      <w:tr w:rsidR="004C3312" w:rsidRPr="00CF58A3" w14:paraId="2B40785E" w14:textId="77777777" w:rsidTr="004C3312">
        <w:trPr>
          <w:trHeight w:val="288"/>
        </w:trPr>
        <w:tc>
          <w:tcPr>
            <w:tcW w:w="3261" w:type="dxa"/>
            <w:tcBorders>
              <w:top w:val="nil"/>
              <w:left w:val="nil"/>
              <w:bottom w:val="nil"/>
              <w:right w:val="nil"/>
            </w:tcBorders>
            <w:shd w:val="clear" w:color="auto" w:fill="auto"/>
            <w:noWrap/>
            <w:vAlign w:val="center"/>
            <w:hideMark/>
          </w:tcPr>
          <w:p w14:paraId="334FAF5F" w14:textId="77777777" w:rsidR="004C3312" w:rsidRPr="00E53736" w:rsidRDefault="004C3312" w:rsidP="004C3312">
            <w:pPr>
              <w:spacing w:after="0" w:line="240" w:lineRule="auto"/>
              <w:ind w:firstLineChars="100" w:firstLine="200"/>
              <w:jc w:val="left"/>
              <w:rPr>
                <w:rFonts w:eastAsia="Times New Roman" w:cs="Times New Roman"/>
                <w:i/>
                <w:iCs/>
                <w:sz w:val="20"/>
                <w:szCs w:val="20"/>
                <w:lang w:eastAsia="sk-SK"/>
              </w:rPr>
            </w:pPr>
            <w:r w:rsidRPr="00E53736">
              <w:rPr>
                <w:rFonts w:eastAsia="Times New Roman" w:cs="Times New Roman"/>
                <w:i/>
                <w:iCs/>
                <w:sz w:val="20"/>
                <w:szCs w:val="20"/>
                <w:lang w:eastAsia="sk-SK"/>
              </w:rPr>
              <w:t>z piva</w:t>
            </w:r>
          </w:p>
        </w:tc>
        <w:tc>
          <w:tcPr>
            <w:tcW w:w="1060" w:type="dxa"/>
            <w:tcBorders>
              <w:top w:val="nil"/>
              <w:left w:val="nil"/>
              <w:bottom w:val="nil"/>
              <w:right w:val="nil"/>
            </w:tcBorders>
            <w:shd w:val="clear" w:color="auto" w:fill="auto"/>
            <w:noWrap/>
            <w:vAlign w:val="center"/>
            <w:hideMark/>
          </w:tcPr>
          <w:p w14:paraId="1307AC6D"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56 923</w:t>
            </w:r>
          </w:p>
        </w:tc>
        <w:tc>
          <w:tcPr>
            <w:tcW w:w="1060" w:type="dxa"/>
            <w:tcBorders>
              <w:top w:val="nil"/>
              <w:left w:val="nil"/>
              <w:bottom w:val="nil"/>
              <w:right w:val="nil"/>
            </w:tcBorders>
            <w:shd w:val="clear" w:color="auto" w:fill="auto"/>
            <w:noWrap/>
            <w:vAlign w:val="center"/>
            <w:hideMark/>
          </w:tcPr>
          <w:p w14:paraId="286E8E11"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55 317</w:t>
            </w:r>
          </w:p>
        </w:tc>
        <w:tc>
          <w:tcPr>
            <w:tcW w:w="1060" w:type="dxa"/>
            <w:tcBorders>
              <w:top w:val="nil"/>
              <w:left w:val="nil"/>
              <w:bottom w:val="nil"/>
              <w:right w:val="nil"/>
            </w:tcBorders>
            <w:shd w:val="clear" w:color="auto" w:fill="auto"/>
            <w:noWrap/>
            <w:vAlign w:val="center"/>
            <w:hideMark/>
          </w:tcPr>
          <w:p w14:paraId="344CEC0E"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56 029</w:t>
            </w:r>
          </w:p>
        </w:tc>
        <w:tc>
          <w:tcPr>
            <w:tcW w:w="1040" w:type="dxa"/>
            <w:tcBorders>
              <w:top w:val="nil"/>
              <w:left w:val="nil"/>
              <w:bottom w:val="nil"/>
              <w:right w:val="nil"/>
            </w:tcBorders>
            <w:shd w:val="clear" w:color="auto" w:fill="auto"/>
            <w:noWrap/>
            <w:vAlign w:val="center"/>
            <w:hideMark/>
          </w:tcPr>
          <w:p w14:paraId="0608B2AD"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55 873</w:t>
            </w:r>
          </w:p>
        </w:tc>
        <w:tc>
          <w:tcPr>
            <w:tcW w:w="980" w:type="dxa"/>
            <w:tcBorders>
              <w:top w:val="nil"/>
              <w:left w:val="nil"/>
              <w:bottom w:val="nil"/>
              <w:right w:val="nil"/>
            </w:tcBorders>
            <w:shd w:val="clear" w:color="000000" w:fill="FFFFFF"/>
            <w:vAlign w:val="center"/>
            <w:hideMark/>
          </w:tcPr>
          <w:p w14:paraId="16BB454E"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-156</w:t>
            </w:r>
          </w:p>
        </w:tc>
        <w:tc>
          <w:tcPr>
            <w:tcW w:w="753" w:type="dxa"/>
            <w:tcBorders>
              <w:top w:val="nil"/>
              <w:left w:val="nil"/>
              <w:bottom w:val="nil"/>
              <w:right w:val="nil"/>
            </w:tcBorders>
            <w:shd w:val="clear" w:color="auto" w:fill="auto"/>
            <w:noWrap/>
            <w:vAlign w:val="center"/>
            <w:hideMark/>
          </w:tcPr>
          <w:p w14:paraId="295E8C7E"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-0,3</w:t>
            </w:r>
          </w:p>
        </w:tc>
      </w:tr>
      <w:tr w:rsidR="004C3312" w:rsidRPr="00CF58A3" w14:paraId="2AD94478" w14:textId="77777777" w:rsidTr="004C3312">
        <w:trPr>
          <w:trHeight w:val="288"/>
        </w:trPr>
        <w:tc>
          <w:tcPr>
            <w:tcW w:w="3261" w:type="dxa"/>
            <w:tcBorders>
              <w:top w:val="nil"/>
              <w:left w:val="nil"/>
              <w:bottom w:val="nil"/>
              <w:right w:val="nil"/>
            </w:tcBorders>
            <w:shd w:val="clear" w:color="auto" w:fill="auto"/>
            <w:noWrap/>
            <w:vAlign w:val="center"/>
            <w:hideMark/>
          </w:tcPr>
          <w:p w14:paraId="635689A2" w14:textId="77777777" w:rsidR="004C3312" w:rsidRPr="00E53736" w:rsidRDefault="004C3312" w:rsidP="004C3312">
            <w:pPr>
              <w:spacing w:after="0" w:line="240" w:lineRule="auto"/>
              <w:ind w:firstLineChars="100" w:firstLine="200"/>
              <w:jc w:val="left"/>
              <w:rPr>
                <w:rFonts w:eastAsia="Times New Roman" w:cs="Times New Roman"/>
                <w:i/>
                <w:iCs/>
                <w:sz w:val="20"/>
                <w:szCs w:val="20"/>
                <w:lang w:eastAsia="sk-SK"/>
              </w:rPr>
            </w:pPr>
            <w:r w:rsidRPr="00E53736">
              <w:rPr>
                <w:rFonts w:eastAsia="Times New Roman" w:cs="Times New Roman"/>
                <w:i/>
                <w:iCs/>
                <w:sz w:val="20"/>
                <w:szCs w:val="20"/>
                <w:lang w:eastAsia="sk-SK"/>
              </w:rPr>
              <w:t>z vína</w:t>
            </w:r>
          </w:p>
        </w:tc>
        <w:tc>
          <w:tcPr>
            <w:tcW w:w="1060" w:type="dxa"/>
            <w:tcBorders>
              <w:top w:val="nil"/>
              <w:left w:val="nil"/>
              <w:bottom w:val="nil"/>
              <w:right w:val="nil"/>
            </w:tcBorders>
            <w:shd w:val="clear" w:color="auto" w:fill="auto"/>
            <w:noWrap/>
            <w:vAlign w:val="center"/>
            <w:hideMark/>
          </w:tcPr>
          <w:p w14:paraId="09EB03BE"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4 814</w:t>
            </w:r>
          </w:p>
        </w:tc>
        <w:tc>
          <w:tcPr>
            <w:tcW w:w="1060" w:type="dxa"/>
            <w:tcBorders>
              <w:top w:val="nil"/>
              <w:left w:val="nil"/>
              <w:bottom w:val="nil"/>
              <w:right w:val="nil"/>
            </w:tcBorders>
            <w:shd w:val="clear" w:color="auto" w:fill="auto"/>
            <w:noWrap/>
            <w:vAlign w:val="center"/>
            <w:hideMark/>
          </w:tcPr>
          <w:p w14:paraId="17FB351E"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5 146</w:t>
            </w:r>
          </w:p>
        </w:tc>
        <w:tc>
          <w:tcPr>
            <w:tcW w:w="1060" w:type="dxa"/>
            <w:tcBorders>
              <w:top w:val="nil"/>
              <w:left w:val="nil"/>
              <w:bottom w:val="nil"/>
              <w:right w:val="nil"/>
            </w:tcBorders>
            <w:shd w:val="clear" w:color="auto" w:fill="auto"/>
            <w:noWrap/>
            <w:vAlign w:val="center"/>
            <w:hideMark/>
          </w:tcPr>
          <w:p w14:paraId="1B317001"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5 173</w:t>
            </w:r>
          </w:p>
        </w:tc>
        <w:tc>
          <w:tcPr>
            <w:tcW w:w="1040" w:type="dxa"/>
            <w:tcBorders>
              <w:top w:val="nil"/>
              <w:left w:val="nil"/>
              <w:bottom w:val="nil"/>
              <w:right w:val="nil"/>
            </w:tcBorders>
            <w:shd w:val="clear" w:color="auto" w:fill="auto"/>
            <w:noWrap/>
            <w:vAlign w:val="center"/>
            <w:hideMark/>
          </w:tcPr>
          <w:p w14:paraId="52A2A15E"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5 013</w:t>
            </w:r>
          </w:p>
        </w:tc>
        <w:tc>
          <w:tcPr>
            <w:tcW w:w="980" w:type="dxa"/>
            <w:tcBorders>
              <w:top w:val="nil"/>
              <w:left w:val="nil"/>
              <w:bottom w:val="nil"/>
              <w:right w:val="nil"/>
            </w:tcBorders>
            <w:shd w:val="clear" w:color="000000" w:fill="FFFFFF"/>
            <w:vAlign w:val="center"/>
            <w:hideMark/>
          </w:tcPr>
          <w:p w14:paraId="4415662B"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-160</w:t>
            </w:r>
          </w:p>
        </w:tc>
        <w:tc>
          <w:tcPr>
            <w:tcW w:w="753" w:type="dxa"/>
            <w:tcBorders>
              <w:top w:val="nil"/>
              <w:left w:val="nil"/>
              <w:bottom w:val="nil"/>
              <w:right w:val="nil"/>
            </w:tcBorders>
            <w:shd w:val="clear" w:color="auto" w:fill="auto"/>
            <w:noWrap/>
            <w:vAlign w:val="center"/>
            <w:hideMark/>
          </w:tcPr>
          <w:p w14:paraId="03FD635B"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-3,1</w:t>
            </w:r>
          </w:p>
        </w:tc>
      </w:tr>
      <w:tr w:rsidR="004C3312" w:rsidRPr="00CF58A3" w14:paraId="41D8820C" w14:textId="77777777" w:rsidTr="00857C22">
        <w:trPr>
          <w:trHeight w:val="288"/>
        </w:trPr>
        <w:tc>
          <w:tcPr>
            <w:tcW w:w="3261" w:type="dxa"/>
            <w:tcBorders>
              <w:top w:val="nil"/>
              <w:left w:val="nil"/>
              <w:bottom w:val="single" w:sz="4" w:space="0" w:color="auto"/>
              <w:right w:val="nil"/>
            </w:tcBorders>
            <w:shd w:val="clear" w:color="auto" w:fill="auto"/>
            <w:noWrap/>
            <w:vAlign w:val="center"/>
            <w:hideMark/>
          </w:tcPr>
          <w:p w14:paraId="6C248216" w14:textId="77777777" w:rsidR="004C3312" w:rsidRPr="00E53736" w:rsidRDefault="004C3312" w:rsidP="004C3312">
            <w:pPr>
              <w:spacing w:after="0" w:line="240" w:lineRule="auto"/>
              <w:ind w:firstLineChars="100" w:firstLine="200"/>
              <w:jc w:val="left"/>
              <w:rPr>
                <w:rFonts w:eastAsia="Times New Roman" w:cs="Times New Roman"/>
                <w:i/>
                <w:iCs/>
                <w:sz w:val="20"/>
                <w:szCs w:val="20"/>
                <w:lang w:eastAsia="sk-SK"/>
              </w:rPr>
            </w:pPr>
            <w:r w:rsidRPr="00E53736">
              <w:rPr>
                <w:rFonts w:eastAsia="Times New Roman" w:cs="Times New Roman"/>
                <w:i/>
                <w:iCs/>
                <w:sz w:val="20"/>
                <w:szCs w:val="20"/>
                <w:lang w:eastAsia="sk-SK"/>
              </w:rPr>
              <w:t>z tabakových výrobkov</w:t>
            </w:r>
          </w:p>
        </w:tc>
        <w:tc>
          <w:tcPr>
            <w:tcW w:w="1060" w:type="dxa"/>
            <w:tcBorders>
              <w:top w:val="nil"/>
              <w:left w:val="nil"/>
              <w:bottom w:val="single" w:sz="4" w:space="0" w:color="auto"/>
              <w:right w:val="nil"/>
            </w:tcBorders>
            <w:shd w:val="clear" w:color="auto" w:fill="auto"/>
            <w:noWrap/>
            <w:vAlign w:val="center"/>
            <w:hideMark/>
          </w:tcPr>
          <w:p w14:paraId="4F9F85AB"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754 285</w:t>
            </w:r>
          </w:p>
        </w:tc>
        <w:tc>
          <w:tcPr>
            <w:tcW w:w="1060" w:type="dxa"/>
            <w:tcBorders>
              <w:top w:val="nil"/>
              <w:left w:val="nil"/>
              <w:bottom w:val="single" w:sz="4" w:space="0" w:color="auto"/>
              <w:right w:val="nil"/>
            </w:tcBorders>
            <w:shd w:val="clear" w:color="auto" w:fill="auto"/>
            <w:noWrap/>
            <w:vAlign w:val="center"/>
            <w:hideMark/>
          </w:tcPr>
          <w:p w14:paraId="35D7DEBE"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823 107</w:t>
            </w:r>
          </w:p>
        </w:tc>
        <w:tc>
          <w:tcPr>
            <w:tcW w:w="1060" w:type="dxa"/>
            <w:tcBorders>
              <w:top w:val="nil"/>
              <w:left w:val="nil"/>
              <w:bottom w:val="single" w:sz="4" w:space="0" w:color="auto"/>
              <w:right w:val="nil"/>
            </w:tcBorders>
            <w:shd w:val="clear" w:color="auto" w:fill="auto"/>
            <w:noWrap/>
            <w:vAlign w:val="center"/>
            <w:hideMark/>
          </w:tcPr>
          <w:p w14:paraId="3588EEE6"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904 464</w:t>
            </w:r>
          </w:p>
        </w:tc>
        <w:tc>
          <w:tcPr>
            <w:tcW w:w="1040" w:type="dxa"/>
            <w:tcBorders>
              <w:top w:val="nil"/>
              <w:left w:val="nil"/>
              <w:bottom w:val="single" w:sz="4" w:space="0" w:color="auto"/>
              <w:right w:val="nil"/>
            </w:tcBorders>
            <w:shd w:val="clear" w:color="auto" w:fill="auto"/>
            <w:noWrap/>
            <w:vAlign w:val="center"/>
            <w:hideMark/>
          </w:tcPr>
          <w:p w14:paraId="6141B928"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909 087</w:t>
            </w:r>
          </w:p>
        </w:tc>
        <w:tc>
          <w:tcPr>
            <w:tcW w:w="980" w:type="dxa"/>
            <w:tcBorders>
              <w:top w:val="nil"/>
              <w:left w:val="nil"/>
              <w:bottom w:val="single" w:sz="4" w:space="0" w:color="auto"/>
              <w:right w:val="nil"/>
            </w:tcBorders>
            <w:shd w:val="clear" w:color="000000" w:fill="FFFFFF"/>
            <w:vAlign w:val="center"/>
            <w:hideMark/>
          </w:tcPr>
          <w:p w14:paraId="316917F0"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4 623</w:t>
            </w:r>
          </w:p>
        </w:tc>
        <w:tc>
          <w:tcPr>
            <w:tcW w:w="753" w:type="dxa"/>
            <w:tcBorders>
              <w:top w:val="nil"/>
              <w:left w:val="nil"/>
              <w:bottom w:val="single" w:sz="4" w:space="0" w:color="auto"/>
              <w:right w:val="nil"/>
            </w:tcBorders>
            <w:shd w:val="clear" w:color="auto" w:fill="auto"/>
            <w:noWrap/>
            <w:vAlign w:val="center"/>
            <w:hideMark/>
          </w:tcPr>
          <w:p w14:paraId="27C814F3"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0,5</w:t>
            </w:r>
          </w:p>
        </w:tc>
      </w:tr>
      <w:tr w:rsidR="00857C22" w:rsidRPr="00E53736" w14:paraId="18764A22" w14:textId="77777777" w:rsidTr="00857C22">
        <w:trPr>
          <w:trHeight w:val="348"/>
        </w:trPr>
        <w:tc>
          <w:tcPr>
            <w:tcW w:w="3261" w:type="dxa"/>
            <w:tcBorders>
              <w:top w:val="single" w:sz="4" w:space="0" w:color="auto"/>
              <w:left w:val="nil"/>
              <w:right w:val="nil"/>
            </w:tcBorders>
            <w:shd w:val="clear" w:color="auto" w:fill="auto"/>
            <w:vAlign w:val="center"/>
            <w:hideMark/>
          </w:tcPr>
          <w:p w14:paraId="04839FCB" w14:textId="77777777" w:rsidR="00857C22" w:rsidRPr="00E53736" w:rsidRDefault="00857C22" w:rsidP="007475A0">
            <w:pPr>
              <w:spacing w:after="0" w:line="240" w:lineRule="auto"/>
              <w:jc w:val="left"/>
              <w:rPr>
                <w:rFonts w:eastAsia="Times New Roman" w:cs="Times New Roman"/>
                <w:b/>
                <w:bCs/>
                <w:color w:val="000000"/>
                <w:lang w:eastAsia="sk-SK"/>
              </w:rPr>
            </w:pPr>
            <w:r w:rsidRPr="00E53736">
              <w:rPr>
                <w:rFonts w:eastAsia="Times New Roman" w:cs="Times New Roman"/>
                <w:b/>
                <w:color w:val="000000"/>
                <w:sz w:val="20"/>
                <w:szCs w:val="20"/>
                <w:lang w:eastAsia="sk-SK"/>
              </w:rPr>
              <w:lastRenderedPageBreak/>
              <w:t>v tis. eur</w:t>
            </w:r>
          </w:p>
        </w:tc>
        <w:tc>
          <w:tcPr>
            <w:tcW w:w="1060" w:type="dxa"/>
            <w:tcBorders>
              <w:top w:val="single" w:sz="4" w:space="0" w:color="auto"/>
              <w:left w:val="nil"/>
              <w:right w:val="nil"/>
            </w:tcBorders>
            <w:shd w:val="clear" w:color="auto" w:fill="auto"/>
            <w:vAlign w:val="center"/>
            <w:hideMark/>
          </w:tcPr>
          <w:p w14:paraId="4895DE07" w14:textId="77777777" w:rsidR="00857C22" w:rsidRPr="00E53736" w:rsidRDefault="00857C22" w:rsidP="007475A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2020</w:t>
            </w:r>
            <w:r w:rsidRPr="00E53736">
              <w:rPr>
                <w:rFonts w:eastAsia="Times New Roman" w:cs="Times New Roman"/>
                <w:b/>
                <w:bCs/>
                <w:color w:val="000000"/>
                <w:sz w:val="20"/>
                <w:szCs w:val="20"/>
                <w:lang w:eastAsia="sk-SK"/>
              </w:rPr>
              <w:t xml:space="preserve"> S</w:t>
            </w:r>
          </w:p>
        </w:tc>
        <w:tc>
          <w:tcPr>
            <w:tcW w:w="1060" w:type="dxa"/>
            <w:tcBorders>
              <w:top w:val="single" w:sz="4" w:space="0" w:color="auto"/>
              <w:left w:val="nil"/>
              <w:right w:val="nil"/>
            </w:tcBorders>
            <w:shd w:val="clear" w:color="auto" w:fill="auto"/>
            <w:vAlign w:val="center"/>
            <w:hideMark/>
          </w:tcPr>
          <w:p w14:paraId="3873949E" w14:textId="77777777" w:rsidR="00857C22" w:rsidRPr="00E53736" w:rsidRDefault="00857C22" w:rsidP="007475A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2021 S</w:t>
            </w:r>
          </w:p>
        </w:tc>
        <w:tc>
          <w:tcPr>
            <w:tcW w:w="1060" w:type="dxa"/>
            <w:tcBorders>
              <w:top w:val="single" w:sz="4" w:space="0" w:color="auto"/>
              <w:left w:val="nil"/>
              <w:right w:val="nil"/>
            </w:tcBorders>
            <w:shd w:val="clear" w:color="auto" w:fill="auto"/>
            <w:vAlign w:val="center"/>
            <w:hideMark/>
          </w:tcPr>
          <w:p w14:paraId="45193309" w14:textId="77777777" w:rsidR="00857C22" w:rsidRPr="00E53736" w:rsidRDefault="00857C22" w:rsidP="007475A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2022</w:t>
            </w:r>
            <w:r w:rsidRPr="00E53736">
              <w:rPr>
                <w:rFonts w:eastAsia="Times New Roman" w:cs="Times New Roman"/>
                <w:b/>
                <w:bCs/>
                <w:color w:val="000000"/>
                <w:sz w:val="20"/>
                <w:szCs w:val="20"/>
                <w:lang w:eastAsia="sk-SK"/>
              </w:rPr>
              <w:t xml:space="preserve"> R</w:t>
            </w:r>
          </w:p>
        </w:tc>
        <w:tc>
          <w:tcPr>
            <w:tcW w:w="1040" w:type="dxa"/>
            <w:tcBorders>
              <w:top w:val="single" w:sz="4" w:space="0" w:color="auto"/>
              <w:left w:val="nil"/>
              <w:right w:val="nil"/>
            </w:tcBorders>
            <w:shd w:val="clear" w:color="auto" w:fill="auto"/>
            <w:vAlign w:val="center"/>
            <w:hideMark/>
          </w:tcPr>
          <w:p w14:paraId="72C7BE9A" w14:textId="77777777" w:rsidR="00857C22" w:rsidRPr="00E53736" w:rsidRDefault="00857C22" w:rsidP="007475A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2022</w:t>
            </w:r>
            <w:r w:rsidRPr="00E53736">
              <w:rPr>
                <w:rFonts w:eastAsia="Times New Roman" w:cs="Times New Roman"/>
                <w:b/>
                <w:bCs/>
                <w:color w:val="000000"/>
                <w:sz w:val="20"/>
                <w:szCs w:val="20"/>
                <w:lang w:eastAsia="sk-SK"/>
              </w:rPr>
              <w:t xml:space="preserve"> S</w:t>
            </w:r>
          </w:p>
        </w:tc>
        <w:tc>
          <w:tcPr>
            <w:tcW w:w="980" w:type="dxa"/>
            <w:tcBorders>
              <w:top w:val="single" w:sz="4" w:space="0" w:color="auto"/>
              <w:left w:val="nil"/>
              <w:right w:val="nil"/>
            </w:tcBorders>
            <w:shd w:val="clear" w:color="auto" w:fill="auto"/>
            <w:vAlign w:val="center"/>
            <w:hideMark/>
          </w:tcPr>
          <w:p w14:paraId="73E80E15" w14:textId="77777777" w:rsidR="00857C22" w:rsidRPr="00E53736" w:rsidRDefault="00857C22" w:rsidP="007475A0">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Rozdiel</w:t>
            </w:r>
          </w:p>
        </w:tc>
        <w:tc>
          <w:tcPr>
            <w:tcW w:w="753" w:type="dxa"/>
            <w:tcBorders>
              <w:top w:val="single" w:sz="4" w:space="0" w:color="auto"/>
              <w:left w:val="nil"/>
              <w:right w:val="nil"/>
            </w:tcBorders>
            <w:shd w:val="clear" w:color="auto" w:fill="auto"/>
            <w:vAlign w:val="center"/>
            <w:hideMark/>
          </w:tcPr>
          <w:p w14:paraId="28712A73" w14:textId="77777777" w:rsidR="00857C22" w:rsidRPr="00E53736" w:rsidRDefault="00857C22" w:rsidP="007475A0">
            <w:pPr>
              <w:spacing w:after="0" w:line="240" w:lineRule="auto"/>
              <w:jc w:val="center"/>
              <w:rPr>
                <w:rFonts w:eastAsia="Times New Roman" w:cs="Times New Roman"/>
                <w:b/>
                <w:bCs/>
                <w:color w:val="000000"/>
                <w:sz w:val="20"/>
                <w:szCs w:val="20"/>
                <w:lang w:eastAsia="sk-SK"/>
              </w:rPr>
            </w:pPr>
            <w:r w:rsidRPr="00E53736">
              <w:rPr>
                <w:rFonts w:eastAsia="Times New Roman" w:cs="Times New Roman"/>
                <w:b/>
                <w:bCs/>
                <w:sz w:val="20"/>
                <w:szCs w:val="20"/>
                <w:lang w:eastAsia="sk-SK"/>
              </w:rPr>
              <w:t xml:space="preserve">v </w:t>
            </w:r>
            <w:r w:rsidRPr="00E53736">
              <w:rPr>
                <w:rFonts w:eastAsia="Times New Roman" w:cs="Times New Roman"/>
                <w:b/>
                <w:bCs/>
                <w:color w:val="000000"/>
                <w:sz w:val="20"/>
                <w:szCs w:val="20"/>
                <w:lang w:eastAsia="sk-SK"/>
              </w:rPr>
              <w:t>%</w:t>
            </w:r>
          </w:p>
        </w:tc>
      </w:tr>
      <w:tr w:rsidR="00857C22" w:rsidRPr="00CF58A3" w14:paraId="47BA1CBB" w14:textId="77777777" w:rsidTr="00857C22">
        <w:trPr>
          <w:trHeight w:val="288"/>
        </w:trPr>
        <w:tc>
          <w:tcPr>
            <w:tcW w:w="3261" w:type="dxa"/>
            <w:tcBorders>
              <w:top w:val="nil"/>
              <w:left w:val="nil"/>
              <w:bottom w:val="single" w:sz="4" w:space="0" w:color="auto"/>
              <w:right w:val="nil"/>
            </w:tcBorders>
            <w:shd w:val="clear" w:color="auto" w:fill="auto"/>
            <w:noWrap/>
            <w:vAlign w:val="center"/>
          </w:tcPr>
          <w:p w14:paraId="4EFAF55A" w14:textId="77777777" w:rsidR="00857C22" w:rsidRPr="00E53736" w:rsidRDefault="00857C22" w:rsidP="00857C22">
            <w:pPr>
              <w:spacing w:after="0" w:line="240" w:lineRule="auto"/>
              <w:ind w:firstLineChars="100" w:firstLine="200"/>
              <w:jc w:val="left"/>
              <w:rPr>
                <w:rFonts w:eastAsia="Times New Roman" w:cs="Times New Roman"/>
                <w:i/>
                <w:iCs/>
                <w:sz w:val="20"/>
                <w:szCs w:val="20"/>
                <w:lang w:eastAsia="sk-SK"/>
              </w:rPr>
            </w:pPr>
          </w:p>
        </w:tc>
        <w:tc>
          <w:tcPr>
            <w:tcW w:w="1060" w:type="dxa"/>
            <w:tcBorders>
              <w:top w:val="nil"/>
              <w:left w:val="nil"/>
              <w:bottom w:val="single" w:sz="4" w:space="0" w:color="auto"/>
              <w:right w:val="nil"/>
            </w:tcBorders>
            <w:shd w:val="clear" w:color="auto" w:fill="auto"/>
            <w:noWrap/>
            <w:vAlign w:val="center"/>
          </w:tcPr>
          <w:p w14:paraId="0CA34BD9" w14:textId="6E468DDD" w:rsidR="00857C22" w:rsidRPr="00F82DBC" w:rsidRDefault="00857C22" w:rsidP="00857C22">
            <w:pPr>
              <w:spacing w:after="0" w:line="240" w:lineRule="auto"/>
              <w:jc w:val="right"/>
              <w:rPr>
                <w:rFonts w:eastAsia="Times New Roman" w:cs="Times New Roman"/>
                <w:color w:val="000000"/>
                <w:sz w:val="18"/>
                <w:szCs w:val="18"/>
                <w:lang w:eastAsia="sk-SK"/>
              </w:rPr>
            </w:pPr>
            <w:r w:rsidRPr="00E53736">
              <w:rPr>
                <w:rFonts w:eastAsia="Times New Roman" w:cs="Times New Roman"/>
                <w:b/>
                <w:bCs/>
                <w:color w:val="000000"/>
                <w:sz w:val="20"/>
                <w:szCs w:val="20"/>
                <w:lang w:eastAsia="sk-SK"/>
              </w:rPr>
              <w:t>1</w:t>
            </w:r>
          </w:p>
        </w:tc>
        <w:tc>
          <w:tcPr>
            <w:tcW w:w="1060" w:type="dxa"/>
            <w:tcBorders>
              <w:top w:val="nil"/>
              <w:left w:val="nil"/>
              <w:bottom w:val="single" w:sz="4" w:space="0" w:color="auto"/>
              <w:right w:val="nil"/>
            </w:tcBorders>
            <w:shd w:val="clear" w:color="auto" w:fill="auto"/>
            <w:noWrap/>
            <w:vAlign w:val="center"/>
          </w:tcPr>
          <w:p w14:paraId="6FA1889D" w14:textId="23BD382B" w:rsidR="00857C22" w:rsidRPr="00F82DBC" w:rsidRDefault="00857C22" w:rsidP="00857C22">
            <w:pPr>
              <w:spacing w:after="0" w:line="240" w:lineRule="auto"/>
              <w:jc w:val="right"/>
              <w:rPr>
                <w:rFonts w:eastAsia="Times New Roman" w:cs="Times New Roman"/>
                <w:color w:val="000000"/>
                <w:sz w:val="18"/>
                <w:szCs w:val="18"/>
                <w:lang w:eastAsia="sk-SK"/>
              </w:rPr>
            </w:pPr>
            <w:r w:rsidRPr="00E53736">
              <w:rPr>
                <w:rFonts w:eastAsia="Times New Roman" w:cs="Times New Roman"/>
                <w:b/>
                <w:bCs/>
                <w:color w:val="000000"/>
                <w:sz w:val="20"/>
                <w:szCs w:val="20"/>
                <w:lang w:eastAsia="sk-SK"/>
              </w:rPr>
              <w:t>2</w:t>
            </w:r>
          </w:p>
        </w:tc>
        <w:tc>
          <w:tcPr>
            <w:tcW w:w="1060" w:type="dxa"/>
            <w:tcBorders>
              <w:top w:val="nil"/>
              <w:left w:val="nil"/>
              <w:bottom w:val="single" w:sz="4" w:space="0" w:color="auto"/>
              <w:right w:val="nil"/>
            </w:tcBorders>
            <w:shd w:val="clear" w:color="auto" w:fill="auto"/>
            <w:noWrap/>
            <w:vAlign w:val="center"/>
          </w:tcPr>
          <w:p w14:paraId="2302E580" w14:textId="2D209E37" w:rsidR="00857C22" w:rsidRDefault="00857C22" w:rsidP="00857C22">
            <w:pPr>
              <w:spacing w:after="0" w:line="240" w:lineRule="auto"/>
              <w:jc w:val="right"/>
              <w:rPr>
                <w:color w:val="000000"/>
                <w:sz w:val="18"/>
                <w:szCs w:val="18"/>
              </w:rPr>
            </w:pPr>
            <w:r w:rsidRPr="00E53736">
              <w:rPr>
                <w:rFonts w:eastAsia="Times New Roman" w:cs="Times New Roman"/>
                <w:b/>
                <w:bCs/>
                <w:color w:val="000000"/>
                <w:sz w:val="20"/>
                <w:szCs w:val="20"/>
                <w:lang w:eastAsia="sk-SK"/>
              </w:rPr>
              <w:t>3</w:t>
            </w:r>
          </w:p>
        </w:tc>
        <w:tc>
          <w:tcPr>
            <w:tcW w:w="1040" w:type="dxa"/>
            <w:tcBorders>
              <w:top w:val="nil"/>
              <w:left w:val="nil"/>
              <w:bottom w:val="single" w:sz="4" w:space="0" w:color="auto"/>
              <w:right w:val="nil"/>
            </w:tcBorders>
            <w:shd w:val="clear" w:color="auto" w:fill="auto"/>
            <w:noWrap/>
            <w:vAlign w:val="center"/>
          </w:tcPr>
          <w:p w14:paraId="412B19B8" w14:textId="57628097" w:rsidR="00857C22" w:rsidRDefault="00857C22" w:rsidP="00857C22">
            <w:pPr>
              <w:spacing w:after="0" w:line="240" w:lineRule="auto"/>
              <w:jc w:val="right"/>
              <w:rPr>
                <w:color w:val="000000"/>
                <w:sz w:val="18"/>
                <w:szCs w:val="18"/>
              </w:rPr>
            </w:pPr>
            <w:r w:rsidRPr="00E53736">
              <w:rPr>
                <w:rFonts w:eastAsia="Times New Roman" w:cs="Times New Roman"/>
                <w:b/>
                <w:bCs/>
                <w:color w:val="000000"/>
                <w:sz w:val="20"/>
                <w:szCs w:val="20"/>
                <w:lang w:eastAsia="sk-SK"/>
              </w:rPr>
              <w:t>4</w:t>
            </w:r>
          </w:p>
        </w:tc>
        <w:tc>
          <w:tcPr>
            <w:tcW w:w="980" w:type="dxa"/>
            <w:tcBorders>
              <w:top w:val="nil"/>
              <w:left w:val="nil"/>
              <w:bottom w:val="single" w:sz="4" w:space="0" w:color="auto"/>
              <w:right w:val="nil"/>
            </w:tcBorders>
            <w:shd w:val="clear" w:color="000000" w:fill="FFFFFF"/>
            <w:vAlign w:val="center"/>
          </w:tcPr>
          <w:p w14:paraId="2D8686DB" w14:textId="78EC0E2C" w:rsidR="00857C22" w:rsidRDefault="00857C22" w:rsidP="00857C22">
            <w:pPr>
              <w:spacing w:after="0" w:line="240" w:lineRule="auto"/>
              <w:jc w:val="right"/>
              <w:rPr>
                <w:color w:val="000000"/>
                <w:sz w:val="18"/>
                <w:szCs w:val="18"/>
              </w:rPr>
            </w:pPr>
            <w:r w:rsidRPr="00E53736">
              <w:rPr>
                <w:rFonts w:eastAsia="Times New Roman" w:cs="Times New Roman"/>
                <w:b/>
                <w:bCs/>
                <w:color w:val="000000"/>
                <w:sz w:val="20"/>
                <w:szCs w:val="20"/>
                <w:lang w:eastAsia="sk-SK"/>
              </w:rPr>
              <w:t>5=4-3</w:t>
            </w:r>
          </w:p>
        </w:tc>
        <w:tc>
          <w:tcPr>
            <w:tcW w:w="753" w:type="dxa"/>
            <w:tcBorders>
              <w:top w:val="nil"/>
              <w:left w:val="nil"/>
              <w:bottom w:val="single" w:sz="4" w:space="0" w:color="auto"/>
              <w:right w:val="nil"/>
            </w:tcBorders>
            <w:shd w:val="clear" w:color="auto" w:fill="auto"/>
            <w:noWrap/>
            <w:vAlign w:val="center"/>
          </w:tcPr>
          <w:p w14:paraId="1CF03F53" w14:textId="12E8AEB7" w:rsidR="00857C22" w:rsidRDefault="00857C22" w:rsidP="00857C22">
            <w:pPr>
              <w:spacing w:after="0" w:line="240" w:lineRule="auto"/>
              <w:jc w:val="right"/>
              <w:rPr>
                <w:color w:val="000000"/>
                <w:sz w:val="18"/>
                <w:szCs w:val="18"/>
              </w:rPr>
            </w:pPr>
            <w:r w:rsidRPr="00E53736">
              <w:rPr>
                <w:rFonts w:eastAsia="Times New Roman" w:cs="Times New Roman"/>
                <w:b/>
                <w:bCs/>
                <w:color w:val="000000"/>
                <w:sz w:val="20"/>
                <w:szCs w:val="20"/>
                <w:lang w:eastAsia="sk-SK"/>
              </w:rPr>
              <w:t>6=4-3</w:t>
            </w:r>
          </w:p>
        </w:tc>
      </w:tr>
      <w:tr w:rsidR="004C3312" w:rsidRPr="00CF58A3" w14:paraId="491AF9AB" w14:textId="77777777" w:rsidTr="00857C22">
        <w:trPr>
          <w:trHeight w:val="288"/>
        </w:trPr>
        <w:tc>
          <w:tcPr>
            <w:tcW w:w="3261" w:type="dxa"/>
            <w:tcBorders>
              <w:top w:val="single" w:sz="4" w:space="0" w:color="auto"/>
              <w:left w:val="nil"/>
              <w:bottom w:val="nil"/>
              <w:right w:val="nil"/>
            </w:tcBorders>
            <w:shd w:val="clear" w:color="auto" w:fill="auto"/>
            <w:noWrap/>
            <w:vAlign w:val="center"/>
            <w:hideMark/>
          </w:tcPr>
          <w:p w14:paraId="2A01E30C" w14:textId="77777777" w:rsidR="004C3312" w:rsidRPr="00E53736" w:rsidRDefault="004C3312" w:rsidP="004C3312">
            <w:pPr>
              <w:spacing w:after="0" w:line="240" w:lineRule="auto"/>
              <w:ind w:firstLineChars="100" w:firstLine="200"/>
              <w:jc w:val="left"/>
              <w:rPr>
                <w:rFonts w:eastAsia="Times New Roman" w:cs="Times New Roman"/>
                <w:i/>
                <w:iCs/>
                <w:sz w:val="20"/>
                <w:szCs w:val="20"/>
                <w:lang w:eastAsia="sk-SK"/>
              </w:rPr>
            </w:pPr>
            <w:r w:rsidRPr="00E53736">
              <w:rPr>
                <w:rFonts w:eastAsia="Times New Roman" w:cs="Times New Roman"/>
                <w:i/>
                <w:iCs/>
                <w:sz w:val="20"/>
                <w:szCs w:val="20"/>
                <w:lang w:eastAsia="sk-SK"/>
              </w:rPr>
              <w:t>z elektriny</w:t>
            </w:r>
          </w:p>
        </w:tc>
        <w:tc>
          <w:tcPr>
            <w:tcW w:w="1060" w:type="dxa"/>
            <w:tcBorders>
              <w:top w:val="single" w:sz="4" w:space="0" w:color="auto"/>
              <w:left w:val="nil"/>
              <w:bottom w:val="nil"/>
              <w:right w:val="nil"/>
            </w:tcBorders>
            <w:shd w:val="clear" w:color="auto" w:fill="auto"/>
            <w:noWrap/>
            <w:vAlign w:val="center"/>
            <w:hideMark/>
          </w:tcPr>
          <w:p w14:paraId="25701149"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11 876</w:t>
            </w:r>
          </w:p>
        </w:tc>
        <w:tc>
          <w:tcPr>
            <w:tcW w:w="1060" w:type="dxa"/>
            <w:tcBorders>
              <w:top w:val="single" w:sz="4" w:space="0" w:color="auto"/>
              <w:left w:val="nil"/>
              <w:bottom w:val="nil"/>
              <w:right w:val="nil"/>
            </w:tcBorders>
            <w:shd w:val="clear" w:color="auto" w:fill="auto"/>
            <w:noWrap/>
            <w:vAlign w:val="center"/>
            <w:hideMark/>
          </w:tcPr>
          <w:p w14:paraId="5753F3C3"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10 058</w:t>
            </w:r>
          </w:p>
        </w:tc>
        <w:tc>
          <w:tcPr>
            <w:tcW w:w="1060" w:type="dxa"/>
            <w:tcBorders>
              <w:top w:val="single" w:sz="4" w:space="0" w:color="auto"/>
              <w:left w:val="nil"/>
              <w:bottom w:val="nil"/>
              <w:right w:val="nil"/>
            </w:tcBorders>
            <w:shd w:val="clear" w:color="auto" w:fill="auto"/>
            <w:noWrap/>
            <w:vAlign w:val="center"/>
            <w:hideMark/>
          </w:tcPr>
          <w:p w14:paraId="4ABB5C4D"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11 420</w:t>
            </w:r>
          </w:p>
        </w:tc>
        <w:tc>
          <w:tcPr>
            <w:tcW w:w="1040" w:type="dxa"/>
            <w:tcBorders>
              <w:top w:val="single" w:sz="4" w:space="0" w:color="auto"/>
              <w:left w:val="nil"/>
              <w:bottom w:val="nil"/>
              <w:right w:val="nil"/>
            </w:tcBorders>
            <w:shd w:val="clear" w:color="auto" w:fill="auto"/>
            <w:noWrap/>
            <w:vAlign w:val="center"/>
            <w:hideMark/>
          </w:tcPr>
          <w:p w14:paraId="10D0D55C"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11 541</w:t>
            </w:r>
          </w:p>
        </w:tc>
        <w:tc>
          <w:tcPr>
            <w:tcW w:w="980" w:type="dxa"/>
            <w:tcBorders>
              <w:top w:val="single" w:sz="4" w:space="0" w:color="auto"/>
              <w:left w:val="nil"/>
              <w:bottom w:val="nil"/>
              <w:right w:val="nil"/>
            </w:tcBorders>
            <w:shd w:val="clear" w:color="000000" w:fill="FFFFFF"/>
            <w:vAlign w:val="center"/>
            <w:hideMark/>
          </w:tcPr>
          <w:p w14:paraId="3695E6AA"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121</w:t>
            </w:r>
          </w:p>
        </w:tc>
        <w:tc>
          <w:tcPr>
            <w:tcW w:w="753" w:type="dxa"/>
            <w:tcBorders>
              <w:top w:val="single" w:sz="4" w:space="0" w:color="auto"/>
              <w:left w:val="nil"/>
              <w:bottom w:val="nil"/>
              <w:right w:val="nil"/>
            </w:tcBorders>
            <w:shd w:val="clear" w:color="auto" w:fill="auto"/>
            <w:noWrap/>
            <w:vAlign w:val="center"/>
            <w:hideMark/>
          </w:tcPr>
          <w:p w14:paraId="2FBEE319"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1,1</w:t>
            </w:r>
          </w:p>
        </w:tc>
      </w:tr>
      <w:tr w:rsidR="004C3312" w:rsidRPr="00CF58A3" w14:paraId="16C44DE5" w14:textId="77777777" w:rsidTr="004C3312">
        <w:trPr>
          <w:trHeight w:val="288"/>
        </w:trPr>
        <w:tc>
          <w:tcPr>
            <w:tcW w:w="3261" w:type="dxa"/>
            <w:tcBorders>
              <w:top w:val="nil"/>
              <w:left w:val="nil"/>
              <w:bottom w:val="nil"/>
              <w:right w:val="nil"/>
            </w:tcBorders>
            <w:shd w:val="clear" w:color="auto" w:fill="auto"/>
            <w:noWrap/>
            <w:vAlign w:val="center"/>
            <w:hideMark/>
          </w:tcPr>
          <w:p w14:paraId="2AE8E8D1" w14:textId="77777777" w:rsidR="004C3312" w:rsidRPr="00E53736" w:rsidRDefault="004C3312" w:rsidP="004C3312">
            <w:pPr>
              <w:spacing w:after="0" w:line="240" w:lineRule="auto"/>
              <w:ind w:firstLineChars="100" w:firstLine="200"/>
              <w:jc w:val="left"/>
              <w:rPr>
                <w:rFonts w:eastAsia="Times New Roman" w:cs="Times New Roman"/>
                <w:i/>
                <w:iCs/>
                <w:sz w:val="20"/>
                <w:szCs w:val="20"/>
                <w:lang w:eastAsia="sk-SK"/>
              </w:rPr>
            </w:pPr>
            <w:r w:rsidRPr="00E53736">
              <w:rPr>
                <w:rFonts w:eastAsia="Times New Roman" w:cs="Times New Roman"/>
                <w:i/>
                <w:iCs/>
                <w:sz w:val="20"/>
                <w:szCs w:val="20"/>
                <w:lang w:eastAsia="sk-SK"/>
              </w:rPr>
              <w:t>z uhlia</w:t>
            </w:r>
          </w:p>
        </w:tc>
        <w:tc>
          <w:tcPr>
            <w:tcW w:w="1060" w:type="dxa"/>
            <w:tcBorders>
              <w:top w:val="nil"/>
              <w:left w:val="nil"/>
              <w:bottom w:val="nil"/>
              <w:right w:val="nil"/>
            </w:tcBorders>
            <w:shd w:val="clear" w:color="auto" w:fill="auto"/>
            <w:noWrap/>
            <w:vAlign w:val="center"/>
            <w:hideMark/>
          </w:tcPr>
          <w:p w14:paraId="44386FA5"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275</w:t>
            </w:r>
          </w:p>
        </w:tc>
        <w:tc>
          <w:tcPr>
            <w:tcW w:w="1060" w:type="dxa"/>
            <w:tcBorders>
              <w:top w:val="nil"/>
              <w:left w:val="nil"/>
              <w:bottom w:val="nil"/>
              <w:right w:val="nil"/>
            </w:tcBorders>
            <w:shd w:val="clear" w:color="auto" w:fill="auto"/>
            <w:noWrap/>
            <w:vAlign w:val="center"/>
            <w:hideMark/>
          </w:tcPr>
          <w:p w14:paraId="441FDEFD"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271</w:t>
            </w:r>
          </w:p>
        </w:tc>
        <w:tc>
          <w:tcPr>
            <w:tcW w:w="1060" w:type="dxa"/>
            <w:tcBorders>
              <w:top w:val="nil"/>
              <w:left w:val="nil"/>
              <w:bottom w:val="nil"/>
              <w:right w:val="nil"/>
            </w:tcBorders>
            <w:shd w:val="clear" w:color="auto" w:fill="auto"/>
            <w:noWrap/>
            <w:vAlign w:val="center"/>
            <w:hideMark/>
          </w:tcPr>
          <w:p w14:paraId="15BA65C8"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262</w:t>
            </w:r>
          </w:p>
        </w:tc>
        <w:tc>
          <w:tcPr>
            <w:tcW w:w="1040" w:type="dxa"/>
            <w:tcBorders>
              <w:top w:val="nil"/>
              <w:left w:val="nil"/>
              <w:bottom w:val="nil"/>
              <w:right w:val="nil"/>
            </w:tcBorders>
            <w:shd w:val="clear" w:color="auto" w:fill="auto"/>
            <w:noWrap/>
            <w:vAlign w:val="center"/>
            <w:hideMark/>
          </w:tcPr>
          <w:p w14:paraId="2ADF6347"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264</w:t>
            </w:r>
          </w:p>
        </w:tc>
        <w:tc>
          <w:tcPr>
            <w:tcW w:w="980" w:type="dxa"/>
            <w:tcBorders>
              <w:top w:val="nil"/>
              <w:left w:val="nil"/>
              <w:bottom w:val="nil"/>
              <w:right w:val="nil"/>
            </w:tcBorders>
            <w:shd w:val="clear" w:color="000000" w:fill="FFFFFF"/>
            <w:vAlign w:val="center"/>
            <w:hideMark/>
          </w:tcPr>
          <w:p w14:paraId="56F0686B"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w:t>
            </w:r>
          </w:p>
        </w:tc>
        <w:tc>
          <w:tcPr>
            <w:tcW w:w="753" w:type="dxa"/>
            <w:tcBorders>
              <w:top w:val="nil"/>
              <w:left w:val="nil"/>
              <w:bottom w:val="nil"/>
              <w:right w:val="nil"/>
            </w:tcBorders>
            <w:shd w:val="clear" w:color="auto" w:fill="auto"/>
            <w:noWrap/>
            <w:vAlign w:val="center"/>
            <w:hideMark/>
          </w:tcPr>
          <w:p w14:paraId="5FE2B19A"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0,7</w:t>
            </w:r>
          </w:p>
        </w:tc>
      </w:tr>
      <w:tr w:rsidR="004C3312" w:rsidRPr="00CF58A3" w14:paraId="5C773B48" w14:textId="77777777" w:rsidTr="004C3312">
        <w:trPr>
          <w:trHeight w:val="288"/>
        </w:trPr>
        <w:tc>
          <w:tcPr>
            <w:tcW w:w="3261" w:type="dxa"/>
            <w:tcBorders>
              <w:top w:val="nil"/>
              <w:left w:val="nil"/>
              <w:bottom w:val="nil"/>
              <w:right w:val="nil"/>
            </w:tcBorders>
            <w:shd w:val="clear" w:color="auto" w:fill="auto"/>
            <w:noWrap/>
            <w:vAlign w:val="center"/>
            <w:hideMark/>
          </w:tcPr>
          <w:p w14:paraId="03ED01B8" w14:textId="77777777" w:rsidR="004C3312" w:rsidRPr="00E53736" w:rsidRDefault="004C3312" w:rsidP="004C3312">
            <w:pPr>
              <w:spacing w:after="0" w:line="240" w:lineRule="auto"/>
              <w:ind w:firstLineChars="100" w:firstLine="200"/>
              <w:jc w:val="left"/>
              <w:rPr>
                <w:rFonts w:eastAsia="Times New Roman" w:cs="Times New Roman"/>
                <w:i/>
                <w:iCs/>
                <w:sz w:val="20"/>
                <w:szCs w:val="20"/>
                <w:lang w:eastAsia="sk-SK"/>
              </w:rPr>
            </w:pPr>
            <w:r w:rsidRPr="00E53736">
              <w:rPr>
                <w:rFonts w:eastAsia="Times New Roman" w:cs="Times New Roman"/>
                <w:i/>
                <w:iCs/>
                <w:sz w:val="20"/>
                <w:szCs w:val="20"/>
                <w:lang w:eastAsia="sk-SK"/>
              </w:rPr>
              <w:t>zo zemného plynu</w:t>
            </w:r>
          </w:p>
        </w:tc>
        <w:tc>
          <w:tcPr>
            <w:tcW w:w="1060" w:type="dxa"/>
            <w:tcBorders>
              <w:top w:val="nil"/>
              <w:left w:val="nil"/>
              <w:bottom w:val="nil"/>
              <w:right w:val="nil"/>
            </w:tcBorders>
            <w:shd w:val="clear" w:color="auto" w:fill="auto"/>
            <w:noWrap/>
            <w:vAlign w:val="center"/>
            <w:hideMark/>
          </w:tcPr>
          <w:p w14:paraId="366793CF"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23 745</w:t>
            </w:r>
          </w:p>
        </w:tc>
        <w:tc>
          <w:tcPr>
            <w:tcW w:w="1060" w:type="dxa"/>
            <w:tcBorders>
              <w:top w:val="nil"/>
              <w:left w:val="nil"/>
              <w:bottom w:val="nil"/>
              <w:right w:val="nil"/>
            </w:tcBorders>
            <w:shd w:val="clear" w:color="auto" w:fill="auto"/>
            <w:noWrap/>
            <w:vAlign w:val="center"/>
            <w:hideMark/>
          </w:tcPr>
          <w:p w14:paraId="3E9E4D3B"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24 369</w:t>
            </w:r>
          </w:p>
        </w:tc>
        <w:tc>
          <w:tcPr>
            <w:tcW w:w="1060" w:type="dxa"/>
            <w:tcBorders>
              <w:top w:val="nil"/>
              <w:left w:val="nil"/>
              <w:bottom w:val="nil"/>
              <w:right w:val="nil"/>
            </w:tcBorders>
            <w:shd w:val="clear" w:color="auto" w:fill="auto"/>
            <w:noWrap/>
            <w:vAlign w:val="center"/>
            <w:hideMark/>
          </w:tcPr>
          <w:p w14:paraId="5A05B2E3"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26 635</w:t>
            </w:r>
          </w:p>
        </w:tc>
        <w:tc>
          <w:tcPr>
            <w:tcW w:w="1040" w:type="dxa"/>
            <w:tcBorders>
              <w:top w:val="nil"/>
              <w:left w:val="nil"/>
              <w:bottom w:val="nil"/>
              <w:right w:val="nil"/>
            </w:tcBorders>
            <w:shd w:val="clear" w:color="auto" w:fill="auto"/>
            <w:noWrap/>
            <w:vAlign w:val="center"/>
            <w:hideMark/>
          </w:tcPr>
          <w:p w14:paraId="27ACA23B"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24 739</w:t>
            </w:r>
          </w:p>
        </w:tc>
        <w:tc>
          <w:tcPr>
            <w:tcW w:w="980" w:type="dxa"/>
            <w:tcBorders>
              <w:top w:val="nil"/>
              <w:left w:val="nil"/>
              <w:bottom w:val="nil"/>
              <w:right w:val="nil"/>
            </w:tcBorders>
            <w:shd w:val="clear" w:color="000000" w:fill="FFFFFF"/>
            <w:vAlign w:val="center"/>
            <w:hideMark/>
          </w:tcPr>
          <w:p w14:paraId="24D87D43"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-1896</w:t>
            </w:r>
          </w:p>
        </w:tc>
        <w:tc>
          <w:tcPr>
            <w:tcW w:w="753" w:type="dxa"/>
            <w:tcBorders>
              <w:top w:val="nil"/>
              <w:left w:val="nil"/>
              <w:bottom w:val="nil"/>
              <w:right w:val="nil"/>
            </w:tcBorders>
            <w:shd w:val="clear" w:color="auto" w:fill="auto"/>
            <w:noWrap/>
            <w:vAlign w:val="center"/>
            <w:hideMark/>
          </w:tcPr>
          <w:p w14:paraId="204A464A"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-7,2</w:t>
            </w:r>
          </w:p>
        </w:tc>
      </w:tr>
      <w:tr w:rsidR="004C3312" w:rsidRPr="00CF58A3" w14:paraId="0CFC424B" w14:textId="77777777" w:rsidTr="004C3312">
        <w:trPr>
          <w:trHeight w:val="492"/>
        </w:trPr>
        <w:tc>
          <w:tcPr>
            <w:tcW w:w="3261" w:type="dxa"/>
            <w:tcBorders>
              <w:top w:val="nil"/>
              <w:left w:val="nil"/>
              <w:bottom w:val="nil"/>
              <w:right w:val="nil"/>
            </w:tcBorders>
            <w:shd w:val="clear" w:color="auto" w:fill="auto"/>
            <w:noWrap/>
            <w:vAlign w:val="center"/>
            <w:hideMark/>
          </w:tcPr>
          <w:p w14:paraId="652A0E0C" w14:textId="77777777" w:rsidR="004C3312" w:rsidRPr="00E53736" w:rsidRDefault="004C3312" w:rsidP="004C3312">
            <w:pPr>
              <w:spacing w:after="0" w:line="240" w:lineRule="auto"/>
              <w:jc w:val="left"/>
              <w:rPr>
                <w:rFonts w:eastAsia="Times New Roman" w:cs="Times New Roman"/>
                <w:i/>
                <w:iCs/>
                <w:color w:val="000000"/>
                <w:sz w:val="18"/>
                <w:szCs w:val="18"/>
                <w:lang w:eastAsia="sk-SK"/>
              </w:rPr>
            </w:pPr>
            <w:r w:rsidRPr="00E53736">
              <w:rPr>
                <w:rFonts w:eastAsia="Times New Roman" w:cs="Times New Roman"/>
                <w:i/>
                <w:iCs/>
                <w:color w:val="000000"/>
                <w:sz w:val="18"/>
                <w:szCs w:val="18"/>
                <w:lang w:eastAsia="sk-SK"/>
              </w:rPr>
              <w:t xml:space="preserve">     dane z používania. tovarov a z povolenia  na výkon činnosti</w:t>
            </w:r>
          </w:p>
        </w:tc>
        <w:tc>
          <w:tcPr>
            <w:tcW w:w="1060" w:type="dxa"/>
            <w:tcBorders>
              <w:top w:val="nil"/>
              <w:left w:val="nil"/>
              <w:bottom w:val="nil"/>
              <w:right w:val="nil"/>
            </w:tcBorders>
            <w:shd w:val="clear" w:color="auto" w:fill="auto"/>
            <w:noWrap/>
            <w:vAlign w:val="center"/>
            <w:hideMark/>
          </w:tcPr>
          <w:p w14:paraId="1969DAD9"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Calibri" w:cs="Times New Roman"/>
                <w:color w:val="000000"/>
                <w:sz w:val="18"/>
                <w:szCs w:val="18"/>
                <w:lang w:eastAsia="sk-SK"/>
              </w:rPr>
              <w:t>141 232</w:t>
            </w:r>
          </w:p>
        </w:tc>
        <w:tc>
          <w:tcPr>
            <w:tcW w:w="1060" w:type="dxa"/>
            <w:tcBorders>
              <w:top w:val="nil"/>
              <w:left w:val="nil"/>
              <w:bottom w:val="nil"/>
              <w:right w:val="nil"/>
            </w:tcBorders>
            <w:shd w:val="clear" w:color="auto" w:fill="auto"/>
            <w:noWrap/>
            <w:vAlign w:val="center"/>
            <w:hideMark/>
          </w:tcPr>
          <w:p w14:paraId="0CFD6D4F"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Calibri" w:cs="Times New Roman"/>
                <w:color w:val="000000"/>
                <w:sz w:val="18"/>
                <w:szCs w:val="18"/>
                <w:lang w:eastAsia="sk-SK"/>
              </w:rPr>
              <w:t>117 264</w:t>
            </w:r>
          </w:p>
        </w:tc>
        <w:tc>
          <w:tcPr>
            <w:tcW w:w="1060" w:type="dxa"/>
            <w:tcBorders>
              <w:top w:val="nil"/>
              <w:left w:val="nil"/>
              <w:bottom w:val="nil"/>
              <w:right w:val="nil"/>
            </w:tcBorders>
            <w:shd w:val="clear" w:color="auto" w:fill="auto"/>
            <w:noWrap/>
            <w:vAlign w:val="center"/>
            <w:hideMark/>
          </w:tcPr>
          <w:p w14:paraId="71572532"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132 074</w:t>
            </w:r>
          </w:p>
        </w:tc>
        <w:tc>
          <w:tcPr>
            <w:tcW w:w="1040" w:type="dxa"/>
            <w:tcBorders>
              <w:top w:val="nil"/>
              <w:left w:val="nil"/>
              <w:bottom w:val="nil"/>
              <w:right w:val="nil"/>
            </w:tcBorders>
            <w:shd w:val="clear" w:color="auto" w:fill="auto"/>
            <w:noWrap/>
            <w:vAlign w:val="center"/>
            <w:hideMark/>
          </w:tcPr>
          <w:p w14:paraId="373AE387"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132 565</w:t>
            </w:r>
          </w:p>
        </w:tc>
        <w:tc>
          <w:tcPr>
            <w:tcW w:w="980" w:type="dxa"/>
            <w:tcBorders>
              <w:top w:val="nil"/>
              <w:left w:val="nil"/>
              <w:bottom w:val="nil"/>
              <w:right w:val="nil"/>
            </w:tcBorders>
            <w:shd w:val="clear" w:color="000000" w:fill="FFFFFF"/>
            <w:vAlign w:val="center"/>
            <w:hideMark/>
          </w:tcPr>
          <w:p w14:paraId="69378F54"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491</w:t>
            </w:r>
          </w:p>
        </w:tc>
        <w:tc>
          <w:tcPr>
            <w:tcW w:w="753" w:type="dxa"/>
            <w:tcBorders>
              <w:top w:val="nil"/>
              <w:left w:val="nil"/>
              <w:bottom w:val="nil"/>
              <w:right w:val="nil"/>
            </w:tcBorders>
            <w:shd w:val="clear" w:color="000000" w:fill="FFFFFF"/>
            <w:vAlign w:val="center"/>
            <w:hideMark/>
          </w:tcPr>
          <w:p w14:paraId="138268D4"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0,4</w:t>
            </w:r>
          </w:p>
        </w:tc>
      </w:tr>
      <w:tr w:rsidR="004C3312" w:rsidRPr="00CF58A3" w14:paraId="422A0299" w14:textId="77777777" w:rsidTr="004C3312">
        <w:trPr>
          <w:trHeight w:val="480"/>
        </w:trPr>
        <w:tc>
          <w:tcPr>
            <w:tcW w:w="3261" w:type="dxa"/>
            <w:tcBorders>
              <w:top w:val="nil"/>
              <w:left w:val="nil"/>
              <w:bottom w:val="nil"/>
              <w:right w:val="nil"/>
            </w:tcBorders>
            <w:shd w:val="clear" w:color="auto" w:fill="auto"/>
            <w:vAlign w:val="center"/>
            <w:hideMark/>
          </w:tcPr>
          <w:p w14:paraId="4487F057" w14:textId="77777777" w:rsidR="004C3312" w:rsidRPr="00E53736" w:rsidRDefault="004C3312" w:rsidP="004C3312">
            <w:pPr>
              <w:spacing w:after="0" w:line="240" w:lineRule="auto"/>
              <w:jc w:val="left"/>
              <w:rPr>
                <w:rFonts w:eastAsia="Times New Roman" w:cs="Times New Roman"/>
                <w:i/>
                <w:iCs/>
                <w:color w:val="000000"/>
                <w:sz w:val="20"/>
                <w:szCs w:val="20"/>
                <w:lang w:eastAsia="sk-SK"/>
              </w:rPr>
            </w:pPr>
            <w:r w:rsidRPr="00E53736">
              <w:rPr>
                <w:rFonts w:eastAsia="Times New Roman" w:cs="Times New Roman"/>
                <w:i/>
                <w:iCs/>
                <w:color w:val="000000"/>
                <w:sz w:val="20"/>
                <w:szCs w:val="20"/>
                <w:lang w:eastAsia="sk-SK"/>
              </w:rPr>
              <w:t xml:space="preserve">     iné dane za tovary a služby</w:t>
            </w:r>
          </w:p>
        </w:tc>
        <w:tc>
          <w:tcPr>
            <w:tcW w:w="1060" w:type="dxa"/>
            <w:tcBorders>
              <w:top w:val="nil"/>
              <w:left w:val="nil"/>
              <w:bottom w:val="nil"/>
              <w:right w:val="nil"/>
            </w:tcBorders>
            <w:shd w:val="clear" w:color="auto" w:fill="auto"/>
            <w:noWrap/>
            <w:vAlign w:val="center"/>
            <w:hideMark/>
          </w:tcPr>
          <w:p w14:paraId="2E1C232E"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Calibri" w:cs="Times New Roman"/>
                <w:color w:val="000000"/>
                <w:sz w:val="18"/>
                <w:szCs w:val="18"/>
                <w:lang w:eastAsia="sk-SK"/>
              </w:rPr>
              <w:t>77 524</w:t>
            </w:r>
          </w:p>
        </w:tc>
        <w:tc>
          <w:tcPr>
            <w:tcW w:w="1060" w:type="dxa"/>
            <w:tcBorders>
              <w:top w:val="nil"/>
              <w:left w:val="nil"/>
              <w:bottom w:val="nil"/>
              <w:right w:val="nil"/>
            </w:tcBorders>
            <w:shd w:val="clear" w:color="auto" w:fill="auto"/>
            <w:noWrap/>
            <w:vAlign w:val="center"/>
            <w:hideMark/>
          </w:tcPr>
          <w:p w14:paraId="087E72EE"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Calibri" w:cs="Times New Roman"/>
                <w:color w:val="000000"/>
                <w:sz w:val="18"/>
                <w:szCs w:val="18"/>
                <w:lang w:eastAsia="sk-SK"/>
              </w:rPr>
              <w:t>79 564</w:t>
            </w:r>
          </w:p>
        </w:tc>
        <w:tc>
          <w:tcPr>
            <w:tcW w:w="1060" w:type="dxa"/>
            <w:tcBorders>
              <w:top w:val="nil"/>
              <w:left w:val="nil"/>
              <w:bottom w:val="nil"/>
              <w:right w:val="nil"/>
            </w:tcBorders>
            <w:shd w:val="clear" w:color="auto" w:fill="auto"/>
            <w:noWrap/>
            <w:vAlign w:val="center"/>
            <w:hideMark/>
          </w:tcPr>
          <w:p w14:paraId="760BD86B"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85 794</w:t>
            </w:r>
          </w:p>
        </w:tc>
        <w:tc>
          <w:tcPr>
            <w:tcW w:w="1040" w:type="dxa"/>
            <w:tcBorders>
              <w:top w:val="nil"/>
              <w:left w:val="nil"/>
              <w:bottom w:val="nil"/>
              <w:right w:val="nil"/>
            </w:tcBorders>
            <w:shd w:val="clear" w:color="auto" w:fill="auto"/>
            <w:noWrap/>
            <w:vAlign w:val="center"/>
            <w:hideMark/>
          </w:tcPr>
          <w:p w14:paraId="3F7A7768"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88 206</w:t>
            </w:r>
          </w:p>
        </w:tc>
        <w:tc>
          <w:tcPr>
            <w:tcW w:w="980" w:type="dxa"/>
            <w:tcBorders>
              <w:top w:val="nil"/>
              <w:left w:val="nil"/>
              <w:bottom w:val="nil"/>
              <w:right w:val="nil"/>
            </w:tcBorders>
            <w:shd w:val="clear" w:color="000000" w:fill="FFFFFF"/>
            <w:vAlign w:val="center"/>
            <w:hideMark/>
          </w:tcPr>
          <w:p w14:paraId="5843B868"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2412</w:t>
            </w:r>
          </w:p>
        </w:tc>
        <w:tc>
          <w:tcPr>
            <w:tcW w:w="753" w:type="dxa"/>
            <w:tcBorders>
              <w:top w:val="nil"/>
              <w:left w:val="nil"/>
              <w:bottom w:val="nil"/>
              <w:right w:val="nil"/>
            </w:tcBorders>
            <w:shd w:val="clear" w:color="000000" w:fill="FFFFFF"/>
            <w:vAlign w:val="center"/>
            <w:hideMark/>
          </w:tcPr>
          <w:p w14:paraId="39064FA3"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2,8</w:t>
            </w:r>
          </w:p>
        </w:tc>
      </w:tr>
      <w:tr w:rsidR="004C3312" w:rsidRPr="00CF58A3" w14:paraId="6FA92C2E" w14:textId="77777777" w:rsidTr="004C3312">
        <w:trPr>
          <w:trHeight w:val="288"/>
        </w:trPr>
        <w:tc>
          <w:tcPr>
            <w:tcW w:w="3261" w:type="dxa"/>
            <w:tcBorders>
              <w:top w:val="nil"/>
              <w:left w:val="nil"/>
              <w:bottom w:val="nil"/>
              <w:right w:val="nil"/>
            </w:tcBorders>
            <w:shd w:val="clear" w:color="auto" w:fill="auto"/>
            <w:noWrap/>
            <w:vAlign w:val="center"/>
            <w:hideMark/>
          </w:tcPr>
          <w:p w14:paraId="60B26E03" w14:textId="77777777" w:rsidR="004C3312" w:rsidRPr="00E53736" w:rsidRDefault="004C3312" w:rsidP="004C3312">
            <w:pPr>
              <w:spacing w:after="0" w:line="240" w:lineRule="auto"/>
              <w:jc w:val="left"/>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Dane z príjmov a kapitálového majetku</w:t>
            </w:r>
          </w:p>
        </w:tc>
        <w:tc>
          <w:tcPr>
            <w:tcW w:w="1060" w:type="dxa"/>
            <w:tcBorders>
              <w:top w:val="nil"/>
              <w:left w:val="nil"/>
              <w:bottom w:val="nil"/>
              <w:right w:val="nil"/>
            </w:tcBorders>
            <w:shd w:val="clear" w:color="auto" w:fill="auto"/>
            <w:noWrap/>
            <w:vAlign w:val="center"/>
            <w:hideMark/>
          </w:tcPr>
          <w:p w14:paraId="38335F67"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sidRPr="00F82DBC">
              <w:rPr>
                <w:rFonts w:eastAsia="Times New Roman" w:cs="Times New Roman"/>
                <w:b/>
                <w:bCs/>
                <w:color w:val="000000"/>
                <w:sz w:val="18"/>
                <w:szCs w:val="18"/>
                <w:lang w:eastAsia="sk-SK"/>
              </w:rPr>
              <w:t>2 561 644</w:t>
            </w:r>
          </w:p>
        </w:tc>
        <w:tc>
          <w:tcPr>
            <w:tcW w:w="1060" w:type="dxa"/>
            <w:tcBorders>
              <w:top w:val="nil"/>
              <w:left w:val="nil"/>
              <w:bottom w:val="nil"/>
              <w:right w:val="nil"/>
            </w:tcBorders>
            <w:shd w:val="clear" w:color="auto" w:fill="auto"/>
            <w:noWrap/>
            <w:vAlign w:val="center"/>
            <w:hideMark/>
          </w:tcPr>
          <w:p w14:paraId="25DFC4FE"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sidRPr="00F82DBC">
              <w:rPr>
                <w:rFonts w:eastAsia="Times New Roman" w:cs="Times New Roman"/>
                <w:b/>
                <w:bCs/>
                <w:color w:val="000000"/>
                <w:sz w:val="18"/>
                <w:szCs w:val="18"/>
                <w:lang w:eastAsia="sk-SK"/>
              </w:rPr>
              <w:t>3 169 990</w:t>
            </w:r>
          </w:p>
        </w:tc>
        <w:tc>
          <w:tcPr>
            <w:tcW w:w="1060" w:type="dxa"/>
            <w:tcBorders>
              <w:top w:val="nil"/>
              <w:left w:val="nil"/>
              <w:bottom w:val="nil"/>
              <w:right w:val="nil"/>
            </w:tcBorders>
            <w:shd w:val="clear" w:color="auto" w:fill="auto"/>
            <w:noWrap/>
            <w:vAlign w:val="center"/>
            <w:hideMark/>
          </w:tcPr>
          <w:p w14:paraId="1494FE32"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4 261 267</w:t>
            </w:r>
          </w:p>
        </w:tc>
        <w:tc>
          <w:tcPr>
            <w:tcW w:w="1040" w:type="dxa"/>
            <w:tcBorders>
              <w:top w:val="nil"/>
              <w:left w:val="nil"/>
              <w:bottom w:val="nil"/>
              <w:right w:val="nil"/>
            </w:tcBorders>
            <w:shd w:val="clear" w:color="auto" w:fill="auto"/>
            <w:noWrap/>
            <w:vAlign w:val="center"/>
            <w:hideMark/>
          </w:tcPr>
          <w:p w14:paraId="32E8874D"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4 114 180</w:t>
            </w:r>
          </w:p>
        </w:tc>
        <w:tc>
          <w:tcPr>
            <w:tcW w:w="980" w:type="dxa"/>
            <w:tcBorders>
              <w:top w:val="nil"/>
              <w:left w:val="nil"/>
              <w:bottom w:val="nil"/>
              <w:right w:val="nil"/>
            </w:tcBorders>
            <w:shd w:val="clear" w:color="000000" w:fill="FFFFFF"/>
            <w:vAlign w:val="center"/>
            <w:hideMark/>
          </w:tcPr>
          <w:p w14:paraId="1D9B6539"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-147 087</w:t>
            </w:r>
          </w:p>
        </w:tc>
        <w:tc>
          <w:tcPr>
            <w:tcW w:w="753" w:type="dxa"/>
            <w:tcBorders>
              <w:top w:val="nil"/>
              <w:left w:val="nil"/>
              <w:bottom w:val="nil"/>
              <w:right w:val="nil"/>
            </w:tcBorders>
            <w:shd w:val="clear" w:color="000000" w:fill="FFFFFF"/>
            <w:vAlign w:val="center"/>
            <w:hideMark/>
          </w:tcPr>
          <w:p w14:paraId="6D8703C9"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-3,5</w:t>
            </w:r>
          </w:p>
        </w:tc>
      </w:tr>
      <w:tr w:rsidR="004C3312" w:rsidRPr="00CF58A3" w14:paraId="338DFA50" w14:textId="77777777" w:rsidTr="004C3312">
        <w:trPr>
          <w:trHeight w:val="288"/>
        </w:trPr>
        <w:tc>
          <w:tcPr>
            <w:tcW w:w="3261" w:type="dxa"/>
            <w:tcBorders>
              <w:top w:val="nil"/>
              <w:left w:val="nil"/>
              <w:bottom w:val="nil"/>
              <w:right w:val="nil"/>
            </w:tcBorders>
            <w:shd w:val="clear" w:color="auto" w:fill="auto"/>
            <w:noWrap/>
            <w:vAlign w:val="center"/>
            <w:hideMark/>
          </w:tcPr>
          <w:p w14:paraId="4810CBC9" w14:textId="77777777" w:rsidR="004C3312" w:rsidRPr="00E53736" w:rsidRDefault="004C3312" w:rsidP="004C3312">
            <w:pPr>
              <w:spacing w:after="0" w:line="240" w:lineRule="auto"/>
              <w:jc w:val="left"/>
              <w:rPr>
                <w:rFonts w:eastAsia="Times New Roman" w:cs="Times New Roman"/>
                <w:color w:val="000000"/>
                <w:sz w:val="20"/>
                <w:szCs w:val="20"/>
                <w:lang w:eastAsia="sk-SK"/>
              </w:rPr>
            </w:pPr>
            <w:r w:rsidRPr="00E53736">
              <w:rPr>
                <w:rFonts w:eastAsia="Times New Roman" w:cs="Times New Roman"/>
                <w:color w:val="000000"/>
                <w:sz w:val="20"/>
                <w:szCs w:val="20"/>
                <w:lang w:eastAsia="sk-SK"/>
              </w:rPr>
              <w:t>v tom</w:t>
            </w:r>
            <w:r w:rsidRPr="00E53736">
              <w:rPr>
                <w:rFonts w:eastAsia="Times New Roman" w:cs="Times New Roman"/>
                <w:i/>
                <w:iCs/>
                <w:color w:val="000000"/>
                <w:sz w:val="20"/>
                <w:szCs w:val="20"/>
                <w:lang w:eastAsia="sk-SK"/>
              </w:rPr>
              <w:t xml:space="preserve">: </w:t>
            </w:r>
          </w:p>
        </w:tc>
        <w:tc>
          <w:tcPr>
            <w:tcW w:w="1060" w:type="dxa"/>
            <w:tcBorders>
              <w:top w:val="nil"/>
              <w:left w:val="nil"/>
              <w:bottom w:val="nil"/>
              <w:right w:val="nil"/>
            </w:tcBorders>
            <w:shd w:val="clear" w:color="auto" w:fill="auto"/>
            <w:noWrap/>
            <w:vAlign w:val="center"/>
            <w:hideMark/>
          </w:tcPr>
          <w:p w14:paraId="4766A739" w14:textId="77777777" w:rsidR="004C3312" w:rsidRPr="00F82DBC" w:rsidRDefault="004C3312" w:rsidP="004C3312">
            <w:pPr>
              <w:spacing w:after="0" w:line="240" w:lineRule="auto"/>
              <w:jc w:val="left"/>
              <w:rPr>
                <w:rFonts w:eastAsia="Times New Roman" w:cs="Times New Roman"/>
                <w:color w:val="000000"/>
                <w:sz w:val="20"/>
                <w:szCs w:val="20"/>
                <w:lang w:eastAsia="sk-SK"/>
              </w:rPr>
            </w:pPr>
          </w:p>
        </w:tc>
        <w:tc>
          <w:tcPr>
            <w:tcW w:w="1060" w:type="dxa"/>
            <w:tcBorders>
              <w:top w:val="nil"/>
              <w:left w:val="nil"/>
              <w:bottom w:val="nil"/>
              <w:right w:val="nil"/>
            </w:tcBorders>
            <w:shd w:val="clear" w:color="auto" w:fill="auto"/>
            <w:noWrap/>
            <w:vAlign w:val="center"/>
            <w:hideMark/>
          </w:tcPr>
          <w:p w14:paraId="482A214E" w14:textId="77777777" w:rsidR="004C3312" w:rsidRPr="00F82DBC" w:rsidRDefault="004C3312" w:rsidP="004C3312">
            <w:pPr>
              <w:spacing w:after="0" w:line="240" w:lineRule="auto"/>
              <w:jc w:val="right"/>
              <w:rPr>
                <w:rFonts w:eastAsia="Times New Roman" w:cs="Times New Roman"/>
                <w:sz w:val="20"/>
                <w:szCs w:val="20"/>
                <w:lang w:eastAsia="sk-SK"/>
              </w:rPr>
            </w:pPr>
          </w:p>
        </w:tc>
        <w:tc>
          <w:tcPr>
            <w:tcW w:w="1060" w:type="dxa"/>
            <w:tcBorders>
              <w:top w:val="nil"/>
              <w:left w:val="nil"/>
              <w:bottom w:val="nil"/>
              <w:right w:val="nil"/>
            </w:tcBorders>
            <w:shd w:val="clear" w:color="auto" w:fill="auto"/>
            <w:noWrap/>
            <w:vAlign w:val="center"/>
            <w:hideMark/>
          </w:tcPr>
          <w:p w14:paraId="134C80E2"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p>
        </w:tc>
        <w:tc>
          <w:tcPr>
            <w:tcW w:w="1040" w:type="dxa"/>
            <w:tcBorders>
              <w:top w:val="nil"/>
              <w:left w:val="nil"/>
              <w:bottom w:val="nil"/>
              <w:right w:val="nil"/>
            </w:tcBorders>
            <w:shd w:val="clear" w:color="auto" w:fill="auto"/>
            <w:noWrap/>
            <w:vAlign w:val="center"/>
            <w:hideMark/>
          </w:tcPr>
          <w:p w14:paraId="78F925E1"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p>
        </w:tc>
        <w:tc>
          <w:tcPr>
            <w:tcW w:w="980" w:type="dxa"/>
            <w:tcBorders>
              <w:top w:val="nil"/>
              <w:left w:val="nil"/>
              <w:bottom w:val="nil"/>
              <w:right w:val="nil"/>
            </w:tcBorders>
            <w:shd w:val="clear" w:color="000000" w:fill="FFFFFF"/>
            <w:noWrap/>
            <w:vAlign w:val="center"/>
            <w:hideMark/>
          </w:tcPr>
          <w:p w14:paraId="092F2965"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r>
              <w:rPr>
                <w:b/>
                <w:bCs/>
                <w:color w:val="000000"/>
                <w:sz w:val="18"/>
                <w:szCs w:val="18"/>
              </w:rPr>
              <w:t> </w:t>
            </w:r>
          </w:p>
        </w:tc>
        <w:tc>
          <w:tcPr>
            <w:tcW w:w="753" w:type="dxa"/>
            <w:tcBorders>
              <w:top w:val="nil"/>
              <w:left w:val="nil"/>
              <w:bottom w:val="nil"/>
              <w:right w:val="nil"/>
            </w:tcBorders>
            <w:shd w:val="clear" w:color="auto" w:fill="auto"/>
            <w:noWrap/>
            <w:vAlign w:val="center"/>
            <w:hideMark/>
          </w:tcPr>
          <w:p w14:paraId="7153B685" w14:textId="77777777" w:rsidR="004C3312" w:rsidRPr="00CF58A3" w:rsidRDefault="004C3312" w:rsidP="004C3312">
            <w:pPr>
              <w:spacing w:after="0" w:line="240" w:lineRule="auto"/>
              <w:jc w:val="right"/>
              <w:rPr>
                <w:rFonts w:eastAsia="Times New Roman" w:cs="Times New Roman"/>
                <w:sz w:val="20"/>
                <w:szCs w:val="20"/>
                <w:highlight w:val="yellow"/>
                <w:lang w:eastAsia="sk-SK"/>
              </w:rPr>
            </w:pPr>
          </w:p>
        </w:tc>
      </w:tr>
      <w:tr w:rsidR="004C3312" w:rsidRPr="00CF58A3" w14:paraId="10A37270" w14:textId="77777777" w:rsidTr="004C3312">
        <w:trPr>
          <w:trHeight w:val="288"/>
        </w:trPr>
        <w:tc>
          <w:tcPr>
            <w:tcW w:w="3261" w:type="dxa"/>
            <w:tcBorders>
              <w:top w:val="nil"/>
              <w:left w:val="nil"/>
              <w:bottom w:val="nil"/>
              <w:right w:val="nil"/>
            </w:tcBorders>
            <w:shd w:val="clear" w:color="auto" w:fill="auto"/>
            <w:noWrap/>
            <w:vAlign w:val="center"/>
            <w:hideMark/>
          </w:tcPr>
          <w:p w14:paraId="68C89B6A" w14:textId="77777777" w:rsidR="004C3312" w:rsidRPr="00E53736" w:rsidRDefault="004C3312" w:rsidP="004C3312">
            <w:pPr>
              <w:spacing w:after="0" w:line="240" w:lineRule="auto"/>
              <w:jc w:val="left"/>
              <w:rPr>
                <w:rFonts w:eastAsia="Times New Roman" w:cs="Times New Roman"/>
                <w:i/>
                <w:iCs/>
                <w:color w:val="000000"/>
                <w:sz w:val="20"/>
                <w:szCs w:val="20"/>
                <w:lang w:eastAsia="sk-SK"/>
              </w:rPr>
            </w:pPr>
            <w:r w:rsidRPr="00E53736">
              <w:rPr>
                <w:rFonts w:eastAsia="Times New Roman" w:cs="Times New Roman"/>
                <w:i/>
                <w:iCs/>
                <w:color w:val="000000"/>
                <w:sz w:val="20"/>
                <w:szCs w:val="20"/>
                <w:lang w:eastAsia="sk-SK"/>
              </w:rPr>
              <w:t xml:space="preserve">     daň z príjmov PO</w:t>
            </w:r>
          </w:p>
        </w:tc>
        <w:tc>
          <w:tcPr>
            <w:tcW w:w="1060" w:type="dxa"/>
            <w:tcBorders>
              <w:top w:val="nil"/>
              <w:left w:val="nil"/>
              <w:bottom w:val="nil"/>
              <w:right w:val="nil"/>
            </w:tcBorders>
            <w:shd w:val="clear" w:color="auto" w:fill="auto"/>
            <w:noWrap/>
            <w:vAlign w:val="center"/>
            <w:hideMark/>
          </w:tcPr>
          <w:p w14:paraId="72FF0EDE" w14:textId="77777777" w:rsidR="004C3312" w:rsidRPr="00F82DBC" w:rsidRDefault="004C3312" w:rsidP="004C3312">
            <w:pPr>
              <w:spacing w:after="0" w:line="240" w:lineRule="auto"/>
              <w:jc w:val="right"/>
              <w:rPr>
                <w:rFonts w:eastAsia="Times New Roman" w:cs="Times New Roman"/>
                <w:sz w:val="18"/>
                <w:szCs w:val="18"/>
                <w:lang w:eastAsia="sk-SK"/>
              </w:rPr>
            </w:pPr>
            <w:r w:rsidRPr="00F82DBC">
              <w:rPr>
                <w:rFonts w:eastAsia="Times New Roman" w:cs="Times New Roman"/>
                <w:sz w:val="18"/>
                <w:szCs w:val="18"/>
                <w:lang w:eastAsia="sk-SK"/>
              </w:rPr>
              <w:t>2 349 560</w:t>
            </w:r>
          </w:p>
        </w:tc>
        <w:tc>
          <w:tcPr>
            <w:tcW w:w="1060" w:type="dxa"/>
            <w:tcBorders>
              <w:top w:val="nil"/>
              <w:left w:val="nil"/>
              <w:bottom w:val="nil"/>
              <w:right w:val="nil"/>
            </w:tcBorders>
            <w:shd w:val="clear" w:color="auto" w:fill="auto"/>
            <w:noWrap/>
            <w:vAlign w:val="center"/>
            <w:hideMark/>
          </w:tcPr>
          <w:p w14:paraId="3DEA40ED" w14:textId="77777777" w:rsidR="004C3312" w:rsidRPr="00F82DBC" w:rsidRDefault="004C3312" w:rsidP="004C3312">
            <w:pPr>
              <w:spacing w:after="0" w:line="240" w:lineRule="auto"/>
              <w:jc w:val="right"/>
              <w:rPr>
                <w:rFonts w:eastAsia="Times New Roman" w:cs="Times New Roman"/>
                <w:sz w:val="18"/>
                <w:szCs w:val="18"/>
                <w:lang w:eastAsia="sk-SK"/>
              </w:rPr>
            </w:pPr>
            <w:r w:rsidRPr="00F82DBC">
              <w:rPr>
                <w:rFonts w:eastAsia="Times New Roman" w:cs="Times New Roman"/>
                <w:sz w:val="18"/>
                <w:szCs w:val="18"/>
                <w:lang w:eastAsia="sk-SK"/>
              </w:rPr>
              <w:t>2 859 372</w:t>
            </w:r>
          </w:p>
        </w:tc>
        <w:tc>
          <w:tcPr>
            <w:tcW w:w="1060" w:type="dxa"/>
            <w:tcBorders>
              <w:top w:val="nil"/>
              <w:left w:val="nil"/>
              <w:bottom w:val="nil"/>
              <w:right w:val="nil"/>
            </w:tcBorders>
            <w:shd w:val="clear" w:color="auto" w:fill="auto"/>
            <w:noWrap/>
            <w:vAlign w:val="center"/>
            <w:hideMark/>
          </w:tcPr>
          <w:p w14:paraId="5EC99BB0" w14:textId="77777777" w:rsidR="004C3312" w:rsidRPr="00CF58A3" w:rsidRDefault="004C3312" w:rsidP="004C3312">
            <w:pPr>
              <w:spacing w:after="0" w:line="240" w:lineRule="auto"/>
              <w:jc w:val="right"/>
              <w:rPr>
                <w:rFonts w:eastAsia="Times New Roman" w:cs="Times New Roman"/>
                <w:sz w:val="18"/>
                <w:szCs w:val="18"/>
                <w:highlight w:val="yellow"/>
                <w:lang w:eastAsia="sk-SK"/>
              </w:rPr>
            </w:pPr>
            <w:r>
              <w:rPr>
                <w:color w:val="000000"/>
                <w:sz w:val="18"/>
                <w:szCs w:val="18"/>
              </w:rPr>
              <w:t>3 290 078</w:t>
            </w:r>
          </w:p>
        </w:tc>
        <w:tc>
          <w:tcPr>
            <w:tcW w:w="1040" w:type="dxa"/>
            <w:tcBorders>
              <w:top w:val="nil"/>
              <w:left w:val="nil"/>
              <w:bottom w:val="nil"/>
              <w:right w:val="nil"/>
            </w:tcBorders>
            <w:shd w:val="clear" w:color="auto" w:fill="auto"/>
            <w:noWrap/>
            <w:vAlign w:val="center"/>
            <w:hideMark/>
          </w:tcPr>
          <w:p w14:paraId="776695BC" w14:textId="77777777" w:rsidR="004C3312" w:rsidRPr="00CF58A3" w:rsidRDefault="004C3312" w:rsidP="004C3312">
            <w:pPr>
              <w:spacing w:after="0" w:line="240" w:lineRule="auto"/>
              <w:jc w:val="right"/>
              <w:rPr>
                <w:rFonts w:eastAsia="Times New Roman" w:cs="Times New Roman"/>
                <w:sz w:val="18"/>
                <w:szCs w:val="18"/>
                <w:highlight w:val="yellow"/>
                <w:lang w:eastAsia="sk-SK"/>
              </w:rPr>
            </w:pPr>
            <w:r>
              <w:rPr>
                <w:color w:val="000000"/>
                <w:sz w:val="18"/>
                <w:szCs w:val="18"/>
              </w:rPr>
              <w:t>3 804 345</w:t>
            </w:r>
          </w:p>
        </w:tc>
        <w:tc>
          <w:tcPr>
            <w:tcW w:w="980" w:type="dxa"/>
            <w:tcBorders>
              <w:top w:val="nil"/>
              <w:left w:val="nil"/>
              <w:bottom w:val="nil"/>
              <w:right w:val="nil"/>
            </w:tcBorders>
            <w:shd w:val="clear" w:color="000000" w:fill="FFFFFF"/>
            <w:noWrap/>
            <w:vAlign w:val="center"/>
            <w:hideMark/>
          </w:tcPr>
          <w:p w14:paraId="358B5598" w14:textId="77777777" w:rsidR="004C3312" w:rsidRPr="00CF58A3" w:rsidRDefault="004C3312" w:rsidP="004C3312">
            <w:pPr>
              <w:spacing w:after="0" w:line="240" w:lineRule="auto"/>
              <w:jc w:val="right"/>
              <w:rPr>
                <w:rFonts w:eastAsia="Times New Roman" w:cs="Times New Roman"/>
                <w:sz w:val="18"/>
                <w:szCs w:val="18"/>
                <w:highlight w:val="yellow"/>
                <w:lang w:eastAsia="sk-SK"/>
              </w:rPr>
            </w:pPr>
            <w:r>
              <w:rPr>
                <w:color w:val="000000"/>
                <w:sz w:val="18"/>
                <w:szCs w:val="18"/>
              </w:rPr>
              <w:t>-115 733</w:t>
            </w:r>
          </w:p>
        </w:tc>
        <w:tc>
          <w:tcPr>
            <w:tcW w:w="753" w:type="dxa"/>
            <w:tcBorders>
              <w:top w:val="nil"/>
              <w:left w:val="nil"/>
              <w:bottom w:val="nil"/>
              <w:right w:val="nil"/>
            </w:tcBorders>
            <w:shd w:val="clear" w:color="auto" w:fill="auto"/>
            <w:noWrap/>
            <w:vAlign w:val="center"/>
            <w:hideMark/>
          </w:tcPr>
          <w:p w14:paraId="3D5F6B48" w14:textId="77777777" w:rsidR="004C3312" w:rsidRPr="00CF58A3" w:rsidRDefault="004C3312" w:rsidP="004C3312">
            <w:pPr>
              <w:spacing w:after="0" w:line="240" w:lineRule="auto"/>
              <w:jc w:val="right"/>
              <w:rPr>
                <w:rFonts w:eastAsia="Times New Roman" w:cs="Times New Roman"/>
                <w:sz w:val="18"/>
                <w:szCs w:val="18"/>
                <w:highlight w:val="yellow"/>
                <w:lang w:eastAsia="sk-SK"/>
              </w:rPr>
            </w:pPr>
            <w:r>
              <w:rPr>
                <w:color w:val="000000"/>
                <w:sz w:val="18"/>
                <w:szCs w:val="18"/>
              </w:rPr>
              <w:t>-3,0</w:t>
            </w:r>
          </w:p>
        </w:tc>
      </w:tr>
      <w:tr w:rsidR="004C3312" w:rsidRPr="00CF58A3" w14:paraId="45748DE1" w14:textId="77777777" w:rsidTr="004C3312">
        <w:trPr>
          <w:trHeight w:val="288"/>
        </w:trPr>
        <w:tc>
          <w:tcPr>
            <w:tcW w:w="3261" w:type="dxa"/>
            <w:tcBorders>
              <w:top w:val="nil"/>
              <w:left w:val="nil"/>
              <w:bottom w:val="nil"/>
              <w:right w:val="nil"/>
            </w:tcBorders>
            <w:shd w:val="clear" w:color="auto" w:fill="auto"/>
            <w:noWrap/>
            <w:vAlign w:val="center"/>
            <w:hideMark/>
          </w:tcPr>
          <w:p w14:paraId="6969FEE3" w14:textId="77777777" w:rsidR="004C3312" w:rsidRPr="00E53736" w:rsidRDefault="004C3312" w:rsidP="004C3312">
            <w:pPr>
              <w:spacing w:after="0" w:line="240" w:lineRule="auto"/>
              <w:jc w:val="left"/>
              <w:rPr>
                <w:rFonts w:eastAsia="Times New Roman" w:cs="Times New Roman"/>
                <w:i/>
                <w:iCs/>
                <w:color w:val="000000"/>
                <w:sz w:val="20"/>
                <w:szCs w:val="20"/>
                <w:lang w:eastAsia="sk-SK"/>
              </w:rPr>
            </w:pPr>
            <w:r w:rsidRPr="00E53736">
              <w:rPr>
                <w:rFonts w:eastAsia="Times New Roman" w:cs="Times New Roman"/>
                <w:i/>
                <w:iCs/>
                <w:color w:val="000000"/>
                <w:sz w:val="20"/>
                <w:szCs w:val="20"/>
                <w:lang w:eastAsia="sk-SK"/>
              </w:rPr>
              <w:t xml:space="preserve">     daň z príjmov vyberaná zrážkou</w:t>
            </w:r>
          </w:p>
        </w:tc>
        <w:tc>
          <w:tcPr>
            <w:tcW w:w="1060" w:type="dxa"/>
            <w:tcBorders>
              <w:top w:val="nil"/>
              <w:left w:val="nil"/>
              <w:bottom w:val="nil"/>
              <w:right w:val="nil"/>
            </w:tcBorders>
            <w:shd w:val="clear" w:color="auto" w:fill="auto"/>
            <w:noWrap/>
            <w:vAlign w:val="center"/>
            <w:hideMark/>
          </w:tcPr>
          <w:p w14:paraId="22644041" w14:textId="77777777" w:rsidR="004C3312" w:rsidRPr="00F82DBC" w:rsidRDefault="004C3312" w:rsidP="004C3312">
            <w:pPr>
              <w:spacing w:after="0" w:line="240" w:lineRule="auto"/>
              <w:jc w:val="right"/>
              <w:rPr>
                <w:rFonts w:eastAsia="Times New Roman" w:cs="Times New Roman"/>
                <w:sz w:val="18"/>
                <w:szCs w:val="18"/>
                <w:lang w:eastAsia="sk-SK"/>
              </w:rPr>
            </w:pPr>
            <w:r w:rsidRPr="00F82DBC">
              <w:rPr>
                <w:rFonts w:eastAsia="Times New Roman" w:cs="Times New Roman"/>
                <w:sz w:val="18"/>
                <w:szCs w:val="18"/>
                <w:lang w:eastAsia="sk-SK"/>
              </w:rPr>
              <w:t>235 081</w:t>
            </w:r>
          </w:p>
        </w:tc>
        <w:tc>
          <w:tcPr>
            <w:tcW w:w="1060" w:type="dxa"/>
            <w:tcBorders>
              <w:top w:val="nil"/>
              <w:left w:val="nil"/>
              <w:bottom w:val="nil"/>
              <w:right w:val="nil"/>
            </w:tcBorders>
            <w:shd w:val="clear" w:color="auto" w:fill="auto"/>
            <w:noWrap/>
            <w:vAlign w:val="center"/>
            <w:hideMark/>
          </w:tcPr>
          <w:p w14:paraId="7B01C5C4" w14:textId="77777777" w:rsidR="004C3312" w:rsidRPr="00F82DBC" w:rsidRDefault="004C3312" w:rsidP="004C3312">
            <w:pPr>
              <w:spacing w:after="0" w:line="240" w:lineRule="auto"/>
              <w:jc w:val="right"/>
              <w:rPr>
                <w:rFonts w:eastAsia="Times New Roman" w:cs="Times New Roman"/>
                <w:sz w:val="18"/>
                <w:szCs w:val="18"/>
                <w:lang w:eastAsia="sk-SK"/>
              </w:rPr>
            </w:pPr>
            <w:r w:rsidRPr="00F82DBC">
              <w:rPr>
                <w:rFonts w:eastAsia="Times New Roman" w:cs="Times New Roman"/>
                <w:sz w:val="18"/>
                <w:szCs w:val="18"/>
                <w:lang w:eastAsia="sk-SK"/>
              </w:rPr>
              <w:t>289 754</w:t>
            </w:r>
          </w:p>
        </w:tc>
        <w:tc>
          <w:tcPr>
            <w:tcW w:w="1060" w:type="dxa"/>
            <w:tcBorders>
              <w:top w:val="nil"/>
              <w:left w:val="nil"/>
              <w:bottom w:val="nil"/>
              <w:right w:val="nil"/>
            </w:tcBorders>
            <w:shd w:val="clear" w:color="auto" w:fill="auto"/>
            <w:noWrap/>
            <w:vAlign w:val="center"/>
            <w:hideMark/>
          </w:tcPr>
          <w:p w14:paraId="0E0CED56" w14:textId="77777777" w:rsidR="004C3312" w:rsidRPr="00CF58A3" w:rsidRDefault="004C3312" w:rsidP="004C3312">
            <w:pPr>
              <w:spacing w:after="0" w:line="240" w:lineRule="auto"/>
              <w:jc w:val="right"/>
              <w:rPr>
                <w:rFonts w:eastAsia="Times New Roman" w:cs="Times New Roman"/>
                <w:sz w:val="18"/>
                <w:szCs w:val="18"/>
                <w:highlight w:val="yellow"/>
                <w:lang w:eastAsia="sk-SK"/>
              </w:rPr>
            </w:pPr>
            <w:r>
              <w:rPr>
                <w:color w:val="000000"/>
                <w:sz w:val="18"/>
                <w:szCs w:val="18"/>
              </w:rPr>
              <w:t>320 338</w:t>
            </w:r>
          </w:p>
        </w:tc>
        <w:tc>
          <w:tcPr>
            <w:tcW w:w="1040" w:type="dxa"/>
            <w:tcBorders>
              <w:top w:val="nil"/>
              <w:left w:val="nil"/>
              <w:bottom w:val="nil"/>
              <w:right w:val="nil"/>
            </w:tcBorders>
            <w:shd w:val="clear" w:color="auto" w:fill="auto"/>
            <w:noWrap/>
            <w:vAlign w:val="center"/>
            <w:hideMark/>
          </w:tcPr>
          <w:p w14:paraId="20F9BCE8" w14:textId="77777777" w:rsidR="004C3312" w:rsidRPr="00CF58A3" w:rsidRDefault="004C3312" w:rsidP="004C3312">
            <w:pPr>
              <w:spacing w:after="0" w:line="240" w:lineRule="auto"/>
              <w:jc w:val="right"/>
              <w:rPr>
                <w:rFonts w:eastAsia="Times New Roman" w:cs="Times New Roman"/>
                <w:sz w:val="18"/>
                <w:szCs w:val="18"/>
                <w:highlight w:val="yellow"/>
                <w:lang w:eastAsia="sk-SK"/>
              </w:rPr>
            </w:pPr>
            <w:r>
              <w:rPr>
                <w:color w:val="000000"/>
                <w:sz w:val="18"/>
                <w:szCs w:val="18"/>
              </w:rPr>
              <w:t>314 764</w:t>
            </w:r>
          </w:p>
        </w:tc>
        <w:tc>
          <w:tcPr>
            <w:tcW w:w="980" w:type="dxa"/>
            <w:tcBorders>
              <w:top w:val="nil"/>
              <w:left w:val="nil"/>
              <w:bottom w:val="nil"/>
              <w:right w:val="nil"/>
            </w:tcBorders>
            <w:shd w:val="clear" w:color="000000" w:fill="FFFFFF"/>
            <w:noWrap/>
            <w:vAlign w:val="center"/>
            <w:hideMark/>
          </w:tcPr>
          <w:p w14:paraId="27D0E0C2" w14:textId="77777777" w:rsidR="004C3312" w:rsidRPr="00CF58A3" w:rsidRDefault="004C3312" w:rsidP="004C3312">
            <w:pPr>
              <w:spacing w:after="0" w:line="240" w:lineRule="auto"/>
              <w:jc w:val="right"/>
              <w:rPr>
                <w:rFonts w:eastAsia="Times New Roman" w:cs="Times New Roman"/>
                <w:sz w:val="18"/>
                <w:szCs w:val="18"/>
                <w:highlight w:val="yellow"/>
                <w:lang w:eastAsia="sk-SK"/>
              </w:rPr>
            </w:pPr>
            <w:r>
              <w:rPr>
                <w:color w:val="000000"/>
                <w:sz w:val="18"/>
                <w:szCs w:val="18"/>
              </w:rPr>
              <w:t>-5 574</w:t>
            </w:r>
          </w:p>
        </w:tc>
        <w:tc>
          <w:tcPr>
            <w:tcW w:w="753" w:type="dxa"/>
            <w:tcBorders>
              <w:top w:val="nil"/>
              <w:left w:val="nil"/>
              <w:bottom w:val="nil"/>
              <w:right w:val="nil"/>
            </w:tcBorders>
            <w:shd w:val="clear" w:color="auto" w:fill="auto"/>
            <w:noWrap/>
            <w:vAlign w:val="center"/>
            <w:hideMark/>
          </w:tcPr>
          <w:p w14:paraId="134B291A" w14:textId="77777777" w:rsidR="004C3312" w:rsidRPr="00CF58A3" w:rsidRDefault="004C3312" w:rsidP="004C3312">
            <w:pPr>
              <w:spacing w:after="0" w:line="240" w:lineRule="auto"/>
              <w:jc w:val="right"/>
              <w:rPr>
                <w:rFonts w:eastAsia="Times New Roman" w:cs="Times New Roman"/>
                <w:sz w:val="18"/>
                <w:szCs w:val="18"/>
                <w:highlight w:val="yellow"/>
                <w:lang w:eastAsia="sk-SK"/>
              </w:rPr>
            </w:pPr>
            <w:r>
              <w:rPr>
                <w:color w:val="000000"/>
                <w:sz w:val="18"/>
                <w:szCs w:val="18"/>
              </w:rPr>
              <w:t>-1,7</w:t>
            </w:r>
          </w:p>
        </w:tc>
      </w:tr>
      <w:tr w:rsidR="004C3312" w:rsidRPr="00CF58A3" w14:paraId="06EA089B" w14:textId="77777777" w:rsidTr="004C3312">
        <w:trPr>
          <w:trHeight w:val="288"/>
        </w:trPr>
        <w:tc>
          <w:tcPr>
            <w:tcW w:w="3261" w:type="dxa"/>
            <w:tcBorders>
              <w:top w:val="nil"/>
              <w:left w:val="nil"/>
              <w:bottom w:val="nil"/>
              <w:right w:val="nil"/>
            </w:tcBorders>
            <w:shd w:val="clear" w:color="auto" w:fill="auto"/>
            <w:noWrap/>
            <w:vAlign w:val="center"/>
            <w:hideMark/>
          </w:tcPr>
          <w:p w14:paraId="2373DCDD" w14:textId="77777777" w:rsidR="004C3312" w:rsidRPr="00E53736" w:rsidRDefault="004C3312" w:rsidP="004C3312">
            <w:pPr>
              <w:spacing w:after="0" w:line="240" w:lineRule="auto"/>
              <w:jc w:val="left"/>
              <w:rPr>
                <w:rFonts w:eastAsia="Times New Roman" w:cs="Times New Roman"/>
                <w:i/>
                <w:iCs/>
                <w:color w:val="000000"/>
                <w:sz w:val="20"/>
                <w:szCs w:val="20"/>
                <w:lang w:eastAsia="sk-SK"/>
              </w:rPr>
            </w:pPr>
            <w:r w:rsidRPr="00E53736">
              <w:rPr>
                <w:rFonts w:eastAsia="Times New Roman" w:cs="Times New Roman"/>
                <w:i/>
                <w:iCs/>
                <w:color w:val="000000"/>
                <w:sz w:val="20"/>
                <w:szCs w:val="20"/>
                <w:lang w:eastAsia="sk-SK"/>
              </w:rPr>
              <w:t xml:space="preserve">     daň z príjmov FO</w:t>
            </w:r>
          </w:p>
        </w:tc>
        <w:tc>
          <w:tcPr>
            <w:tcW w:w="1060" w:type="dxa"/>
            <w:tcBorders>
              <w:top w:val="nil"/>
              <w:left w:val="nil"/>
              <w:bottom w:val="nil"/>
              <w:right w:val="nil"/>
            </w:tcBorders>
            <w:shd w:val="clear" w:color="auto" w:fill="auto"/>
            <w:noWrap/>
            <w:vAlign w:val="center"/>
            <w:hideMark/>
          </w:tcPr>
          <w:p w14:paraId="2EECC1E2"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-22 997</w:t>
            </w:r>
          </w:p>
        </w:tc>
        <w:tc>
          <w:tcPr>
            <w:tcW w:w="1060" w:type="dxa"/>
            <w:tcBorders>
              <w:top w:val="nil"/>
              <w:left w:val="nil"/>
              <w:bottom w:val="nil"/>
              <w:right w:val="nil"/>
            </w:tcBorders>
            <w:shd w:val="clear" w:color="auto" w:fill="auto"/>
            <w:noWrap/>
            <w:vAlign w:val="center"/>
            <w:hideMark/>
          </w:tcPr>
          <w:p w14:paraId="4BD6CC66" w14:textId="77777777" w:rsidR="004C3312" w:rsidRPr="00F82DBC" w:rsidRDefault="004C3312" w:rsidP="004C3312">
            <w:pPr>
              <w:spacing w:after="0" w:line="240" w:lineRule="auto"/>
              <w:jc w:val="right"/>
              <w:rPr>
                <w:rFonts w:eastAsia="Times New Roman" w:cs="Times New Roman"/>
                <w:color w:val="000000"/>
                <w:sz w:val="18"/>
                <w:szCs w:val="18"/>
                <w:lang w:eastAsia="sk-SK"/>
              </w:rPr>
            </w:pPr>
            <w:r w:rsidRPr="00F82DBC">
              <w:rPr>
                <w:rFonts w:eastAsia="Times New Roman" w:cs="Times New Roman"/>
                <w:color w:val="000000"/>
                <w:sz w:val="18"/>
                <w:szCs w:val="18"/>
                <w:lang w:eastAsia="sk-SK"/>
              </w:rPr>
              <w:t>20 864</w:t>
            </w:r>
          </w:p>
        </w:tc>
        <w:tc>
          <w:tcPr>
            <w:tcW w:w="1060" w:type="dxa"/>
            <w:tcBorders>
              <w:top w:val="nil"/>
              <w:left w:val="nil"/>
              <w:bottom w:val="nil"/>
              <w:right w:val="nil"/>
            </w:tcBorders>
            <w:shd w:val="clear" w:color="auto" w:fill="auto"/>
            <w:noWrap/>
            <w:vAlign w:val="center"/>
            <w:hideMark/>
          </w:tcPr>
          <w:p w14:paraId="0A6C41F8"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20 851</w:t>
            </w:r>
          </w:p>
        </w:tc>
        <w:tc>
          <w:tcPr>
            <w:tcW w:w="1040" w:type="dxa"/>
            <w:tcBorders>
              <w:top w:val="nil"/>
              <w:left w:val="nil"/>
              <w:bottom w:val="nil"/>
              <w:right w:val="nil"/>
            </w:tcBorders>
            <w:shd w:val="clear" w:color="auto" w:fill="auto"/>
            <w:noWrap/>
            <w:vAlign w:val="center"/>
            <w:hideMark/>
          </w:tcPr>
          <w:p w14:paraId="762B838F"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-4 929</w:t>
            </w:r>
          </w:p>
        </w:tc>
        <w:tc>
          <w:tcPr>
            <w:tcW w:w="980" w:type="dxa"/>
            <w:tcBorders>
              <w:top w:val="nil"/>
              <w:left w:val="nil"/>
              <w:bottom w:val="nil"/>
              <w:right w:val="nil"/>
            </w:tcBorders>
            <w:shd w:val="clear" w:color="000000" w:fill="FFFFFF"/>
            <w:vAlign w:val="center"/>
            <w:hideMark/>
          </w:tcPr>
          <w:p w14:paraId="7E62F530"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-25 780</w:t>
            </w:r>
          </w:p>
        </w:tc>
        <w:tc>
          <w:tcPr>
            <w:tcW w:w="753" w:type="dxa"/>
            <w:tcBorders>
              <w:top w:val="nil"/>
              <w:left w:val="nil"/>
              <w:bottom w:val="nil"/>
              <w:right w:val="nil"/>
            </w:tcBorders>
            <w:shd w:val="clear" w:color="000000" w:fill="FFFFFF"/>
            <w:vAlign w:val="center"/>
            <w:hideMark/>
          </w:tcPr>
          <w:p w14:paraId="35653689" w14:textId="77777777" w:rsidR="004C3312" w:rsidRPr="00CF58A3" w:rsidRDefault="004C3312" w:rsidP="004C3312">
            <w:pPr>
              <w:spacing w:after="0" w:line="240" w:lineRule="auto"/>
              <w:jc w:val="right"/>
              <w:rPr>
                <w:rFonts w:eastAsia="Times New Roman" w:cs="Times New Roman"/>
                <w:color w:val="000000"/>
                <w:sz w:val="18"/>
                <w:szCs w:val="18"/>
                <w:highlight w:val="yellow"/>
                <w:lang w:eastAsia="sk-SK"/>
              </w:rPr>
            </w:pPr>
            <w:r>
              <w:rPr>
                <w:color w:val="000000"/>
                <w:sz w:val="18"/>
                <w:szCs w:val="18"/>
              </w:rPr>
              <w:t>-123,6</w:t>
            </w:r>
          </w:p>
        </w:tc>
      </w:tr>
      <w:tr w:rsidR="004C3312" w:rsidRPr="00CF58A3" w14:paraId="63A7DD45" w14:textId="77777777" w:rsidTr="004C3312">
        <w:trPr>
          <w:trHeight w:val="972"/>
        </w:trPr>
        <w:tc>
          <w:tcPr>
            <w:tcW w:w="3261" w:type="dxa"/>
            <w:tcBorders>
              <w:top w:val="nil"/>
              <w:left w:val="nil"/>
              <w:bottom w:val="nil"/>
              <w:right w:val="nil"/>
            </w:tcBorders>
            <w:shd w:val="clear" w:color="auto" w:fill="auto"/>
            <w:vAlign w:val="center"/>
            <w:hideMark/>
          </w:tcPr>
          <w:p w14:paraId="5B58C5D3" w14:textId="77777777" w:rsidR="004C3312" w:rsidRPr="00E53736" w:rsidRDefault="004C3312" w:rsidP="004C3312">
            <w:pPr>
              <w:spacing w:after="0" w:line="240" w:lineRule="auto"/>
              <w:jc w:val="left"/>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Dane z medzinárodného obchodu a transakcií</w:t>
            </w:r>
          </w:p>
        </w:tc>
        <w:tc>
          <w:tcPr>
            <w:tcW w:w="1060" w:type="dxa"/>
            <w:tcBorders>
              <w:top w:val="nil"/>
              <w:left w:val="nil"/>
              <w:bottom w:val="nil"/>
              <w:right w:val="nil"/>
            </w:tcBorders>
            <w:shd w:val="clear" w:color="auto" w:fill="auto"/>
            <w:noWrap/>
            <w:vAlign w:val="center"/>
            <w:hideMark/>
          </w:tcPr>
          <w:p w14:paraId="77AA0D3C"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sidRPr="00F82DBC">
              <w:rPr>
                <w:rFonts w:eastAsia="Times New Roman" w:cs="Times New Roman"/>
                <w:b/>
                <w:bCs/>
                <w:color w:val="000000"/>
                <w:sz w:val="18"/>
                <w:szCs w:val="18"/>
                <w:lang w:eastAsia="sk-SK"/>
              </w:rPr>
              <w:t>19 904</w:t>
            </w:r>
          </w:p>
        </w:tc>
        <w:tc>
          <w:tcPr>
            <w:tcW w:w="1060" w:type="dxa"/>
            <w:tcBorders>
              <w:top w:val="nil"/>
              <w:left w:val="nil"/>
              <w:bottom w:val="nil"/>
              <w:right w:val="nil"/>
            </w:tcBorders>
            <w:shd w:val="clear" w:color="auto" w:fill="auto"/>
            <w:noWrap/>
            <w:vAlign w:val="center"/>
            <w:hideMark/>
          </w:tcPr>
          <w:p w14:paraId="51CAB1FA"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sidRPr="00F82DBC">
              <w:rPr>
                <w:rFonts w:eastAsia="Times New Roman" w:cs="Times New Roman"/>
                <w:b/>
                <w:bCs/>
                <w:color w:val="000000"/>
                <w:sz w:val="18"/>
                <w:szCs w:val="18"/>
                <w:lang w:eastAsia="sk-SK"/>
              </w:rPr>
              <w:t>28 735</w:t>
            </w:r>
          </w:p>
        </w:tc>
        <w:tc>
          <w:tcPr>
            <w:tcW w:w="1060" w:type="dxa"/>
            <w:tcBorders>
              <w:top w:val="nil"/>
              <w:left w:val="nil"/>
              <w:bottom w:val="nil"/>
              <w:right w:val="nil"/>
            </w:tcBorders>
            <w:shd w:val="clear" w:color="auto" w:fill="auto"/>
            <w:noWrap/>
            <w:vAlign w:val="center"/>
            <w:hideMark/>
          </w:tcPr>
          <w:p w14:paraId="681AB556"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37 098</w:t>
            </w:r>
          </w:p>
        </w:tc>
        <w:tc>
          <w:tcPr>
            <w:tcW w:w="1040" w:type="dxa"/>
            <w:tcBorders>
              <w:top w:val="nil"/>
              <w:left w:val="nil"/>
              <w:bottom w:val="nil"/>
              <w:right w:val="nil"/>
            </w:tcBorders>
            <w:shd w:val="clear" w:color="auto" w:fill="auto"/>
            <w:noWrap/>
            <w:vAlign w:val="center"/>
            <w:hideMark/>
          </w:tcPr>
          <w:p w14:paraId="63AB8533"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39 848</w:t>
            </w:r>
          </w:p>
        </w:tc>
        <w:tc>
          <w:tcPr>
            <w:tcW w:w="980" w:type="dxa"/>
            <w:tcBorders>
              <w:top w:val="nil"/>
              <w:left w:val="nil"/>
              <w:bottom w:val="nil"/>
              <w:right w:val="nil"/>
            </w:tcBorders>
            <w:shd w:val="clear" w:color="000000" w:fill="FFFFFF"/>
            <w:vAlign w:val="center"/>
            <w:hideMark/>
          </w:tcPr>
          <w:p w14:paraId="4621D104"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2 750</w:t>
            </w:r>
          </w:p>
        </w:tc>
        <w:tc>
          <w:tcPr>
            <w:tcW w:w="753" w:type="dxa"/>
            <w:tcBorders>
              <w:top w:val="nil"/>
              <w:left w:val="nil"/>
              <w:bottom w:val="nil"/>
              <w:right w:val="nil"/>
            </w:tcBorders>
            <w:shd w:val="clear" w:color="000000" w:fill="FFFFFF"/>
            <w:vAlign w:val="center"/>
            <w:hideMark/>
          </w:tcPr>
          <w:p w14:paraId="1A5C57FA"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b/>
                <w:bCs/>
                <w:color w:val="000000"/>
                <w:sz w:val="18"/>
                <w:szCs w:val="18"/>
              </w:rPr>
              <w:t>7,4</w:t>
            </w:r>
          </w:p>
        </w:tc>
      </w:tr>
      <w:tr w:rsidR="004C3312" w:rsidRPr="00CF58A3" w14:paraId="68913886" w14:textId="77777777" w:rsidTr="004C3312">
        <w:trPr>
          <w:trHeight w:val="288"/>
        </w:trPr>
        <w:tc>
          <w:tcPr>
            <w:tcW w:w="3261" w:type="dxa"/>
            <w:tcBorders>
              <w:top w:val="nil"/>
              <w:left w:val="nil"/>
              <w:bottom w:val="nil"/>
              <w:right w:val="nil"/>
            </w:tcBorders>
            <w:shd w:val="clear" w:color="auto" w:fill="auto"/>
            <w:noWrap/>
            <w:vAlign w:val="center"/>
          </w:tcPr>
          <w:p w14:paraId="39E09CE6" w14:textId="77777777" w:rsidR="004C3312" w:rsidRPr="003A72CB" w:rsidRDefault="004C3312" w:rsidP="004C3312">
            <w:pPr>
              <w:spacing w:after="0" w:line="240" w:lineRule="auto"/>
              <w:jc w:val="left"/>
              <w:rPr>
                <w:rFonts w:eastAsia="Times New Roman" w:cs="Times New Roman"/>
                <w:b/>
                <w:bCs/>
                <w:color w:val="000000"/>
                <w:sz w:val="20"/>
                <w:szCs w:val="20"/>
                <w:lang w:eastAsia="sk-SK"/>
              </w:rPr>
            </w:pPr>
            <w:r w:rsidRPr="003A72CB">
              <w:rPr>
                <w:rFonts w:eastAsia="Times New Roman" w:cs="Times New Roman"/>
                <w:b/>
                <w:bCs/>
                <w:color w:val="000000"/>
                <w:sz w:val="20"/>
                <w:szCs w:val="20"/>
                <w:lang w:eastAsia="sk-SK"/>
              </w:rPr>
              <w:t>Ostatné dane</w:t>
            </w:r>
          </w:p>
        </w:tc>
        <w:tc>
          <w:tcPr>
            <w:tcW w:w="1060" w:type="dxa"/>
            <w:tcBorders>
              <w:top w:val="nil"/>
              <w:left w:val="nil"/>
              <w:bottom w:val="nil"/>
              <w:right w:val="nil"/>
            </w:tcBorders>
            <w:shd w:val="clear" w:color="auto" w:fill="auto"/>
            <w:noWrap/>
            <w:vAlign w:val="center"/>
          </w:tcPr>
          <w:p w14:paraId="78EFEE8E"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-1 312</w:t>
            </w:r>
          </w:p>
        </w:tc>
        <w:tc>
          <w:tcPr>
            <w:tcW w:w="1060" w:type="dxa"/>
            <w:tcBorders>
              <w:top w:val="nil"/>
              <w:left w:val="nil"/>
              <w:bottom w:val="nil"/>
              <w:right w:val="nil"/>
            </w:tcBorders>
            <w:shd w:val="clear" w:color="auto" w:fill="auto"/>
            <w:noWrap/>
            <w:vAlign w:val="center"/>
          </w:tcPr>
          <w:p w14:paraId="279FB6F9"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11</w:t>
            </w:r>
          </w:p>
        </w:tc>
        <w:tc>
          <w:tcPr>
            <w:tcW w:w="1060" w:type="dxa"/>
            <w:tcBorders>
              <w:top w:val="nil"/>
              <w:left w:val="nil"/>
              <w:bottom w:val="nil"/>
              <w:right w:val="nil"/>
            </w:tcBorders>
            <w:shd w:val="clear" w:color="auto" w:fill="auto"/>
            <w:noWrap/>
            <w:vAlign w:val="center"/>
          </w:tcPr>
          <w:p w14:paraId="353B2BD3"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4</w:t>
            </w:r>
          </w:p>
        </w:tc>
        <w:tc>
          <w:tcPr>
            <w:tcW w:w="1040" w:type="dxa"/>
            <w:tcBorders>
              <w:top w:val="nil"/>
              <w:left w:val="nil"/>
              <w:bottom w:val="nil"/>
              <w:right w:val="nil"/>
            </w:tcBorders>
            <w:shd w:val="clear" w:color="auto" w:fill="auto"/>
            <w:noWrap/>
            <w:vAlign w:val="center"/>
          </w:tcPr>
          <w:p w14:paraId="3A0D0E6D" w14:textId="77777777" w:rsidR="004C3312" w:rsidRDefault="004C3312" w:rsidP="004C33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9</w:t>
            </w:r>
          </w:p>
        </w:tc>
        <w:tc>
          <w:tcPr>
            <w:tcW w:w="980" w:type="dxa"/>
            <w:tcBorders>
              <w:top w:val="nil"/>
              <w:left w:val="nil"/>
              <w:bottom w:val="nil"/>
              <w:right w:val="nil"/>
            </w:tcBorders>
            <w:shd w:val="clear" w:color="auto" w:fill="auto"/>
            <w:noWrap/>
            <w:vAlign w:val="center"/>
          </w:tcPr>
          <w:p w14:paraId="21EF3E19" w14:textId="77777777" w:rsidR="004C3312" w:rsidRDefault="004C3312" w:rsidP="004C33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5</w:t>
            </w:r>
          </w:p>
        </w:tc>
        <w:tc>
          <w:tcPr>
            <w:tcW w:w="753" w:type="dxa"/>
            <w:tcBorders>
              <w:top w:val="nil"/>
              <w:left w:val="nil"/>
              <w:bottom w:val="nil"/>
              <w:right w:val="nil"/>
            </w:tcBorders>
            <w:shd w:val="clear" w:color="000000" w:fill="FFFFFF"/>
            <w:vAlign w:val="center"/>
          </w:tcPr>
          <w:p w14:paraId="722DF808" w14:textId="77777777" w:rsidR="004C3312" w:rsidRDefault="004C3312" w:rsidP="004C33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127,1</w:t>
            </w:r>
          </w:p>
        </w:tc>
      </w:tr>
      <w:tr w:rsidR="004C3312" w:rsidRPr="00CF58A3" w14:paraId="013B6757" w14:textId="77777777" w:rsidTr="004C3312">
        <w:trPr>
          <w:trHeight w:val="288"/>
        </w:trPr>
        <w:tc>
          <w:tcPr>
            <w:tcW w:w="3261" w:type="dxa"/>
            <w:tcBorders>
              <w:top w:val="nil"/>
              <w:left w:val="nil"/>
              <w:bottom w:val="nil"/>
              <w:right w:val="nil"/>
            </w:tcBorders>
            <w:shd w:val="clear" w:color="auto" w:fill="auto"/>
            <w:noWrap/>
            <w:vAlign w:val="center"/>
            <w:hideMark/>
          </w:tcPr>
          <w:p w14:paraId="263262FE" w14:textId="77777777" w:rsidR="004C3312" w:rsidRPr="00E53736" w:rsidRDefault="004C3312" w:rsidP="004C3312">
            <w:pPr>
              <w:spacing w:after="0" w:line="240" w:lineRule="auto"/>
              <w:jc w:val="left"/>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Sankcie uložené v daňovom konaní</w:t>
            </w:r>
          </w:p>
        </w:tc>
        <w:tc>
          <w:tcPr>
            <w:tcW w:w="1060" w:type="dxa"/>
            <w:tcBorders>
              <w:top w:val="nil"/>
              <w:left w:val="nil"/>
              <w:bottom w:val="nil"/>
              <w:right w:val="nil"/>
            </w:tcBorders>
            <w:shd w:val="clear" w:color="auto" w:fill="auto"/>
            <w:noWrap/>
            <w:vAlign w:val="center"/>
            <w:hideMark/>
          </w:tcPr>
          <w:p w14:paraId="760C7CD7"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sidRPr="00F82DBC">
              <w:rPr>
                <w:rFonts w:eastAsia="Times New Roman" w:cs="Times New Roman"/>
                <w:b/>
                <w:bCs/>
                <w:color w:val="000000"/>
                <w:sz w:val="18"/>
                <w:szCs w:val="18"/>
                <w:lang w:eastAsia="sk-SK"/>
              </w:rPr>
              <w:t>16 935</w:t>
            </w:r>
          </w:p>
        </w:tc>
        <w:tc>
          <w:tcPr>
            <w:tcW w:w="1060" w:type="dxa"/>
            <w:tcBorders>
              <w:top w:val="nil"/>
              <w:left w:val="nil"/>
              <w:bottom w:val="nil"/>
              <w:right w:val="nil"/>
            </w:tcBorders>
            <w:shd w:val="clear" w:color="auto" w:fill="auto"/>
            <w:noWrap/>
            <w:vAlign w:val="center"/>
            <w:hideMark/>
          </w:tcPr>
          <w:p w14:paraId="581E4AC0"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sidRPr="00F82DBC">
              <w:rPr>
                <w:rFonts w:eastAsia="Times New Roman" w:cs="Times New Roman"/>
                <w:b/>
                <w:bCs/>
                <w:color w:val="000000"/>
                <w:sz w:val="18"/>
                <w:szCs w:val="18"/>
                <w:lang w:eastAsia="sk-SK"/>
              </w:rPr>
              <w:t>19 959</w:t>
            </w:r>
          </w:p>
        </w:tc>
        <w:tc>
          <w:tcPr>
            <w:tcW w:w="1060" w:type="dxa"/>
            <w:tcBorders>
              <w:top w:val="nil"/>
              <w:left w:val="nil"/>
              <w:bottom w:val="nil"/>
              <w:right w:val="nil"/>
            </w:tcBorders>
            <w:shd w:val="clear" w:color="auto" w:fill="auto"/>
            <w:noWrap/>
            <w:vAlign w:val="center"/>
            <w:hideMark/>
          </w:tcPr>
          <w:p w14:paraId="1D269154"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sidRPr="00F82DBC">
              <w:rPr>
                <w:rFonts w:eastAsia="Times New Roman" w:cs="Times New Roman"/>
                <w:b/>
                <w:bCs/>
                <w:color w:val="000000"/>
                <w:sz w:val="18"/>
                <w:szCs w:val="18"/>
                <w:lang w:eastAsia="sk-SK"/>
              </w:rPr>
              <w:t>20 975</w:t>
            </w:r>
          </w:p>
        </w:tc>
        <w:tc>
          <w:tcPr>
            <w:tcW w:w="1040" w:type="dxa"/>
            <w:tcBorders>
              <w:top w:val="nil"/>
              <w:left w:val="nil"/>
              <w:bottom w:val="nil"/>
              <w:right w:val="nil"/>
            </w:tcBorders>
            <w:shd w:val="clear" w:color="auto" w:fill="auto"/>
            <w:noWrap/>
            <w:vAlign w:val="center"/>
            <w:hideMark/>
          </w:tcPr>
          <w:p w14:paraId="6BA1F45E"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rFonts w:eastAsia="Times New Roman" w:cs="Times New Roman"/>
                <w:b/>
                <w:bCs/>
                <w:color w:val="000000"/>
                <w:sz w:val="18"/>
                <w:szCs w:val="18"/>
                <w:lang w:eastAsia="sk-SK"/>
              </w:rPr>
              <w:t>32 771</w:t>
            </w:r>
          </w:p>
        </w:tc>
        <w:tc>
          <w:tcPr>
            <w:tcW w:w="980" w:type="dxa"/>
            <w:tcBorders>
              <w:top w:val="nil"/>
              <w:left w:val="nil"/>
              <w:bottom w:val="nil"/>
              <w:right w:val="nil"/>
            </w:tcBorders>
            <w:shd w:val="clear" w:color="auto" w:fill="auto"/>
            <w:noWrap/>
            <w:vAlign w:val="center"/>
            <w:hideMark/>
          </w:tcPr>
          <w:p w14:paraId="3F28A479"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rFonts w:eastAsia="Times New Roman" w:cs="Times New Roman"/>
                <w:b/>
                <w:bCs/>
                <w:color w:val="000000"/>
                <w:sz w:val="18"/>
                <w:szCs w:val="18"/>
                <w:lang w:eastAsia="sk-SK"/>
              </w:rPr>
              <w:t>11 796</w:t>
            </w:r>
          </w:p>
        </w:tc>
        <w:tc>
          <w:tcPr>
            <w:tcW w:w="753" w:type="dxa"/>
            <w:tcBorders>
              <w:top w:val="nil"/>
              <w:left w:val="nil"/>
              <w:bottom w:val="nil"/>
              <w:right w:val="nil"/>
            </w:tcBorders>
            <w:shd w:val="clear" w:color="000000" w:fill="FFFFFF"/>
            <w:vAlign w:val="center"/>
            <w:hideMark/>
          </w:tcPr>
          <w:p w14:paraId="153A8635"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56,2</w:t>
            </w:r>
          </w:p>
        </w:tc>
      </w:tr>
      <w:tr w:rsidR="004C3312" w:rsidRPr="00CF58A3" w14:paraId="1B164AFE" w14:textId="77777777" w:rsidTr="004C3312">
        <w:trPr>
          <w:trHeight w:val="288"/>
        </w:trPr>
        <w:tc>
          <w:tcPr>
            <w:tcW w:w="3261" w:type="dxa"/>
            <w:tcBorders>
              <w:top w:val="single" w:sz="4" w:space="0" w:color="auto"/>
              <w:left w:val="nil"/>
              <w:bottom w:val="single" w:sz="4" w:space="0" w:color="auto"/>
              <w:right w:val="nil"/>
            </w:tcBorders>
            <w:shd w:val="clear" w:color="000000" w:fill="FFFFFF"/>
            <w:noWrap/>
            <w:vAlign w:val="center"/>
            <w:hideMark/>
          </w:tcPr>
          <w:p w14:paraId="5EF81E0A" w14:textId="77777777" w:rsidR="004C3312" w:rsidRPr="00E53736" w:rsidRDefault="004C3312" w:rsidP="004C3312">
            <w:pPr>
              <w:spacing w:after="0" w:line="240" w:lineRule="auto"/>
              <w:jc w:val="left"/>
              <w:rPr>
                <w:rFonts w:eastAsia="Times New Roman" w:cs="Times New Roman"/>
                <w:b/>
                <w:bCs/>
                <w:color w:val="000000"/>
                <w:sz w:val="20"/>
                <w:szCs w:val="20"/>
                <w:lang w:eastAsia="sk-SK"/>
              </w:rPr>
            </w:pPr>
            <w:r w:rsidRPr="00E53736">
              <w:rPr>
                <w:rFonts w:eastAsia="Times New Roman" w:cs="Times New Roman"/>
                <w:b/>
                <w:bCs/>
                <w:color w:val="000000"/>
                <w:sz w:val="20"/>
                <w:szCs w:val="20"/>
                <w:lang w:eastAsia="sk-SK"/>
              </w:rPr>
              <w:t>Spolu</w:t>
            </w:r>
          </w:p>
        </w:tc>
        <w:tc>
          <w:tcPr>
            <w:tcW w:w="1060" w:type="dxa"/>
            <w:tcBorders>
              <w:top w:val="single" w:sz="4" w:space="0" w:color="auto"/>
              <w:left w:val="nil"/>
              <w:bottom w:val="single" w:sz="4" w:space="0" w:color="auto"/>
              <w:right w:val="nil"/>
            </w:tcBorders>
            <w:shd w:val="clear" w:color="auto" w:fill="auto"/>
            <w:noWrap/>
            <w:vAlign w:val="center"/>
            <w:hideMark/>
          </w:tcPr>
          <w:p w14:paraId="6FA550A1"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sidRPr="00F82DBC">
              <w:rPr>
                <w:rFonts w:eastAsia="Times New Roman" w:cs="Times New Roman"/>
                <w:b/>
                <w:bCs/>
                <w:color w:val="000000"/>
                <w:sz w:val="18"/>
                <w:szCs w:val="18"/>
                <w:lang w:eastAsia="sk-SK"/>
              </w:rPr>
              <w:t>11 865 422</w:t>
            </w:r>
          </w:p>
        </w:tc>
        <w:tc>
          <w:tcPr>
            <w:tcW w:w="1060" w:type="dxa"/>
            <w:tcBorders>
              <w:top w:val="single" w:sz="4" w:space="0" w:color="auto"/>
              <w:left w:val="nil"/>
              <w:bottom w:val="single" w:sz="4" w:space="0" w:color="auto"/>
              <w:right w:val="nil"/>
            </w:tcBorders>
            <w:shd w:val="clear" w:color="auto" w:fill="auto"/>
            <w:noWrap/>
            <w:vAlign w:val="center"/>
            <w:hideMark/>
          </w:tcPr>
          <w:p w14:paraId="3413247A"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sidRPr="00F82DBC">
              <w:rPr>
                <w:rFonts w:eastAsia="Times New Roman" w:cs="Times New Roman"/>
                <w:b/>
                <w:bCs/>
                <w:color w:val="000000"/>
                <w:sz w:val="18"/>
                <w:szCs w:val="18"/>
                <w:lang w:eastAsia="sk-SK"/>
              </w:rPr>
              <w:t>13 546 039</w:t>
            </w:r>
          </w:p>
        </w:tc>
        <w:tc>
          <w:tcPr>
            <w:tcW w:w="1060" w:type="dxa"/>
            <w:tcBorders>
              <w:top w:val="single" w:sz="4" w:space="0" w:color="auto"/>
              <w:left w:val="nil"/>
              <w:bottom w:val="single" w:sz="4" w:space="0" w:color="auto"/>
              <w:right w:val="nil"/>
            </w:tcBorders>
            <w:shd w:val="clear" w:color="000000" w:fill="FFFFFF"/>
            <w:noWrap/>
            <w:vAlign w:val="center"/>
            <w:hideMark/>
          </w:tcPr>
          <w:p w14:paraId="5D6B3D0D"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rFonts w:eastAsia="Times New Roman" w:cs="Times New Roman"/>
                <w:b/>
                <w:bCs/>
                <w:color w:val="000000"/>
                <w:sz w:val="18"/>
                <w:szCs w:val="18"/>
                <w:lang w:eastAsia="sk-SK"/>
              </w:rPr>
              <w:t>15 845 854</w:t>
            </w:r>
          </w:p>
        </w:tc>
        <w:tc>
          <w:tcPr>
            <w:tcW w:w="1040" w:type="dxa"/>
            <w:tcBorders>
              <w:top w:val="single" w:sz="4" w:space="0" w:color="auto"/>
              <w:left w:val="nil"/>
              <w:bottom w:val="single" w:sz="4" w:space="0" w:color="auto"/>
              <w:right w:val="nil"/>
            </w:tcBorders>
            <w:shd w:val="clear" w:color="auto" w:fill="auto"/>
            <w:noWrap/>
            <w:vAlign w:val="center"/>
            <w:hideMark/>
          </w:tcPr>
          <w:p w14:paraId="761208AA"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Pr>
                <w:rFonts w:eastAsia="Times New Roman" w:cs="Times New Roman"/>
                <w:b/>
                <w:bCs/>
                <w:color w:val="000000"/>
                <w:sz w:val="18"/>
                <w:szCs w:val="18"/>
                <w:lang w:eastAsia="sk-SK"/>
              </w:rPr>
              <w:t>15 517 036</w:t>
            </w:r>
          </w:p>
        </w:tc>
        <w:tc>
          <w:tcPr>
            <w:tcW w:w="980" w:type="dxa"/>
            <w:tcBorders>
              <w:top w:val="single" w:sz="4" w:space="0" w:color="auto"/>
              <w:left w:val="nil"/>
              <w:bottom w:val="single" w:sz="4" w:space="0" w:color="auto"/>
              <w:right w:val="nil"/>
            </w:tcBorders>
            <w:shd w:val="clear" w:color="000000" w:fill="FFFFFF"/>
            <w:vAlign w:val="center"/>
            <w:hideMark/>
          </w:tcPr>
          <w:p w14:paraId="2CE36602" w14:textId="77777777" w:rsidR="004C3312" w:rsidRPr="00CF58A3" w:rsidRDefault="004C3312" w:rsidP="004C3312">
            <w:pPr>
              <w:spacing w:after="0" w:line="240" w:lineRule="auto"/>
              <w:jc w:val="right"/>
              <w:rPr>
                <w:rFonts w:eastAsia="Times New Roman" w:cs="Times New Roman"/>
                <w:b/>
                <w:bCs/>
                <w:color w:val="000000"/>
                <w:sz w:val="18"/>
                <w:szCs w:val="18"/>
                <w:highlight w:val="yellow"/>
                <w:lang w:eastAsia="sk-SK"/>
              </w:rPr>
            </w:pPr>
            <w:r w:rsidRPr="00F82DBC">
              <w:rPr>
                <w:rFonts w:eastAsia="Times New Roman" w:cs="Times New Roman"/>
                <w:b/>
                <w:bCs/>
                <w:color w:val="000000"/>
                <w:sz w:val="18"/>
                <w:szCs w:val="18"/>
                <w:lang w:eastAsia="sk-SK"/>
              </w:rPr>
              <w:t>-328 823</w:t>
            </w:r>
          </w:p>
        </w:tc>
        <w:tc>
          <w:tcPr>
            <w:tcW w:w="753" w:type="dxa"/>
            <w:tcBorders>
              <w:top w:val="single" w:sz="4" w:space="0" w:color="auto"/>
              <w:left w:val="nil"/>
              <w:bottom w:val="single" w:sz="4" w:space="0" w:color="auto"/>
              <w:right w:val="nil"/>
            </w:tcBorders>
            <w:shd w:val="clear" w:color="000000" w:fill="FFFFFF"/>
            <w:vAlign w:val="center"/>
            <w:hideMark/>
          </w:tcPr>
          <w:p w14:paraId="2ACD2522" w14:textId="77777777" w:rsidR="004C3312" w:rsidRPr="00F82DBC" w:rsidRDefault="004C3312" w:rsidP="004C33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91,9</w:t>
            </w:r>
            <w:r w:rsidRPr="00F82DBC">
              <w:rPr>
                <w:rFonts w:eastAsia="Times New Roman" w:cs="Times New Roman"/>
                <w:b/>
                <w:bCs/>
                <w:color w:val="000000"/>
                <w:sz w:val="18"/>
                <w:szCs w:val="18"/>
                <w:lang w:eastAsia="sk-SK"/>
              </w:rPr>
              <w:t> </w:t>
            </w:r>
          </w:p>
        </w:tc>
      </w:tr>
    </w:tbl>
    <w:p w14:paraId="369D6E86" w14:textId="77777777" w:rsidR="004C3312" w:rsidRPr="00E53736" w:rsidRDefault="004C3312" w:rsidP="004C3312">
      <w:pPr>
        <w:spacing w:line="240" w:lineRule="auto"/>
        <w:jc w:val="right"/>
        <w:rPr>
          <w:sz w:val="18"/>
          <w:szCs w:val="18"/>
        </w:rPr>
      </w:pPr>
      <w:r w:rsidRPr="00E53736">
        <w:rPr>
          <w:sz w:val="18"/>
          <w:szCs w:val="18"/>
        </w:rPr>
        <w:t>Zdroj: MF SR</w:t>
      </w:r>
    </w:p>
    <w:p w14:paraId="1BD7AAB9" w14:textId="77777777" w:rsidR="004C3312" w:rsidRPr="00F35F94" w:rsidRDefault="004C3312" w:rsidP="004C3312">
      <w:pPr>
        <w:spacing w:line="240" w:lineRule="auto"/>
        <w:rPr>
          <w:sz w:val="24"/>
          <w:szCs w:val="24"/>
        </w:rPr>
      </w:pPr>
      <w:r w:rsidRPr="00F35F94">
        <w:rPr>
          <w:sz w:val="24"/>
          <w:szCs w:val="24"/>
        </w:rPr>
        <w:t>Tak ako v predchádzajúcich rokoch najvyšší podiel z daňových príjmov pripadá na dane za tovary a služby (73,1 %) a na dane z príjmov a kapitálového majetku (26,9 %).</w:t>
      </w:r>
    </w:p>
    <w:p w14:paraId="3BBD3C78" w14:textId="77777777" w:rsidR="004C3312" w:rsidRPr="00CF58A3" w:rsidRDefault="004C3312" w:rsidP="004C3312">
      <w:pPr>
        <w:spacing w:line="240" w:lineRule="auto"/>
        <w:rPr>
          <w:b/>
          <w:sz w:val="24"/>
          <w:szCs w:val="24"/>
          <w:highlight w:val="yellow"/>
        </w:rPr>
      </w:pPr>
      <w:r w:rsidRPr="006248CF">
        <w:rPr>
          <w:b/>
          <w:sz w:val="24"/>
          <w:szCs w:val="24"/>
        </w:rPr>
        <w:t>Dane za tovary a služby</w:t>
      </w:r>
      <w:r w:rsidRPr="006248CF">
        <w:rPr>
          <w:sz w:val="24"/>
          <w:szCs w:val="24"/>
        </w:rPr>
        <w:t xml:space="preserve"> </w:t>
      </w:r>
      <w:r>
        <w:rPr>
          <w:sz w:val="24"/>
          <w:szCs w:val="24"/>
        </w:rPr>
        <w:t>sa r</w:t>
      </w:r>
      <w:r w:rsidRPr="006248CF">
        <w:rPr>
          <w:sz w:val="24"/>
          <w:szCs w:val="24"/>
        </w:rPr>
        <w:t xml:space="preserve">ozpočtovali vo výške 11 526 510 tis. eur. </w:t>
      </w:r>
      <w:r w:rsidRPr="00554E1F">
        <w:rPr>
          <w:sz w:val="24"/>
          <w:szCs w:val="24"/>
        </w:rPr>
        <w:t xml:space="preserve">Skutočný výnos v objeme 11 330 228 tis. eur je oproti rozpočtu </w:t>
      </w:r>
      <w:r w:rsidRPr="00FD5663">
        <w:rPr>
          <w:sz w:val="24"/>
          <w:szCs w:val="24"/>
        </w:rPr>
        <w:t>nižší</w:t>
      </w:r>
      <w:r w:rsidRPr="00C50D59">
        <w:rPr>
          <w:sz w:val="24"/>
          <w:szCs w:val="24"/>
        </w:rPr>
        <w:t xml:space="preserve"> </w:t>
      </w:r>
      <w:r w:rsidRPr="00FD5663">
        <w:rPr>
          <w:sz w:val="24"/>
          <w:szCs w:val="24"/>
        </w:rPr>
        <w:t>o 1</w:t>
      </w:r>
      <w:r w:rsidRPr="00554E1F">
        <w:rPr>
          <w:sz w:val="24"/>
          <w:szCs w:val="24"/>
        </w:rPr>
        <w:t xml:space="preserve">96 282 tis. eur, čo predstavuje plnenie rozpočtu na 98,3 %. V porovnaní s rokom 2021 </w:t>
      </w:r>
      <w:r>
        <w:rPr>
          <w:sz w:val="24"/>
          <w:szCs w:val="24"/>
        </w:rPr>
        <w:t xml:space="preserve">však </w:t>
      </w:r>
      <w:r w:rsidRPr="00554E1F">
        <w:rPr>
          <w:sz w:val="24"/>
          <w:szCs w:val="24"/>
        </w:rPr>
        <w:t>došlo k nárastu ich hotovostného výnosu o 1 002 884 tis. eur</w:t>
      </w:r>
      <w:r>
        <w:rPr>
          <w:sz w:val="24"/>
          <w:szCs w:val="24"/>
        </w:rPr>
        <w:t>, čo priamo odzrkadľuje rast ekonomickej aktivity po dvoch rokoch pandémie.</w:t>
      </w:r>
      <w:r w:rsidRPr="00554E1F">
        <w:rPr>
          <w:sz w:val="24"/>
          <w:szCs w:val="24"/>
        </w:rPr>
        <w:t xml:space="preserve"> </w:t>
      </w:r>
    </w:p>
    <w:p w14:paraId="65C5A973" w14:textId="7BE07167" w:rsidR="004C3312" w:rsidRPr="00CF58A3" w:rsidRDefault="004C3312" w:rsidP="004C3312">
      <w:pPr>
        <w:spacing w:line="240" w:lineRule="auto"/>
        <w:rPr>
          <w:sz w:val="24"/>
          <w:szCs w:val="24"/>
          <w:highlight w:val="yellow"/>
        </w:rPr>
      </w:pPr>
      <w:r w:rsidRPr="00554E1F">
        <w:rPr>
          <w:b/>
          <w:sz w:val="24"/>
          <w:szCs w:val="24"/>
        </w:rPr>
        <w:t>Daň z pridanej hodnoty</w:t>
      </w:r>
      <w:r w:rsidRPr="00554E1F">
        <w:rPr>
          <w:sz w:val="24"/>
          <w:szCs w:val="24"/>
        </w:rPr>
        <w:t xml:space="preserve"> bola rozpočtovaná v sume </w:t>
      </w:r>
      <w:r w:rsidRPr="007D58C9">
        <w:rPr>
          <w:sz w:val="24"/>
          <w:szCs w:val="24"/>
        </w:rPr>
        <w:t>8 796 579 tis</w:t>
      </w:r>
      <w:r w:rsidRPr="00554E1F">
        <w:rPr>
          <w:sz w:val="24"/>
          <w:szCs w:val="24"/>
        </w:rPr>
        <w:t xml:space="preserve">. eur. </w:t>
      </w:r>
      <w:r w:rsidR="00742D2D">
        <w:rPr>
          <w:sz w:val="24"/>
          <w:szCs w:val="24"/>
        </w:rPr>
        <w:t xml:space="preserve">Skutočný výnos </w:t>
      </w:r>
      <w:r>
        <w:rPr>
          <w:sz w:val="24"/>
          <w:szCs w:val="24"/>
        </w:rPr>
        <w:t>vo výške 8 584 </w:t>
      </w:r>
      <w:r w:rsidRPr="00554E1F">
        <w:rPr>
          <w:sz w:val="24"/>
          <w:szCs w:val="24"/>
        </w:rPr>
        <w:t xml:space="preserve">936 tis. eur predstavuje plnenie rozpočtu na úrovni 97,6 %. Za nižším výnosom je kombinácia nižšej úspešnosti výberu DPH (mierny pokles EDS v treťom kvartáli) a nižšia spotreba domácností v porovnaní s predpokladmi pri tvorbe rozpočtu. </w:t>
      </w:r>
      <w:r w:rsidR="00574126">
        <w:rPr>
          <w:sz w:val="24"/>
          <w:szCs w:val="24"/>
        </w:rPr>
        <w:t xml:space="preserve">Za nižšou spotrebou domácností </w:t>
      </w:r>
      <w:r w:rsidRPr="00554E1F">
        <w:rPr>
          <w:sz w:val="24"/>
          <w:szCs w:val="24"/>
        </w:rPr>
        <w:t>môže byť vysoká inflácia počas roku 2022.</w:t>
      </w:r>
    </w:p>
    <w:p w14:paraId="6B028328" w14:textId="77777777" w:rsidR="004C3312" w:rsidRDefault="004C3312" w:rsidP="004C3312">
      <w:pPr>
        <w:spacing w:line="240" w:lineRule="auto"/>
        <w:rPr>
          <w:sz w:val="24"/>
          <w:szCs w:val="24"/>
        </w:rPr>
      </w:pPr>
      <w:r w:rsidRPr="00DF63C5">
        <w:rPr>
          <w:b/>
          <w:sz w:val="24"/>
          <w:szCs w:val="24"/>
        </w:rPr>
        <w:t>Spotrebné dane</w:t>
      </w:r>
      <w:r w:rsidRPr="00DF63C5">
        <w:rPr>
          <w:sz w:val="24"/>
          <w:szCs w:val="24"/>
        </w:rPr>
        <w:t xml:space="preserve"> sa rozpočtovali sumou </w:t>
      </w:r>
      <w:r w:rsidRPr="007D58C9">
        <w:rPr>
          <w:sz w:val="24"/>
          <w:szCs w:val="24"/>
        </w:rPr>
        <w:t>2 512 063 tis. eur</w:t>
      </w:r>
      <w:r>
        <w:rPr>
          <w:sz w:val="24"/>
          <w:szCs w:val="24"/>
        </w:rPr>
        <w:t>. Skutočný výnos bol o 12 </w:t>
      </w:r>
      <w:r w:rsidRPr="00F003A7">
        <w:rPr>
          <w:sz w:val="24"/>
          <w:szCs w:val="24"/>
        </w:rPr>
        <w:t xml:space="preserve">458 tis. </w:t>
      </w:r>
      <w:r>
        <w:rPr>
          <w:sz w:val="24"/>
          <w:szCs w:val="24"/>
        </w:rPr>
        <w:t>eur vyšší a dosiahol sumu 2 524 </w:t>
      </w:r>
      <w:r w:rsidRPr="00F003A7">
        <w:rPr>
          <w:sz w:val="24"/>
          <w:szCs w:val="24"/>
        </w:rPr>
        <w:t>521 tis. eur. Rozdiely oproti rozpočtu sú</w:t>
      </w:r>
      <w:r>
        <w:rPr>
          <w:sz w:val="24"/>
          <w:szCs w:val="24"/>
        </w:rPr>
        <w:t xml:space="preserve"> minimálne. Z liehu prišlo o 10 </w:t>
      </w:r>
      <w:r w:rsidRPr="00F003A7">
        <w:rPr>
          <w:sz w:val="24"/>
          <w:szCs w:val="24"/>
        </w:rPr>
        <w:t>071 tis. eur viac a z tabakov</w:t>
      </w:r>
      <w:r>
        <w:rPr>
          <w:sz w:val="24"/>
          <w:szCs w:val="24"/>
        </w:rPr>
        <w:t>ých výrobkoch o 4 </w:t>
      </w:r>
      <w:r w:rsidRPr="00F003A7">
        <w:rPr>
          <w:sz w:val="24"/>
          <w:szCs w:val="24"/>
        </w:rPr>
        <w:t xml:space="preserve">624 tis. eur viac. Výnos spotrebnej dane z liehu bol pozitívne ovplyvnený predzásobením, ktoré súviselo so zvýšením sadzby od 1. apríla 2023. </w:t>
      </w:r>
      <w:r>
        <w:rPr>
          <w:sz w:val="24"/>
          <w:szCs w:val="24"/>
        </w:rPr>
        <w:t>Medziročne výnos vzrástol o 154 </w:t>
      </w:r>
      <w:r w:rsidRPr="00F003A7">
        <w:rPr>
          <w:sz w:val="24"/>
          <w:szCs w:val="24"/>
        </w:rPr>
        <w:t>697 tis. eur (6,5 %).</w:t>
      </w:r>
    </w:p>
    <w:p w14:paraId="5A6E8253" w14:textId="77777777" w:rsidR="004C3312" w:rsidRPr="00CF58A3" w:rsidRDefault="004C3312" w:rsidP="004C3312">
      <w:pPr>
        <w:spacing w:line="240" w:lineRule="auto"/>
        <w:rPr>
          <w:sz w:val="24"/>
          <w:szCs w:val="24"/>
          <w:highlight w:val="yellow"/>
        </w:rPr>
      </w:pPr>
      <w:r w:rsidRPr="007D58C9">
        <w:rPr>
          <w:b/>
          <w:sz w:val="24"/>
          <w:szCs w:val="24"/>
        </w:rPr>
        <w:t>Dane z používania tovarov a z povolenia na výkon činnosti</w:t>
      </w:r>
      <w:r w:rsidRPr="007D58C9">
        <w:rPr>
          <w:sz w:val="24"/>
          <w:szCs w:val="24"/>
        </w:rPr>
        <w:t xml:space="preserve"> </w:t>
      </w:r>
      <w:r>
        <w:rPr>
          <w:sz w:val="24"/>
          <w:szCs w:val="24"/>
        </w:rPr>
        <w:t>boli rozpočtované vo výške 132 </w:t>
      </w:r>
      <w:r w:rsidRPr="007D58C9">
        <w:rPr>
          <w:sz w:val="24"/>
          <w:szCs w:val="24"/>
        </w:rPr>
        <w:t>074 tis. eur. V</w:t>
      </w:r>
      <w:r>
        <w:rPr>
          <w:sz w:val="24"/>
          <w:szCs w:val="24"/>
        </w:rPr>
        <w:t xml:space="preserve"> skutočnosti dosiahli výnos 132 </w:t>
      </w:r>
      <w:r w:rsidRPr="007D58C9">
        <w:rPr>
          <w:sz w:val="24"/>
          <w:szCs w:val="24"/>
        </w:rPr>
        <w:t>565 tis. eur. Najväčšiu časť týchto daní tvorí daň z motorových vozidiel, kto</w:t>
      </w:r>
      <w:r>
        <w:rPr>
          <w:sz w:val="24"/>
          <w:szCs w:val="24"/>
        </w:rPr>
        <w:t>rá bola rozpočtovaná v sume 131 </w:t>
      </w:r>
      <w:r w:rsidRPr="007D58C9">
        <w:rPr>
          <w:sz w:val="24"/>
          <w:szCs w:val="24"/>
        </w:rPr>
        <w:t>992 ti</w:t>
      </w:r>
      <w:r>
        <w:rPr>
          <w:sz w:val="24"/>
          <w:szCs w:val="24"/>
        </w:rPr>
        <w:t>s. eur a skutočný výnos bol 132 </w:t>
      </w:r>
      <w:r w:rsidRPr="007D58C9">
        <w:rPr>
          <w:sz w:val="24"/>
          <w:szCs w:val="24"/>
        </w:rPr>
        <w:t>483 tis. eur (vo výnose je započítaný aj dobe</w:t>
      </w:r>
      <w:r>
        <w:rPr>
          <w:sz w:val="24"/>
          <w:szCs w:val="24"/>
        </w:rPr>
        <w:t>h zo zrušenej cestnej dane</w:t>
      </w:r>
      <w:r w:rsidRPr="007D58C9">
        <w:rPr>
          <w:sz w:val="24"/>
          <w:szCs w:val="24"/>
        </w:rPr>
        <w:t>). Súčasťou týchto daní je aj daň z úhrad za dobývací priestor (82 tis. eur).</w:t>
      </w:r>
    </w:p>
    <w:p w14:paraId="5C8AA076" w14:textId="77777777" w:rsidR="004C3312" w:rsidRDefault="004C3312" w:rsidP="004C3312">
      <w:pPr>
        <w:spacing w:after="160" w:line="259" w:lineRule="auto"/>
        <w:jc w:val="left"/>
        <w:rPr>
          <w:b/>
          <w:sz w:val="24"/>
          <w:szCs w:val="24"/>
        </w:rPr>
      </w:pPr>
      <w:r>
        <w:rPr>
          <w:b/>
          <w:sz w:val="24"/>
          <w:szCs w:val="24"/>
        </w:rPr>
        <w:br w:type="page"/>
      </w:r>
    </w:p>
    <w:p w14:paraId="4D3AC7CD" w14:textId="77777777" w:rsidR="004C3312" w:rsidRPr="00CF58A3" w:rsidRDefault="004C3312" w:rsidP="004C3312">
      <w:pPr>
        <w:spacing w:line="240" w:lineRule="auto"/>
        <w:rPr>
          <w:sz w:val="24"/>
          <w:szCs w:val="24"/>
          <w:highlight w:val="yellow"/>
        </w:rPr>
      </w:pPr>
      <w:r w:rsidRPr="0065507A">
        <w:rPr>
          <w:b/>
          <w:sz w:val="24"/>
          <w:szCs w:val="24"/>
        </w:rPr>
        <w:lastRenderedPageBreak/>
        <w:t>Iné dane za tovary a služby</w:t>
      </w:r>
      <w:r w:rsidRPr="0065507A">
        <w:rPr>
          <w:sz w:val="24"/>
          <w:szCs w:val="24"/>
        </w:rPr>
        <w:t xml:space="preserve"> tvoria výnos dane z poistenia a výnos z odvodu časti poistného z odvetví neživotného poistenia. Daň z poisteni</w:t>
      </w:r>
      <w:r>
        <w:rPr>
          <w:sz w:val="24"/>
          <w:szCs w:val="24"/>
        </w:rPr>
        <w:t>a bola rozpočtovaná v objeme 85 </w:t>
      </w:r>
      <w:r w:rsidRPr="0065507A">
        <w:rPr>
          <w:sz w:val="24"/>
          <w:szCs w:val="24"/>
        </w:rPr>
        <w:t>780 tis. e</w:t>
      </w:r>
      <w:r>
        <w:rPr>
          <w:sz w:val="24"/>
          <w:szCs w:val="24"/>
        </w:rPr>
        <w:t>ur. Skutočný výnos dane bol o 2 450 tis. eur vyšší v sume 88 </w:t>
      </w:r>
      <w:r w:rsidRPr="0065507A">
        <w:rPr>
          <w:sz w:val="24"/>
          <w:szCs w:val="24"/>
        </w:rPr>
        <w:t>230 tis. eur. Odvod časti poistného z neživotného poistenia bol k 31. 12. 2018 zrušený. Na základe informácií v čase tvorby rozpočtu sa predpokladali dobiehajúce príjmy vo výške 14 tis. eur. V skutočnosti bol však výnos korigovaný na -25 tis. eur.</w:t>
      </w:r>
    </w:p>
    <w:p w14:paraId="630FE3C1" w14:textId="77777777" w:rsidR="004C3312" w:rsidRPr="00CF58A3" w:rsidRDefault="004C3312" w:rsidP="004C3312">
      <w:pPr>
        <w:spacing w:line="240" w:lineRule="auto"/>
        <w:rPr>
          <w:sz w:val="24"/>
          <w:szCs w:val="24"/>
          <w:highlight w:val="yellow"/>
        </w:rPr>
      </w:pPr>
      <w:r w:rsidRPr="00E30E76">
        <w:rPr>
          <w:b/>
          <w:sz w:val="24"/>
          <w:szCs w:val="24"/>
        </w:rPr>
        <w:t>Dane z príjmov a kapitálového majetk</w:t>
      </w:r>
      <w:r w:rsidRPr="007B37BE">
        <w:rPr>
          <w:b/>
          <w:sz w:val="24"/>
          <w:szCs w:val="24"/>
        </w:rPr>
        <w:t>u</w:t>
      </w:r>
      <w:r w:rsidRPr="007B37BE">
        <w:rPr>
          <w:sz w:val="24"/>
          <w:szCs w:val="24"/>
        </w:rPr>
        <w:t xml:space="preserve"> </w:t>
      </w:r>
      <w:r>
        <w:rPr>
          <w:sz w:val="24"/>
          <w:szCs w:val="24"/>
        </w:rPr>
        <w:t>sa rozpočtovali sumou 4 261 </w:t>
      </w:r>
      <w:r w:rsidRPr="00E30E76">
        <w:rPr>
          <w:sz w:val="24"/>
          <w:szCs w:val="24"/>
        </w:rPr>
        <w:t>267 tis. eur</w:t>
      </w:r>
      <w:r>
        <w:rPr>
          <w:sz w:val="24"/>
          <w:szCs w:val="24"/>
        </w:rPr>
        <w:t xml:space="preserve">. Skutočný výnos dosiahol 4 107 134 tis. eur, resp. 4 114 180 tis. eur po premietnutí 7 045 tis. eur zo </w:t>
      </w:r>
      <w:r w:rsidRPr="00E30E76">
        <w:rPr>
          <w:sz w:val="24"/>
          <w:szCs w:val="24"/>
        </w:rPr>
        <w:t>sankcií</w:t>
      </w:r>
      <w:r>
        <w:rPr>
          <w:rStyle w:val="Odkaznapoznmkupodiarou"/>
          <w:sz w:val="24"/>
          <w:szCs w:val="24"/>
        </w:rPr>
        <w:footnoteReference w:id="26"/>
      </w:r>
      <w:r w:rsidRPr="00E30E76">
        <w:rPr>
          <w:sz w:val="24"/>
          <w:szCs w:val="24"/>
        </w:rPr>
        <w:t>. Op</w:t>
      </w:r>
      <w:r>
        <w:rPr>
          <w:sz w:val="24"/>
          <w:szCs w:val="24"/>
        </w:rPr>
        <w:t>roti rozpočtu tak boli nižšie o 154 </w:t>
      </w:r>
      <w:r w:rsidRPr="00E30E76">
        <w:rPr>
          <w:sz w:val="24"/>
          <w:szCs w:val="24"/>
        </w:rPr>
        <w:t>133 tis. eur (resp. o</w:t>
      </w:r>
      <w:r>
        <w:rPr>
          <w:sz w:val="24"/>
          <w:szCs w:val="24"/>
        </w:rPr>
        <w:t> </w:t>
      </w:r>
      <w:r w:rsidRPr="00E30E76">
        <w:rPr>
          <w:sz w:val="24"/>
          <w:szCs w:val="24"/>
        </w:rPr>
        <w:t>147</w:t>
      </w:r>
      <w:r>
        <w:rPr>
          <w:sz w:val="24"/>
          <w:szCs w:val="24"/>
        </w:rPr>
        <w:t> </w:t>
      </w:r>
      <w:r w:rsidRPr="00E30E76">
        <w:rPr>
          <w:sz w:val="24"/>
          <w:szCs w:val="24"/>
        </w:rPr>
        <w:t>087 tis. eur).</w:t>
      </w:r>
    </w:p>
    <w:p w14:paraId="73A14C9C" w14:textId="77777777" w:rsidR="004C3312" w:rsidRPr="007B37BE" w:rsidRDefault="004C3312" w:rsidP="004C3312">
      <w:pPr>
        <w:spacing w:line="240" w:lineRule="auto"/>
        <w:rPr>
          <w:sz w:val="24"/>
          <w:szCs w:val="24"/>
        </w:rPr>
      </w:pPr>
      <w:r w:rsidRPr="007B37BE">
        <w:rPr>
          <w:sz w:val="24"/>
          <w:szCs w:val="24"/>
        </w:rPr>
        <w:t>Celkový výnos podielovej dane z príjmov fyzických osôb, vrátane prevodov do obcí a VÚC</w:t>
      </w:r>
      <w:r>
        <w:rPr>
          <w:sz w:val="24"/>
          <w:szCs w:val="24"/>
        </w:rPr>
        <w:t>, sa rozpočtoval vo výške 3 639 </w:t>
      </w:r>
      <w:r w:rsidRPr="007B37BE">
        <w:rPr>
          <w:sz w:val="24"/>
          <w:szCs w:val="24"/>
        </w:rPr>
        <w:t>673 tis. eur. Skutočný výnos dane z príjmov fyzických osôb vrátane prevod</w:t>
      </w:r>
      <w:r>
        <w:rPr>
          <w:sz w:val="24"/>
          <w:szCs w:val="24"/>
        </w:rPr>
        <w:t>ov do obcí a VÚC dosiahol 3 595 </w:t>
      </w:r>
      <w:r w:rsidRPr="007B37BE">
        <w:rPr>
          <w:sz w:val="24"/>
          <w:szCs w:val="24"/>
        </w:rPr>
        <w:t>839 tis. eur. Z toho výnos dane zo závislej činnosti pre</w:t>
      </w:r>
      <w:r>
        <w:rPr>
          <w:sz w:val="24"/>
          <w:szCs w:val="24"/>
        </w:rPr>
        <w:t>dstavuje 3 578 </w:t>
      </w:r>
      <w:r w:rsidRPr="007B37BE">
        <w:rPr>
          <w:sz w:val="24"/>
          <w:szCs w:val="24"/>
        </w:rPr>
        <w:t>771 tis. eur a výnos dane z podnikania, z inej samostatnej záro</w:t>
      </w:r>
      <w:r>
        <w:rPr>
          <w:sz w:val="24"/>
          <w:szCs w:val="24"/>
        </w:rPr>
        <w:t>bkovej činnosti a z prenájmu 59 </w:t>
      </w:r>
      <w:r w:rsidRPr="007B37BE">
        <w:rPr>
          <w:sz w:val="24"/>
          <w:szCs w:val="24"/>
        </w:rPr>
        <w:t>928 tis. eur. Prevod do obcí a VÚC preds</w:t>
      </w:r>
      <w:r>
        <w:rPr>
          <w:sz w:val="24"/>
          <w:szCs w:val="24"/>
        </w:rPr>
        <w:t>tavoval za rok 2022 spolu 3 607 </w:t>
      </w:r>
      <w:r w:rsidRPr="007B37BE">
        <w:rPr>
          <w:sz w:val="24"/>
          <w:szCs w:val="24"/>
        </w:rPr>
        <w:t>814</w:t>
      </w:r>
      <w:r>
        <w:rPr>
          <w:sz w:val="24"/>
          <w:szCs w:val="24"/>
        </w:rPr>
        <w:t> tis. eur, resp. 3 600 </w:t>
      </w:r>
      <w:r w:rsidRPr="007B37BE">
        <w:rPr>
          <w:sz w:val="24"/>
          <w:szCs w:val="24"/>
        </w:rPr>
        <w:t>768 tis. eur po presune časti sankcií. Prevod pr</w:t>
      </w:r>
      <w:r>
        <w:rPr>
          <w:sz w:val="24"/>
          <w:szCs w:val="24"/>
        </w:rPr>
        <w:t xml:space="preserve">ostriedkov v zmysle </w:t>
      </w:r>
      <w:r w:rsidRPr="007B37BE">
        <w:rPr>
          <w:sz w:val="24"/>
          <w:szCs w:val="24"/>
        </w:rPr>
        <w:t>§ 50 zákona č. 595/2003 Z. z. o dani z príjmov v znení neskorších predpisov, ktorý znižuje celkový výnos dane z príjmov f</w:t>
      </w:r>
      <w:r>
        <w:rPr>
          <w:sz w:val="24"/>
          <w:szCs w:val="24"/>
        </w:rPr>
        <w:t>yzických osôb, dosiahol sumu 42 </w:t>
      </w:r>
      <w:r w:rsidRPr="007B37BE">
        <w:rPr>
          <w:sz w:val="24"/>
          <w:szCs w:val="24"/>
        </w:rPr>
        <w:t>860 tis. eur.</w:t>
      </w:r>
    </w:p>
    <w:p w14:paraId="0E04F349" w14:textId="77777777" w:rsidR="004C3312" w:rsidRPr="007B37BE" w:rsidRDefault="004C3312" w:rsidP="004C3312">
      <w:pPr>
        <w:spacing w:line="240" w:lineRule="auto"/>
        <w:rPr>
          <w:sz w:val="24"/>
          <w:szCs w:val="24"/>
        </w:rPr>
      </w:pPr>
      <w:r w:rsidRPr="007B37BE">
        <w:rPr>
          <w:sz w:val="24"/>
          <w:szCs w:val="24"/>
          <w:u w:val="single"/>
        </w:rPr>
        <w:t xml:space="preserve">Daň z príjmov fyzických osôb je podielovou daňou a celý výnos dane sa prerozdeľuje stanoveným mechanizmom medzi </w:t>
      </w:r>
      <w:r>
        <w:rPr>
          <w:sz w:val="24"/>
          <w:szCs w:val="24"/>
          <w:u w:val="single"/>
        </w:rPr>
        <w:t xml:space="preserve">mestá a </w:t>
      </w:r>
      <w:r w:rsidRPr="007B37BE">
        <w:rPr>
          <w:sz w:val="24"/>
          <w:szCs w:val="24"/>
          <w:u w:val="single"/>
        </w:rPr>
        <w:t>obce a vyššie územné celky</w:t>
      </w:r>
      <w:r w:rsidRPr="007B37BE">
        <w:rPr>
          <w:sz w:val="24"/>
          <w:szCs w:val="24"/>
        </w:rPr>
        <w:t xml:space="preserve">. Podiel </w:t>
      </w:r>
      <w:r>
        <w:rPr>
          <w:sz w:val="24"/>
          <w:szCs w:val="24"/>
        </w:rPr>
        <w:t xml:space="preserve">miest a </w:t>
      </w:r>
      <w:r w:rsidRPr="007B37BE">
        <w:rPr>
          <w:sz w:val="24"/>
          <w:szCs w:val="24"/>
        </w:rPr>
        <w:t xml:space="preserve">obcí na výnose je 70 %. Vyšším územným celkom pripadá zvyšných 30 % z výnosu. Na účte štátneho rozpočtu zostávajú priebežne len časti výnosu dane z dôvodu posunu medzi pripísaním dane na účet ŠR a jej prevedením na </w:t>
      </w:r>
      <w:r>
        <w:rPr>
          <w:sz w:val="24"/>
          <w:szCs w:val="24"/>
        </w:rPr>
        <w:t>účty samosprávy</w:t>
      </w:r>
      <w:r w:rsidRPr="007B37BE">
        <w:rPr>
          <w:sz w:val="24"/>
          <w:szCs w:val="24"/>
        </w:rPr>
        <w:t>.</w:t>
      </w:r>
    </w:p>
    <w:p w14:paraId="6EF5FFAC" w14:textId="77777777" w:rsidR="004C3312" w:rsidRPr="00CF58A3" w:rsidRDefault="004C3312" w:rsidP="004C3312">
      <w:pPr>
        <w:spacing w:line="240" w:lineRule="auto"/>
        <w:rPr>
          <w:sz w:val="24"/>
          <w:szCs w:val="24"/>
          <w:highlight w:val="yellow"/>
        </w:rPr>
      </w:pPr>
      <w:r w:rsidRPr="007B37BE">
        <w:rPr>
          <w:b/>
          <w:sz w:val="24"/>
          <w:szCs w:val="24"/>
        </w:rPr>
        <w:t>Príjem štátneho rozpočtu z dane z príjmov fyzických osôb</w:t>
      </w:r>
      <w:r w:rsidRPr="007B37BE">
        <w:rPr>
          <w:sz w:val="24"/>
          <w:szCs w:val="24"/>
        </w:rPr>
        <w:t xml:space="preserve"> sa s ohľadom na uvedené pravidlá fiškálnej decen</w:t>
      </w:r>
      <w:r>
        <w:rPr>
          <w:sz w:val="24"/>
          <w:szCs w:val="24"/>
        </w:rPr>
        <w:t>tralizácie rozpočtoval sumou 20 </w:t>
      </w:r>
      <w:r w:rsidRPr="007B37BE">
        <w:rPr>
          <w:sz w:val="24"/>
          <w:szCs w:val="24"/>
        </w:rPr>
        <w:t>851 tis. eur. V sk</w:t>
      </w:r>
      <w:r>
        <w:rPr>
          <w:sz w:val="24"/>
          <w:szCs w:val="24"/>
        </w:rPr>
        <w:t>utočnosti je plnenie v sume</w:t>
      </w:r>
      <w:r>
        <w:rPr>
          <w:sz w:val="24"/>
          <w:szCs w:val="24"/>
        </w:rPr>
        <w:br/>
        <w:t>-11 975 tis. eur, resp. -4 </w:t>
      </w:r>
      <w:r w:rsidRPr="007B37BE">
        <w:rPr>
          <w:sz w:val="24"/>
          <w:szCs w:val="24"/>
        </w:rPr>
        <w:t>929 tis. eur po presune časti sankcií.</w:t>
      </w:r>
    </w:p>
    <w:p w14:paraId="6E5E669D" w14:textId="1BFAD4C4" w:rsidR="004C3312" w:rsidRPr="00F003A7" w:rsidRDefault="004C3312" w:rsidP="004C3312">
      <w:pPr>
        <w:spacing w:line="240" w:lineRule="auto"/>
        <w:rPr>
          <w:sz w:val="24"/>
          <w:szCs w:val="24"/>
        </w:rPr>
      </w:pPr>
      <w:r w:rsidRPr="00C50D59">
        <w:rPr>
          <w:sz w:val="24"/>
          <w:szCs w:val="24"/>
          <w:u w:val="single"/>
        </w:rPr>
        <w:t>Daň z príjmov právnických osôb</w:t>
      </w:r>
      <w:r w:rsidRPr="007B37BE">
        <w:rPr>
          <w:sz w:val="24"/>
          <w:szCs w:val="24"/>
        </w:rPr>
        <w:t xml:space="preserve"> sa rozpočtovala</w:t>
      </w:r>
      <w:r>
        <w:rPr>
          <w:sz w:val="24"/>
          <w:szCs w:val="24"/>
        </w:rPr>
        <w:t xml:space="preserve"> v sume 3 920 </w:t>
      </w:r>
      <w:r w:rsidRPr="007B37BE">
        <w:rPr>
          <w:sz w:val="24"/>
          <w:szCs w:val="24"/>
        </w:rPr>
        <w:t>078 tis. eur</w:t>
      </w:r>
      <w:r>
        <w:rPr>
          <w:sz w:val="24"/>
          <w:szCs w:val="24"/>
        </w:rPr>
        <w:t>. Skutočný výnos dosiahol 3 804 </w:t>
      </w:r>
      <w:r w:rsidRPr="007B37BE">
        <w:rPr>
          <w:sz w:val="24"/>
          <w:szCs w:val="24"/>
        </w:rPr>
        <w:t xml:space="preserve">345 tis. eur, čo predstavuje plnenie rozpočtu na 97,0 %. </w:t>
      </w:r>
      <w:r>
        <w:rPr>
          <w:sz w:val="24"/>
          <w:szCs w:val="24"/>
        </w:rPr>
        <w:t>Výnos bol oproti rozpočtu o 115 </w:t>
      </w:r>
      <w:r w:rsidR="00574126">
        <w:rPr>
          <w:sz w:val="24"/>
          <w:szCs w:val="24"/>
        </w:rPr>
        <w:t xml:space="preserve">733 </w:t>
      </w:r>
      <w:r w:rsidRPr="007B37BE">
        <w:rPr>
          <w:sz w:val="24"/>
          <w:szCs w:val="24"/>
        </w:rPr>
        <w:t>tis. eur nižší. Za nižším výnosom oproti rozpočtu je hlavne nižšia skutočnosť za výnos na preddavkoc</w:t>
      </w:r>
      <w:r>
        <w:rPr>
          <w:sz w:val="24"/>
          <w:szCs w:val="24"/>
        </w:rPr>
        <w:t>h dane, ktoré boli nižšie o 141 </w:t>
      </w:r>
      <w:r w:rsidRPr="007B37BE">
        <w:rPr>
          <w:sz w:val="24"/>
          <w:szCs w:val="24"/>
        </w:rPr>
        <w:t>695 tis. eur. To bolo kompenzované do určit</w:t>
      </w:r>
      <w:r>
        <w:rPr>
          <w:sz w:val="24"/>
          <w:szCs w:val="24"/>
        </w:rPr>
        <w:t>ej miery lepším vyrovnaním o 25 </w:t>
      </w:r>
      <w:r w:rsidRPr="007B37BE">
        <w:rPr>
          <w:sz w:val="24"/>
          <w:szCs w:val="24"/>
        </w:rPr>
        <w:t>325 tis. eur.</w:t>
      </w:r>
      <w:r w:rsidRPr="00F003A7">
        <w:rPr>
          <w:sz w:val="24"/>
          <w:szCs w:val="24"/>
        </w:rPr>
        <w:t xml:space="preserve"> </w:t>
      </w:r>
    </w:p>
    <w:p w14:paraId="36937C10" w14:textId="77777777" w:rsidR="004C3312" w:rsidRDefault="004C3312" w:rsidP="004C3312">
      <w:pPr>
        <w:spacing w:line="240" w:lineRule="auto"/>
      </w:pPr>
      <w:r w:rsidRPr="009E5A5B">
        <w:rPr>
          <w:sz w:val="24"/>
          <w:szCs w:val="24"/>
        </w:rPr>
        <w:t xml:space="preserve">Medziročne daň z príjmov </w:t>
      </w:r>
      <w:r>
        <w:rPr>
          <w:sz w:val="24"/>
          <w:szCs w:val="24"/>
        </w:rPr>
        <w:t>právnických osôb vzrástla o 944 </w:t>
      </w:r>
      <w:r w:rsidRPr="009E5A5B">
        <w:rPr>
          <w:sz w:val="24"/>
          <w:szCs w:val="24"/>
        </w:rPr>
        <w:t xml:space="preserve">973 tis. eur. Zlepšil </w:t>
      </w:r>
      <w:r>
        <w:rPr>
          <w:sz w:val="24"/>
          <w:szCs w:val="24"/>
        </w:rPr>
        <w:t>sa výnos na strane preddavkov (355 </w:t>
      </w:r>
      <w:r w:rsidRPr="009E5A5B">
        <w:rPr>
          <w:sz w:val="24"/>
          <w:szCs w:val="24"/>
        </w:rPr>
        <w:t>226 tis. eur), ale predovšetkým bol zaznamenaný výrazne vyš</w:t>
      </w:r>
      <w:r>
        <w:rPr>
          <w:sz w:val="24"/>
          <w:szCs w:val="24"/>
        </w:rPr>
        <w:t>ší výnos na strane vyrovnania (589 </w:t>
      </w:r>
      <w:r w:rsidRPr="009E5A5B">
        <w:rPr>
          <w:sz w:val="24"/>
          <w:szCs w:val="24"/>
        </w:rPr>
        <w:t>110 tis. eur). Za tak výrazným medziročným rastom dane je hlavne zlepšenie situácie na strane podnikov po pandémii. Zlepšenie situácie sa pretavilo do lepšej výkonnosti, ktorá automaticky viedla k vyššej daňovej povinnosti. Nakoľko podniky riešili problémy s likviditou úpravou preddavkovej povinnosti, vyšší výnos dane sa tak prejavil vo vyššom vyrovnaní dane (hotovostné vyrovnanie roku 2022 sa týka akruálne roku 2021, v prípade preddavkov sú hotovostné príjmy identické s akruálnymi).</w:t>
      </w:r>
      <w:r w:rsidRPr="00F003A7">
        <w:t xml:space="preserve"> </w:t>
      </w:r>
    </w:p>
    <w:p w14:paraId="530B425C" w14:textId="4B1A878C" w:rsidR="004C3312" w:rsidRDefault="004C3312" w:rsidP="004C3312">
      <w:pPr>
        <w:spacing w:line="240" w:lineRule="auto"/>
        <w:rPr>
          <w:sz w:val="24"/>
          <w:szCs w:val="24"/>
        </w:rPr>
      </w:pPr>
      <w:r w:rsidRPr="00F003A7">
        <w:rPr>
          <w:sz w:val="24"/>
          <w:szCs w:val="24"/>
        </w:rPr>
        <w:t>V roku 2022 mali fyzické a právnické osoby možnosť poukázať 2 % (v špecifických prípadoch právnické osoby len 1 % a fyzické osoby 3 %) z odvedenej dane na verejnoprospešný účel.</w:t>
      </w:r>
      <w:r>
        <w:rPr>
          <w:sz w:val="24"/>
          <w:szCs w:val="24"/>
        </w:rPr>
        <w:br/>
      </w:r>
      <w:r w:rsidRPr="00F003A7">
        <w:rPr>
          <w:sz w:val="24"/>
          <w:szCs w:val="24"/>
        </w:rPr>
        <w:t>V priebehu roka 2022 bol</w:t>
      </w:r>
      <w:r>
        <w:rPr>
          <w:sz w:val="24"/>
          <w:szCs w:val="24"/>
        </w:rPr>
        <w:t>o týmto spôsobom prevedených 87 </w:t>
      </w:r>
      <w:r w:rsidRPr="00F003A7">
        <w:rPr>
          <w:sz w:val="24"/>
          <w:szCs w:val="24"/>
        </w:rPr>
        <w:t>993 tis. eur, čo je v porovnaní s minul</w:t>
      </w:r>
      <w:r w:rsidR="00574126">
        <w:rPr>
          <w:sz w:val="24"/>
          <w:szCs w:val="24"/>
        </w:rPr>
        <w:t>ým rokom nárast o 803 tis. eur.</w:t>
      </w:r>
      <w:r w:rsidRPr="00F003A7">
        <w:rPr>
          <w:sz w:val="24"/>
          <w:szCs w:val="24"/>
        </w:rPr>
        <w:t xml:space="preserve"> Z dôvodu krízy v roku 2020 sa posúvali termíny na podanie daňových priznaní a taktiež na zaplatenie príspevku na verejnoprospešný účel z roku 2020 na </w:t>
      </w:r>
      <w:r w:rsidRPr="00F003A7">
        <w:rPr>
          <w:sz w:val="24"/>
          <w:szCs w:val="24"/>
        </w:rPr>
        <w:lastRenderedPageBreak/>
        <w:t xml:space="preserve">začiatok roka 2021. Celkovo sa presunuli prostriedky z roku 2020 do </w:t>
      </w:r>
      <w:r>
        <w:rPr>
          <w:sz w:val="24"/>
          <w:szCs w:val="24"/>
        </w:rPr>
        <w:t>roku 2021 približne v objeme 16 000 tis. eur (FO – 13 000 tis. eur, PO – 3 </w:t>
      </w:r>
      <w:r w:rsidRPr="00F003A7">
        <w:rPr>
          <w:sz w:val="24"/>
          <w:szCs w:val="24"/>
        </w:rPr>
        <w:t>000 tis. eur). Suma z roku 2020 je preto výrazne nižšia a v roku 2021 naopak vyššia. Týmto posunom sú ovplyvnené aj medziročné rasty.</w:t>
      </w:r>
    </w:p>
    <w:tbl>
      <w:tblPr>
        <w:tblW w:w="9252" w:type="dxa"/>
        <w:tblCellMar>
          <w:left w:w="70" w:type="dxa"/>
          <w:right w:w="70" w:type="dxa"/>
        </w:tblCellMar>
        <w:tblLook w:val="04A0" w:firstRow="1" w:lastRow="0" w:firstColumn="1" w:lastColumn="0" w:noHBand="0" w:noVBand="1"/>
      </w:tblPr>
      <w:tblGrid>
        <w:gridCol w:w="6237"/>
        <w:gridCol w:w="841"/>
        <w:gridCol w:w="1040"/>
        <w:gridCol w:w="1134"/>
      </w:tblGrid>
      <w:tr w:rsidR="004C3312" w:rsidRPr="00793D92" w14:paraId="5E2E54CB" w14:textId="77777777" w:rsidTr="004C3312">
        <w:trPr>
          <w:trHeight w:val="288"/>
        </w:trPr>
        <w:tc>
          <w:tcPr>
            <w:tcW w:w="8118" w:type="dxa"/>
            <w:gridSpan w:val="3"/>
            <w:tcBorders>
              <w:top w:val="nil"/>
              <w:left w:val="nil"/>
              <w:bottom w:val="single" w:sz="4" w:space="0" w:color="auto"/>
              <w:right w:val="nil"/>
            </w:tcBorders>
            <w:shd w:val="clear" w:color="auto" w:fill="auto"/>
            <w:noWrap/>
            <w:vAlign w:val="center"/>
            <w:hideMark/>
          </w:tcPr>
          <w:p w14:paraId="71FDA760" w14:textId="37DA8B99" w:rsidR="004C3312" w:rsidRPr="00793D92" w:rsidRDefault="004C3312" w:rsidP="008B3212">
            <w:pPr>
              <w:spacing w:after="0" w:line="240" w:lineRule="auto"/>
              <w:jc w:val="left"/>
              <w:rPr>
                <w:rFonts w:eastAsia="Times New Roman" w:cs="Times New Roman"/>
                <w:b/>
                <w:bCs/>
                <w:color w:val="2F75B5"/>
                <w:sz w:val="20"/>
                <w:szCs w:val="20"/>
                <w:lang w:eastAsia="sk-SK"/>
              </w:rPr>
            </w:pPr>
            <w:r>
              <w:rPr>
                <w:rFonts w:eastAsia="Times New Roman" w:cs="Times New Roman"/>
                <w:b/>
                <w:bCs/>
                <w:color w:val="5B9BD5" w:themeColor="accent1"/>
                <w:sz w:val="20"/>
                <w:szCs w:val="20"/>
                <w:lang w:eastAsia="sk-SK"/>
              </w:rPr>
              <w:t>Tabuľka 2</w:t>
            </w:r>
            <w:r w:rsidR="008B3212">
              <w:rPr>
                <w:rFonts w:eastAsia="Times New Roman" w:cs="Times New Roman"/>
                <w:b/>
                <w:bCs/>
                <w:color w:val="5B9BD5" w:themeColor="accent1"/>
                <w:sz w:val="20"/>
                <w:szCs w:val="20"/>
                <w:lang w:eastAsia="sk-SK"/>
              </w:rPr>
              <w:t>5</w:t>
            </w:r>
            <w:r>
              <w:rPr>
                <w:rFonts w:eastAsia="Times New Roman" w:cs="Times New Roman"/>
                <w:b/>
                <w:bCs/>
                <w:color w:val="5B9BD5" w:themeColor="accent1"/>
                <w:sz w:val="20"/>
                <w:szCs w:val="20"/>
                <w:lang w:eastAsia="sk-SK"/>
              </w:rPr>
              <w:t xml:space="preserve"> - </w:t>
            </w:r>
            <w:r w:rsidRPr="00C80A84">
              <w:rPr>
                <w:rFonts w:eastAsia="Times New Roman" w:cs="Times New Roman"/>
                <w:b/>
                <w:bCs/>
                <w:color w:val="5B9BD5" w:themeColor="accent1"/>
                <w:sz w:val="20"/>
                <w:szCs w:val="20"/>
                <w:lang w:eastAsia="sk-SK"/>
              </w:rPr>
              <w:t>Prevod podielu dane</w:t>
            </w:r>
            <w:r w:rsidR="00A55687">
              <w:rPr>
                <w:rFonts w:eastAsia="Times New Roman" w:cs="Times New Roman"/>
                <w:b/>
                <w:bCs/>
                <w:color w:val="5B9BD5" w:themeColor="accent1"/>
                <w:sz w:val="20"/>
                <w:szCs w:val="20"/>
                <w:lang w:eastAsia="sk-SK"/>
              </w:rPr>
              <w:t xml:space="preserve"> na osobitný účel</w:t>
            </w:r>
          </w:p>
        </w:tc>
        <w:tc>
          <w:tcPr>
            <w:tcW w:w="1134" w:type="dxa"/>
            <w:tcBorders>
              <w:top w:val="nil"/>
              <w:left w:val="nil"/>
              <w:bottom w:val="single" w:sz="4" w:space="0" w:color="auto"/>
              <w:right w:val="nil"/>
            </w:tcBorders>
            <w:shd w:val="clear" w:color="auto" w:fill="auto"/>
            <w:noWrap/>
            <w:vAlign w:val="center"/>
            <w:hideMark/>
          </w:tcPr>
          <w:p w14:paraId="2B0AF38E" w14:textId="77777777" w:rsidR="004C3312" w:rsidRPr="00793D92" w:rsidRDefault="004C3312" w:rsidP="004C3312">
            <w:pPr>
              <w:spacing w:after="0" w:line="240" w:lineRule="auto"/>
              <w:jc w:val="left"/>
              <w:rPr>
                <w:rFonts w:eastAsia="Times New Roman" w:cs="Times New Roman"/>
                <w:b/>
                <w:bCs/>
                <w:color w:val="2F75B5"/>
                <w:sz w:val="20"/>
                <w:szCs w:val="20"/>
                <w:lang w:eastAsia="sk-SK"/>
              </w:rPr>
            </w:pPr>
            <w:r w:rsidRPr="00793D92">
              <w:rPr>
                <w:rFonts w:eastAsia="Times New Roman" w:cs="Times New Roman"/>
                <w:b/>
                <w:bCs/>
                <w:color w:val="2F75B5"/>
                <w:sz w:val="20"/>
                <w:szCs w:val="20"/>
                <w:lang w:eastAsia="sk-SK"/>
              </w:rPr>
              <w:t> </w:t>
            </w:r>
          </w:p>
        </w:tc>
      </w:tr>
      <w:tr w:rsidR="004C3312" w:rsidRPr="00793D92" w14:paraId="3170346E" w14:textId="77777777" w:rsidTr="004C3312">
        <w:trPr>
          <w:trHeight w:val="288"/>
        </w:trPr>
        <w:tc>
          <w:tcPr>
            <w:tcW w:w="6237" w:type="dxa"/>
            <w:tcBorders>
              <w:left w:val="nil"/>
              <w:bottom w:val="single" w:sz="4" w:space="0" w:color="auto"/>
              <w:right w:val="nil"/>
            </w:tcBorders>
            <w:shd w:val="clear" w:color="auto" w:fill="auto"/>
            <w:noWrap/>
            <w:vAlign w:val="center"/>
            <w:hideMark/>
          </w:tcPr>
          <w:p w14:paraId="3277D127" w14:textId="77777777" w:rsidR="004C3312" w:rsidRPr="00793D92" w:rsidRDefault="004C3312" w:rsidP="004C3312">
            <w:pPr>
              <w:spacing w:after="0" w:line="240" w:lineRule="auto"/>
              <w:jc w:val="left"/>
              <w:rPr>
                <w:rFonts w:eastAsia="Times New Roman" w:cs="Times New Roman"/>
                <w:b/>
                <w:bCs/>
                <w:color w:val="000000"/>
                <w:sz w:val="20"/>
                <w:szCs w:val="20"/>
                <w:lang w:eastAsia="sk-SK"/>
              </w:rPr>
            </w:pPr>
            <w:r w:rsidRPr="00793D92">
              <w:rPr>
                <w:rFonts w:eastAsia="Times New Roman" w:cs="Times New Roman"/>
                <w:b/>
                <w:bCs/>
                <w:color w:val="000000"/>
                <w:sz w:val="20"/>
                <w:szCs w:val="20"/>
                <w:lang w:eastAsia="sk-SK"/>
              </w:rPr>
              <w:t>v tis. eur</w:t>
            </w:r>
          </w:p>
        </w:tc>
        <w:tc>
          <w:tcPr>
            <w:tcW w:w="841" w:type="dxa"/>
            <w:tcBorders>
              <w:top w:val="nil"/>
              <w:left w:val="nil"/>
              <w:bottom w:val="single" w:sz="4" w:space="0" w:color="auto"/>
              <w:right w:val="nil"/>
            </w:tcBorders>
            <w:shd w:val="clear" w:color="auto" w:fill="auto"/>
            <w:noWrap/>
            <w:vAlign w:val="center"/>
            <w:hideMark/>
          </w:tcPr>
          <w:p w14:paraId="399FA41A" w14:textId="77777777" w:rsidR="004C3312" w:rsidRPr="00793D92" w:rsidRDefault="004C3312" w:rsidP="004C3312">
            <w:pPr>
              <w:spacing w:after="0" w:line="240" w:lineRule="auto"/>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2020</w:t>
            </w:r>
            <w:r w:rsidRPr="00793D92">
              <w:rPr>
                <w:rFonts w:eastAsia="Times New Roman" w:cs="Times New Roman"/>
                <w:b/>
                <w:bCs/>
                <w:color w:val="000000"/>
                <w:sz w:val="20"/>
                <w:szCs w:val="20"/>
                <w:lang w:eastAsia="sk-SK"/>
              </w:rPr>
              <w:t xml:space="preserve"> S</w:t>
            </w:r>
          </w:p>
        </w:tc>
        <w:tc>
          <w:tcPr>
            <w:tcW w:w="1040" w:type="dxa"/>
            <w:tcBorders>
              <w:top w:val="nil"/>
              <w:left w:val="nil"/>
              <w:bottom w:val="single" w:sz="4" w:space="0" w:color="auto"/>
              <w:right w:val="nil"/>
            </w:tcBorders>
            <w:shd w:val="clear" w:color="auto" w:fill="auto"/>
            <w:noWrap/>
            <w:vAlign w:val="center"/>
            <w:hideMark/>
          </w:tcPr>
          <w:p w14:paraId="3C67589B" w14:textId="77777777" w:rsidR="004C3312" w:rsidRPr="00793D92" w:rsidRDefault="004C3312" w:rsidP="004C3312">
            <w:pPr>
              <w:spacing w:after="0" w:line="240" w:lineRule="auto"/>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2021</w:t>
            </w:r>
            <w:r w:rsidRPr="00793D92">
              <w:rPr>
                <w:rFonts w:eastAsia="Times New Roman" w:cs="Times New Roman"/>
                <w:b/>
                <w:bCs/>
                <w:color w:val="000000"/>
                <w:sz w:val="20"/>
                <w:szCs w:val="20"/>
                <w:lang w:eastAsia="sk-SK"/>
              </w:rPr>
              <w:t xml:space="preserve"> S</w:t>
            </w:r>
          </w:p>
        </w:tc>
        <w:tc>
          <w:tcPr>
            <w:tcW w:w="1134" w:type="dxa"/>
            <w:tcBorders>
              <w:top w:val="nil"/>
              <w:left w:val="nil"/>
              <w:bottom w:val="single" w:sz="4" w:space="0" w:color="auto"/>
              <w:right w:val="nil"/>
            </w:tcBorders>
            <w:shd w:val="clear" w:color="auto" w:fill="auto"/>
            <w:noWrap/>
            <w:vAlign w:val="center"/>
            <w:hideMark/>
          </w:tcPr>
          <w:p w14:paraId="63BF0002" w14:textId="77777777" w:rsidR="004C3312" w:rsidRPr="00793D92" w:rsidRDefault="004C3312" w:rsidP="004C3312">
            <w:pPr>
              <w:spacing w:after="0" w:line="240" w:lineRule="auto"/>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2022</w:t>
            </w:r>
            <w:r w:rsidRPr="00793D92">
              <w:rPr>
                <w:rFonts w:eastAsia="Times New Roman" w:cs="Times New Roman"/>
                <w:b/>
                <w:bCs/>
                <w:color w:val="000000"/>
                <w:sz w:val="20"/>
                <w:szCs w:val="20"/>
                <w:lang w:eastAsia="sk-SK"/>
              </w:rPr>
              <w:t xml:space="preserve"> S</w:t>
            </w:r>
          </w:p>
        </w:tc>
      </w:tr>
      <w:tr w:rsidR="004C3312" w:rsidRPr="00793D92" w14:paraId="57F67EEF" w14:textId="77777777" w:rsidTr="004C3312">
        <w:trPr>
          <w:trHeight w:val="288"/>
        </w:trPr>
        <w:tc>
          <w:tcPr>
            <w:tcW w:w="6237" w:type="dxa"/>
            <w:tcBorders>
              <w:top w:val="nil"/>
              <w:left w:val="nil"/>
              <w:right w:val="nil"/>
            </w:tcBorders>
            <w:shd w:val="clear" w:color="auto" w:fill="auto"/>
            <w:noWrap/>
            <w:vAlign w:val="center"/>
            <w:hideMark/>
          </w:tcPr>
          <w:p w14:paraId="3898226C" w14:textId="77777777" w:rsidR="004C3312" w:rsidRPr="00793D92" w:rsidRDefault="004C3312" w:rsidP="004C3312">
            <w:pPr>
              <w:spacing w:after="0" w:line="240" w:lineRule="auto"/>
              <w:jc w:val="left"/>
              <w:rPr>
                <w:rFonts w:eastAsia="Times New Roman" w:cs="Times New Roman"/>
                <w:color w:val="000000"/>
                <w:sz w:val="20"/>
                <w:szCs w:val="20"/>
                <w:lang w:eastAsia="sk-SK"/>
              </w:rPr>
            </w:pPr>
            <w:r w:rsidRPr="00793D92">
              <w:rPr>
                <w:rFonts w:eastAsia="Times New Roman" w:cs="Times New Roman"/>
                <w:color w:val="000000"/>
                <w:sz w:val="20"/>
                <w:szCs w:val="20"/>
                <w:lang w:eastAsia="sk-SK"/>
              </w:rPr>
              <w:t>Prevod podielu dane z príjmov FO na osobitný účel</w:t>
            </w:r>
          </w:p>
        </w:tc>
        <w:tc>
          <w:tcPr>
            <w:tcW w:w="841" w:type="dxa"/>
            <w:tcBorders>
              <w:top w:val="nil"/>
              <w:left w:val="nil"/>
              <w:right w:val="nil"/>
            </w:tcBorders>
            <w:shd w:val="clear" w:color="auto" w:fill="auto"/>
            <w:noWrap/>
            <w:vAlign w:val="center"/>
            <w:hideMark/>
          </w:tcPr>
          <w:p w14:paraId="3F6D677F" w14:textId="77777777" w:rsidR="004C3312" w:rsidRPr="00905FFB" w:rsidRDefault="004C3312" w:rsidP="004C3312">
            <w:pPr>
              <w:spacing w:after="0" w:line="240" w:lineRule="auto"/>
              <w:jc w:val="right"/>
              <w:rPr>
                <w:rFonts w:eastAsia="Times New Roman" w:cs="Times New Roman"/>
                <w:color w:val="000000"/>
                <w:sz w:val="20"/>
                <w:szCs w:val="20"/>
                <w:lang w:eastAsia="sk-SK"/>
              </w:rPr>
            </w:pPr>
            <w:r w:rsidRPr="00905FFB">
              <w:rPr>
                <w:rFonts w:eastAsia="Times New Roman" w:cs="Times New Roman"/>
                <w:color w:val="000000"/>
                <w:sz w:val="20"/>
                <w:szCs w:val="20"/>
                <w:lang w:eastAsia="sk-SK"/>
              </w:rPr>
              <w:t>22 544</w:t>
            </w:r>
          </w:p>
        </w:tc>
        <w:tc>
          <w:tcPr>
            <w:tcW w:w="1040" w:type="dxa"/>
            <w:tcBorders>
              <w:top w:val="nil"/>
              <w:left w:val="nil"/>
              <w:right w:val="nil"/>
            </w:tcBorders>
            <w:shd w:val="clear" w:color="auto" w:fill="auto"/>
            <w:noWrap/>
            <w:vAlign w:val="center"/>
            <w:hideMark/>
          </w:tcPr>
          <w:p w14:paraId="632839F1" w14:textId="77777777" w:rsidR="004C3312" w:rsidRPr="00905FFB" w:rsidRDefault="004C3312" w:rsidP="004C3312">
            <w:pPr>
              <w:spacing w:after="0" w:line="240" w:lineRule="auto"/>
              <w:jc w:val="right"/>
              <w:rPr>
                <w:rFonts w:eastAsia="Times New Roman" w:cs="Times New Roman"/>
                <w:color w:val="000000"/>
                <w:sz w:val="20"/>
                <w:szCs w:val="20"/>
                <w:lang w:eastAsia="sk-SK"/>
              </w:rPr>
            </w:pPr>
            <w:r w:rsidRPr="00905FFB">
              <w:rPr>
                <w:rFonts w:eastAsia="Times New Roman" w:cs="Times New Roman"/>
                <w:color w:val="000000"/>
                <w:sz w:val="20"/>
                <w:szCs w:val="20"/>
                <w:lang w:eastAsia="sk-SK"/>
              </w:rPr>
              <w:t>49 850</w:t>
            </w:r>
          </w:p>
        </w:tc>
        <w:tc>
          <w:tcPr>
            <w:tcW w:w="1134" w:type="dxa"/>
            <w:tcBorders>
              <w:top w:val="nil"/>
              <w:left w:val="nil"/>
              <w:right w:val="nil"/>
            </w:tcBorders>
            <w:shd w:val="clear" w:color="auto" w:fill="auto"/>
            <w:noWrap/>
            <w:vAlign w:val="center"/>
            <w:hideMark/>
          </w:tcPr>
          <w:p w14:paraId="1943C558" w14:textId="77777777" w:rsidR="004C3312" w:rsidRPr="00905FFB" w:rsidRDefault="004C3312" w:rsidP="004C3312">
            <w:pPr>
              <w:spacing w:after="0" w:line="240" w:lineRule="auto"/>
              <w:jc w:val="right"/>
              <w:rPr>
                <w:rFonts w:eastAsia="Times New Roman" w:cs="Times New Roman"/>
                <w:color w:val="000000"/>
                <w:sz w:val="20"/>
                <w:szCs w:val="20"/>
                <w:lang w:eastAsia="sk-SK"/>
              </w:rPr>
            </w:pPr>
            <w:r w:rsidRPr="00905FFB">
              <w:rPr>
                <w:rFonts w:eastAsia="Times New Roman" w:cs="Times New Roman"/>
                <w:color w:val="000000"/>
                <w:sz w:val="20"/>
                <w:szCs w:val="20"/>
                <w:lang w:eastAsia="sk-SK"/>
              </w:rPr>
              <w:t>42 860</w:t>
            </w:r>
          </w:p>
        </w:tc>
      </w:tr>
      <w:tr w:rsidR="004C3312" w:rsidRPr="00793D92" w14:paraId="79721171" w14:textId="77777777" w:rsidTr="004C3312">
        <w:trPr>
          <w:trHeight w:val="300"/>
        </w:trPr>
        <w:tc>
          <w:tcPr>
            <w:tcW w:w="6237" w:type="dxa"/>
            <w:tcBorders>
              <w:top w:val="nil"/>
              <w:left w:val="nil"/>
              <w:bottom w:val="single" w:sz="4" w:space="0" w:color="auto"/>
              <w:right w:val="nil"/>
            </w:tcBorders>
            <w:shd w:val="clear" w:color="auto" w:fill="auto"/>
            <w:noWrap/>
            <w:vAlign w:val="center"/>
            <w:hideMark/>
          </w:tcPr>
          <w:p w14:paraId="267078FB" w14:textId="77777777" w:rsidR="004C3312" w:rsidRPr="00793D92" w:rsidRDefault="004C3312" w:rsidP="004C3312">
            <w:pPr>
              <w:spacing w:after="0" w:line="240" w:lineRule="auto"/>
              <w:jc w:val="left"/>
              <w:rPr>
                <w:rFonts w:eastAsia="Times New Roman" w:cs="Times New Roman"/>
                <w:color w:val="000000"/>
                <w:sz w:val="20"/>
                <w:szCs w:val="20"/>
                <w:lang w:eastAsia="sk-SK"/>
              </w:rPr>
            </w:pPr>
            <w:r w:rsidRPr="00793D92">
              <w:rPr>
                <w:rFonts w:eastAsia="Times New Roman" w:cs="Times New Roman"/>
                <w:color w:val="000000"/>
                <w:sz w:val="20"/>
                <w:szCs w:val="20"/>
                <w:lang w:eastAsia="sk-SK"/>
              </w:rPr>
              <w:t>Prevod podielu dane z príjmov PO na osobitný účel</w:t>
            </w:r>
          </w:p>
        </w:tc>
        <w:tc>
          <w:tcPr>
            <w:tcW w:w="841" w:type="dxa"/>
            <w:tcBorders>
              <w:top w:val="nil"/>
              <w:left w:val="nil"/>
              <w:bottom w:val="single" w:sz="4" w:space="0" w:color="auto"/>
              <w:right w:val="nil"/>
            </w:tcBorders>
            <w:shd w:val="clear" w:color="auto" w:fill="auto"/>
            <w:noWrap/>
            <w:vAlign w:val="center"/>
            <w:hideMark/>
          </w:tcPr>
          <w:p w14:paraId="43DE0D13" w14:textId="77777777" w:rsidR="004C3312" w:rsidRPr="00905FFB" w:rsidRDefault="004C3312" w:rsidP="004C3312">
            <w:pPr>
              <w:spacing w:after="0" w:line="240" w:lineRule="auto"/>
              <w:jc w:val="right"/>
              <w:rPr>
                <w:rFonts w:eastAsia="Times New Roman" w:cs="Times New Roman"/>
                <w:color w:val="000000"/>
                <w:sz w:val="20"/>
                <w:szCs w:val="20"/>
                <w:lang w:eastAsia="sk-SK"/>
              </w:rPr>
            </w:pPr>
            <w:r w:rsidRPr="00905FFB">
              <w:rPr>
                <w:rFonts w:eastAsia="Times New Roman" w:cs="Times New Roman"/>
                <w:color w:val="000000"/>
                <w:sz w:val="20"/>
                <w:szCs w:val="20"/>
                <w:lang w:eastAsia="sk-SK"/>
              </w:rPr>
              <w:t>30 847</w:t>
            </w:r>
          </w:p>
        </w:tc>
        <w:tc>
          <w:tcPr>
            <w:tcW w:w="1040" w:type="dxa"/>
            <w:tcBorders>
              <w:top w:val="nil"/>
              <w:left w:val="nil"/>
              <w:bottom w:val="single" w:sz="4" w:space="0" w:color="auto"/>
              <w:right w:val="nil"/>
            </w:tcBorders>
            <w:shd w:val="clear" w:color="auto" w:fill="auto"/>
            <w:noWrap/>
            <w:vAlign w:val="center"/>
            <w:hideMark/>
          </w:tcPr>
          <w:p w14:paraId="38A86E37" w14:textId="77777777" w:rsidR="004C3312" w:rsidRPr="00905FFB"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37 341</w:t>
            </w:r>
          </w:p>
        </w:tc>
        <w:tc>
          <w:tcPr>
            <w:tcW w:w="1134" w:type="dxa"/>
            <w:tcBorders>
              <w:top w:val="nil"/>
              <w:left w:val="nil"/>
              <w:bottom w:val="single" w:sz="4" w:space="0" w:color="auto"/>
              <w:right w:val="nil"/>
            </w:tcBorders>
            <w:shd w:val="clear" w:color="auto" w:fill="auto"/>
            <w:noWrap/>
            <w:vAlign w:val="center"/>
            <w:hideMark/>
          </w:tcPr>
          <w:p w14:paraId="3099056E" w14:textId="77777777" w:rsidR="004C3312" w:rsidRPr="00905FFB" w:rsidRDefault="004C3312" w:rsidP="004C3312">
            <w:pPr>
              <w:spacing w:after="0" w:line="240" w:lineRule="auto"/>
              <w:jc w:val="right"/>
              <w:rPr>
                <w:rFonts w:eastAsia="Times New Roman" w:cs="Times New Roman"/>
                <w:color w:val="000000"/>
                <w:sz w:val="20"/>
                <w:szCs w:val="20"/>
                <w:lang w:eastAsia="sk-SK"/>
              </w:rPr>
            </w:pPr>
            <w:r w:rsidRPr="00905FFB">
              <w:rPr>
                <w:rFonts w:eastAsia="Times New Roman" w:cs="Times New Roman"/>
                <w:color w:val="000000"/>
                <w:sz w:val="20"/>
                <w:szCs w:val="20"/>
                <w:lang w:eastAsia="sk-SK"/>
              </w:rPr>
              <w:t>45 133</w:t>
            </w:r>
          </w:p>
        </w:tc>
      </w:tr>
      <w:tr w:rsidR="004C3312" w:rsidRPr="00793D92" w14:paraId="765240A7" w14:textId="77777777" w:rsidTr="004C3312">
        <w:trPr>
          <w:trHeight w:val="300"/>
        </w:trPr>
        <w:tc>
          <w:tcPr>
            <w:tcW w:w="6237" w:type="dxa"/>
            <w:tcBorders>
              <w:top w:val="single" w:sz="4" w:space="0" w:color="auto"/>
              <w:left w:val="nil"/>
              <w:bottom w:val="single" w:sz="4" w:space="0" w:color="auto"/>
              <w:right w:val="nil"/>
            </w:tcBorders>
            <w:shd w:val="clear" w:color="auto" w:fill="auto"/>
            <w:noWrap/>
            <w:vAlign w:val="center"/>
            <w:hideMark/>
          </w:tcPr>
          <w:p w14:paraId="28141D01" w14:textId="77777777" w:rsidR="004C3312" w:rsidRPr="00793D92" w:rsidRDefault="004C3312" w:rsidP="004C3312">
            <w:pPr>
              <w:spacing w:after="0" w:line="240" w:lineRule="auto"/>
              <w:jc w:val="left"/>
              <w:rPr>
                <w:rFonts w:eastAsia="Times New Roman" w:cs="Times New Roman"/>
                <w:b/>
                <w:bCs/>
                <w:color w:val="000000"/>
                <w:sz w:val="20"/>
                <w:szCs w:val="20"/>
                <w:lang w:eastAsia="sk-SK"/>
              </w:rPr>
            </w:pPr>
            <w:r w:rsidRPr="00793D92">
              <w:rPr>
                <w:rFonts w:eastAsia="Times New Roman" w:cs="Times New Roman"/>
                <w:b/>
                <w:bCs/>
                <w:color w:val="000000"/>
                <w:sz w:val="20"/>
                <w:szCs w:val="20"/>
                <w:lang w:eastAsia="sk-SK"/>
              </w:rPr>
              <w:t>Spolu</w:t>
            </w:r>
          </w:p>
        </w:tc>
        <w:tc>
          <w:tcPr>
            <w:tcW w:w="841" w:type="dxa"/>
            <w:tcBorders>
              <w:top w:val="single" w:sz="4" w:space="0" w:color="auto"/>
              <w:left w:val="nil"/>
              <w:bottom w:val="single" w:sz="4" w:space="0" w:color="auto"/>
              <w:right w:val="nil"/>
            </w:tcBorders>
            <w:shd w:val="clear" w:color="auto" w:fill="auto"/>
            <w:noWrap/>
            <w:vAlign w:val="center"/>
            <w:hideMark/>
          </w:tcPr>
          <w:p w14:paraId="26A97A12" w14:textId="77777777" w:rsidR="004C3312" w:rsidRPr="00905FFB" w:rsidRDefault="004C3312" w:rsidP="004C3312">
            <w:pPr>
              <w:spacing w:after="0" w:line="240" w:lineRule="auto"/>
              <w:jc w:val="right"/>
              <w:rPr>
                <w:rFonts w:eastAsia="Times New Roman" w:cs="Times New Roman"/>
                <w:b/>
                <w:bCs/>
                <w:color w:val="000000"/>
                <w:sz w:val="20"/>
                <w:szCs w:val="20"/>
                <w:lang w:eastAsia="sk-SK"/>
              </w:rPr>
            </w:pPr>
            <w:r w:rsidRPr="00905FFB">
              <w:rPr>
                <w:rFonts w:eastAsia="Times New Roman" w:cs="Times New Roman"/>
                <w:b/>
                <w:bCs/>
                <w:color w:val="000000"/>
                <w:sz w:val="20"/>
                <w:szCs w:val="20"/>
                <w:lang w:eastAsia="sk-SK"/>
              </w:rPr>
              <w:t>53 391</w:t>
            </w:r>
          </w:p>
        </w:tc>
        <w:tc>
          <w:tcPr>
            <w:tcW w:w="1040" w:type="dxa"/>
            <w:tcBorders>
              <w:top w:val="single" w:sz="4" w:space="0" w:color="auto"/>
              <w:left w:val="nil"/>
              <w:bottom w:val="single" w:sz="4" w:space="0" w:color="auto"/>
              <w:right w:val="nil"/>
            </w:tcBorders>
            <w:shd w:val="clear" w:color="auto" w:fill="auto"/>
            <w:noWrap/>
            <w:vAlign w:val="center"/>
            <w:hideMark/>
          </w:tcPr>
          <w:p w14:paraId="4EBCBBB0" w14:textId="33B87B0B" w:rsidR="004C3312" w:rsidRPr="00214A1C" w:rsidRDefault="006B77B8" w:rsidP="004C3312">
            <w:pPr>
              <w:spacing w:after="0" w:line="240" w:lineRule="auto"/>
              <w:jc w:val="right"/>
              <w:rPr>
                <w:rFonts w:eastAsia="Times New Roman" w:cs="Times New Roman"/>
                <w:b/>
                <w:bCs/>
                <w:color w:val="000000"/>
                <w:sz w:val="20"/>
                <w:szCs w:val="20"/>
                <w:highlight w:val="yellow"/>
                <w:lang w:eastAsia="sk-SK"/>
              </w:rPr>
            </w:pPr>
            <w:r>
              <w:rPr>
                <w:rFonts w:eastAsia="Times New Roman" w:cs="Times New Roman"/>
                <w:b/>
                <w:bCs/>
                <w:color w:val="000000"/>
                <w:sz w:val="20"/>
                <w:szCs w:val="20"/>
                <w:lang w:eastAsia="sk-SK"/>
              </w:rPr>
              <w:t>87 191</w:t>
            </w:r>
          </w:p>
        </w:tc>
        <w:tc>
          <w:tcPr>
            <w:tcW w:w="1134" w:type="dxa"/>
            <w:tcBorders>
              <w:top w:val="single" w:sz="4" w:space="0" w:color="auto"/>
              <w:left w:val="nil"/>
              <w:bottom w:val="single" w:sz="4" w:space="0" w:color="auto"/>
              <w:right w:val="nil"/>
            </w:tcBorders>
            <w:shd w:val="clear" w:color="auto" w:fill="auto"/>
            <w:noWrap/>
            <w:vAlign w:val="center"/>
            <w:hideMark/>
          </w:tcPr>
          <w:p w14:paraId="39791CCA" w14:textId="77777777" w:rsidR="004C3312" w:rsidRPr="00905FFB" w:rsidRDefault="004C3312" w:rsidP="004C3312">
            <w:pPr>
              <w:spacing w:after="0" w:line="240" w:lineRule="auto"/>
              <w:jc w:val="right"/>
              <w:rPr>
                <w:rFonts w:eastAsia="Times New Roman" w:cs="Times New Roman"/>
                <w:b/>
                <w:bCs/>
                <w:color w:val="000000"/>
                <w:sz w:val="20"/>
                <w:szCs w:val="20"/>
                <w:lang w:eastAsia="sk-SK"/>
              </w:rPr>
            </w:pPr>
            <w:r w:rsidRPr="00905FFB">
              <w:rPr>
                <w:rFonts w:eastAsia="Times New Roman" w:cs="Times New Roman"/>
                <w:b/>
                <w:bCs/>
                <w:color w:val="000000"/>
                <w:sz w:val="20"/>
                <w:szCs w:val="20"/>
                <w:lang w:eastAsia="sk-SK"/>
              </w:rPr>
              <w:t>87 993</w:t>
            </w:r>
          </w:p>
        </w:tc>
      </w:tr>
    </w:tbl>
    <w:p w14:paraId="4C874D9D" w14:textId="77777777" w:rsidR="004C3312" w:rsidRPr="00624699" w:rsidRDefault="004C3312" w:rsidP="004C3312">
      <w:pPr>
        <w:spacing w:line="240" w:lineRule="auto"/>
        <w:jc w:val="right"/>
        <w:rPr>
          <w:bCs/>
          <w:sz w:val="18"/>
          <w:szCs w:val="18"/>
        </w:rPr>
      </w:pPr>
      <w:r w:rsidRPr="00624699">
        <w:rPr>
          <w:bCs/>
          <w:sz w:val="18"/>
          <w:szCs w:val="18"/>
        </w:rPr>
        <w:t>Zdroj: MF SR</w:t>
      </w:r>
    </w:p>
    <w:p w14:paraId="7DB95F1E" w14:textId="77777777" w:rsidR="004C3312" w:rsidRPr="00CF58A3" w:rsidRDefault="004C3312" w:rsidP="004C3312">
      <w:pPr>
        <w:spacing w:line="240" w:lineRule="auto"/>
        <w:rPr>
          <w:sz w:val="24"/>
          <w:szCs w:val="24"/>
          <w:highlight w:val="yellow"/>
        </w:rPr>
      </w:pPr>
      <w:r w:rsidRPr="006B3FB6">
        <w:rPr>
          <w:b/>
          <w:sz w:val="24"/>
          <w:szCs w:val="24"/>
        </w:rPr>
        <w:t>Daň z príjmov vyberaná zrážkou</w:t>
      </w:r>
      <w:r w:rsidRPr="006B3FB6">
        <w:rPr>
          <w:sz w:val="24"/>
          <w:szCs w:val="24"/>
        </w:rPr>
        <w:t xml:space="preserve"> </w:t>
      </w:r>
      <w:r>
        <w:rPr>
          <w:sz w:val="24"/>
          <w:szCs w:val="24"/>
        </w:rPr>
        <w:t>sa rozpočtovala sumou 320 </w:t>
      </w:r>
      <w:r w:rsidRPr="006B3FB6">
        <w:rPr>
          <w:sz w:val="24"/>
          <w:szCs w:val="24"/>
        </w:rPr>
        <w:t>338 t</w:t>
      </w:r>
      <w:r>
        <w:rPr>
          <w:sz w:val="24"/>
          <w:szCs w:val="24"/>
        </w:rPr>
        <w:t>is. eur, v skutočnosti bola o 5 </w:t>
      </w:r>
      <w:r w:rsidRPr="006B3FB6">
        <w:rPr>
          <w:sz w:val="24"/>
          <w:szCs w:val="24"/>
        </w:rPr>
        <w:t>574 tis. eur nižšia. Nižší výnos bol najmä z nižšieho výberu daní z dividend.</w:t>
      </w:r>
    </w:p>
    <w:p w14:paraId="4B82EEFE" w14:textId="77777777" w:rsidR="004C3312" w:rsidRDefault="004C3312" w:rsidP="004C3312">
      <w:pPr>
        <w:spacing w:line="240" w:lineRule="auto"/>
        <w:rPr>
          <w:sz w:val="24"/>
          <w:szCs w:val="24"/>
        </w:rPr>
      </w:pPr>
      <w:r w:rsidRPr="006B3FB6">
        <w:rPr>
          <w:b/>
          <w:sz w:val="24"/>
          <w:szCs w:val="24"/>
        </w:rPr>
        <w:t>Výnos daní z medzinárodného obchodu a transakcií</w:t>
      </w:r>
      <w:r w:rsidRPr="006B3FB6">
        <w:rPr>
          <w:sz w:val="24"/>
          <w:szCs w:val="24"/>
        </w:rPr>
        <w:t xml:space="preserve"> sa rozpočtoval v celkovej výške 37 098 tis. eur. V skutočnosti bol o 2 750 tis. eur vyšší, vo výške 39 848 tis. eur. Medziročne vzrástol výnos o 38,7 % tis. eur. </w:t>
      </w:r>
    </w:p>
    <w:p w14:paraId="79177218" w14:textId="1E4222C9" w:rsidR="004C3312" w:rsidRPr="006B3FB6" w:rsidRDefault="004C3312" w:rsidP="004C3312">
      <w:pPr>
        <w:spacing w:line="240" w:lineRule="auto"/>
        <w:rPr>
          <w:sz w:val="24"/>
          <w:szCs w:val="24"/>
        </w:rPr>
      </w:pPr>
      <w:r w:rsidRPr="006B3FB6">
        <w:rPr>
          <w:sz w:val="24"/>
          <w:szCs w:val="24"/>
        </w:rPr>
        <w:t>Najväčšiu časť na daniach z medzinárodného obchodu a transakcií tvorí výnos z podielu na vybratých prostriedkoch. Je to 25 % -</w:t>
      </w:r>
      <w:proofErr w:type="spellStart"/>
      <w:r w:rsidRPr="006B3FB6">
        <w:rPr>
          <w:sz w:val="24"/>
          <w:szCs w:val="24"/>
        </w:rPr>
        <w:t>ný</w:t>
      </w:r>
      <w:proofErr w:type="spellEnd"/>
      <w:r w:rsidRPr="006B3FB6">
        <w:rPr>
          <w:sz w:val="24"/>
          <w:szCs w:val="24"/>
        </w:rPr>
        <w:t xml:space="preserve"> podiel z vybratého cla z tovaru dovezeného z tretích krajín, ktorý si Slovensko ponecháva ako kompenzáciu nákladov spojených s výberom cla. Zvýšené príjmy sú z dôvodu vyššieho objemu dovezeného tovaru a vyšších cien vplyvom inflácie.</w:t>
      </w:r>
    </w:p>
    <w:p w14:paraId="1380EB2C" w14:textId="77777777" w:rsidR="004C3312" w:rsidRDefault="004C3312" w:rsidP="004C3312">
      <w:pPr>
        <w:spacing w:line="240" w:lineRule="auto"/>
        <w:rPr>
          <w:sz w:val="24"/>
          <w:szCs w:val="24"/>
        </w:rPr>
      </w:pPr>
      <w:r w:rsidRPr="002C2488">
        <w:rPr>
          <w:b/>
          <w:sz w:val="24"/>
          <w:szCs w:val="24"/>
        </w:rPr>
        <w:t>Sankcie uložené v daňovom konaní a sankcie súvisiace s úhradou dane</w:t>
      </w:r>
      <w:r w:rsidRPr="002C2488">
        <w:rPr>
          <w:sz w:val="24"/>
          <w:szCs w:val="24"/>
        </w:rPr>
        <w:t xml:space="preserve"> sa</w:t>
      </w:r>
      <w:r>
        <w:rPr>
          <w:sz w:val="24"/>
          <w:szCs w:val="24"/>
        </w:rPr>
        <w:t xml:space="preserve"> rozpočtovali v sume 20 </w:t>
      </w:r>
      <w:r w:rsidRPr="002C2488">
        <w:rPr>
          <w:sz w:val="24"/>
          <w:szCs w:val="24"/>
        </w:rPr>
        <w:t xml:space="preserve">975 tis. eur. Ich </w:t>
      </w:r>
      <w:r>
        <w:rPr>
          <w:sz w:val="24"/>
          <w:szCs w:val="24"/>
        </w:rPr>
        <w:t>skutočná výška dosiahla sumu 39 817 tis. eur, resp. 32 </w:t>
      </w:r>
      <w:r w:rsidRPr="002C2488">
        <w:rPr>
          <w:sz w:val="24"/>
          <w:szCs w:val="24"/>
        </w:rPr>
        <w:t>771 tis. eur po presune podielu sankcií do dane z príjmov fyzických osôb, z ktorých bol poukázaný výnos územnej samospráve.</w:t>
      </w:r>
    </w:p>
    <w:p w14:paraId="53CAB28D" w14:textId="77777777" w:rsidR="004C3312" w:rsidRPr="00F003A7" w:rsidRDefault="004C3312" w:rsidP="004C3312">
      <w:pPr>
        <w:spacing w:line="240" w:lineRule="auto"/>
        <w:rPr>
          <w:sz w:val="24"/>
          <w:szCs w:val="24"/>
          <w:highlight w:val="yellow"/>
        </w:rPr>
      </w:pPr>
      <w:r w:rsidRPr="004E3B6D">
        <w:rPr>
          <w:sz w:val="24"/>
          <w:szCs w:val="24"/>
        </w:rPr>
        <w:t>Finančné orgány v sledovanom roku 2022 na žiadosť daňového subjektu povolili úľavu na dani alebo odpustili daňový nedoplatok na dani v zmysle § 70</w:t>
      </w:r>
      <w:r w:rsidRPr="004E3B6D">
        <w:rPr>
          <w:rStyle w:val="Odkaznapoznmkupodiarou"/>
          <w:sz w:val="24"/>
          <w:szCs w:val="24"/>
        </w:rPr>
        <w:footnoteReference w:id="27"/>
      </w:r>
      <w:r w:rsidRPr="004E3B6D">
        <w:rPr>
          <w:sz w:val="24"/>
          <w:szCs w:val="24"/>
        </w:rPr>
        <w:t xml:space="preserve"> daňového poriadku v 2 prípadoch vo výške 790,41 eur. Úľavy zo sankcie alebo odpustenie sankcie v zmysle § 157</w:t>
      </w:r>
      <w:r w:rsidRPr="004E3B6D">
        <w:rPr>
          <w:rStyle w:val="Odkaznapoznmkupodiarou"/>
          <w:sz w:val="24"/>
          <w:szCs w:val="24"/>
        </w:rPr>
        <w:footnoteReference w:id="28"/>
      </w:r>
      <w:r w:rsidRPr="004E3B6D">
        <w:rPr>
          <w:sz w:val="24"/>
          <w:szCs w:val="24"/>
        </w:rPr>
        <w:t xml:space="preserve"> daňového poriadku boli povolené daňovými úradmi v 379 prípadoch v celkovej výške 614 </w:t>
      </w:r>
      <w:r>
        <w:rPr>
          <w:sz w:val="24"/>
          <w:szCs w:val="24"/>
        </w:rPr>
        <w:t>tis.</w:t>
      </w:r>
      <w:r w:rsidRPr="004E3B6D">
        <w:rPr>
          <w:sz w:val="24"/>
          <w:szCs w:val="24"/>
        </w:rPr>
        <w:t> eur a colnými úradmi nepovolili žiadny prípad úľavy zo sankcie alebo odpustenie sankcie.</w:t>
      </w:r>
    </w:p>
    <w:tbl>
      <w:tblPr>
        <w:tblW w:w="8859" w:type="dxa"/>
        <w:tblCellMar>
          <w:left w:w="70" w:type="dxa"/>
          <w:right w:w="70" w:type="dxa"/>
        </w:tblCellMar>
        <w:tblLook w:val="04A0" w:firstRow="1" w:lastRow="0" w:firstColumn="1" w:lastColumn="0" w:noHBand="0" w:noVBand="1"/>
      </w:tblPr>
      <w:tblGrid>
        <w:gridCol w:w="2420"/>
        <w:gridCol w:w="960"/>
        <w:gridCol w:w="1880"/>
        <w:gridCol w:w="1119"/>
        <w:gridCol w:w="2480"/>
      </w:tblGrid>
      <w:tr w:rsidR="004C3312" w:rsidRPr="004230A5" w14:paraId="418C2DB7" w14:textId="77777777" w:rsidTr="004C3312">
        <w:trPr>
          <w:trHeight w:val="456"/>
        </w:trPr>
        <w:tc>
          <w:tcPr>
            <w:tcW w:w="8859" w:type="dxa"/>
            <w:gridSpan w:val="5"/>
            <w:tcBorders>
              <w:top w:val="nil"/>
              <w:left w:val="nil"/>
              <w:bottom w:val="single" w:sz="4" w:space="0" w:color="auto"/>
              <w:right w:val="nil"/>
            </w:tcBorders>
            <w:shd w:val="clear" w:color="auto" w:fill="auto"/>
            <w:noWrap/>
            <w:vAlign w:val="center"/>
            <w:hideMark/>
          </w:tcPr>
          <w:p w14:paraId="2230B493" w14:textId="6100EB3D" w:rsidR="004C3312" w:rsidRPr="004230A5" w:rsidRDefault="004C3312" w:rsidP="008B3212">
            <w:pPr>
              <w:spacing w:after="0" w:line="240" w:lineRule="auto"/>
              <w:jc w:val="left"/>
              <w:rPr>
                <w:rFonts w:eastAsia="Times New Roman" w:cs="Times New Roman"/>
                <w:b/>
                <w:bCs/>
                <w:color w:val="5B9BD5" w:themeColor="accent1"/>
                <w:sz w:val="20"/>
                <w:szCs w:val="20"/>
                <w:lang w:eastAsia="sk-SK"/>
              </w:rPr>
            </w:pPr>
            <w:r>
              <w:rPr>
                <w:rFonts w:eastAsia="Times New Roman" w:cs="Times New Roman"/>
                <w:b/>
                <w:bCs/>
                <w:color w:val="5B9BD5" w:themeColor="accent1"/>
                <w:sz w:val="20"/>
                <w:szCs w:val="20"/>
                <w:lang w:eastAsia="sk-SK"/>
              </w:rPr>
              <w:t>Tabuľka 2</w:t>
            </w:r>
            <w:r w:rsidR="008B3212">
              <w:rPr>
                <w:rFonts w:eastAsia="Times New Roman" w:cs="Times New Roman"/>
                <w:b/>
                <w:bCs/>
                <w:color w:val="5B9BD5" w:themeColor="accent1"/>
                <w:sz w:val="20"/>
                <w:szCs w:val="20"/>
                <w:lang w:eastAsia="sk-SK"/>
              </w:rPr>
              <w:t>6</w:t>
            </w:r>
            <w:r>
              <w:rPr>
                <w:rFonts w:eastAsia="Times New Roman" w:cs="Times New Roman"/>
                <w:b/>
                <w:bCs/>
                <w:color w:val="5B9BD5" w:themeColor="accent1"/>
                <w:sz w:val="20"/>
                <w:szCs w:val="20"/>
                <w:lang w:eastAsia="sk-SK"/>
              </w:rPr>
              <w:t xml:space="preserve"> - </w:t>
            </w:r>
            <w:r w:rsidRPr="004230A5">
              <w:rPr>
                <w:rFonts w:eastAsia="Times New Roman" w:cs="Times New Roman"/>
                <w:b/>
                <w:bCs/>
                <w:color w:val="5B9BD5" w:themeColor="accent1"/>
                <w:sz w:val="20"/>
                <w:szCs w:val="20"/>
                <w:lang w:eastAsia="sk-SK"/>
              </w:rPr>
              <w:t xml:space="preserve">Povolené úľavy na dani / odpustenie daňového nedoplatku na dani / úľavy zo sankcie / odpustenie sankcie </w:t>
            </w:r>
          </w:p>
        </w:tc>
      </w:tr>
      <w:tr w:rsidR="004C3312" w:rsidRPr="004230A5" w14:paraId="092C9E9B" w14:textId="77777777" w:rsidTr="004C3312">
        <w:trPr>
          <w:trHeight w:val="684"/>
        </w:trPr>
        <w:tc>
          <w:tcPr>
            <w:tcW w:w="2420" w:type="dxa"/>
            <w:vMerge w:val="restart"/>
            <w:tcBorders>
              <w:top w:val="single" w:sz="4" w:space="0" w:color="auto"/>
              <w:left w:val="nil"/>
              <w:bottom w:val="nil"/>
              <w:right w:val="nil"/>
            </w:tcBorders>
            <w:shd w:val="clear" w:color="auto" w:fill="auto"/>
            <w:vAlign w:val="center"/>
            <w:hideMark/>
          </w:tcPr>
          <w:p w14:paraId="39C295CE" w14:textId="77777777" w:rsidR="004C3312" w:rsidRPr="004230A5" w:rsidRDefault="004C3312" w:rsidP="004C3312">
            <w:pPr>
              <w:spacing w:after="0" w:line="240" w:lineRule="auto"/>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Finančný orgán</w:t>
            </w:r>
          </w:p>
        </w:tc>
        <w:tc>
          <w:tcPr>
            <w:tcW w:w="2840" w:type="dxa"/>
            <w:gridSpan w:val="2"/>
            <w:tcBorders>
              <w:top w:val="single" w:sz="4" w:space="0" w:color="auto"/>
              <w:left w:val="nil"/>
              <w:bottom w:val="nil"/>
              <w:right w:val="nil"/>
            </w:tcBorders>
            <w:shd w:val="clear" w:color="auto" w:fill="auto"/>
            <w:vAlign w:val="center"/>
            <w:hideMark/>
          </w:tcPr>
          <w:p w14:paraId="78F9CEE2" w14:textId="77777777" w:rsidR="004C3312" w:rsidRPr="004230A5" w:rsidRDefault="004C3312" w:rsidP="004C3312">
            <w:pPr>
              <w:spacing w:after="0" w:line="240" w:lineRule="auto"/>
              <w:jc w:val="center"/>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Úľavy na dani alebo odpustenie daňového nedoplatku na dani</w:t>
            </w:r>
          </w:p>
        </w:tc>
        <w:tc>
          <w:tcPr>
            <w:tcW w:w="3599" w:type="dxa"/>
            <w:gridSpan w:val="2"/>
            <w:tcBorders>
              <w:top w:val="single" w:sz="4" w:space="0" w:color="auto"/>
              <w:left w:val="nil"/>
              <w:bottom w:val="nil"/>
              <w:right w:val="nil"/>
            </w:tcBorders>
            <w:shd w:val="clear" w:color="auto" w:fill="auto"/>
            <w:vAlign w:val="center"/>
            <w:hideMark/>
          </w:tcPr>
          <w:p w14:paraId="2282A625" w14:textId="77777777" w:rsidR="004C3312" w:rsidRPr="004230A5" w:rsidRDefault="004C3312" w:rsidP="004C3312">
            <w:pPr>
              <w:spacing w:after="0" w:line="240" w:lineRule="auto"/>
              <w:jc w:val="center"/>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Úľavy zo sankcie alebo odpustenie sankcie</w:t>
            </w:r>
          </w:p>
        </w:tc>
      </w:tr>
      <w:tr w:rsidR="004C3312" w:rsidRPr="004230A5" w14:paraId="34E3DFA6" w14:textId="77777777" w:rsidTr="004C3312">
        <w:trPr>
          <w:trHeight w:val="348"/>
        </w:trPr>
        <w:tc>
          <w:tcPr>
            <w:tcW w:w="2420" w:type="dxa"/>
            <w:vMerge/>
            <w:tcBorders>
              <w:top w:val="single" w:sz="4" w:space="0" w:color="auto"/>
              <w:left w:val="nil"/>
              <w:bottom w:val="nil"/>
              <w:right w:val="nil"/>
            </w:tcBorders>
            <w:vAlign w:val="center"/>
            <w:hideMark/>
          </w:tcPr>
          <w:p w14:paraId="0FCD4686" w14:textId="77777777" w:rsidR="004C3312" w:rsidRPr="004230A5" w:rsidRDefault="004C3312" w:rsidP="004C3312">
            <w:pPr>
              <w:spacing w:after="0" w:line="240" w:lineRule="auto"/>
              <w:jc w:val="left"/>
              <w:rPr>
                <w:rFonts w:eastAsia="Times New Roman" w:cs="Times New Roman"/>
                <w:b/>
                <w:bCs/>
                <w:color w:val="000000"/>
                <w:sz w:val="20"/>
                <w:szCs w:val="20"/>
                <w:lang w:eastAsia="sk-SK"/>
              </w:rPr>
            </w:pPr>
          </w:p>
        </w:tc>
        <w:tc>
          <w:tcPr>
            <w:tcW w:w="960" w:type="dxa"/>
            <w:tcBorders>
              <w:top w:val="nil"/>
              <w:left w:val="nil"/>
              <w:bottom w:val="nil"/>
              <w:right w:val="nil"/>
            </w:tcBorders>
            <w:shd w:val="clear" w:color="auto" w:fill="auto"/>
            <w:vAlign w:val="center"/>
            <w:hideMark/>
          </w:tcPr>
          <w:p w14:paraId="51174E95" w14:textId="77777777" w:rsidR="004C3312" w:rsidRPr="004230A5" w:rsidRDefault="004C3312" w:rsidP="004C3312">
            <w:pPr>
              <w:spacing w:after="0" w:line="240" w:lineRule="auto"/>
              <w:jc w:val="left"/>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počet</w:t>
            </w:r>
          </w:p>
        </w:tc>
        <w:tc>
          <w:tcPr>
            <w:tcW w:w="1880" w:type="dxa"/>
            <w:tcBorders>
              <w:top w:val="nil"/>
              <w:left w:val="nil"/>
              <w:bottom w:val="nil"/>
              <w:right w:val="nil"/>
            </w:tcBorders>
            <w:shd w:val="clear" w:color="auto" w:fill="auto"/>
            <w:vAlign w:val="center"/>
            <w:hideMark/>
          </w:tcPr>
          <w:p w14:paraId="062E840C" w14:textId="77777777" w:rsidR="004C3312" w:rsidRPr="004230A5" w:rsidRDefault="004C3312" w:rsidP="004C3312">
            <w:pPr>
              <w:spacing w:after="0" w:line="240" w:lineRule="auto"/>
              <w:jc w:val="center"/>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suma</w:t>
            </w:r>
          </w:p>
        </w:tc>
        <w:tc>
          <w:tcPr>
            <w:tcW w:w="1119" w:type="dxa"/>
            <w:tcBorders>
              <w:top w:val="nil"/>
              <w:left w:val="nil"/>
              <w:bottom w:val="nil"/>
              <w:right w:val="nil"/>
            </w:tcBorders>
            <w:shd w:val="clear" w:color="auto" w:fill="auto"/>
            <w:vAlign w:val="center"/>
            <w:hideMark/>
          </w:tcPr>
          <w:p w14:paraId="418C72A3" w14:textId="77777777" w:rsidR="004C3312" w:rsidRPr="004230A5" w:rsidRDefault="004C3312" w:rsidP="004C3312">
            <w:pPr>
              <w:spacing w:after="0" w:line="240" w:lineRule="auto"/>
              <w:jc w:val="center"/>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počet</w:t>
            </w:r>
          </w:p>
        </w:tc>
        <w:tc>
          <w:tcPr>
            <w:tcW w:w="2480" w:type="dxa"/>
            <w:tcBorders>
              <w:top w:val="nil"/>
              <w:left w:val="nil"/>
              <w:bottom w:val="nil"/>
              <w:right w:val="nil"/>
            </w:tcBorders>
            <w:shd w:val="clear" w:color="auto" w:fill="auto"/>
            <w:vAlign w:val="center"/>
            <w:hideMark/>
          </w:tcPr>
          <w:p w14:paraId="4416AC7C" w14:textId="77777777" w:rsidR="004C3312" w:rsidRPr="004230A5" w:rsidRDefault="004C3312" w:rsidP="004C3312">
            <w:pPr>
              <w:spacing w:after="0" w:line="240" w:lineRule="auto"/>
              <w:jc w:val="center"/>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suma</w:t>
            </w:r>
          </w:p>
        </w:tc>
      </w:tr>
      <w:tr w:rsidR="004C3312" w:rsidRPr="004230A5" w14:paraId="52B3D13F" w14:textId="77777777" w:rsidTr="004C3312">
        <w:trPr>
          <w:trHeight w:val="288"/>
        </w:trPr>
        <w:tc>
          <w:tcPr>
            <w:tcW w:w="2420" w:type="dxa"/>
            <w:tcBorders>
              <w:top w:val="nil"/>
              <w:left w:val="nil"/>
              <w:bottom w:val="single" w:sz="4" w:space="0" w:color="auto"/>
              <w:right w:val="nil"/>
            </w:tcBorders>
            <w:shd w:val="clear" w:color="auto" w:fill="auto"/>
            <w:vAlign w:val="center"/>
            <w:hideMark/>
          </w:tcPr>
          <w:p w14:paraId="2507AB8A" w14:textId="77777777" w:rsidR="004C3312" w:rsidRPr="004230A5" w:rsidRDefault="004C3312" w:rsidP="004C3312">
            <w:pPr>
              <w:spacing w:after="0" w:line="240" w:lineRule="auto"/>
              <w:rPr>
                <w:rFonts w:eastAsia="Times New Roman" w:cs="Times New Roman"/>
                <w:b/>
                <w:bCs/>
                <w:color w:val="000000"/>
                <w:sz w:val="20"/>
                <w:szCs w:val="20"/>
                <w:lang w:eastAsia="sk-SK"/>
              </w:rPr>
            </w:pPr>
          </w:p>
        </w:tc>
        <w:tc>
          <w:tcPr>
            <w:tcW w:w="960" w:type="dxa"/>
            <w:tcBorders>
              <w:top w:val="nil"/>
              <w:left w:val="nil"/>
              <w:bottom w:val="single" w:sz="4" w:space="0" w:color="auto"/>
              <w:right w:val="nil"/>
            </w:tcBorders>
            <w:shd w:val="clear" w:color="auto" w:fill="auto"/>
            <w:vAlign w:val="center"/>
            <w:hideMark/>
          </w:tcPr>
          <w:p w14:paraId="324C8482" w14:textId="77777777" w:rsidR="004C3312" w:rsidRPr="004230A5" w:rsidRDefault="004C3312" w:rsidP="004C3312">
            <w:pPr>
              <w:spacing w:after="0" w:line="240" w:lineRule="auto"/>
              <w:jc w:val="left"/>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 </w:t>
            </w:r>
          </w:p>
        </w:tc>
        <w:tc>
          <w:tcPr>
            <w:tcW w:w="1880" w:type="dxa"/>
            <w:tcBorders>
              <w:top w:val="nil"/>
              <w:left w:val="nil"/>
              <w:bottom w:val="single" w:sz="4" w:space="0" w:color="auto"/>
              <w:right w:val="nil"/>
            </w:tcBorders>
            <w:shd w:val="clear" w:color="auto" w:fill="auto"/>
            <w:vAlign w:val="center"/>
            <w:hideMark/>
          </w:tcPr>
          <w:p w14:paraId="3C842B9F" w14:textId="77777777" w:rsidR="004C3312" w:rsidRPr="004230A5" w:rsidRDefault="004C3312" w:rsidP="004C3312">
            <w:pPr>
              <w:spacing w:after="0" w:line="240" w:lineRule="auto"/>
              <w:jc w:val="center"/>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 </w:t>
            </w:r>
          </w:p>
        </w:tc>
        <w:tc>
          <w:tcPr>
            <w:tcW w:w="1119" w:type="dxa"/>
            <w:tcBorders>
              <w:top w:val="nil"/>
              <w:left w:val="nil"/>
              <w:bottom w:val="single" w:sz="4" w:space="0" w:color="auto"/>
              <w:right w:val="nil"/>
            </w:tcBorders>
            <w:shd w:val="clear" w:color="auto" w:fill="auto"/>
            <w:vAlign w:val="center"/>
            <w:hideMark/>
          </w:tcPr>
          <w:p w14:paraId="358A35AC" w14:textId="77777777" w:rsidR="004C3312" w:rsidRPr="004230A5" w:rsidRDefault="004C3312" w:rsidP="004C3312">
            <w:pPr>
              <w:spacing w:after="0" w:line="240" w:lineRule="auto"/>
              <w:jc w:val="center"/>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 </w:t>
            </w:r>
          </w:p>
        </w:tc>
        <w:tc>
          <w:tcPr>
            <w:tcW w:w="2480" w:type="dxa"/>
            <w:tcBorders>
              <w:top w:val="nil"/>
              <w:left w:val="nil"/>
              <w:bottom w:val="single" w:sz="4" w:space="0" w:color="auto"/>
              <w:right w:val="nil"/>
            </w:tcBorders>
            <w:shd w:val="clear" w:color="auto" w:fill="auto"/>
            <w:vAlign w:val="center"/>
            <w:hideMark/>
          </w:tcPr>
          <w:p w14:paraId="1239E932" w14:textId="77777777" w:rsidR="004C3312" w:rsidRPr="004230A5" w:rsidRDefault="004C3312" w:rsidP="004C3312">
            <w:pPr>
              <w:spacing w:after="0" w:line="240" w:lineRule="auto"/>
              <w:jc w:val="center"/>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 </w:t>
            </w:r>
          </w:p>
        </w:tc>
      </w:tr>
      <w:tr w:rsidR="004C3312" w:rsidRPr="004230A5" w14:paraId="73263323" w14:textId="77777777" w:rsidTr="004C3312">
        <w:trPr>
          <w:trHeight w:val="288"/>
        </w:trPr>
        <w:tc>
          <w:tcPr>
            <w:tcW w:w="2420" w:type="dxa"/>
            <w:tcBorders>
              <w:top w:val="nil"/>
              <w:left w:val="nil"/>
              <w:bottom w:val="nil"/>
              <w:right w:val="nil"/>
            </w:tcBorders>
            <w:shd w:val="clear" w:color="auto" w:fill="auto"/>
            <w:vAlign w:val="center"/>
            <w:hideMark/>
          </w:tcPr>
          <w:p w14:paraId="576F2C8F" w14:textId="77777777" w:rsidR="004C3312" w:rsidRPr="004230A5" w:rsidRDefault="004C3312" w:rsidP="004C3312">
            <w:pPr>
              <w:spacing w:after="0" w:line="240" w:lineRule="auto"/>
              <w:jc w:val="left"/>
              <w:rPr>
                <w:rFonts w:eastAsia="Times New Roman" w:cs="Times New Roman"/>
                <w:color w:val="000000"/>
                <w:sz w:val="20"/>
                <w:szCs w:val="20"/>
                <w:lang w:eastAsia="sk-SK"/>
              </w:rPr>
            </w:pPr>
            <w:r w:rsidRPr="004230A5">
              <w:rPr>
                <w:rFonts w:eastAsia="Times New Roman" w:cs="Times New Roman"/>
                <w:color w:val="000000"/>
                <w:sz w:val="20"/>
                <w:szCs w:val="20"/>
                <w:lang w:eastAsia="sk-SK"/>
              </w:rPr>
              <w:t>Daňové úrady</w:t>
            </w:r>
          </w:p>
        </w:tc>
        <w:tc>
          <w:tcPr>
            <w:tcW w:w="960" w:type="dxa"/>
            <w:tcBorders>
              <w:top w:val="nil"/>
              <w:left w:val="nil"/>
              <w:bottom w:val="nil"/>
              <w:right w:val="nil"/>
            </w:tcBorders>
            <w:shd w:val="clear" w:color="auto" w:fill="auto"/>
            <w:vAlign w:val="center"/>
            <w:hideMark/>
          </w:tcPr>
          <w:p w14:paraId="5F0D5F83"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2</w:t>
            </w:r>
          </w:p>
        </w:tc>
        <w:tc>
          <w:tcPr>
            <w:tcW w:w="1880" w:type="dxa"/>
            <w:tcBorders>
              <w:top w:val="nil"/>
              <w:left w:val="nil"/>
              <w:bottom w:val="nil"/>
              <w:right w:val="nil"/>
            </w:tcBorders>
            <w:shd w:val="clear" w:color="auto" w:fill="auto"/>
            <w:vAlign w:val="center"/>
            <w:hideMark/>
          </w:tcPr>
          <w:p w14:paraId="1F15FE35"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0,79</w:t>
            </w:r>
          </w:p>
        </w:tc>
        <w:tc>
          <w:tcPr>
            <w:tcW w:w="1119" w:type="dxa"/>
            <w:tcBorders>
              <w:top w:val="nil"/>
              <w:left w:val="nil"/>
              <w:bottom w:val="nil"/>
              <w:right w:val="nil"/>
            </w:tcBorders>
            <w:shd w:val="clear" w:color="auto" w:fill="auto"/>
            <w:vAlign w:val="center"/>
            <w:hideMark/>
          </w:tcPr>
          <w:p w14:paraId="29C5F406" w14:textId="524FB2FF" w:rsidR="004C3312" w:rsidRPr="004E3B6D" w:rsidRDefault="00827DC6" w:rsidP="004C3312">
            <w:pPr>
              <w:spacing w:after="0" w:line="240" w:lineRule="auto"/>
              <w:jc w:val="center"/>
              <w:rPr>
                <w:rFonts w:eastAsia="Times New Roman" w:cs="Times New Roman"/>
                <w:color w:val="000000"/>
                <w:sz w:val="20"/>
                <w:szCs w:val="20"/>
                <w:lang w:eastAsia="sk-SK"/>
              </w:rPr>
            </w:pPr>
            <w:r>
              <w:rPr>
                <w:rFonts w:eastAsia="Times New Roman" w:cs="Times New Roman"/>
                <w:color w:val="000000"/>
                <w:sz w:val="20"/>
                <w:szCs w:val="20"/>
                <w:lang w:eastAsia="sk-SK"/>
              </w:rPr>
              <w:t>3</w:t>
            </w:r>
            <w:r w:rsidR="004C3312" w:rsidRPr="004E3B6D">
              <w:rPr>
                <w:rFonts w:eastAsia="Times New Roman" w:cs="Times New Roman"/>
                <w:color w:val="000000"/>
                <w:sz w:val="20"/>
                <w:szCs w:val="20"/>
                <w:lang w:eastAsia="sk-SK"/>
              </w:rPr>
              <w:t>79</w:t>
            </w:r>
          </w:p>
        </w:tc>
        <w:tc>
          <w:tcPr>
            <w:tcW w:w="2480" w:type="dxa"/>
            <w:tcBorders>
              <w:top w:val="nil"/>
              <w:left w:val="nil"/>
              <w:bottom w:val="nil"/>
              <w:right w:val="nil"/>
            </w:tcBorders>
            <w:shd w:val="clear" w:color="auto" w:fill="auto"/>
            <w:vAlign w:val="center"/>
            <w:hideMark/>
          </w:tcPr>
          <w:p w14:paraId="2A2F4992"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614,56</w:t>
            </w:r>
          </w:p>
        </w:tc>
      </w:tr>
      <w:tr w:rsidR="004C3312" w:rsidRPr="004230A5" w14:paraId="3E965AD5" w14:textId="77777777" w:rsidTr="004C3312">
        <w:trPr>
          <w:trHeight w:val="288"/>
        </w:trPr>
        <w:tc>
          <w:tcPr>
            <w:tcW w:w="2420" w:type="dxa"/>
            <w:tcBorders>
              <w:top w:val="nil"/>
              <w:left w:val="nil"/>
              <w:bottom w:val="nil"/>
              <w:right w:val="nil"/>
            </w:tcBorders>
            <w:shd w:val="clear" w:color="auto" w:fill="auto"/>
            <w:vAlign w:val="center"/>
            <w:hideMark/>
          </w:tcPr>
          <w:p w14:paraId="1B84C266" w14:textId="77777777" w:rsidR="004C3312" w:rsidRPr="004230A5" w:rsidRDefault="004C3312" w:rsidP="004C3312">
            <w:pPr>
              <w:spacing w:after="0" w:line="240" w:lineRule="auto"/>
              <w:jc w:val="left"/>
              <w:rPr>
                <w:rFonts w:eastAsia="Times New Roman" w:cs="Times New Roman"/>
                <w:color w:val="000000"/>
                <w:sz w:val="20"/>
                <w:szCs w:val="20"/>
                <w:lang w:eastAsia="sk-SK"/>
              </w:rPr>
            </w:pPr>
            <w:r w:rsidRPr="004230A5">
              <w:rPr>
                <w:rFonts w:eastAsia="Times New Roman" w:cs="Times New Roman"/>
                <w:color w:val="000000"/>
                <w:sz w:val="20"/>
                <w:szCs w:val="20"/>
                <w:lang w:eastAsia="sk-SK"/>
              </w:rPr>
              <w:t xml:space="preserve">Colné úrady /* </w:t>
            </w:r>
          </w:p>
        </w:tc>
        <w:tc>
          <w:tcPr>
            <w:tcW w:w="960" w:type="dxa"/>
            <w:tcBorders>
              <w:top w:val="nil"/>
              <w:left w:val="nil"/>
              <w:bottom w:val="nil"/>
              <w:right w:val="nil"/>
            </w:tcBorders>
            <w:shd w:val="clear" w:color="auto" w:fill="auto"/>
            <w:vAlign w:val="center"/>
            <w:hideMark/>
          </w:tcPr>
          <w:p w14:paraId="4F22801F"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x</w:t>
            </w:r>
          </w:p>
        </w:tc>
        <w:tc>
          <w:tcPr>
            <w:tcW w:w="1880" w:type="dxa"/>
            <w:tcBorders>
              <w:top w:val="nil"/>
              <w:left w:val="nil"/>
              <w:bottom w:val="nil"/>
              <w:right w:val="nil"/>
            </w:tcBorders>
            <w:shd w:val="clear" w:color="auto" w:fill="auto"/>
            <w:vAlign w:val="center"/>
            <w:hideMark/>
          </w:tcPr>
          <w:p w14:paraId="799A0085"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x</w:t>
            </w:r>
          </w:p>
        </w:tc>
        <w:tc>
          <w:tcPr>
            <w:tcW w:w="1119" w:type="dxa"/>
            <w:tcBorders>
              <w:top w:val="nil"/>
              <w:left w:val="nil"/>
              <w:bottom w:val="nil"/>
              <w:right w:val="nil"/>
            </w:tcBorders>
            <w:shd w:val="clear" w:color="auto" w:fill="auto"/>
            <w:vAlign w:val="center"/>
            <w:hideMark/>
          </w:tcPr>
          <w:p w14:paraId="2412F7A9"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0</w:t>
            </w:r>
          </w:p>
        </w:tc>
        <w:tc>
          <w:tcPr>
            <w:tcW w:w="2480" w:type="dxa"/>
            <w:tcBorders>
              <w:top w:val="nil"/>
              <w:left w:val="nil"/>
              <w:bottom w:val="nil"/>
              <w:right w:val="nil"/>
            </w:tcBorders>
            <w:shd w:val="clear" w:color="auto" w:fill="auto"/>
            <w:vAlign w:val="center"/>
            <w:hideMark/>
          </w:tcPr>
          <w:p w14:paraId="06B3E64A"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0</w:t>
            </w:r>
          </w:p>
        </w:tc>
      </w:tr>
      <w:tr w:rsidR="004C3312" w:rsidRPr="004230A5" w14:paraId="05C52E68" w14:textId="77777777" w:rsidTr="004C3312">
        <w:trPr>
          <w:trHeight w:val="288"/>
        </w:trPr>
        <w:tc>
          <w:tcPr>
            <w:tcW w:w="2420" w:type="dxa"/>
            <w:tcBorders>
              <w:top w:val="nil"/>
              <w:left w:val="nil"/>
              <w:bottom w:val="nil"/>
              <w:right w:val="nil"/>
            </w:tcBorders>
            <w:shd w:val="clear" w:color="auto" w:fill="auto"/>
            <w:vAlign w:val="center"/>
            <w:hideMark/>
          </w:tcPr>
          <w:p w14:paraId="29276ED4" w14:textId="77777777" w:rsidR="004C3312" w:rsidRPr="004230A5" w:rsidRDefault="004C3312" w:rsidP="004C3312">
            <w:pPr>
              <w:spacing w:after="0" w:line="240" w:lineRule="auto"/>
              <w:jc w:val="left"/>
              <w:rPr>
                <w:rFonts w:eastAsia="Times New Roman" w:cs="Times New Roman"/>
                <w:color w:val="000000"/>
                <w:sz w:val="20"/>
                <w:szCs w:val="20"/>
                <w:lang w:eastAsia="sk-SK"/>
              </w:rPr>
            </w:pPr>
            <w:r w:rsidRPr="004230A5">
              <w:rPr>
                <w:rFonts w:eastAsia="Times New Roman" w:cs="Times New Roman"/>
                <w:color w:val="000000"/>
                <w:sz w:val="20"/>
                <w:szCs w:val="20"/>
                <w:lang w:eastAsia="sk-SK"/>
              </w:rPr>
              <w:t>FR SR</w:t>
            </w:r>
          </w:p>
        </w:tc>
        <w:tc>
          <w:tcPr>
            <w:tcW w:w="960" w:type="dxa"/>
            <w:tcBorders>
              <w:top w:val="nil"/>
              <w:left w:val="nil"/>
              <w:bottom w:val="nil"/>
              <w:right w:val="nil"/>
            </w:tcBorders>
            <w:shd w:val="clear" w:color="auto" w:fill="auto"/>
            <w:vAlign w:val="center"/>
            <w:hideMark/>
          </w:tcPr>
          <w:p w14:paraId="68D37F7F"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x</w:t>
            </w:r>
          </w:p>
        </w:tc>
        <w:tc>
          <w:tcPr>
            <w:tcW w:w="1880" w:type="dxa"/>
            <w:tcBorders>
              <w:top w:val="nil"/>
              <w:left w:val="nil"/>
              <w:bottom w:val="nil"/>
              <w:right w:val="nil"/>
            </w:tcBorders>
            <w:shd w:val="clear" w:color="auto" w:fill="auto"/>
            <w:vAlign w:val="center"/>
            <w:hideMark/>
          </w:tcPr>
          <w:p w14:paraId="14CF2C17"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x</w:t>
            </w:r>
          </w:p>
        </w:tc>
        <w:tc>
          <w:tcPr>
            <w:tcW w:w="1119" w:type="dxa"/>
            <w:tcBorders>
              <w:top w:val="nil"/>
              <w:left w:val="nil"/>
              <w:bottom w:val="nil"/>
              <w:right w:val="nil"/>
            </w:tcBorders>
            <w:shd w:val="clear" w:color="auto" w:fill="auto"/>
            <w:vAlign w:val="center"/>
            <w:hideMark/>
          </w:tcPr>
          <w:p w14:paraId="6ADB38FB"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x</w:t>
            </w:r>
          </w:p>
        </w:tc>
        <w:tc>
          <w:tcPr>
            <w:tcW w:w="2480" w:type="dxa"/>
            <w:tcBorders>
              <w:top w:val="nil"/>
              <w:left w:val="nil"/>
              <w:bottom w:val="nil"/>
              <w:right w:val="nil"/>
            </w:tcBorders>
            <w:shd w:val="clear" w:color="auto" w:fill="auto"/>
            <w:vAlign w:val="center"/>
            <w:hideMark/>
          </w:tcPr>
          <w:p w14:paraId="7725F216" w14:textId="77777777" w:rsidR="004C3312" w:rsidRPr="004E3B6D" w:rsidRDefault="004C3312" w:rsidP="004C3312">
            <w:pPr>
              <w:spacing w:after="0" w:line="240" w:lineRule="auto"/>
              <w:jc w:val="center"/>
              <w:rPr>
                <w:rFonts w:eastAsia="Times New Roman" w:cs="Times New Roman"/>
                <w:color w:val="000000"/>
                <w:sz w:val="20"/>
                <w:szCs w:val="20"/>
                <w:lang w:eastAsia="sk-SK"/>
              </w:rPr>
            </w:pPr>
            <w:r w:rsidRPr="004E3B6D">
              <w:rPr>
                <w:rFonts w:eastAsia="Times New Roman" w:cs="Times New Roman"/>
                <w:color w:val="000000"/>
                <w:sz w:val="20"/>
                <w:szCs w:val="20"/>
                <w:lang w:eastAsia="sk-SK"/>
              </w:rPr>
              <w:t>x</w:t>
            </w:r>
          </w:p>
        </w:tc>
      </w:tr>
      <w:tr w:rsidR="004C3312" w:rsidRPr="004230A5" w14:paraId="46A8C660" w14:textId="77777777" w:rsidTr="004C3312">
        <w:trPr>
          <w:trHeight w:val="288"/>
        </w:trPr>
        <w:tc>
          <w:tcPr>
            <w:tcW w:w="2420" w:type="dxa"/>
            <w:tcBorders>
              <w:top w:val="single" w:sz="4" w:space="0" w:color="auto"/>
              <w:left w:val="nil"/>
              <w:bottom w:val="single" w:sz="4" w:space="0" w:color="auto"/>
              <w:right w:val="nil"/>
            </w:tcBorders>
            <w:shd w:val="clear" w:color="auto" w:fill="auto"/>
            <w:vAlign w:val="center"/>
            <w:hideMark/>
          </w:tcPr>
          <w:p w14:paraId="7891FB5C" w14:textId="77777777" w:rsidR="004C3312" w:rsidRPr="004230A5" w:rsidRDefault="004C3312" w:rsidP="004C3312">
            <w:pPr>
              <w:spacing w:after="0" w:line="240" w:lineRule="auto"/>
              <w:jc w:val="left"/>
              <w:rPr>
                <w:rFonts w:eastAsia="Times New Roman" w:cs="Times New Roman"/>
                <w:b/>
                <w:bCs/>
                <w:color w:val="000000"/>
                <w:sz w:val="20"/>
                <w:szCs w:val="20"/>
                <w:lang w:eastAsia="sk-SK"/>
              </w:rPr>
            </w:pPr>
            <w:r w:rsidRPr="004230A5">
              <w:rPr>
                <w:rFonts w:eastAsia="Times New Roman" w:cs="Times New Roman"/>
                <w:b/>
                <w:bCs/>
                <w:color w:val="000000"/>
                <w:sz w:val="20"/>
                <w:szCs w:val="20"/>
                <w:lang w:eastAsia="sk-SK"/>
              </w:rPr>
              <w:t>Spolu</w:t>
            </w:r>
          </w:p>
        </w:tc>
        <w:tc>
          <w:tcPr>
            <w:tcW w:w="960" w:type="dxa"/>
            <w:tcBorders>
              <w:top w:val="single" w:sz="4" w:space="0" w:color="auto"/>
              <w:left w:val="nil"/>
              <w:bottom w:val="single" w:sz="4" w:space="0" w:color="auto"/>
              <w:right w:val="nil"/>
            </w:tcBorders>
            <w:shd w:val="clear" w:color="auto" w:fill="auto"/>
            <w:vAlign w:val="center"/>
            <w:hideMark/>
          </w:tcPr>
          <w:p w14:paraId="1364DF60" w14:textId="77777777" w:rsidR="004C3312" w:rsidRPr="004E3B6D" w:rsidRDefault="004C3312" w:rsidP="004C3312">
            <w:pPr>
              <w:spacing w:after="0" w:line="240" w:lineRule="auto"/>
              <w:jc w:val="center"/>
              <w:rPr>
                <w:rFonts w:eastAsia="Times New Roman" w:cs="Times New Roman"/>
                <w:b/>
                <w:bCs/>
                <w:color w:val="000000"/>
                <w:sz w:val="20"/>
                <w:szCs w:val="20"/>
                <w:lang w:eastAsia="sk-SK"/>
              </w:rPr>
            </w:pPr>
            <w:r w:rsidRPr="004E3B6D">
              <w:rPr>
                <w:rFonts w:eastAsia="Times New Roman" w:cs="Times New Roman"/>
                <w:b/>
                <w:bCs/>
                <w:color w:val="000000"/>
                <w:sz w:val="20"/>
                <w:szCs w:val="20"/>
                <w:lang w:eastAsia="sk-SK"/>
              </w:rPr>
              <w:t>2</w:t>
            </w:r>
          </w:p>
        </w:tc>
        <w:tc>
          <w:tcPr>
            <w:tcW w:w="1880" w:type="dxa"/>
            <w:tcBorders>
              <w:top w:val="single" w:sz="4" w:space="0" w:color="auto"/>
              <w:left w:val="nil"/>
              <w:bottom w:val="single" w:sz="4" w:space="0" w:color="auto"/>
              <w:right w:val="nil"/>
            </w:tcBorders>
            <w:shd w:val="clear" w:color="auto" w:fill="auto"/>
            <w:vAlign w:val="center"/>
            <w:hideMark/>
          </w:tcPr>
          <w:p w14:paraId="1FDA2F88" w14:textId="77777777" w:rsidR="004C3312" w:rsidRPr="004E3B6D" w:rsidRDefault="004C3312" w:rsidP="004C3312">
            <w:pPr>
              <w:spacing w:after="0" w:line="240" w:lineRule="auto"/>
              <w:jc w:val="center"/>
              <w:rPr>
                <w:rFonts w:eastAsia="Times New Roman" w:cs="Times New Roman"/>
                <w:b/>
                <w:bCs/>
                <w:color w:val="000000"/>
                <w:sz w:val="20"/>
                <w:szCs w:val="20"/>
                <w:lang w:eastAsia="sk-SK"/>
              </w:rPr>
            </w:pPr>
            <w:r w:rsidRPr="004E3B6D">
              <w:rPr>
                <w:rFonts w:eastAsia="Times New Roman" w:cs="Times New Roman"/>
                <w:b/>
                <w:bCs/>
                <w:color w:val="000000"/>
                <w:sz w:val="20"/>
                <w:szCs w:val="20"/>
                <w:lang w:eastAsia="sk-SK"/>
              </w:rPr>
              <w:t>0,79</w:t>
            </w:r>
          </w:p>
        </w:tc>
        <w:tc>
          <w:tcPr>
            <w:tcW w:w="1119" w:type="dxa"/>
            <w:tcBorders>
              <w:top w:val="single" w:sz="4" w:space="0" w:color="auto"/>
              <w:left w:val="nil"/>
              <w:bottom w:val="single" w:sz="4" w:space="0" w:color="auto"/>
              <w:right w:val="nil"/>
            </w:tcBorders>
            <w:shd w:val="clear" w:color="auto" w:fill="auto"/>
            <w:vAlign w:val="center"/>
            <w:hideMark/>
          </w:tcPr>
          <w:p w14:paraId="105E3D17" w14:textId="77777777" w:rsidR="004C3312" w:rsidRPr="004E3B6D" w:rsidRDefault="004C3312" w:rsidP="004C3312">
            <w:pPr>
              <w:spacing w:after="0" w:line="240" w:lineRule="auto"/>
              <w:jc w:val="center"/>
              <w:rPr>
                <w:rFonts w:eastAsia="Times New Roman" w:cs="Times New Roman"/>
                <w:b/>
                <w:bCs/>
                <w:color w:val="000000"/>
                <w:sz w:val="20"/>
                <w:szCs w:val="20"/>
                <w:lang w:eastAsia="sk-SK"/>
              </w:rPr>
            </w:pPr>
            <w:r w:rsidRPr="004E3B6D">
              <w:rPr>
                <w:rFonts w:eastAsia="Times New Roman" w:cs="Times New Roman"/>
                <w:b/>
                <w:bCs/>
                <w:color w:val="000000"/>
                <w:sz w:val="20"/>
                <w:szCs w:val="20"/>
                <w:lang w:eastAsia="sk-SK"/>
              </w:rPr>
              <w:t>379</w:t>
            </w:r>
          </w:p>
        </w:tc>
        <w:tc>
          <w:tcPr>
            <w:tcW w:w="2480" w:type="dxa"/>
            <w:tcBorders>
              <w:top w:val="single" w:sz="4" w:space="0" w:color="auto"/>
              <w:left w:val="nil"/>
              <w:bottom w:val="single" w:sz="4" w:space="0" w:color="auto"/>
              <w:right w:val="nil"/>
            </w:tcBorders>
            <w:shd w:val="clear" w:color="auto" w:fill="auto"/>
            <w:vAlign w:val="center"/>
            <w:hideMark/>
          </w:tcPr>
          <w:p w14:paraId="0A5A562E" w14:textId="77777777" w:rsidR="004C3312" w:rsidRPr="004E3B6D" w:rsidRDefault="004C3312" w:rsidP="004C3312">
            <w:pPr>
              <w:spacing w:after="0" w:line="240" w:lineRule="auto"/>
              <w:jc w:val="center"/>
              <w:rPr>
                <w:rFonts w:eastAsia="Times New Roman" w:cs="Times New Roman"/>
                <w:b/>
                <w:bCs/>
                <w:color w:val="000000"/>
                <w:sz w:val="20"/>
                <w:szCs w:val="20"/>
                <w:lang w:eastAsia="sk-SK"/>
              </w:rPr>
            </w:pPr>
            <w:r w:rsidRPr="004E3B6D">
              <w:rPr>
                <w:rFonts w:eastAsia="Times New Roman" w:cs="Times New Roman"/>
                <w:b/>
                <w:bCs/>
                <w:color w:val="000000"/>
                <w:sz w:val="20"/>
                <w:szCs w:val="20"/>
                <w:lang w:eastAsia="sk-SK"/>
              </w:rPr>
              <w:t>614,56</w:t>
            </w:r>
          </w:p>
        </w:tc>
      </w:tr>
    </w:tbl>
    <w:p w14:paraId="53CF3C65" w14:textId="77777777" w:rsidR="004C3312" w:rsidRPr="00A35EE1" w:rsidRDefault="004C3312" w:rsidP="004C3312">
      <w:pPr>
        <w:spacing w:line="240" w:lineRule="auto"/>
        <w:rPr>
          <w:b/>
          <w:i/>
        </w:rPr>
      </w:pPr>
      <w:r w:rsidRPr="00A35EE1">
        <w:rPr>
          <w:sz w:val="18"/>
          <w:szCs w:val="18"/>
          <w:lang w:eastAsia="sk-SK"/>
        </w:rPr>
        <w:t>*Colné úrady neposkytujú úľavy a odpustenie dane v zmysle § 70 daňového poriadku                            Zdroj: FR SR</w:t>
      </w:r>
    </w:p>
    <w:p w14:paraId="504CE1A1" w14:textId="77777777" w:rsidR="004C3312" w:rsidRDefault="004C3312" w:rsidP="004C3312">
      <w:pPr>
        <w:spacing w:line="240" w:lineRule="auto"/>
        <w:rPr>
          <w:b/>
          <w:i/>
        </w:rPr>
      </w:pPr>
      <w:r w:rsidRPr="00A35EE1">
        <w:rPr>
          <w:b/>
          <w:i/>
        </w:rPr>
        <w:lastRenderedPageBreak/>
        <w:t>Podrobné údaje o plnení daňových príjm</w:t>
      </w:r>
      <w:r>
        <w:rPr>
          <w:b/>
          <w:i/>
        </w:rPr>
        <w:t>ov štátneho rozpočtu v roku 2022</w:t>
      </w:r>
      <w:r w:rsidRPr="00A35EE1">
        <w:rPr>
          <w:b/>
          <w:i/>
        </w:rPr>
        <w:t xml:space="preserve"> sú uvedené v tab. č. 2 tabuľkovej prílohy štátneho záverečného účtu.</w:t>
      </w:r>
    </w:p>
    <w:p w14:paraId="14BDA0EB" w14:textId="77777777" w:rsidR="004C3312" w:rsidRPr="004C3312" w:rsidRDefault="004C3312" w:rsidP="004C3312"/>
    <w:p w14:paraId="739D3CBC" w14:textId="3C76D4BD" w:rsidR="008254BE" w:rsidRDefault="008254BE" w:rsidP="001205D5">
      <w:pPr>
        <w:pStyle w:val="Nadpis3"/>
      </w:pPr>
      <w:bookmarkStart w:id="37" w:name="_Toc6415643"/>
      <w:bookmarkStart w:id="38" w:name="_Toc132929087"/>
      <w:r w:rsidRPr="001205D5">
        <w:t>Nedaňové</w:t>
      </w:r>
      <w:r>
        <w:t xml:space="preserve"> príjmy</w:t>
      </w:r>
      <w:bookmarkEnd w:id="37"/>
      <w:bookmarkEnd w:id="38"/>
    </w:p>
    <w:p w14:paraId="2AB92A92" w14:textId="77777777" w:rsidR="00F44AE2" w:rsidRDefault="00F44AE2" w:rsidP="00F44AE2">
      <w:pPr>
        <w:spacing w:line="240" w:lineRule="auto"/>
        <w:rPr>
          <w:color w:val="FF0000"/>
          <w:sz w:val="24"/>
          <w:szCs w:val="24"/>
        </w:rPr>
      </w:pPr>
      <w:r w:rsidRPr="004D5600">
        <w:rPr>
          <w:color w:val="000000" w:themeColor="text1"/>
          <w:sz w:val="24"/>
          <w:szCs w:val="24"/>
        </w:rPr>
        <w:t xml:space="preserve">Nedaňové príjmy do štátneho rozpočtu plynú najmä vo forme dividend, poplatkov, kapitálových príjmov z predaja dlhodobého hmotného majetku a úrokov z poskytnutých výpomocí. </w:t>
      </w:r>
      <w:r w:rsidRPr="00BB10F2">
        <w:rPr>
          <w:b/>
          <w:color w:val="000000" w:themeColor="text1"/>
          <w:sz w:val="24"/>
          <w:szCs w:val="24"/>
        </w:rPr>
        <w:t>V roku 2022 dosiahli tieto príjmy sumu 1 285 089 tis. eur,</w:t>
      </w:r>
      <w:r w:rsidRPr="00140C5A">
        <w:rPr>
          <w:b/>
          <w:color w:val="000000" w:themeColor="text1"/>
          <w:sz w:val="24"/>
          <w:szCs w:val="24"/>
        </w:rPr>
        <w:t xml:space="preserve"> </w:t>
      </w:r>
      <w:r w:rsidRPr="00BB10F2">
        <w:rPr>
          <w:b/>
          <w:color w:val="000000" w:themeColor="text1"/>
          <w:sz w:val="24"/>
          <w:szCs w:val="24"/>
        </w:rPr>
        <w:t>čo predstavuje 6,8 % z celkovo dosiahnutých príjmov štátneho rozpočtu.</w:t>
      </w:r>
      <w:r w:rsidRPr="00BB10F2">
        <w:rPr>
          <w:color w:val="000000" w:themeColor="text1"/>
          <w:sz w:val="24"/>
          <w:szCs w:val="24"/>
        </w:rPr>
        <w:t xml:space="preserve"> </w:t>
      </w:r>
      <w:r w:rsidRPr="00334D5B">
        <w:rPr>
          <w:color w:val="000000" w:themeColor="text1"/>
          <w:sz w:val="24"/>
          <w:szCs w:val="24"/>
        </w:rPr>
        <w:t>Skutočné plnenie nedaňových príjmov predstavovalo 113,2 % rozpočtovanej hodnoty.</w:t>
      </w:r>
      <w:r w:rsidRPr="00213E51">
        <w:rPr>
          <w:color w:val="FF0000"/>
          <w:sz w:val="24"/>
          <w:szCs w:val="24"/>
        </w:rPr>
        <w:t xml:space="preserve"> </w:t>
      </w:r>
      <w:r w:rsidRPr="00440BBF">
        <w:rPr>
          <w:color w:val="000000" w:themeColor="text1"/>
          <w:sz w:val="24"/>
          <w:szCs w:val="24"/>
        </w:rPr>
        <w:t xml:space="preserve">Za posledné tri sledované roky dosiahli nedaňové príjmy najnižší výnos. V porovnaní s rokom 2021 sa celková vyinkasovaná suma znížila o 53 231 tis. eur, a to najmä z dôvodu </w:t>
      </w:r>
      <w:r w:rsidRPr="00231C16">
        <w:rPr>
          <w:color w:val="000000" w:themeColor="text1"/>
          <w:sz w:val="24"/>
          <w:szCs w:val="24"/>
        </w:rPr>
        <w:t xml:space="preserve">nižších príjmov z dividend až o 319 707 tis. eur. </w:t>
      </w:r>
      <w:r w:rsidRPr="00BF146F">
        <w:rPr>
          <w:color w:val="000000" w:themeColor="text1"/>
          <w:sz w:val="24"/>
          <w:szCs w:val="24"/>
        </w:rPr>
        <w:t xml:space="preserve">Vzrástli naopak </w:t>
      </w:r>
      <w:r>
        <w:rPr>
          <w:color w:val="000000" w:themeColor="text1"/>
          <w:sz w:val="24"/>
          <w:szCs w:val="24"/>
        </w:rPr>
        <w:t>iné nedaňové príjmy o 217 712 tis. eur.</w:t>
      </w:r>
    </w:p>
    <w:tbl>
      <w:tblPr>
        <w:tblW w:w="9214" w:type="dxa"/>
        <w:tblCellMar>
          <w:left w:w="70" w:type="dxa"/>
          <w:right w:w="70" w:type="dxa"/>
        </w:tblCellMar>
        <w:tblLook w:val="04A0" w:firstRow="1" w:lastRow="0" w:firstColumn="1" w:lastColumn="0" w:noHBand="0" w:noVBand="1"/>
      </w:tblPr>
      <w:tblGrid>
        <w:gridCol w:w="4105"/>
        <w:gridCol w:w="898"/>
        <w:gridCol w:w="879"/>
        <w:gridCol w:w="879"/>
        <w:gridCol w:w="916"/>
        <w:gridCol w:w="824"/>
        <w:gridCol w:w="713"/>
      </w:tblGrid>
      <w:tr w:rsidR="00BB69CA" w:rsidRPr="004F52BA" w14:paraId="18ADA250" w14:textId="77777777" w:rsidTr="00BB69CA">
        <w:trPr>
          <w:trHeight w:val="227"/>
        </w:trPr>
        <w:tc>
          <w:tcPr>
            <w:tcW w:w="9214" w:type="dxa"/>
            <w:gridSpan w:val="7"/>
            <w:tcBorders>
              <w:top w:val="nil"/>
              <w:left w:val="nil"/>
              <w:bottom w:val="single" w:sz="8" w:space="0" w:color="auto"/>
              <w:right w:val="nil"/>
            </w:tcBorders>
            <w:shd w:val="clear" w:color="auto" w:fill="auto"/>
            <w:noWrap/>
            <w:vAlign w:val="bottom"/>
            <w:hideMark/>
          </w:tcPr>
          <w:p w14:paraId="68D0432A" w14:textId="2E6BCBCF" w:rsidR="00BB69CA" w:rsidRPr="004F52BA" w:rsidRDefault="00BB69CA" w:rsidP="008B3212">
            <w:pPr>
              <w:spacing w:after="0" w:line="240" w:lineRule="auto"/>
              <w:jc w:val="left"/>
              <w:rPr>
                <w:rFonts w:ascii="Arial Narrow" w:eastAsia="Times New Roman" w:hAnsi="Arial Narrow" w:cs="Times New Roman"/>
                <w:color w:val="000000"/>
                <w:lang w:eastAsia="sk-SK"/>
              </w:rPr>
            </w:pPr>
            <w:r w:rsidRPr="004F52BA">
              <w:rPr>
                <w:rFonts w:eastAsia="Times New Roman" w:cs="Times New Roman"/>
                <w:b/>
                <w:bCs/>
                <w:color w:val="5B9BD5"/>
                <w:sz w:val="20"/>
                <w:szCs w:val="20"/>
                <w:lang w:eastAsia="sk-SK"/>
              </w:rPr>
              <w:t>Tabuľka 2</w:t>
            </w:r>
            <w:r w:rsidR="008B3212">
              <w:rPr>
                <w:rFonts w:eastAsia="Times New Roman" w:cs="Times New Roman"/>
                <w:b/>
                <w:bCs/>
                <w:color w:val="5B9BD5"/>
                <w:sz w:val="20"/>
                <w:szCs w:val="20"/>
                <w:lang w:eastAsia="sk-SK"/>
              </w:rPr>
              <w:t>7</w:t>
            </w:r>
            <w:r w:rsidRPr="004F52BA">
              <w:rPr>
                <w:rFonts w:eastAsia="Times New Roman" w:cs="Times New Roman"/>
                <w:b/>
                <w:bCs/>
                <w:color w:val="5B9BD5"/>
                <w:sz w:val="20"/>
                <w:szCs w:val="20"/>
                <w:lang w:eastAsia="sk-SK"/>
              </w:rPr>
              <w:t xml:space="preserve"> - Nedaňové príjmy štátneho rozpočtu </w:t>
            </w:r>
          </w:p>
        </w:tc>
      </w:tr>
      <w:tr w:rsidR="00F44AE2" w:rsidRPr="004F52BA" w14:paraId="089DB50B" w14:textId="77777777" w:rsidTr="00BB69CA">
        <w:trPr>
          <w:trHeight w:val="330"/>
        </w:trPr>
        <w:tc>
          <w:tcPr>
            <w:tcW w:w="0" w:type="auto"/>
            <w:tcBorders>
              <w:top w:val="nil"/>
              <w:left w:val="nil"/>
              <w:bottom w:val="nil"/>
              <w:right w:val="nil"/>
            </w:tcBorders>
            <w:shd w:val="clear" w:color="auto" w:fill="auto"/>
            <w:vAlign w:val="center"/>
            <w:hideMark/>
          </w:tcPr>
          <w:p w14:paraId="58389ACC" w14:textId="77777777" w:rsidR="00F44AE2" w:rsidRPr="004F52BA" w:rsidRDefault="00F44AE2" w:rsidP="00391C90">
            <w:pPr>
              <w:spacing w:after="0" w:line="240" w:lineRule="auto"/>
              <w:jc w:val="left"/>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 xml:space="preserve"> v tis. eur</w:t>
            </w:r>
          </w:p>
        </w:tc>
        <w:tc>
          <w:tcPr>
            <w:tcW w:w="898" w:type="dxa"/>
            <w:tcBorders>
              <w:top w:val="nil"/>
              <w:left w:val="nil"/>
              <w:bottom w:val="nil"/>
              <w:right w:val="nil"/>
            </w:tcBorders>
            <w:shd w:val="clear" w:color="auto" w:fill="auto"/>
            <w:vAlign w:val="center"/>
            <w:hideMark/>
          </w:tcPr>
          <w:p w14:paraId="0E9765BF" w14:textId="77777777" w:rsidR="00F44AE2" w:rsidRPr="004F52BA" w:rsidRDefault="00F44AE2" w:rsidP="00391C90">
            <w:pPr>
              <w:spacing w:after="0" w:line="240" w:lineRule="auto"/>
              <w:jc w:val="center"/>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2020 S</w:t>
            </w:r>
          </w:p>
        </w:tc>
        <w:tc>
          <w:tcPr>
            <w:tcW w:w="879" w:type="dxa"/>
            <w:tcBorders>
              <w:top w:val="nil"/>
              <w:left w:val="nil"/>
              <w:bottom w:val="nil"/>
              <w:right w:val="nil"/>
            </w:tcBorders>
            <w:shd w:val="clear" w:color="auto" w:fill="auto"/>
            <w:vAlign w:val="center"/>
            <w:hideMark/>
          </w:tcPr>
          <w:p w14:paraId="6126F77F" w14:textId="77777777" w:rsidR="00F44AE2" w:rsidRPr="004F52BA" w:rsidRDefault="00F44AE2" w:rsidP="00391C90">
            <w:pPr>
              <w:spacing w:after="0" w:line="240" w:lineRule="auto"/>
              <w:jc w:val="center"/>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2021 S</w:t>
            </w:r>
          </w:p>
        </w:tc>
        <w:tc>
          <w:tcPr>
            <w:tcW w:w="879" w:type="dxa"/>
            <w:tcBorders>
              <w:top w:val="nil"/>
              <w:left w:val="nil"/>
              <w:bottom w:val="nil"/>
              <w:right w:val="nil"/>
            </w:tcBorders>
            <w:shd w:val="clear" w:color="auto" w:fill="auto"/>
            <w:vAlign w:val="center"/>
            <w:hideMark/>
          </w:tcPr>
          <w:p w14:paraId="2EF1BC4C" w14:textId="77777777" w:rsidR="00F44AE2" w:rsidRPr="004F52BA" w:rsidRDefault="00F44AE2" w:rsidP="00391C90">
            <w:pPr>
              <w:spacing w:after="0" w:line="240" w:lineRule="auto"/>
              <w:jc w:val="center"/>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2022 R</w:t>
            </w:r>
          </w:p>
        </w:tc>
        <w:tc>
          <w:tcPr>
            <w:tcW w:w="916" w:type="dxa"/>
            <w:tcBorders>
              <w:top w:val="nil"/>
              <w:left w:val="nil"/>
              <w:bottom w:val="nil"/>
              <w:right w:val="nil"/>
            </w:tcBorders>
            <w:shd w:val="clear" w:color="auto" w:fill="auto"/>
            <w:vAlign w:val="center"/>
            <w:hideMark/>
          </w:tcPr>
          <w:p w14:paraId="0AD17E70" w14:textId="77777777" w:rsidR="00F44AE2" w:rsidRPr="004F52BA" w:rsidRDefault="00F44AE2" w:rsidP="00391C90">
            <w:pPr>
              <w:spacing w:after="0" w:line="240" w:lineRule="auto"/>
              <w:jc w:val="center"/>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2022 S</w:t>
            </w:r>
          </w:p>
        </w:tc>
        <w:tc>
          <w:tcPr>
            <w:tcW w:w="824" w:type="dxa"/>
            <w:tcBorders>
              <w:top w:val="nil"/>
              <w:left w:val="nil"/>
              <w:bottom w:val="nil"/>
              <w:right w:val="nil"/>
            </w:tcBorders>
            <w:shd w:val="clear" w:color="auto" w:fill="auto"/>
            <w:vAlign w:val="center"/>
            <w:hideMark/>
          </w:tcPr>
          <w:p w14:paraId="21EC4576" w14:textId="77777777" w:rsidR="00F44AE2" w:rsidRPr="004F52BA" w:rsidRDefault="00F44AE2" w:rsidP="00391C90">
            <w:pPr>
              <w:spacing w:after="0" w:line="240" w:lineRule="auto"/>
              <w:jc w:val="center"/>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 xml:space="preserve">Rozdiel </w:t>
            </w:r>
          </w:p>
        </w:tc>
        <w:tc>
          <w:tcPr>
            <w:tcW w:w="713" w:type="dxa"/>
            <w:tcBorders>
              <w:top w:val="nil"/>
              <w:left w:val="nil"/>
              <w:bottom w:val="nil"/>
              <w:right w:val="nil"/>
            </w:tcBorders>
            <w:shd w:val="clear" w:color="auto" w:fill="auto"/>
            <w:vAlign w:val="center"/>
            <w:hideMark/>
          </w:tcPr>
          <w:p w14:paraId="0031913E" w14:textId="77777777" w:rsidR="00F44AE2" w:rsidRPr="004F52BA" w:rsidRDefault="00F44AE2" w:rsidP="00391C90">
            <w:pPr>
              <w:spacing w:after="0" w:line="240" w:lineRule="auto"/>
              <w:jc w:val="center"/>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v %</w:t>
            </w:r>
          </w:p>
        </w:tc>
      </w:tr>
      <w:tr w:rsidR="00F44AE2" w:rsidRPr="004F52BA" w14:paraId="41AC11C3" w14:textId="77777777" w:rsidTr="00D14ECD">
        <w:trPr>
          <w:trHeight w:val="127"/>
        </w:trPr>
        <w:tc>
          <w:tcPr>
            <w:tcW w:w="0" w:type="auto"/>
            <w:tcBorders>
              <w:top w:val="nil"/>
              <w:left w:val="nil"/>
              <w:bottom w:val="single" w:sz="8" w:space="0" w:color="auto"/>
              <w:right w:val="nil"/>
            </w:tcBorders>
            <w:shd w:val="clear" w:color="auto" w:fill="auto"/>
            <w:vAlign w:val="center"/>
            <w:hideMark/>
          </w:tcPr>
          <w:p w14:paraId="25371F58" w14:textId="77777777" w:rsidR="00F44AE2" w:rsidRPr="004F52BA" w:rsidRDefault="00F44AE2" w:rsidP="00391C90">
            <w:pPr>
              <w:spacing w:after="0" w:line="240" w:lineRule="auto"/>
              <w:jc w:val="left"/>
              <w:rPr>
                <w:rFonts w:eastAsia="Times New Roman" w:cs="Times New Roman"/>
                <w:b/>
                <w:bCs/>
                <w:color w:val="FFFFFF"/>
                <w:sz w:val="18"/>
                <w:szCs w:val="18"/>
                <w:lang w:eastAsia="sk-SK"/>
              </w:rPr>
            </w:pPr>
            <w:r w:rsidRPr="004F52BA">
              <w:rPr>
                <w:rFonts w:eastAsia="Times New Roman" w:cs="Times New Roman"/>
                <w:b/>
                <w:bCs/>
                <w:color w:val="FFFFFF"/>
                <w:sz w:val="18"/>
                <w:szCs w:val="18"/>
                <w:lang w:eastAsia="sk-SK"/>
              </w:rPr>
              <w:t> </w:t>
            </w:r>
          </w:p>
        </w:tc>
        <w:tc>
          <w:tcPr>
            <w:tcW w:w="898" w:type="dxa"/>
            <w:tcBorders>
              <w:top w:val="nil"/>
              <w:left w:val="nil"/>
              <w:bottom w:val="single" w:sz="8" w:space="0" w:color="auto"/>
              <w:right w:val="nil"/>
            </w:tcBorders>
            <w:shd w:val="clear" w:color="auto" w:fill="auto"/>
            <w:vAlign w:val="center"/>
            <w:hideMark/>
          </w:tcPr>
          <w:p w14:paraId="4EBA4B99" w14:textId="77777777" w:rsidR="00F44AE2" w:rsidRPr="004F52BA" w:rsidRDefault="00F44AE2" w:rsidP="00391C90">
            <w:pPr>
              <w:spacing w:after="0" w:line="240" w:lineRule="auto"/>
              <w:jc w:val="center"/>
              <w:rPr>
                <w:rFonts w:eastAsia="Times New Roman" w:cs="Times New Roman"/>
                <w:b/>
                <w:bCs/>
                <w:sz w:val="18"/>
                <w:szCs w:val="18"/>
                <w:lang w:eastAsia="sk-SK"/>
              </w:rPr>
            </w:pPr>
            <w:r w:rsidRPr="004F52BA">
              <w:rPr>
                <w:rFonts w:eastAsia="Times New Roman" w:cs="Times New Roman"/>
                <w:b/>
                <w:bCs/>
                <w:sz w:val="18"/>
                <w:szCs w:val="18"/>
                <w:lang w:eastAsia="sk-SK"/>
              </w:rPr>
              <w:t>1</w:t>
            </w:r>
          </w:p>
        </w:tc>
        <w:tc>
          <w:tcPr>
            <w:tcW w:w="879" w:type="dxa"/>
            <w:tcBorders>
              <w:top w:val="nil"/>
              <w:left w:val="nil"/>
              <w:bottom w:val="single" w:sz="8" w:space="0" w:color="auto"/>
              <w:right w:val="nil"/>
            </w:tcBorders>
            <w:shd w:val="clear" w:color="auto" w:fill="auto"/>
            <w:vAlign w:val="center"/>
            <w:hideMark/>
          </w:tcPr>
          <w:p w14:paraId="5BF318F7" w14:textId="77777777" w:rsidR="00F44AE2" w:rsidRPr="004F52BA" w:rsidRDefault="00F44AE2" w:rsidP="00391C90">
            <w:pPr>
              <w:spacing w:after="0" w:line="240" w:lineRule="auto"/>
              <w:jc w:val="center"/>
              <w:rPr>
                <w:rFonts w:eastAsia="Times New Roman" w:cs="Times New Roman"/>
                <w:b/>
                <w:bCs/>
                <w:sz w:val="18"/>
                <w:szCs w:val="18"/>
                <w:lang w:eastAsia="sk-SK"/>
              </w:rPr>
            </w:pPr>
            <w:r w:rsidRPr="004F52BA">
              <w:rPr>
                <w:rFonts w:eastAsia="Times New Roman" w:cs="Times New Roman"/>
                <w:b/>
                <w:bCs/>
                <w:sz w:val="18"/>
                <w:szCs w:val="18"/>
                <w:lang w:eastAsia="sk-SK"/>
              </w:rPr>
              <w:t>2</w:t>
            </w:r>
          </w:p>
        </w:tc>
        <w:tc>
          <w:tcPr>
            <w:tcW w:w="879" w:type="dxa"/>
            <w:tcBorders>
              <w:top w:val="nil"/>
              <w:left w:val="nil"/>
              <w:bottom w:val="single" w:sz="8" w:space="0" w:color="auto"/>
              <w:right w:val="nil"/>
            </w:tcBorders>
            <w:shd w:val="clear" w:color="auto" w:fill="auto"/>
            <w:vAlign w:val="center"/>
            <w:hideMark/>
          </w:tcPr>
          <w:p w14:paraId="18119EF0" w14:textId="77777777" w:rsidR="00F44AE2" w:rsidRPr="004F52BA" w:rsidRDefault="00F44AE2" w:rsidP="00391C90">
            <w:pPr>
              <w:spacing w:after="0" w:line="240" w:lineRule="auto"/>
              <w:jc w:val="center"/>
              <w:rPr>
                <w:rFonts w:eastAsia="Times New Roman" w:cs="Times New Roman"/>
                <w:b/>
                <w:bCs/>
                <w:sz w:val="18"/>
                <w:szCs w:val="18"/>
                <w:lang w:eastAsia="sk-SK"/>
              </w:rPr>
            </w:pPr>
            <w:r w:rsidRPr="004F52BA">
              <w:rPr>
                <w:rFonts w:eastAsia="Times New Roman" w:cs="Times New Roman"/>
                <w:b/>
                <w:bCs/>
                <w:sz w:val="18"/>
                <w:szCs w:val="18"/>
                <w:lang w:eastAsia="sk-SK"/>
              </w:rPr>
              <w:t>3</w:t>
            </w:r>
          </w:p>
        </w:tc>
        <w:tc>
          <w:tcPr>
            <w:tcW w:w="916" w:type="dxa"/>
            <w:tcBorders>
              <w:top w:val="nil"/>
              <w:left w:val="nil"/>
              <w:bottom w:val="single" w:sz="8" w:space="0" w:color="auto"/>
              <w:right w:val="nil"/>
            </w:tcBorders>
            <w:shd w:val="clear" w:color="auto" w:fill="auto"/>
            <w:vAlign w:val="center"/>
            <w:hideMark/>
          </w:tcPr>
          <w:p w14:paraId="770B238B" w14:textId="77777777" w:rsidR="00F44AE2" w:rsidRPr="004F52BA" w:rsidRDefault="00F44AE2" w:rsidP="00391C90">
            <w:pPr>
              <w:spacing w:after="0" w:line="240" w:lineRule="auto"/>
              <w:jc w:val="center"/>
              <w:rPr>
                <w:rFonts w:eastAsia="Times New Roman" w:cs="Times New Roman"/>
                <w:b/>
                <w:bCs/>
                <w:sz w:val="18"/>
                <w:szCs w:val="18"/>
                <w:lang w:eastAsia="sk-SK"/>
              </w:rPr>
            </w:pPr>
            <w:r w:rsidRPr="004F52BA">
              <w:rPr>
                <w:rFonts w:eastAsia="Times New Roman" w:cs="Times New Roman"/>
                <w:b/>
                <w:bCs/>
                <w:sz w:val="18"/>
                <w:szCs w:val="18"/>
                <w:lang w:eastAsia="sk-SK"/>
              </w:rPr>
              <w:t>4</w:t>
            </w:r>
          </w:p>
        </w:tc>
        <w:tc>
          <w:tcPr>
            <w:tcW w:w="824" w:type="dxa"/>
            <w:tcBorders>
              <w:top w:val="nil"/>
              <w:left w:val="nil"/>
              <w:bottom w:val="single" w:sz="8" w:space="0" w:color="auto"/>
              <w:right w:val="nil"/>
            </w:tcBorders>
            <w:shd w:val="clear" w:color="auto" w:fill="auto"/>
            <w:vAlign w:val="center"/>
            <w:hideMark/>
          </w:tcPr>
          <w:p w14:paraId="015F7AD8" w14:textId="77777777" w:rsidR="00F44AE2" w:rsidRPr="004F52BA" w:rsidRDefault="00F44AE2" w:rsidP="00391C90">
            <w:pPr>
              <w:spacing w:after="0" w:line="240" w:lineRule="auto"/>
              <w:jc w:val="center"/>
              <w:rPr>
                <w:rFonts w:eastAsia="Times New Roman" w:cs="Times New Roman"/>
                <w:b/>
                <w:bCs/>
                <w:sz w:val="18"/>
                <w:szCs w:val="18"/>
                <w:lang w:eastAsia="sk-SK"/>
              </w:rPr>
            </w:pPr>
            <w:r w:rsidRPr="004F52BA">
              <w:rPr>
                <w:rFonts w:eastAsia="Times New Roman" w:cs="Times New Roman"/>
                <w:b/>
                <w:bCs/>
                <w:sz w:val="18"/>
                <w:szCs w:val="18"/>
                <w:lang w:eastAsia="sk-SK"/>
              </w:rPr>
              <w:t>5=4-3</w:t>
            </w:r>
          </w:p>
        </w:tc>
        <w:tc>
          <w:tcPr>
            <w:tcW w:w="713" w:type="dxa"/>
            <w:tcBorders>
              <w:top w:val="nil"/>
              <w:left w:val="nil"/>
              <w:bottom w:val="single" w:sz="8" w:space="0" w:color="auto"/>
              <w:right w:val="nil"/>
            </w:tcBorders>
            <w:shd w:val="clear" w:color="auto" w:fill="auto"/>
            <w:vAlign w:val="center"/>
            <w:hideMark/>
          </w:tcPr>
          <w:p w14:paraId="46F860F2" w14:textId="77777777" w:rsidR="00F44AE2" w:rsidRPr="004F52BA" w:rsidRDefault="00F44AE2" w:rsidP="00391C90">
            <w:pPr>
              <w:spacing w:after="0" w:line="240" w:lineRule="auto"/>
              <w:jc w:val="center"/>
              <w:rPr>
                <w:rFonts w:eastAsia="Times New Roman" w:cs="Times New Roman"/>
                <w:b/>
                <w:bCs/>
                <w:sz w:val="18"/>
                <w:szCs w:val="18"/>
                <w:lang w:eastAsia="sk-SK"/>
              </w:rPr>
            </w:pPr>
            <w:r w:rsidRPr="004F52BA">
              <w:rPr>
                <w:rFonts w:eastAsia="Times New Roman" w:cs="Times New Roman"/>
                <w:b/>
                <w:bCs/>
                <w:sz w:val="18"/>
                <w:szCs w:val="18"/>
                <w:lang w:eastAsia="sk-SK"/>
              </w:rPr>
              <w:t>6=4-3</w:t>
            </w:r>
          </w:p>
        </w:tc>
      </w:tr>
      <w:tr w:rsidR="00F44AE2" w:rsidRPr="004F52BA" w14:paraId="326FA6D5" w14:textId="77777777" w:rsidTr="00BB69CA">
        <w:trPr>
          <w:trHeight w:val="330"/>
        </w:trPr>
        <w:tc>
          <w:tcPr>
            <w:tcW w:w="0" w:type="auto"/>
            <w:tcBorders>
              <w:top w:val="nil"/>
              <w:left w:val="nil"/>
              <w:bottom w:val="nil"/>
              <w:right w:val="nil"/>
            </w:tcBorders>
            <w:shd w:val="clear" w:color="000000" w:fill="FFFFFF"/>
            <w:noWrap/>
            <w:vAlign w:val="bottom"/>
            <w:hideMark/>
          </w:tcPr>
          <w:p w14:paraId="01322FB9"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Príjmy z podnikania a z vlastníctva majetku</w:t>
            </w:r>
          </w:p>
        </w:tc>
        <w:tc>
          <w:tcPr>
            <w:tcW w:w="898" w:type="dxa"/>
            <w:tcBorders>
              <w:top w:val="nil"/>
              <w:left w:val="nil"/>
              <w:bottom w:val="nil"/>
              <w:right w:val="nil"/>
            </w:tcBorders>
            <w:shd w:val="clear" w:color="auto" w:fill="auto"/>
            <w:noWrap/>
            <w:vAlign w:val="center"/>
            <w:hideMark/>
          </w:tcPr>
          <w:p w14:paraId="7D5D836D"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434 268</w:t>
            </w:r>
          </w:p>
        </w:tc>
        <w:tc>
          <w:tcPr>
            <w:tcW w:w="879" w:type="dxa"/>
            <w:tcBorders>
              <w:top w:val="nil"/>
              <w:left w:val="nil"/>
              <w:bottom w:val="nil"/>
              <w:right w:val="nil"/>
            </w:tcBorders>
            <w:shd w:val="clear" w:color="auto" w:fill="auto"/>
            <w:noWrap/>
            <w:vAlign w:val="center"/>
            <w:hideMark/>
          </w:tcPr>
          <w:p w14:paraId="0787E7C9"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486 011</w:t>
            </w:r>
          </w:p>
        </w:tc>
        <w:tc>
          <w:tcPr>
            <w:tcW w:w="879" w:type="dxa"/>
            <w:tcBorders>
              <w:top w:val="nil"/>
              <w:left w:val="nil"/>
              <w:bottom w:val="nil"/>
              <w:right w:val="nil"/>
            </w:tcBorders>
            <w:shd w:val="clear" w:color="000000" w:fill="FFFFFF"/>
            <w:noWrap/>
            <w:vAlign w:val="center"/>
            <w:hideMark/>
          </w:tcPr>
          <w:p w14:paraId="03D3BA5A"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389 783</w:t>
            </w:r>
          </w:p>
        </w:tc>
        <w:tc>
          <w:tcPr>
            <w:tcW w:w="916" w:type="dxa"/>
            <w:tcBorders>
              <w:top w:val="nil"/>
              <w:left w:val="nil"/>
              <w:bottom w:val="nil"/>
              <w:right w:val="nil"/>
            </w:tcBorders>
            <w:shd w:val="clear" w:color="auto" w:fill="auto"/>
            <w:noWrap/>
            <w:vAlign w:val="center"/>
            <w:hideMark/>
          </w:tcPr>
          <w:p w14:paraId="6CA0C83D"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168 026</w:t>
            </w:r>
          </w:p>
        </w:tc>
        <w:tc>
          <w:tcPr>
            <w:tcW w:w="824" w:type="dxa"/>
            <w:tcBorders>
              <w:top w:val="nil"/>
              <w:left w:val="nil"/>
              <w:bottom w:val="nil"/>
              <w:right w:val="nil"/>
            </w:tcBorders>
            <w:shd w:val="clear" w:color="000000" w:fill="FFFFFF"/>
            <w:vAlign w:val="center"/>
            <w:hideMark/>
          </w:tcPr>
          <w:p w14:paraId="6F2EB92E"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-221 757</w:t>
            </w:r>
          </w:p>
        </w:tc>
        <w:tc>
          <w:tcPr>
            <w:tcW w:w="713" w:type="dxa"/>
            <w:tcBorders>
              <w:top w:val="nil"/>
              <w:left w:val="nil"/>
              <w:bottom w:val="nil"/>
              <w:right w:val="nil"/>
            </w:tcBorders>
            <w:shd w:val="clear" w:color="000000" w:fill="FFFFFF"/>
            <w:vAlign w:val="center"/>
            <w:hideMark/>
          </w:tcPr>
          <w:p w14:paraId="6E82FEA3"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-56,9</w:t>
            </w:r>
          </w:p>
        </w:tc>
      </w:tr>
      <w:tr w:rsidR="00F44AE2" w:rsidRPr="004F52BA" w14:paraId="083B1FFA" w14:textId="77777777" w:rsidTr="00BB69CA">
        <w:trPr>
          <w:trHeight w:val="330"/>
        </w:trPr>
        <w:tc>
          <w:tcPr>
            <w:tcW w:w="0" w:type="auto"/>
            <w:tcBorders>
              <w:top w:val="nil"/>
              <w:left w:val="nil"/>
              <w:bottom w:val="nil"/>
              <w:right w:val="nil"/>
            </w:tcBorders>
            <w:shd w:val="clear" w:color="000000" w:fill="FFFFFF"/>
            <w:noWrap/>
            <w:vAlign w:val="bottom"/>
            <w:hideMark/>
          </w:tcPr>
          <w:p w14:paraId="005FF759"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 xml:space="preserve">   v tom: dividendy</w:t>
            </w:r>
          </w:p>
        </w:tc>
        <w:tc>
          <w:tcPr>
            <w:tcW w:w="898" w:type="dxa"/>
            <w:tcBorders>
              <w:top w:val="nil"/>
              <w:left w:val="nil"/>
              <w:bottom w:val="nil"/>
              <w:right w:val="nil"/>
            </w:tcBorders>
            <w:shd w:val="clear" w:color="auto" w:fill="auto"/>
            <w:noWrap/>
            <w:vAlign w:val="center"/>
            <w:hideMark/>
          </w:tcPr>
          <w:p w14:paraId="7CA0CD1F"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428 129</w:t>
            </w:r>
          </w:p>
        </w:tc>
        <w:tc>
          <w:tcPr>
            <w:tcW w:w="879" w:type="dxa"/>
            <w:tcBorders>
              <w:top w:val="nil"/>
              <w:left w:val="nil"/>
              <w:bottom w:val="nil"/>
              <w:right w:val="nil"/>
            </w:tcBorders>
            <w:shd w:val="clear" w:color="auto" w:fill="auto"/>
            <w:noWrap/>
            <w:vAlign w:val="center"/>
            <w:hideMark/>
          </w:tcPr>
          <w:p w14:paraId="3FEA1C85"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480 226</w:t>
            </w:r>
          </w:p>
        </w:tc>
        <w:tc>
          <w:tcPr>
            <w:tcW w:w="879" w:type="dxa"/>
            <w:tcBorders>
              <w:top w:val="nil"/>
              <w:left w:val="nil"/>
              <w:bottom w:val="nil"/>
              <w:right w:val="nil"/>
            </w:tcBorders>
            <w:shd w:val="clear" w:color="000000" w:fill="FFFFFF"/>
            <w:noWrap/>
            <w:vAlign w:val="center"/>
            <w:hideMark/>
          </w:tcPr>
          <w:p w14:paraId="1354DEBB"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383 955</w:t>
            </w:r>
          </w:p>
        </w:tc>
        <w:tc>
          <w:tcPr>
            <w:tcW w:w="916" w:type="dxa"/>
            <w:tcBorders>
              <w:top w:val="nil"/>
              <w:left w:val="nil"/>
              <w:bottom w:val="nil"/>
              <w:right w:val="nil"/>
            </w:tcBorders>
            <w:shd w:val="clear" w:color="auto" w:fill="auto"/>
            <w:noWrap/>
            <w:vAlign w:val="center"/>
            <w:hideMark/>
          </w:tcPr>
          <w:p w14:paraId="39F15931"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160 519</w:t>
            </w:r>
          </w:p>
        </w:tc>
        <w:tc>
          <w:tcPr>
            <w:tcW w:w="824" w:type="dxa"/>
            <w:tcBorders>
              <w:top w:val="nil"/>
              <w:left w:val="nil"/>
              <w:bottom w:val="nil"/>
              <w:right w:val="nil"/>
            </w:tcBorders>
            <w:shd w:val="clear" w:color="000000" w:fill="FFFFFF"/>
            <w:vAlign w:val="center"/>
            <w:hideMark/>
          </w:tcPr>
          <w:p w14:paraId="7AF77B8C"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-223 436</w:t>
            </w:r>
          </w:p>
        </w:tc>
        <w:tc>
          <w:tcPr>
            <w:tcW w:w="713" w:type="dxa"/>
            <w:tcBorders>
              <w:top w:val="nil"/>
              <w:left w:val="nil"/>
              <w:bottom w:val="nil"/>
              <w:right w:val="nil"/>
            </w:tcBorders>
            <w:shd w:val="clear" w:color="000000" w:fill="FFFFFF"/>
            <w:vAlign w:val="center"/>
            <w:hideMark/>
          </w:tcPr>
          <w:p w14:paraId="034BA665"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-58,2</w:t>
            </w:r>
          </w:p>
        </w:tc>
      </w:tr>
      <w:tr w:rsidR="00F44AE2" w:rsidRPr="004F52BA" w14:paraId="44BB0519" w14:textId="77777777" w:rsidTr="00BB69CA">
        <w:trPr>
          <w:trHeight w:val="330"/>
        </w:trPr>
        <w:tc>
          <w:tcPr>
            <w:tcW w:w="0" w:type="auto"/>
            <w:tcBorders>
              <w:top w:val="nil"/>
              <w:left w:val="nil"/>
              <w:bottom w:val="nil"/>
              <w:right w:val="nil"/>
            </w:tcBorders>
            <w:shd w:val="clear" w:color="000000" w:fill="FFFFFF"/>
            <w:noWrap/>
            <w:vAlign w:val="bottom"/>
            <w:hideMark/>
          </w:tcPr>
          <w:p w14:paraId="5F465E89" w14:textId="77777777" w:rsidR="00F44AE2" w:rsidRPr="004F52BA" w:rsidRDefault="00F44AE2" w:rsidP="00391C90">
            <w:pPr>
              <w:spacing w:after="0" w:line="240" w:lineRule="auto"/>
              <w:jc w:val="left"/>
              <w:rPr>
                <w:rFonts w:eastAsia="Times New Roman" w:cs="Times New Roman"/>
                <w:color w:val="000000"/>
                <w:sz w:val="18"/>
                <w:szCs w:val="18"/>
                <w:lang w:eastAsia="sk-SK"/>
              </w:rPr>
            </w:pPr>
            <w:proofErr w:type="spellStart"/>
            <w:r w:rsidRPr="004F52BA">
              <w:rPr>
                <w:rFonts w:eastAsia="Times New Roman" w:cs="Times New Roman"/>
                <w:color w:val="000000"/>
                <w:sz w:val="18"/>
                <w:szCs w:val="18"/>
                <w:lang w:eastAsia="sk-SK"/>
              </w:rPr>
              <w:t>Administrat</w:t>
            </w:r>
            <w:proofErr w:type="spellEnd"/>
            <w:r w:rsidRPr="004F52BA">
              <w:rPr>
                <w:rFonts w:eastAsia="Times New Roman" w:cs="Times New Roman"/>
                <w:color w:val="000000"/>
                <w:sz w:val="18"/>
                <w:szCs w:val="18"/>
                <w:lang w:eastAsia="sk-SK"/>
              </w:rPr>
              <w:t>. poplatky a iné poplatky a platby</w:t>
            </w:r>
          </w:p>
        </w:tc>
        <w:tc>
          <w:tcPr>
            <w:tcW w:w="898" w:type="dxa"/>
            <w:tcBorders>
              <w:top w:val="nil"/>
              <w:left w:val="nil"/>
              <w:bottom w:val="nil"/>
              <w:right w:val="nil"/>
            </w:tcBorders>
            <w:shd w:val="clear" w:color="auto" w:fill="auto"/>
            <w:noWrap/>
            <w:vAlign w:val="center"/>
            <w:hideMark/>
          </w:tcPr>
          <w:p w14:paraId="29A59EC1"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387 962</w:t>
            </w:r>
          </w:p>
        </w:tc>
        <w:tc>
          <w:tcPr>
            <w:tcW w:w="879" w:type="dxa"/>
            <w:tcBorders>
              <w:top w:val="nil"/>
              <w:left w:val="nil"/>
              <w:bottom w:val="nil"/>
              <w:right w:val="nil"/>
            </w:tcBorders>
            <w:shd w:val="clear" w:color="auto" w:fill="auto"/>
            <w:noWrap/>
            <w:vAlign w:val="center"/>
            <w:hideMark/>
          </w:tcPr>
          <w:p w14:paraId="51C8195F"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354 593</w:t>
            </w:r>
          </w:p>
        </w:tc>
        <w:tc>
          <w:tcPr>
            <w:tcW w:w="879" w:type="dxa"/>
            <w:tcBorders>
              <w:top w:val="nil"/>
              <w:left w:val="nil"/>
              <w:bottom w:val="nil"/>
              <w:right w:val="nil"/>
            </w:tcBorders>
            <w:shd w:val="clear" w:color="000000" w:fill="FFFFFF"/>
            <w:noWrap/>
            <w:vAlign w:val="center"/>
            <w:hideMark/>
          </w:tcPr>
          <w:p w14:paraId="04822164"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364 108</w:t>
            </w:r>
          </w:p>
        </w:tc>
        <w:tc>
          <w:tcPr>
            <w:tcW w:w="916" w:type="dxa"/>
            <w:tcBorders>
              <w:top w:val="nil"/>
              <w:left w:val="nil"/>
              <w:bottom w:val="nil"/>
              <w:right w:val="nil"/>
            </w:tcBorders>
            <w:shd w:val="clear" w:color="auto" w:fill="auto"/>
            <w:noWrap/>
            <w:vAlign w:val="center"/>
            <w:hideMark/>
          </w:tcPr>
          <w:p w14:paraId="0F479E92"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400 937</w:t>
            </w:r>
          </w:p>
        </w:tc>
        <w:tc>
          <w:tcPr>
            <w:tcW w:w="824" w:type="dxa"/>
            <w:tcBorders>
              <w:top w:val="nil"/>
              <w:left w:val="nil"/>
              <w:bottom w:val="nil"/>
              <w:right w:val="nil"/>
            </w:tcBorders>
            <w:shd w:val="clear" w:color="000000" w:fill="FFFFFF"/>
            <w:vAlign w:val="center"/>
            <w:hideMark/>
          </w:tcPr>
          <w:p w14:paraId="499B0514"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36 829</w:t>
            </w:r>
          </w:p>
        </w:tc>
        <w:tc>
          <w:tcPr>
            <w:tcW w:w="713" w:type="dxa"/>
            <w:tcBorders>
              <w:top w:val="nil"/>
              <w:left w:val="nil"/>
              <w:bottom w:val="nil"/>
              <w:right w:val="nil"/>
            </w:tcBorders>
            <w:shd w:val="clear" w:color="000000" w:fill="FFFFFF"/>
            <w:vAlign w:val="center"/>
            <w:hideMark/>
          </w:tcPr>
          <w:p w14:paraId="5B1EB964"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10,1</w:t>
            </w:r>
          </w:p>
        </w:tc>
      </w:tr>
      <w:tr w:rsidR="00F44AE2" w:rsidRPr="004F52BA" w14:paraId="6145BD10" w14:textId="77777777" w:rsidTr="00BB69CA">
        <w:trPr>
          <w:trHeight w:val="330"/>
        </w:trPr>
        <w:tc>
          <w:tcPr>
            <w:tcW w:w="0" w:type="auto"/>
            <w:tcBorders>
              <w:top w:val="nil"/>
              <w:left w:val="nil"/>
              <w:bottom w:val="nil"/>
              <w:right w:val="nil"/>
            </w:tcBorders>
            <w:shd w:val="clear" w:color="000000" w:fill="FFFFFF"/>
            <w:noWrap/>
            <w:vAlign w:val="bottom"/>
            <w:hideMark/>
          </w:tcPr>
          <w:p w14:paraId="55BF6CC4"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 xml:space="preserve">   v tom: ostatné poplatky</w:t>
            </w:r>
          </w:p>
        </w:tc>
        <w:tc>
          <w:tcPr>
            <w:tcW w:w="898" w:type="dxa"/>
            <w:tcBorders>
              <w:top w:val="nil"/>
              <w:left w:val="nil"/>
              <w:bottom w:val="nil"/>
              <w:right w:val="nil"/>
            </w:tcBorders>
            <w:shd w:val="clear" w:color="auto" w:fill="auto"/>
            <w:noWrap/>
            <w:vAlign w:val="center"/>
            <w:hideMark/>
          </w:tcPr>
          <w:p w14:paraId="2BBC8F7E"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191 808</w:t>
            </w:r>
          </w:p>
        </w:tc>
        <w:tc>
          <w:tcPr>
            <w:tcW w:w="879" w:type="dxa"/>
            <w:tcBorders>
              <w:top w:val="nil"/>
              <w:left w:val="nil"/>
              <w:bottom w:val="nil"/>
              <w:right w:val="nil"/>
            </w:tcBorders>
            <w:shd w:val="clear" w:color="auto" w:fill="auto"/>
            <w:noWrap/>
            <w:vAlign w:val="center"/>
            <w:hideMark/>
          </w:tcPr>
          <w:p w14:paraId="7BD9AB03"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188 592</w:t>
            </w:r>
          </w:p>
        </w:tc>
        <w:tc>
          <w:tcPr>
            <w:tcW w:w="879" w:type="dxa"/>
            <w:tcBorders>
              <w:top w:val="nil"/>
              <w:left w:val="nil"/>
              <w:bottom w:val="nil"/>
              <w:right w:val="nil"/>
            </w:tcBorders>
            <w:shd w:val="clear" w:color="000000" w:fill="FFFFFF"/>
            <w:noWrap/>
            <w:vAlign w:val="center"/>
            <w:hideMark/>
          </w:tcPr>
          <w:p w14:paraId="688294EA"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196 675</w:t>
            </w:r>
          </w:p>
        </w:tc>
        <w:tc>
          <w:tcPr>
            <w:tcW w:w="916" w:type="dxa"/>
            <w:tcBorders>
              <w:top w:val="nil"/>
              <w:left w:val="nil"/>
              <w:bottom w:val="nil"/>
              <w:right w:val="nil"/>
            </w:tcBorders>
            <w:shd w:val="clear" w:color="auto" w:fill="auto"/>
            <w:noWrap/>
            <w:vAlign w:val="center"/>
            <w:hideMark/>
          </w:tcPr>
          <w:p w14:paraId="7497B48A"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206 689</w:t>
            </w:r>
          </w:p>
        </w:tc>
        <w:tc>
          <w:tcPr>
            <w:tcW w:w="824" w:type="dxa"/>
            <w:tcBorders>
              <w:top w:val="nil"/>
              <w:left w:val="nil"/>
              <w:bottom w:val="nil"/>
              <w:right w:val="nil"/>
            </w:tcBorders>
            <w:shd w:val="clear" w:color="000000" w:fill="FFFFFF"/>
            <w:vAlign w:val="center"/>
            <w:hideMark/>
          </w:tcPr>
          <w:p w14:paraId="7AF602AC"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10 014</w:t>
            </w:r>
          </w:p>
        </w:tc>
        <w:tc>
          <w:tcPr>
            <w:tcW w:w="713" w:type="dxa"/>
            <w:tcBorders>
              <w:top w:val="nil"/>
              <w:left w:val="nil"/>
              <w:bottom w:val="nil"/>
              <w:right w:val="nil"/>
            </w:tcBorders>
            <w:shd w:val="clear" w:color="000000" w:fill="FFFFFF"/>
            <w:vAlign w:val="center"/>
            <w:hideMark/>
          </w:tcPr>
          <w:p w14:paraId="4AD17A18"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5,1</w:t>
            </w:r>
          </w:p>
        </w:tc>
      </w:tr>
      <w:tr w:rsidR="00F44AE2" w:rsidRPr="004F52BA" w14:paraId="1B314694" w14:textId="77777777" w:rsidTr="00BB69CA">
        <w:trPr>
          <w:trHeight w:val="330"/>
        </w:trPr>
        <w:tc>
          <w:tcPr>
            <w:tcW w:w="0" w:type="auto"/>
            <w:tcBorders>
              <w:top w:val="nil"/>
              <w:left w:val="nil"/>
              <w:bottom w:val="nil"/>
              <w:right w:val="nil"/>
            </w:tcBorders>
            <w:shd w:val="clear" w:color="000000" w:fill="FFFFFF"/>
            <w:noWrap/>
            <w:vAlign w:val="bottom"/>
            <w:hideMark/>
          </w:tcPr>
          <w:p w14:paraId="4B73008E"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 xml:space="preserve">               pokuty, penále a iné sankcie </w:t>
            </w:r>
          </w:p>
        </w:tc>
        <w:tc>
          <w:tcPr>
            <w:tcW w:w="898" w:type="dxa"/>
            <w:tcBorders>
              <w:top w:val="nil"/>
              <w:left w:val="nil"/>
              <w:bottom w:val="nil"/>
              <w:right w:val="nil"/>
            </w:tcBorders>
            <w:shd w:val="clear" w:color="auto" w:fill="auto"/>
            <w:noWrap/>
            <w:vAlign w:val="center"/>
            <w:hideMark/>
          </w:tcPr>
          <w:p w14:paraId="15E91716"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56 748</w:t>
            </w:r>
          </w:p>
        </w:tc>
        <w:tc>
          <w:tcPr>
            <w:tcW w:w="879" w:type="dxa"/>
            <w:tcBorders>
              <w:top w:val="nil"/>
              <w:left w:val="nil"/>
              <w:bottom w:val="nil"/>
              <w:right w:val="nil"/>
            </w:tcBorders>
            <w:shd w:val="clear" w:color="auto" w:fill="auto"/>
            <w:noWrap/>
            <w:vAlign w:val="center"/>
            <w:hideMark/>
          </w:tcPr>
          <w:p w14:paraId="2A27761E"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56 444</w:t>
            </w:r>
          </w:p>
        </w:tc>
        <w:tc>
          <w:tcPr>
            <w:tcW w:w="879" w:type="dxa"/>
            <w:tcBorders>
              <w:top w:val="nil"/>
              <w:left w:val="nil"/>
              <w:bottom w:val="nil"/>
              <w:right w:val="nil"/>
            </w:tcBorders>
            <w:shd w:val="clear" w:color="000000" w:fill="FFFFFF"/>
            <w:noWrap/>
            <w:vAlign w:val="center"/>
            <w:hideMark/>
          </w:tcPr>
          <w:p w14:paraId="46EB2F8B"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62 323</w:t>
            </w:r>
          </w:p>
        </w:tc>
        <w:tc>
          <w:tcPr>
            <w:tcW w:w="916" w:type="dxa"/>
            <w:tcBorders>
              <w:top w:val="nil"/>
              <w:left w:val="nil"/>
              <w:bottom w:val="nil"/>
              <w:right w:val="nil"/>
            </w:tcBorders>
            <w:shd w:val="clear" w:color="auto" w:fill="auto"/>
            <w:noWrap/>
            <w:vAlign w:val="center"/>
            <w:hideMark/>
          </w:tcPr>
          <w:p w14:paraId="478BCEBF"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68 713</w:t>
            </w:r>
          </w:p>
        </w:tc>
        <w:tc>
          <w:tcPr>
            <w:tcW w:w="824" w:type="dxa"/>
            <w:tcBorders>
              <w:top w:val="nil"/>
              <w:left w:val="nil"/>
              <w:bottom w:val="nil"/>
              <w:right w:val="nil"/>
            </w:tcBorders>
            <w:shd w:val="clear" w:color="000000" w:fill="FFFFFF"/>
            <w:vAlign w:val="center"/>
            <w:hideMark/>
          </w:tcPr>
          <w:p w14:paraId="59875AC3"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6 390</w:t>
            </w:r>
          </w:p>
        </w:tc>
        <w:tc>
          <w:tcPr>
            <w:tcW w:w="713" w:type="dxa"/>
            <w:tcBorders>
              <w:top w:val="nil"/>
              <w:left w:val="nil"/>
              <w:bottom w:val="nil"/>
              <w:right w:val="nil"/>
            </w:tcBorders>
            <w:shd w:val="clear" w:color="000000" w:fill="FFFFFF"/>
            <w:vAlign w:val="center"/>
            <w:hideMark/>
          </w:tcPr>
          <w:p w14:paraId="38B1E1D4"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10,3</w:t>
            </w:r>
          </w:p>
        </w:tc>
      </w:tr>
      <w:tr w:rsidR="00F44AE2" w:rsidRPr="004F52BA" w14:paraId="1AAA7994" w14:textId="77777777" w:rsidTr="00BB69CA">
        <w:trPr>
          <w:trHeight w:val="330"/>
        </w:trPr>
        <w:tc>
          <w:tcPr>
            <w:tcW w:w="0" w:type="auto"/>
            <w:tcBorders>
              <w:top w:val="nil"/>
              <w:left w:val="nil"/>
              <w:bottom w:val="nil"/>
              <w:right w:val="nil"/>
            </w:tcBorders>
            <w:shd w:val="clear" w:color="000000" w:fill="FFFFFF"/>
            <w:noWrap/>
            <w:vAlign w:val="bottom"/>
            <w:hideMark/>
          </w:tcPr>
          <w:p w14:paraId="4C6D56F5"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 xml:space="preserve">               poplatky a platby z </w:t>
            </w:r>
            <w:proofErr w:type="spellStart"/>
            <w:r w:rsidRPr="004F52BA">
              <w:rPr>
                <w:rFonts w:eastAsia="Times New Roman" w:cs="Times New Roman"/>
                <w:color w:val="000000"/>
                <w:sz w:val="18"/>
                <w:szCs w:val="18"/>
                <w:lang w:eastAsia="sk-SK"/>
              </w:rPr>
              <w:t>nepr</w:t>
            </w:r>
            <w:proofErr w:type="spellEnd"/>
            <w:r w:rsidRPr="004F52BA">
              <w:rPr>
                <w:rFonts w:eastAsia="Times New Roman" w:cs="Times New Roman"/>
                <w:color w:val="000000"/>
                <w:sz w:val="18"/>
                <w:szCs w:val="18"/>
                <w:lang w:eastAsia="sk-SK"/>
              </w:rPr>
              <w:t>. a náhod. predaja</w:t>
            </w:r>
          </w:p>
        </w:tc>
        <w:tc>
          <w:tcPr>
            <w:tcW w:w="898" w:type="dxa"/>
            <w:tcBorders>
              <w:top w:val="nil"/>
              <w:left w:val="nil"/>
              <w:bottom w:val="nil"/>
              <w:right w:val="nil"/>
            </w:tcBorders>
            <w:shd w:val="clear" w:color="auto" w:fill="auto"/>
            <w:noWrap/>
            <w:vAlign w:val="center"/>
            <w:hideMark/>
          </w:tcPr>
          <w:p w14:paraId="19ADE1E1"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111 807</w:t>
            </w:r>
          </w:p>
        </w:tc>
        <w:tc>
          <w:tcPr>
            <w:tcW w:w="879" w:type="dxa"/>
            <w:tcBorders>
              <w:top w:val="nil"/>
              <w:left w:val="nil"/>
              <w:bottom w:val="nil"/>
              <w:right w:val="nil"/>
            </w:tcBorders>
            <w:shd w:val="clear" w:color="auto" w:fill="auto"/>
            <w:noWrap/>
            <w:vAlign w:val="center"/>
            <w:hideMark/>
          </w:tcPr>
          <w:p w14:paraId="3EBF254B"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78 947</w:t>
            </w:r>
          </w:p>
        </w:tc>
        <w:tc>
          <w:tcPr>
            <w:tcW w:w="879" w:type="dxa"/>
            <w:tcBorders>
              <w:top w:val="nil"/>
              <w:left w:val="nil"/>
              <w:bottom w:val="nil"/>
              <w:right w:val="nil"/>
            </w:tcBorders>
            <w:shd w:val="clear" w:color="000000" w:fill="FFFFFF"/>
            <w:noWrap/>
            <w:vAlign w:val="center"/>
            <w:hideMark/>
          </w:tcPr>
          <w:p w14:paraId="46067CB2"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75 789</w:t>
            </w:r>
          </w:p>
        </w:tc>
        <w:tc>
          <w:tcPr>
            <w:tcW w:w="916" w:type="dxa"/>
            <w:tcBorders>
              <w:top w:val="nil"/>
              <w:left w:val="nil"/>
              <w:bottom w:val="nil"/>
              <w:right w:val="nil"/>
            </w:tcBorders>
            <w:shd w:val="clear" w:color="auto" w:fill="auto"/>
            <w:noWrap/>
            <w:vAlign w:val="center"/>
            <w:hideMark/>
          </w:tcPr>
          <w:p w14:paraId="01EA9953"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94 410</w:t>
            </w:r>
          </w:p>
        </w:tc>
        <w:tc>
          <w:tcPr>
            <w:tcW w:w="824" w:type="dxa"/>
            <w:tcBorders>
              <w:top w:val="nil"/>
              <w:left w:val="nil"/>
              <w:bottom w:val="nil"/>
              <w:right w:val="nil"/>
            </w:tcBorders>
            <w:shd w:val="clear" w:color="000000" w:fill="FFFFFF"/>
            <w:vAlign w:val="center"/>
            <w:hideMark/>
          </w:tcPr>
          <w:p w14:paraId="2008C4C5"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18 621</w:t>
            </w:r>
          </w:p>
        </w:tc>
        <w:tc>
          <w:tcPr>
            <w:tcW w:w="713" w:type="dxa"/>
            <w:tcBorders>
              <w:top w:val="nil"/>
              <w:left w:val="nil"/>
              <w:bottom w:val="nil"/>
              <w:right w:val="nil"/>
            </w:tcBorders>
            <w:shd w:val="clear" w:color="000000" w:fill="FFFFFF"/>
            <w:vAlign w:val="center"/>
            <w:hideMark/>
          </w:tcPr>
          <w:p w14:paraId="0B717537"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24,6</w:t>
            </w:r>
          </w:p>
        </w:tc>
      </w:tr>
      <w:tr w:rsidR="00F44AE2" w:rsidRPr="004F52BA" w14:paraId="723C28B0" w14:textId="77777777" w:rsidTr="00BB69CA">
        <w:trPr>
          <w:trHeight w:val="330"/>
        </w:trPr>
        <w:tc>
          <w:tcPr>
            <w:tcW w:w="0" w:type="auto"/>
            <w:tcBorders>
              <w:top w:val="nil"/>
              <w:left w:val="nil"/>
              <w:bottom w:val="nil"/>
              <w:right w:val="nil"/>
            </w:tcBorders>
            <w:shd w:val="clear" w:color="000000" w:fill="FFFFFF"/>
            <w:noWrap/>
            <w:vAlign w:val="bottom"/>
            <w:hideMark/>
          </w:tcPr>
          <w:p w14:paraId="1906D7E4"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Kapitálové príjmy</w:t>
            </w:r>
          </w:p>
        </w:tc>
        <w:tc>
          <w:tcPr>
            <w:tcW w:w="898" w:type="dxa"/>
            <w:tcBorders>
              <w:top w:val="nil"/>
              <w:left w:val="nil"/>
              <w:bottom w:val="nil"/>
              <w:right w:val="nil"/>
            </w:tcBorders>
            <w:shd w:val="clear" w:color="auto" w:fill="auto"/>
            <w:noWrap/>
            <w:vAlign w:val="center"/>
            <w:hideMark/>
          </w:tcPr>
          <w:p w14:paraId="3695175A"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12 438</w:t>
            </w:r>
          </w:p>
        </w:tc>
        <w:tc>
          <w:tcPr>
            <w:tcW w:w="879" w:type="dxa"/>
            <w:tcBorders>
              <w:top w:val="nil"/>
              <w:left w:val="nil"/>
              <w:bottom w:val="nil"/>
              <w:right w:val="nil"/>
            </w:tcBorders>
            <w:shd w:val="clear" w:color="auto" w:fill="auto"/>
            <w:noWrap/>
            <w:vAlign w:val="center"/>
            <w:hideMark/>
          </w:tcPr>
          <w:p w14:paraId="10ADA327"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13 703</w:t>
            </w:r>
          </w:p>
        </w:tc>
        <w:tc>
          <w:tcPr>
            <w:tcW w:w="879" w:type="dxa"/>
            <w:tcBorders>
              <w:top w:val="nil"/>
              <w:left w:val="nil"/>
              <w:bottom w:val="nil"/>
              <w:right w:val="nil"/>
            </w:tcBorders>
            <w:shd w:val="clear" w:color="000000" w:fill="FFFFFF"/>
            <w:noWrap/>
            <w:vAlign w:val="center"/>
            <w:hideMark/>
          </w:tcPr>
          <w:p w14:paraId="7058BF45"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7 512</w:t>
            </w:r>
          </w:p>
        </w:tc>
        <w:tc>
          <w:tcPr>
            <w:tcW w:w="916" w:type="dxa"/>
            <w:tcBorders>
              <w:top w:val="nil"/>
              <w:left w:val="nil"/>
              <w:bottom w:val="nil"/>
              <w:right w:val="nil"/>
            </w:tcBorders>
            <w:shd w:val="clear" w:color="auto" w:fill="auto"/>
            <w:noWrap/>
            <w:vAlign w:val="center"/>
            <w:hideMark/>
          </w:tcPr>
          <w:p w14:paraId="17AEAB70"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11 460</w:t>
            </w:r>
          </w:p>
        </w:tc>
        <w:tc>
          <w:tcPr>
            <w:tcW w:w="824" w:type="dxa"/>
            <w:tcBorders>
              <w:top w:val="nil"/>
              <w:left w:val="nil"/>
              <w:bottom w:val="nil"/>
              <w:right w:val="nil"/>
            </w:tcBorders>
            <w:shd w:val="clear" w:color="000000" w:fill="FFFFFF"/>
            <w:vAlign w:val="center"/>
            <w:hideMark/>
          </w:tcPr>
          <w:p w14:paraId="22F3946C"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3 948</w:t>
            </w:r>
          </w:p>
        </w:tc>
        <w:tc>
          <w:tcPr>
            <w:tcW w:w="713" w:type="dxa"/>
            <w:tcBorders>
              <w:top w:val="nil"/>
              <w:left w:val="nil"/>
              <w:bottom w:val="nil"/>
              <w:right w:val="nil"/>
            </w:tcBorders>
            <w:shd w:val="clear" w:color="000000" w:fill="FFFFFF"/>
            <w:vAlign w:val="center"/>
            <w:hideMark/>
          </w:tcPr>
          <w:p w14:paraId="7591B791"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52,6</w:t>
            </w:r>
          </w:p>
        </w:tc>
      </w:tr>
      <w:tr w:rsidR="00F44AE2" w:rsidRPr="004F52BA" w14:paraId="13DDEF97" w14:textId="77777777" w:rsidTr="00BB69CA">
        <w:trPr>
          <w:trHeight w:val="330"/>
        </w:trPr>
        <w:tc>
          <w:tcPr>
            <w:tcW w:w="0" w:type="auto"/>
            <w:tcBorders>
              <w:top w:val="nil"/>
              <w:left w:val="nil"/>
              <w:bottom w:val="nil"/>
              <w:right w:val="nil"/>
            </w:tcBorders>
            <w:shd w:val="clear" w:color="000000" w:fill="FFFFFF"/>
            <w:vAlign w:val="bottom"/>
            <w:hideMark/>
          </w:tcPr>
          <w:p w14:paraId="08F1E140"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Úroky z tuzemských a zahraničných úverov, pôžičiek ,NFV</w:t>
            </w:r>
          </w:p>
        </w:tc>
        <w:tc>
          <w:tcPr>
            <w:tcW w:w="898" w:type="dxa"/>
            <w:tcBorders>
              <w:top w:val="nil"/>
              <w:left w:val="nil"/>
              <w:bottom w:val="nil"/>
              <w:right w:val="nil"/>
            </w:tcBorders>
            <w:shd w:val="clear" w:color="auto" w:fill="auto"/>
            <w:noWrap/>
            <w:vAlign w:val="center"/>
            <w:hideMark/>
          </w:tcPr>
          <w:p w14:paraId="425B0AB9"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8 883</w:t>
            </w:r>
          </w:p>
        </w:tc>
        <w:tc>
          <w:tcPr>
            <w:tcW w:w="879" w:type="dxa"/>
            <w:tcBorders>
              <w:top w:val="nil"/>
              <w:left w:val="nil"/>
              <w:bottom w:val="nil"/>
              <w:right w:val="nil"/>
            </w:tcBorders>
            <w:shd w:val="clear" w:color="auto" w:fill="auto"/>
            <w:noWrap/>
            <w:vAlign w:val="center"/>
            <w:hideMark/>
          </w:tcPr>
          <w:p w14:paraId="39B73712"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7 055</w:t>
            </w:r>
          </w:p>
        </w:tc>
        <w:tc>
          <w:tcPr>
            <w:tcW w:w="879" w:type="dxa"/>
            <w:tcBorders>
              <w:top w:val="nil"/>
              <w:left w:val="nil"/>
              <w:bottom w:val="nil"/>
              <w:right w:val="nil"/>
            </w:tcBorders>
            <w:shd w:val="clear" w:color="000000" w:fill="FFFFFF"/>
            <w:noWrap/>
            <w:vAlign w:val="center"/>
            <w:hideMark/>
          </w:tcPr>
          <w:p w14:paraId="44C87B8A"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6 763</w:t>
            </w:r>
          </w:p>
        </w:tc>
        <w:tc>
          <w:tcPr>
            <w:tcW w:w="916" w:type="dxa"/>
            <w:tcBorders>
              <w:top w:val="nil"/>
              <w:left w:val="nil"/>
              <w:bottom w:val="nil"/>
              <w:right w:val="nil"/>
            </w:tcBorders>
            <w:shd w:val="clear" w:color="auto" w:fill="auto"/>
            <w:noWrap/>
            <w:vAlign w:val="center"/>
            <w:hideMark/>
          </w:tcPr>
          <w:p w14:paraId="5A383A58"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9 996</w:t>
            </w:r>
          </w:p>
        </w:tc>
        <w:tc>
          <w:tcPr>
            <w:tcW w:w="824" w:type="dxa"/>
            <w:tcBorders>
              <w:top w:val="nil"/>
              <w:left w:val="nil"/>
              <w:bottom w:val="nil"/>
              <w:right w:val="nil"/>
            </w:tcBorders>
            <w:shd w:val="clear" w:color="000000" w:fill="FFFFFF"/>
            <w:vAlign w:val="center"/>
            <w:hideMark/>
          </w:tcPr>
          <w:p w14:paraId="3A231A4F"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3 233</w:t>
            </w:r>
          </w:p>
        </w:tc>
        <w:tc>
          <w:tcPr>
            <w:tcW w:w="713" w:type="dxa"/>
            <w:tcBorders>
              <w:top w:val="nil"/>
              <w:left w:val="nil"/>
              <w:bottom w:val="nil"/>
              <w:right w:val="nil"/>
            </w:tcBorders>
            <w:shd w:val="clear" w:color="000000" w:fill="FFFFFF"/>
            <w:vAlign w:val="center"/>
            <w:hideMark/>
          </w:tcPr>
          <w:p w14:paraId="6FB52874"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47,8</w:t>
            </w:r>
          </w:p>
        </w:tc>
      </w:tr>
      <w:tr w:rsidR="00F44AE2" w:rsidRPr="004F52BA" w14:paraId="4604BFE8" w14:textId="77777777" w:rsidTr="00BB69CA">
        <w:trPr>
          <w:trHeight w:val="330"/>
        </w:trPr>
        <w:tc>
          <w:tcPr>
            <w:tcW w:w="0" w:type="auto"/>
            <w:tcBorders>
              <w:top w:val="nil"/>
              <w:left w:val="nil"/>
              <w:bottom w:val="nil"/>
              <w:right w:val="nil"/>
            </w:tcBorders>
            <w:shd w:val="clear" w:color="000000" w:fill="FFFFFF"/>
            <w:noWrap/>
            <w:vAlign w:val="bottom"/>
            <w:hideMark/>
          </w:tcPr>
          <w:p w14:paraId="443D3AAA"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Iné nedaňové príjmy</w:t>
            </w:r>
          </w:p>
        </w:tc>
        <w:tc>
          <w:tcPr>
            <w:tcW w:w="898" w:type="dxa"/>
            <w:tcBorders>
              <w:top w:val="nil"/>
              <w:left w:val="nil"/>
              <w:bottom w:val="nil"/>
              <w:right w:val="nil"/>
            </w:tcBorders>
            <w:shd w:val="clear" w:color="auto" w:fill="auto"/>
            <w:noWrap/>
            <w:vAlign w:val="center"/>
            <w:hideMark/>
          </w:tcPr>
          <w:p w14:paraId="7C00582E"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453 075</w:t>
            </w:r>
          </w:p>
        </w:tc>
        <w:tc>
          <w:tcPr>
            <w:tcW w:w="879" w:type="dxa"/>
            <w:tcBorders>
              <w:top w:val="nil"/>
              <w:left w:val="nil"/>
              <w:bottom w:val="nil"/>
              <w:right w:val="nil"/>
            </w:tcBorders>
            <w:shd w:val="clear" w:color="auto" w:fill="auto"/>
            <w:noWrap/>
            <w:vAlign w:val="center"/>
            <w:hideMark/>
          </w:tcPr>
          <w:p w14:paraId="3443E767"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476 958</w:t>
            </w:r>
          </w:p>
        </w:tc>
        <w:tc>
          <w:tcPr>
            <w:tcW w:w="879" w:type="dxa"/>
            <w:tcBorders>
              <w:top w:val="nil"/>
              <w:left w:val="nil"/>
              <w:bottom w:val="nil"/>
              <w:right w:val="nil"/>
            </w:tcBorders>
            <w:shd w:val="clear" w:color="000000" w:fill="FFFFFF"/>
            <w:noWrap/>
            <w:vAlign w:val="center"/>
            <w:hideMark/>
          </w:tcPr>
          <w:p w14:paraId="2C113CA7"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366 652</w:t>
            </w:r>
          </w:p>
        </w:tc>
        <w:tc>
          <w:tcPr>
            <w:tcW w:w="916" w:type="dxa"/>
            <w:tcBorders>
              <w:top w:val="nil"/>
              <w:left w:val="nil"/>
              <w:bottom w:val="nil"/>
              <w:right w:val="nil"/>
            </w:tcBorders>
            <w:shd w:val="clear" w:color="auto" w:fill="auto"/>
            <w:noWrap/>
            <w:vAlign w:val="center"/>
            <w:hideMark/>
          </w:tcPr>
          <w:p w14:paraId="2C508B2A"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694 670</w:t>
            </w:r>
          </w:p>
        </w:tc>
        <w:tc>
          <w:tcPr>
            <w:tcW w:w="824" w:type="dxa"/>
            <w:tcBorders>
              <w:top w:val="nil"/>
              <w:left w:val="nil"/>
              <w:bottom w:val="nil"/>
              <w:right w:val="nil"/>
            </w:tcBorders>
            <w:shd w:val="clear" w:color="000000" w:fill="FFFFFF"/>
            <w:vAlign w:val="center"/>
            <w:hideMark/>
          </w:tcPr>
          <w:p w14:paraId="28F7A273"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328 018</w:t>
            </w:r>
          </w:p>
        </w:tc>
        <w:tc>
          <w:tcPr>
            <w:tcW w:w="713" w:type="dxa"/>
            <w:tcBorders>
              <w:top w:val="nil"/>
              <w:left w:val="nil"/>
              <w:bottom w:val="nil"/>
              <w:right w:val="nil"/>
            </w:tcBorders>
            <w:shd w:val="clear" w:color="000000" w:fill="FFFFFF"/>
            <w:vAlign w:val="center"/>
            <w:hideMark/>
          </w:tcPr>
          <w:p w14:paraId="3F1FE799"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89,5</w:t>
            </w:r>
          </w:p>
        </w:tc>
      </w:tr>
      <w:tr w:rsidR="00F44AE2" w:rsidRPr="004F52BA" w14:paraId="06F481BE" w14:textId="77777777" w:rsidTr="00BB69CA">
        <w:trPr>
          <w:trHeight w:val="330"/>
        </w:trPr>
        <w:tc>
          <w:tcPr>
            <w:tcW w:w="0" w:type="auto"/>
            <w:tcBorders>
              <w:top w:val="nil"/>
              <w:left w:val="nil"/>
              <w:bottom w:val="nil"/>
              <w:right w:val="nil"/>
            </w:tcBorders>
            <w:shd w:val="clear" w:color="000000" w:fill="FFFFFF"/>
            <w:noWrap/>
            <w:vAlign w:val="bottom"/>
            <w:hideMark/>
          </w:tcPr>
          <w:p w14:paraId="3F4313A1"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 xml:space="preserve">   v tom: odvod z hazardných hier</w:t>
            </w:r>
          </w:p>
        </w:tc>
        <w:tc>
          <w:tcPr>
            <w:tcW w:w="898" w:type="dxa"/>
            <w:tcBorders>
              <w:top w:val="nil"/>
              <w:left w:val="nil"/>
              <w:bottom w:val="nil"/>
              <w:right w:val="nil"/>
            </w:tcBorders>
            <w:shd w:val="clear" w:color="auto" w:fill="auto"/>
            <w:noWrap/>
            <w:vAlign w:val="center"/>
            <w:hideMark/>
          </w:tcPr>
          <w:p w14:paraId="0B54D3FE"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212 590</w:t>
            </w:r>
          </w:p>
        </w:tc>
        <w:tc>
          <w:tcPr>
            <w:tcW w:w="879" w:type="dxa"/>
            <w:tcBorders>
              <w:top w:val="nil"/>
              <w:left w:val="nil"/>
              <w:bottom w:val="nil"/>
              <w:right w:val="nil"/>
            </w:tcBorders>
            <w:shd w:val="clear" w:color="auto" w:fill="auto"/>
            <w:noWrap/>
            <w:vAlign w:val="center"/>
            <w:hideMark/>
          </w:tcPr>
          <w:p w14:paraId="50557C35"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220 131</w:t>
            </w:r>
          </w:p>
        </w:tc>
        <w:tc>
          <w:tcPr>
            <w:tcW w:w="879" w:type="dxa"/>
            <w:tcBorders>
              <w:top w:val="nil"/>
              <w:left w:val="nil"/>
              <w:bottom w:val="nil"/>
              <w:right w:val="nil"/>
            </w:tcBorders>
            <w:shd w:val="clear" w:color="000000" w:fill="FFFFFF"/>
            <w:noWrap/>
            <w:vAlign w:val="center"/>
            <w:hideMark/>
          </w:tcPr>
          <w:p w14:paraId="7A8ADB49"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236 140</w:t>
            </w:r>
          </w:p>
        </w:tc>
        <w:tc>
          <w:tcPr>
            <w:tcW w:w="916" w:type="dxa"/>
            <w:tcBorders>
              <w:top w:val="nil"/>
              <w:left w:val="nil"/>
              <w:bottom w:val="nil"/>
              <w:right w:val="nil"/>
            </w:tcBorders>
            <w:shd w:val="clear" w:color="auto" w:fill="auto"/>
            <w:noWrap/>
            <w:vAlign w:val="center"/>
            <w:hideMark/>
          </w:tcPr>
          <w:p w14:paraId="3C0B7E26"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251 889</w:t>
            </w:r>
          </w:p>
        </w:tc>
        <w:tc>
          <w:tcPr>
            <w:tcW w:w="824" w:type="dxa"/>
            <w:tcBorders>
              <w:top w:val="nil"/>
              <w:left w:val="nil"/>
              <w:bottom w:val="nil"/>
              <w:right w:val="nil"/>
            </w:tcBorders>
            <w:shd w:val="clear" w:color="000000" w:fill="FFFFFF"/>
            <w:vAlign w:val="center"/>
            <w:hideMark/>
          </w:tcPr>
          <w:p w14:paraId="1FF350BF"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15 749</w:t>
            </w:r>
          </w:p>
        </w:tc>
        <w:tc>
          <w:tcPr>
            <w:tcW w:w="713" w:type="dxa"/>
            <w:tcBorders>
              <w:top w:val="nil"/>
              <w:left w:val="nil"/>
              <w:bottom w:val="nil"/>
              <w:right w:val="nil"/>
            </w:tcBorders>
            <w:shd w:val="clear" w:color="000000" w:fill="FFFFFF"/>
            <w:vAlign w:val="center"/>
            <w:hideMark/>
          </w:tcPr>
          <w:p w14:paraId="546D7A2A"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6,7</w:t>
            </w:r>
          </w:p>
        </w:tc>
      </w:tr>
      <w:tr w:rsidR="00F44AE2" w:rsidRPr="004F52BA" w14:paraId="4CE57D58" w14:textId="77777777" w:rsidTr="00BB69CA">
        <w:trPr>
          <w:trHeight w:val="330"/>
        </w:trPr>
        <w:tc>
          <w:tcPr>
            <w:tcW w:w="0" w:type="auto"/>
            <w:tcBorders>
              <w:top w:val="nil"/>
              <w:left w:val="nil"/>
              <w:bottom w:val="nil"/>
              <w:right w:val="nil"/>
            </w:tcBorders>
            <w:shd w:val="clear" w:color="000000" w:fill="FFFFFF"/>
            <w:noWrap/>
            <w:vAlign w:val="bottom"/>
            <w:hideMark/>
          </w:tcPr>
          <w:p w14:paraId="6D21F963" w14:textId="77777777" w:rsidR="00F44AE2" w:rsidRPr="004F52BA" w:rsidRDefault="00F44AE2" w:rsidP="00391C90">
            <w:pPr>
              <w:spacing w:after="0" w:line="240" w:lineRule="auto"/>
              <w:jc w:val="left"/>
              <w:rPr>
                <w:rFonts w:eastAsia="Times New Roman" w:cs="Times New Roman"/>
                <w:color w:val="000000"/>
                <w:sz w:val="18"/>
                <w:szCs w:val="18"/>
                <w:lang w:eastAsia="sk-SK"/>
              </w:rPr>
            </w:pPr>
            <w:r w:rsidRPr="004F52BA">
              <w:rPr>
                <w:rFonts w:eastAsia="Times New Roman" w:cs="Times New Roman"/>
                <w:color w:val="000000"/>
                <w:sz w:val="18"/>
                <w:szCs w:val="18"/>
                <w:lang w:eastAsia="sk-SK"/>
              </w:rPr>
              <w:t xml:space="preserve">               ostatné príjmy - iné</w:t>
            </w:r>
          </w:p>
        </w:tc>
        <w:tc>
          <w:tcPr>
            <w:tcW w:w="898" w:type="dxa"/>
            <w:tcBorders>
              <w:top w:val="nil"/>
              <w:left w:val="nil"/>
              <w:bottom w:val="nil"/>
              <w:right w:val="nil"/>
            </w:tcBorders>
            <w:shd w:val="clear" w:color="auto" w:fill="auto"/>
            <w:noWrap/>
            <w:vAlign w:val="center"/>
            <w:hideMark/>
          </w:tcPr>
          <w:p w14:paraId="4B6940FA"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169 469</w:t>
            </w:r>
          </w:p>
        </w:tc>
        <w:tc>
          <w:tcPr>
            <w:tcW w:w="879" w:type="dxa"/>
            <w:tcBorders>
              <w:top w:val="nil"/>
              <w:left w:val="nil"/>
              <w:bottom w:val="nil"/>
              <w:right w:val="nil"/>
            </w:tcBorders>
            <w:shd w:val="clear" w:color="auto" w:fill="auto"/>
            <w:noWrap/>
            <w:vAlign w:val="center"/>
            <w:hideMark/>
          </w:tcPr>
          <w:p w14:paraId="1FEE93F5"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98 581</w:t>
            </w:r>
          </w:p>
        </w:tc>
        <w:tc>
          <w:tcPr>
            <w:tcW w:w="879" w:type="dxa"/>
            <w:tcBorders>
              <w:top w:val="nil"/>
              <w:left w:val="nil"/>
              <w:bottom w:val="nil"/>
              <w:right w:val="nil"/>
            </w:tcBorders>
            <w:shd w:val="clear" w:color="000000" w:fill="FFFFFF"/>
            <w:noWrap/>
            <w:vAlign w:val="center"/>
            <w:hideMark/>
          </w:tcPr>
          <w:p w14:paraId="1EAEEF61"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92 655</w:t>
            </w:r>
          </w:p>
        </w:tc>
        <w:tc>
          <w:tcPr>
            <w:tcW w:w="916" w:type="dxa"/>
            <w:tcBorders>
              <w:top w:val="nil"/>
              <w:left w:val="nil"/>
              <w:bottom w:val="nil"/>
              <w:right w:val="nil"/>
            </w:tcBorders>
            <w:shd w:val="clear" w:color="auto" w:fill="auto"/>
            <w:noWrap/>
            <w:vAlign w:val="center"/>
            <w:hideMark/>
          </w:tcPr>
          <w:p w14:paraId="382219C1"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157 146</w:t>
            </w:r>
          </w:p>
        </w:tc>
        <w:tc>
          <w:tcPr>
            <w:tcW w:w="824" w:type="dxa"/>
            <w:tcBorders>
              <w:top w:val="nil"/>
              <w:left w:val="nil"/>
              <w:bottom w:val="nil"/>
              <w:right w:val="nil"/>
            </w:tcBorders>
            <w:shd w:val="clear" w:color="000000" w:fill="FFFFFF"/>
            <w:vAlign w:val="center"/>
            <w:hideMark/>
          </w:tcPr>
          <w:p w14:paraId="0F42DFD3"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64 491</w:t>
            </w:r>
          </w:p>
        </w:tc>
        <w:tc>
          <w:tcPr>
            <w:tcW w:w="713" w:type="dxa"/>
            <w:tcBorders>
              <w:top w:val="nil"/>
              <w:left w:val="nil"/>
              <w:bottom w:val="nil"/>
              <w:right w:val="nil"/>
            </w:tcBorders>
            <w:shd w:val="clear" w:color="000000" w:fill="FFFFFF"/>
            <w:vAlign w:val="center"/>
            <w:hideMark/>
          </w:tcPr>
          <w:p w14:paraId="13916BE9" w14:textId="77777777" w:rsidR="00F44AE2" w:rsidRPr="004F52BA" w:rsidRDefault="00F44AE2" w:rsidP="00391C90">
            <w:pPr>
              <w:spacing w:after="0" w:line="240" w:lineRule="auto"/>
              <w:jc w:val="right"/>
              <w:rPr>
                <w:rFonts w:eastAsia="Times New Roman" w:cs="Times New Roman"/>
                <w:color w:val="000000"/>
                <w:sz w:val="18"/>
                <w:szCs w:val="18"/>
                <w:lang w:eastAsia="sk-SK"/>
              </w:rPr>
            </w:pPr>
            <w:r w:rsidRPr="004F52BA">
              <w:rPr>
                <w:rFonts w:eastAsia="Times New Roman" w:cs="Times New Roman"/>
                <w:color w:val="000000"/>
                <w:sz w:val="18"/>
                <w:szCs w:val="18"/>
                <w:lang w:eastAsia="sk-SK"/>
              </w:rPr>
              <w:t>69,6</w:t>
            </w:r>
          </w:p>
        </w:tc>
      </w:tr>
      <w:tr w:rsidR="00F44AE2" w:rsidRPr="004F52BA" w14:paraId="6414B834" w14:textId="77777777" w:rsidTr="00BB69CA">
        <w:trPr>
          <w:trHeight w:val="345"/>
        </w:trPr>
        <w:tc>
          <w:tcPr>
            <w:tcW w:w="0" w:type="auto"/>
            <w:tcBorders>
              <w:top w:val="single" w:sz="4" w:space="0" w:color="auto"/>
              <w:left w:val="nil"/>
              <w:bottom w:val="single" w:sz="8" w:space="0" w:color="auto"/>
              <w:right w:val="nil"/>
            </w:tcBorders>
            <w:shd w:val="clear" w:color="000000" w:fill="FFFFFF"/>
            <w:noWrap/>
            <w:vAlign w:val="bottom"/>
            <w:hideMark/>
          </w:tcPr>
          <w:p w14:paraId="1B067F8C" w14:textId="77777777" w:rsidR="00F44AE2" w:rsidRPr="004F52BA" w:rsidRDefault="00F44AE2" w:rsidP="00391C90">
            <w:pPr>
              <w:spacing w:after="0" w:line="240" w:lineRule="auto"/>
              <w:jc w:val="left"/>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Spolu</w:t>
            </w:r>
          </w:p>
        </w:tc>
        <w:tc>
          <w:tcPr>
            <w:tcW w:w="898" w:type="dxa"/>
            <w:tcBorders>
              <w:top w:val="single" w:sz="4" w:space="0" w:color="auto"/>
              <w:left w:val="nil"/>
              <w:bottom w:val="single" w:sz="8" w:space="0" w:color="auto"/>
              <w:right w:val="nil"/>
            </w:tcBorders>
            <w:shd w:val="clear" w:color="000000" w:fill="FFFFFF"/>
            <w:noWrap/>
            <w:vAlign w:val="center"/>
            <w:hideMark/>
          </w:tcPr>
          <w:p w14:paraId="6357EAE2" w14:textId="77777777" w:rsidR="00F44AE2" w:rsidRPr="004F52BA" w:rsidRDefault="00F44AE2" w:rsidP="00391C90">
            <w:pPr>
              <w:spacing w:after="0" w:line="240" w:lineRule="auto"/>
              <w:jc w:val="right"/>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1 296 626</w:t>
            </w:r>
          </w:p>
        </w:tc>
        <w:tc>
          <w:tcPr>
            <w:tcW w:w="879" w:type="dxa"/>
            <w:tcBorders>
              <w:top w:val="single" w:sz="4" w:space="0" w:color="auto"/>
              <w:left w:val="nil"/>
              <w:bottom w:val="single" w:sz="8" w:space="0" w:color="auto"/>
              <w:right w:val="nil"/>
            </w:tcBorders>
            <w:shd w:val="clear" w:color="000000" w:fill="FFFFFF"/>
            <w:noWrap/>
            <w:vAlign w:val="center"/>
            <w:hideMark/>
          </w:tcPr>
          <w:p w14:paraId="3EDAD5D0" w14:textId="77777777" w:rsidR="00F44AE2" w:rsidRPr="004F52BA" w:rsidRDefault="00F44AE2" w:rsidP="00391C90">
            <w:pPr>
              <w:spacing w:after="0" w:line="240" w:lineRule="auto"/>
              <w:jc w:val="right"/>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1 338 320</w:t>
            </w:r>
          </w:p>
        </w:tc>
        <w:tc>
          <w:tcPr>
            <w:tcW w:w="879" w:type="dxa"/>
            <w:tcBorders>
              <w:top w:val="single" w:sz="4" w:space="0" w:color="auto"/>
              <w:left w:val="nil"/>
              <w:bottom w:val="single" w:sz="8" w:space="0" w:color="auto"/>
              <w:right w:val="nil"/>
            </w:tcBorders>
            <w:shd w:val="clear" w:color="000000" w:fill="FFFFFF"/>
            <w:noWrap/>
            <w:vAlign w:val="center"/>
            <w:hideMark/>
          </w:tcPr>
          <w:p w14:paraId="6C49741C" w14:textId="77777777" w:rsidR="00F44AE2" w:rsidRPr="004F52BA" w:rsidRDefault="00F44AE2" w:rsidP="00391C90">
            <w:pPr>
              <w:spacing w:after="0" w:line="240" w:lineRule="auto"/>
              <w:jc w:val="right"/>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1 134 818</w:t>
            </w:r>
          </w:p>
        </w:tc>
        <w:tc>
          <w:tcPr>
            <w:tcW w:w="916" w:type="dxa"/>
            <w:tcBorders>
              <w:top w:val="single" w:sz="4" w:space="0" w:color="auto"/>
              <w:left w:val="nil"/>
              <w:bottom w:val="single" w:sz="8" w:space="0" w:color="auto"/>
              <w:right w:val="nil"/>
            </w:tcBorders>
            <w:shd w:val="clear" w:color="auto" w:fill="auto"/>
            <w:noWrap/>
            <w:vAlign w:val="center"/>
            <w:hideMark/>
          </w:tcPr>
          <w:p w14:paraId="58F8576C" w14:textId="77777777" w:rsidR="00F44AE2" w:rsidRPr="004F52BA" w:rsidRDefault="00F44AE2" w:rsidP="00391C90">
            <w:pPr>
              <w:spacing w:after="0" w:line="240" w:lineRule="auto"/>
              <w:jc w:val="right"/>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1 285 089</w:t>
            </w:r>
          </w:p>
        </w:tc>
        <w:tc>
          <w:tcPr>
            <w:tcW w:w="824" w:type="dxa"/>
            <w:tcBorders>
              <w:top w:val="single" w:sz="4" w:space="0" w:color="auto"/>
              <w:left w:val="nil"/>
              <w:bottom w:val="single" w:sz="8" w:space="0" w:color="auto"/>
              <w:right w:val="nil"/>
            </w:tcBorders>
            <w:shd w:val="clear" w:color="000000" w:fill="FFFFFF"/>
            <w:noWrap/>
            <w:vAlign w:val="center"/>
            <w:hideMark/>
          </w:tcPr>
          <w:p w14:paraId="4A3EB0D0" w14:textId="77777777" w:rsidR="00F44AE2" w:rsidRPr="004F52BA" w:rsidRDefault="00F44AE2" w:rsidP="00391C90">
            <w:pPr>
              <w:spacing w:after="0" w:line="240" w:lineRule="auto"/>
              <w:jc w:val="right"/>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150 271</w:t>
            </w:r>
          </w:p>
        </w:tc>
        <w:tc>
          <w:tcPr>
            <w:tcW w:w="713" w:type="dxa"/>
            <w:tcBorders>
              <w:top w:val="single" w:sz="4" w:space="0" w:color="auto"/>
              <w:left w:val="nil"/>
              <w:bottom w:val="single" w:sz="8" w:space="0" w:color="auto"/>
              <w:right w:val="nil"/>
            </w:tcBorders>
            <w:shd w:val="clear" w:color="000000" w:fill="FFFFFF"/>
            <w:noWrap/>
            <w:vAlign w:val="center"/>
            <w:hideMark/>
          </w:tcPr>
          <w:p w14:paraId="6211E896" w14:textId="77777777" w:rsidR="00F44AE2" w:rsidRPr="004F52BA" w:rsidRDefault="00F44AE2" w:rsidP="00391C90">
            <w:pPr>
              <w:spacing w:after="0" w:line="240" w:lineRule="auto"/>
              <w:jc w:val="right"/>
              <w:rPr>
                <w:rFonts w:eastAsia="Times New Roman" w:cs="Times New Roman"/>
                <w:b/>
                <w:bCs/>
                <w:color w:val="000000"/>
                <w:sz w:val="18"/>
                <w:szCs w:val="18"/>
                <w:lang w:eastAsia="sk-SK"/>
              </w:rPr>
            </w:pPr>
            <w:r w:rsidRPr="004F52BA">
              <w:rPr>
                <w:rFonts w:eastAsia="Times New Roman" w:cs="Times New Roman"/>
                <w:b/>
                <w:bCs/>
                <w:color w:val="000000"/>
                <w:sz w:val="18"/>
                <w:szCs w:val="18"/>
                <w:lang w:eastAsia="sk-SK"/>
              </w:rPr>
              <w:t>13,2</w:t>
            </w:r>
          </w:p>
        </w:tc>
      </w:tr>
    </w:tbl>
    <w:p w14:paraId="09EB8A72" w14:textId="77777777" w:rsidR="00F44AE2" w:rsidRDefault="00F44AE2" w:rsidP="00624699">
      <w:pPr>
        <w:ind w:left="7788"/>
        <w:jc w:val="right"/>
        <w:rPr>
          <w:rFonts w:eastAsia="Times New Roman" w:cs="Times New Roman"/>
          <w:color w:val="000000"/>
          <w:sz w:val="16"/>
          <w:szCs w:val="16"/>
          <w:lang w:eastAsia="sk-SK"/>
        </w:rPr>
      </w:pPr>
      <w:r>
        <w:rPr>
          <w:rFonts w:eastAsia="Times New Roman" w:cs="Times New Roman"/>
          <w:color w:val="000000"/>
          <w:sz w:val="16"/>
          <w:szCs w:val="16"/>
          <w:lang w:eastAsia="sk-SK"/>
        </w:rPr>
        <w:t>Zdroj: MF SR</w:t>
      </w:r>
    </w:p>
    <w:p w14:paraId="2C2AEBF1" w14:textId="77777777" w:rsidR="00F44AE2" w:rsidRDefault="00F44AE2" w:rsidP="00F44AE2">
      <w:pPr>
        <w:tabs>
          <w:tab w:val="left" w:pos="284"/>
        </w:tabs>
        <w:spacing w:line="240" w:lineRule="auto"/>
        <w:rPr>
          <w:color w:val="000000" w:themeColor="text1"/>
          <w:sz w:val="24"/>
          <w:szCs w:val="24"/>
        </w:rPr>
      </w:pPr>
      <w:r w:rsidRPr="002F6D66">
        <w:rPr>
          <w:b/>
          <w:color w:val="000000" w:themeColor="text1"/>
          <w:sz w:val="24"/>
          <w:szCs w:val="24"/>
        </w:rPr>
        <w:t>Príjmy z podnikania a z vlastníctva majetku</w:t>
      </w:r>
      <w:r w:rsidRPr="002F6D66">
        <w:rPr>
          <w:color w:val="000000" w:themeColor="text1"/>
          <w:sz w:val="24"/>
          <w:szCs w:val="24"/>
        </w:rPr>
        <w:t xml:space="preserve"> boli v predchádzajúcich rokoch svojou výškou najdôležitejšou časťou nedaňových príjmov. </w:t>
      </w:r>
      <w:r w:rsidRPr="000D7AAC">
        <w:rPr>
          <w:color w:val="000000" w:themeColor="text1"/>
          <w:sz w:val="24"/>
          <w:szCs w:val="24"/>
        </w:rPr>
        <w:t xml:space="preserve">Z tejto sumy najpodstatnejšiu časť tvoria </w:t>
      </w:r>
      <w:r w:rsidRPr="000D7AAC">
        <w:rPr>
          <w:b/>
          <w:i/>
          <w:color w:val="000000" w:themeColor="text1"/>
          <w:sz w:val="24"/>
          <w:szCs w:val="24"/>
        </w:rPr>
        <w:t>prijaté dividendy</w:t>
      </w:r>
      <w:r w:rsidRPr="000D7AAC">
        <w:rPr>
          <w:b/>
          <w:color w:val="000000" w:themeColor="text1"/>
          <w:sz w:val="24"/>
          <w:szCs w:val="24"/>
        </w:rPr>
        <w:t xml:space="preserve"> </w:t>
      </w:r>
      <w:r w:rsidRPr="000D7AAC">
        <w:rPr>
          <w:color w:val="000000" w:themeColor="text1"/>
          <w:sz w:val="24"/>
          <w:szCs w:val="24"/>
        </w:rPr>
        <w:t>z obchodných spoločností štátu, ktoré vyinkasovali vybrané kapitoly štátneho rozpočtu reálne v roku 2022 (najčastejšie rozdelené z výsledkov hospodárenia predchádzajúcich období).</w:t>
      </w:r>
      <w:r w:rsidRPr="00213E51">
        <w:rPr>
          <w:color w:val="FF0000"/>
          <w:sz w:val="24"/>
          <w:szCs w:val="24"/>
        </w:rPr>
        <w:t xml:space="preserve"> </w:t>
      </w:r>
    </w:p>
    <w:tbl>
      <w:tblPr>
        <w:tblW w:w="9781" w:type="dxa"/>
        <w:tblCellMar>
          <w:left w:w="70" w:type="dxa"/>
          <w:right w:w="70" w:type="dxa"/>
        </w:tblCellMar>
        <w:tblLook w:val="04A0" w:firstRow="1" w:lastRow="0" w:firstColumn="1" w:lastColumn="0" w:noHBand="0" w:noVBand="1"/>
      </w:tblPr>
      <w:tblGrid>
        <w:gridCol w:w="4120"/>
        <w:gridCol w:w="920"/>
        <w:gridCol w:w="960"/>
        <w:gridCol w:w="1060"/>
        <w:gridCol w:w="1060"/>
        <w:gridCol w:w="940"/>
        <w:gridCol w:w="721"/>
      </w:tblGrid>
      <w:tr w:rsidR="00ED568D" w:rsidRPr="002A79FA" w14:paraId="4F6BA32E" w14:textId="77777777" w:rsidTr="00ED568D">
        <w:trPr>
          <w:trHeight w:val="345"/>
        </w:trPr>
        <w:tc>
          <w:tcPr>
            <w:tcW w:w="9781" w:type="dxa"/>
            <w:gridSpan w:val="7"/>
            <w:tcBorders>
              <w:top w:val="nil"/>
              <w:left w:val="nil"/>
              <w:bottom w:val="single" w:sz="8" w:space="0" w:color="auto"/>
              <w:right w:val="nil"/>
            </w:tcBorders>
            <w:shd w:val="clear" w:color="auto" w:fill="auto"/>
            <w:noWrap/>
            <w:vAlign w:val="bottom"/>
            <w:hideMark/>
          </w:tcPr>
          <w:p w14:paraId="2B008E9B" w14:textId="69FD27C6" w:rsidR="00ED568D" w:rsidRPr="002A79FA" w:rsidRDefault="00ED568D" w:rsidP="008B3212">
            <w:pPr>
              <w:spacing w:after="0" w:line="240" w:lineRule="auto"/>
              <w:jc w:val="left"/>
              <w:rPr>
                <w:rFonts w:eastAsia="Times New Roman" w:cs="Times New Roman"/>
                <w:color w:val="000000"/>
                <w:sz w:val="18"/>
                <w:szCs w:val="18"/>
                <w:lang w:eastAsia="sk-SK"/>
              </w:rPr>
            </w:pPr>
            <w:r w:rsidRPr="002A79FA">
              <w:rPr>
                <w:rFonts w:eastAsia="Times New Roman" w:cs="Times New Roman"/>
                <w:b/>
                <w:bCs/>
                <w:color w:val="5B9BD5"/>
                <w:sz w:val="18"/>
                <w:szCs w:val="18"/>
                <w:lang w:eastAsia="sk-SK"/>
              </w:rPr>
              <w:t>Tabuľka 2</w:t>
            </w:r>
            <w:r w:rsidR="008B3212">
              <w:rPr>
                <w:rFonts w:eastAsia="Times New Roman" w:cs="Times New Roman"/>
                <w:b/>
                <w:bCs/>
                <w:color w:val="5B9BD5"/>
                <w:sz w:val="18"/>
                <w:szCs w:val="18"/>
                <w:lang w:eastAsia="sk-SK"/>
              </w:rPr>
              <w:t>8</w:t>
            </w:r>
            <w:r w:rsidRPr="002A79FA">
              <w:rPr>
                <w:rFonts w:eastAsia="Times New Roman" w:cs="Times New Roman"/>
                <w:b/>
                <w:bCs/>
                <w:color w:val="5B9BD5"/>
                <w:sz w:val="18"/>
                <w:szCs w:val="18"/>
                <w:lang w:eastAsia="sk-SK"/>
              </w:rPr>
              <w:t xml:space="preserve"> </w:t>
            </w:r>
            <w:r w:rsidR="006306FB">
              <w:rPr>
                <w:rFonts w:eastAsia="Times New Roman" w:cs="Times New Roman"/>
                <w:b/>
                <w:bCs/>
                <w:color w:val="5B9BD5"/>
                <w:sz w:val="18"/>
                <w:szCs w:val="18"/>
                <w:lang w:eastAsia="sk-SK"/>
              </w:rPr>
              <w:t>–</w:t>
            </w:r>
            <w:r w:rsidRPr="002A79FA">
              <w:rPr>
                <w:rFonts w:eastAsia="Times New Roman" w:cs="Times New Roman"/>
                <w:b/>
                <w:bCs/>
                <w:color w:val="5B9BD5"/>
                <w:sz w:val="18"/>
                <w:szCs w:val="18"/>
                <w:lang w:eastAsia="sk-SK"/>
              </w:rPr>
              <w:t xml:space="preserve"> </w:t>
            </w:r>
            <w:r w:rsidR="006306FB">
              <w:rPr>
                <w:rFonts w:eastAsia="Times New Roman" w:cs="Times New Roman"/>
                <w:b/>
                <w:bCs/>
                <w:color w:val="5B9BD5"/>
                <w:sz w:val="18"/>
                <w:szCs w:val="18"/>
                <w:lang w:eastAsia="sk-SK"/>
              </w:rPr>
              <w:t>Hotovostné d</w:t>
            </w:r>
            <w:r w:rsidRPr="002A79FA">
              <w:rPr>
                <w:rFonts w:eastAsia="Times New Roman" w:cs="Times New Roman"/>
                <w:b/>
                <w:bCs/>
                <w:color w:val="5B9BD5"/>
                <w:sz w:val="18"/>
                <w:szCs w:val="18"/>
                <w:lang w:eastAsia="sk-SK"/>
              </w:rPr>
              <w:t>ividend</w:t>
            </w:r>
            <w:r w:rsidR="006306FB">
              <w:rPr>
                <w:rFonts w:eastAsia="Times New Roman" w:cs="Times New Roman"/>
                <w:b/>
                <w:bCs/>
                <w:color w:val="5B9BD5"/>
                <w:sz w:val="18"/>
                <w:szCs w:val="18"/>
                <w:lang w:eastAsia="sk-SK"/>
              </w:rPr>
              <w:t>y</w:t>
            </w:r>
            <w:r w:rsidRPr="002A79FA">
              <w:rPr>
                <w:rFonts w:eastAsia="Times New Roman" w:cs="Times New Roman"/>
                <w:b/>
                <w:bCs/>
                <w:color w:val="5B9BD5"/>
                <w:sz w:val="18"/>
                <w:szCs w:val="18"/>
                <w:lang w:eastAsia="sk-SK"/>
              </w:rPr>
              <w:t xml:space="preserve"> podľa kapitol ŠR</w:t>
            </w:r>
            <w:r w:rsidRPr="002A79FA">
              <w:rPr>
                <w:rFonts w:eastAsia="Times New Roman" w:cs="Times New Roman"/>
                <w:b/>
                <w:bCs/>
                <w:color w:val="000000"/>
                <w:sz w:val="18"/>
                <w:szCs w:val="18"/>
                <w:lang w:eastAsia="sk-SK"/>
              </w:rPr>
              <w:t>  </w:t>
            </w:r>
            <w:r w:rsidRPr="002A79FA">
              <w:rPr>
                <w:rFonts w:eastAsia="Times New Roman" w:cs="Times New Roman"/>
                <w:color w:val="000000"/>
                <w:sz w:val="18"/>
                <w:szCs w:val="18"/>
                <w:lang w:eastAsia="sk-SK"/>
              </w:rPr>
              <w:t> </w:t>
            </w:r>
          </w:p>
        </w:tc>
      </w:tr>
      <w:tr w:rsidR="00ED568D" w:rsidRPr="002A79FA" w14:paraId="1FC75B21" w14:textId="77777777" w:rsidTr="00ED568D">
        <w:trPr>
          <w:trHeight w:val="289"/>
        </w:trPr>
        <w:tc>
          <w:tcPr>
            <w:tcW w:w="4120" w:type="dxa"/>
            <w:vMerge w:val="restart"/>
            <w:tcBorders>
              <w:top w:val="nil"/>
              <w:left w:val="nil"/>
              <w:right w:val="nil"/>
            </w:tcBorders>
            <w:shd w:val="clear" w:color="auto" w:fill="auto"/>
            <w:vAlign w:val="center"/>
            <w:hideMark/>
          </w:tcPr>
          <w:p w14:paraId="6F5FF180" w14:textId="05E053BD" w:rsidR="00ED568D" w:rsidRPr="002A79FA" w:rsidRDefault="00ED568D" w:rsidP="00ED568D">
            <w:pPr>
              <w:spacing w:after="0" w:line="240" w:lineRule="auto"/>
              <w:jc w:val="lef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 xml:space="preserve"> v tis. eur</w:t>
            </w:r>
            <w:r w:rsidRPr="002A79FA">
              <w:rPr>
                <w:rFonts w:eastAsia="Times New Roman" w:cs="Times New Roman"/>
                <w:b/>
                <w:bCs/>
                <w:color w:val="FFFFFF"/>
                <w:sz w:val="18"/>
                <w:szCs w:val="18"/>
                <w:lang w:eastAsia="sk-SK"/>
              </w:rPr>
              <w:t> </w:t>
            </w:r>
          </w:p>
        </w:tc>
        <w:tc>
          <w:tcPr>
            <w:tcW w:w="920" w:type="dxa"/>
            <w:tcBorders>
              <w:top w:val="nil"/>
              <w:left w:val="nil"/>
              <w:bottom w:val="nil"/>
              <w:right w:val="nil"/>
            </w:tcBorders>
            <w:shd w:val="clear" w:color="auto" w:fill="auto"/>
            <w:vAlign w:val="center"/>
            <w:hideMark/>
          </w:tcPr>
          <w:p w14:paraId="4EC0BAE1" w14:textId="77777777" w:rsidR="00ED568D" w:rsidRPr="002A79FA" w:rsidRDefault="00ED568D" w:rsidP="00391C9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2020 S</w:t>
            </w:r>
          </w:p>
        </w:tc>
        <w:tc>
          <w:tcPr>
            <w:tcW w:w="960" w:type="dxa"/>
            <w:tcBorders>
              <w:top w:val="nil"/>
              <w:left w:val="nil"/>
              <w:bottom w:val="nil"/>
              <w:right w:val="nil"/>
            </w:tcBorders>
            <w:shd w:val="clear" w:color="auto" w:fill="auto"/>
            <w:vAlign w:val="center"/>
            <w:hideMark/>
          </w:tcPr>
          <w:p w14:paraId="52CE1B7C" w14:textId="77777777" w:rsidR="00ED568D" w:rsidRPr="002A79FA" w:rsidRDefault="00ED568D" w:rsidP="00391C9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2021 S</w:t>
            </w:r>
          </w:p>
        </w:tc>
        <w:tc>
          <w:tcPr>
            <w:tcW w:w="1060" w:type="dxa"/>
            <w:tcBorders>
              <w:top w:val="nil"/>
              <w:left w:val="nil"/>
              <w:bottom w:val="nil"/>
              <w:right w:val="nil"/>
            </w:tcBorders>
            <w:shd w:val="clear" w:color="auto" w:fill="auto"/>
            <w:vAlign w:val="center"/>
            <w:hideMark/>
          </w:tcPr>
          <w:p w14:paraId="48014468" w14:textId="77777777" w:rsidR="00ED568D" w:rsidRPr="002A79FA" w:rsidRDefault="00ED568D" w:rsidP="00391C9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2022 R</w:t>
            </w:r>
          </w:p>
        </w:tc>
        <w:tc>
          <w:tcPr>
            <w:tcW w:w="1060" w:type="dxa"/>
            <w:tcBorders>
              <w:top w:val="nil"/>
              <w:left w:val="nil"/>
              <w:bottom w:val="nil"/>
              <w:right w:val="nil"/>
            </w:tcBorders>
            <w:shd w:val="clear" w:color="auto" w:fill="auto"/>
            <w:vAlign w:val="center"/>
            <w:hideMark/>
          </w:tcPr>
          <w:p w14:paraId="73AA13E2" w14:textId="77777777" w:rsidR="00ED568D" w:rsidRPr="002A79FA" w:rsidRDefault="00ED568D" w:rsidP="00391C9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2022 S</w:t>
            </w:r>
          </w:p>
        </w:tc>
        <w:tc>
          <w:tcPr>
            <w:tcW w:w="940" w:type="dxa"/>
            <w:tcBorders>
              <w:top w:val="nil"/>
              <w:left w:val="nil"/>
              <w:bottom w:val="nil"/>
              <w:right w:val="nil"/>
            </w:tcBorders>
            <w:shd w:val="clear" w:color="auto" w:fill="auto"/>
            <w:vAlign w:val="center"/>
            <w:hideMark/>
          </w:tcPr>
          <w:p w14:paraId="5EC9B797" w14:textId="77777777" w:rsidR="00ED568D" w:rsidRPr="002A79FA" w:rsidRDefault="00ED568D" w:rsidP="00391C9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 xml:space="preserve">Rozdiel </w:t>
            </w:r>
          </w:p>
        </w:tc>
        <w:tc>
          <w:tcPr>
            <w:tcW w:w="721" w:type="dxa"/>
            <w:tcBorders>
              <w:top w:val="nil"/>
              <w:left w:val="nil"/>
              <w:bottom w:val="nil"/>
              <w:right w:val="nil"/>
            </w:tcBorders>
            <w:shd w:val="clear" w:color="auto" w:fill="auto"/>
            <w:vAlign w:val="center"/>
            <w:hideMark/>
          </w:tcPr>
          <w:p w14:paraId="7B950AAC" w14:textId="77777777" w:rsidR="00ED568D" w:rsidRPr="002A79FA" w:rsidRDefault="00ED568D" w:rsidP="00391C9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v %</w:t>
            </w:r>
          </w:p>
        </w:tc>
      </w:tr>
      <w:tr w:rsidR="00ED568D" w:rsidRPr="002A79FA" w14:paraId="3C6EBB5E" w14:textId="77777777" w:rsidTr="00D14ECD">
        <w:trPr>
          <w:trHeight w:val="225"/>
        </w:trPr>
        <w:tc>
          <w:tcPr>
            <w:tcW w:w="4120" w:type="dxa"/>
            <w:vMerge/>
            <w:tcBorders>
              <w:left w:val="nil"/>
              <w:bottom w:val="single" w:sz="8" w:space="0" w:color="auto"/>
              <w:right w:val="nil"/>
            </w:tcBorders>
            <w:shd w:val="clear" w:color="auto" w:fill="auto"/>
            <w:vAlign w:val="center"/>
            <w:hideMark/>
          </w:tcPr>
          <w:p w14:paraId="3DFFB12B" w14:textId="3BBF1FDB" w:rsidR="00ED568D" w:rsidRPr="002A79FA" w:rsidRDefault="00ED568D" w:rsidP="00391C90">
            <w:pPr>
              <w:spacing w:after="0" w:line="240" w:lineRule="auto"/>
              <w:jc w:val="left"/>
              <w:rPr>
                <w:rFonts w:eastAsia="Times New Roman" w:cs="Times New Roman"/>
                <w:b/>
                <w:bCs/>
                <w:color w:val="FFFFFF"/>
                <w:sz w:val="18"/>
                <w:szCs w:val="18"/>
                <w:lang w:eastAsia="sk-SK"/>
              </w:rPr>
            </w:pPr>
          </w:p>
        </w:tc>
        <w:tc>
          <w:tcPr>
            <w:tcW w:w="920" w:type="dxa"/>
            <w:tcBorders>
              <w:top w:val="nil"/>
              <w:left w:val="nil"/>
              <w:bottom w:val="single" w:sz="8" w:space="0" w:color="auto"/>
              <w:right w:val="nil"/>
            </w:tcBorders>
            <w:shd w:val="clear" w:color="auto" w:fill="auto"/>
            <w:vAlign w:val="center"/>
            <w:hideMark/>
          </w:tcPr>
          <w:p w14:paraId="153C9098" w14:textId="77777777" w:rsidR="00ED568D" w:rsidRPr="002A79FA" w:rsidRDefault="00ED568D" w:rsidP="00391C90">
            <w:pPr>
              <w:spacing w:after="0" w:line="240" w:lineRule="auto"/>
              <w:jc w:val="center"/>
              <w:rPr>
                <w:rFonts w:eastAsia="Times New Roman" w:cs="Times New Roman"/>
                <w:b/>
                <w:bCs/>
                <w:sz w:val="18"/>
                <w:szCs w:val="18"/>
                <w:lang w:eastAsia="sk-SK"/>
              </w:rPr>
            </w:pPr>
            <w:r w:rsidRPr="002A79FA">
              <w:rPr>
                <w:rFonts w:eastAsia="Times New Roman" w:cs="Times New Roman"/>
                <w:b/>
                <w:bCs/>
                <w:sz w:val="18"/>
                <w:szCs w:val="18"/>
                <w:lang w:eastAsia="sk-SK"/>
              </w:rPr>
              <w:t>1</w:t>
            </w:r>
          </w:p>
        </w:tc>
        <w:tc>
          <w:tcPr>
            <w:tcW w:w="960" w:type="dxa"/>
            <w:tcBorders>
              <w:top w:val="nil"/>
              <w:left w:val="nil"/>
              <w:bottom w:val="single" w:sz="8" w:space="0" w:color="auto"/>
              <w:right w:val="nil"/>
            </w:tcBorders>
            <w:shd w:val="clear" w:color="auto" w:fill="auto"/>
            <w:vAlign w:val="center"/>
            <w:hideMark/>
          </w:tcPr>
          <w:p w14:paraId="4F83E61E" w14:textId="77777777" w:rsidR="00ED568D" w:rsidRPr="002A79FA" w:rsidRDefault="00ED568D" w:rsidP="00391C90">
            <w:pPr>
              <w:spacing w:after="0" w:line="240" w:lineRule="auto"/>
              <w:jc w:val="center"/>
              <w:rPr>
                <w:rFonts w:eastAsia="Times New Roman" w:cs="Times New Roman"/>
                <w:b/>
                <w:bCs/>
                <w:sz w:val="18"/>
                <w:szCs w:val="18"/>
                <w:lang w:eastAsia="sk-SK"/>
              </w:rPr>
            </w:pPr>
            <w:r w:rsidRPr="002A79FA">
              <w:rPr>
                <w:rFonts w:eastAsia="Times New Roman" w:cs="Times New Roman"/>
                <w:b/>
                <w:bCs/>
                <w:sz w:val="18"/>
                <w:szCs w:val="18"/>
                <w:lang w:eastAsia="sk-SK"/>
              </w:rPr>
              <w:t>2</w:t>
            </w:r>
          </w:p>
        </w:tc>
        <w:tc>
          <w:tcPr>
            <w:tcW w:w="1060" w:type="dxa"/>
            <w:tcBorders>
              <w:top w:val="nil"/>
              <w:left w:val="nil"/>
              <w:bottom w:val="single" w:sz="8" w:space="0" w:color="auto"/>
              <w:right w:val="nil"/>
            </w:tcBorders>
            <w:shd w:val="clear" w:color="auto" w:fill="auto"/>
            <w:vAlign w:val="center"/>
            <w:hideMark/>
          </w:tcPr>
          <w:p w14:paraId="121FF101" w14:textId="77777777" w:rsidR="00ED568D" w:rsidRPr="002A79FA" w:rsidRDefault="00ED568D" w:rsidP="00391C90">
            <w:pPr>
              <w:spacing w:after="0" w:line="240" w:lineRule="auto"/>
              <w:jc w:val="center"/>
              <w:rPr>
                <w:rFonts w:eastAsia="Times New Roman" w:cs="Times New Roman"/>
                <w:b/>
                <w:bCs/>
                <w:sz w:val="18"/>
                <w:szCs w:val="18"/>
                <w:lang w:eastAsia="sk-SK"/>
              </w:rPr>
            </w:pPr>
            <w:r w:rsidRPr="002A79FA">
              <w:rPr>
                <w:rFonts w:eastAsia="Times New Roman" w:cs="Times New Roman"/>
                <w:b/>
                <w:bCs/>
                <w:sz w:val="18"/>
                <w:szCs w:val="18"/>
                <w:lang w:eastAsia="sk-SK"/>
              </w:rPr>
              <w:t>3</w:t>
            </w:r>
          </w:p>
        </w:tc>
        <w:tc>
          <w:tcPr>
            <w:tcW w:w="1060" w:type="dxa"/>
            <w:tcBorders>
              <w:top w:val="nil"/>
              <w:left w:val="nil"/>
              <w:bottom w:val="single" w:sz="8" w:space="0" w:color="auto"/>
              <w:right w:val="nil"/>
            </w:tcBorders>
            <w:shd w:val="clear" w:color="auto" w:fill="auto"/>
            <w:vAlign w:val="center"/>
            <w:hideMark/>
          </w:tcPr>
          <w:p w14:paraId="6E6D809D" w14:textId="77777777" w:rsidR="00ED568D" w:rsidRPr="002A79FA" w:rsidRDefault="00ED568D" w:rsidP="00391C90">
            <w:pPr>
              <w:spacing w:after="0" w:line="240" w:lineRule="auto"/>
              <w:jc w:val="center"/>
              <w:rPr>
                <w:rFonts w:eastAsia="Times New Roman" w:cs="Times New Roman"/>
                <w:b/>
                <w:bCs/>
                <w:sz w:val="18"/>
                <w:szCs w:val="18"/>
                <w:lang w:eastAsia="sk-SK"/>
              </w:rPr>
            </w:pPr>
            <w:r w:rsidRPr="002A79FA">
              <w:rPr>
                <w:rFonts w:eastAsia="Times New Roman" w:cs="Times New Roman"/>
                <w:b/>
                <w:bCs/>
                <w:sz w:val="18"/>
                <w:szCs w:val="18"/>
                <w:lang w:eastAsia="sk-SK"/>
              </w:rPr>
              <w:t>4</w:t>
            </w:r>
          </w:p>
        </w:tc>
        <w:tc>
          <w:tcPr>
            <w:tcW w:w="940" w:type="dxa"/>
            <w:tcBorders>
              <w:top w:val="nil"/>
              <w:left w:val="nil"/>
              <w:bottom w:val="single" w:sz="8" w:space="0" w:color="auto"/>
              <w:right w:val="nil"/>
            </w:tcBorders>
            <w:shd w:val="clear" w:color="auto" w:fill="auto"/>
            <w:vAlign w:val="center"/>
            <w:hideMark/>
          </w:tcPr>
          <w:p w14:paraId="79EBEB49" w14:textId="77777777" w:rsidR="00ED568D" w:rsidRPr="002A79FA" w:rsidRDefault="00ED568D" w:rsidP="00391C90">
            <w:pPr>
              <w:spacing w:after="0" w:line="240" w:lineRule="auto"/>
              <w:jc w:val="center"/>
              <w:rPr>
                <w:rFonts w:eastAsia="Times New Roman" w:cs="Times New Roman"/>
                <w:b/>
                <w:bCs/>
                <w:sz w:val="18"/>
                <w:szCs w:val="18"/>
                <w:lang w:eastAsia="sk-SK"/>
              </w:rPr>
            </w:pPr>
            <w:r w:rsidRPr="002A79FA">
              <w:rPr>
                <w:rFonts w:eastAsia="Times New Roman" w:cs="Times New Roman"/>
                <w:b/>
                <w:bCs/>
                <w:sz w:val="18"/>
                <w:szCs w:val="18"/>
                <w:lang w:eastAsia="sk-SK"/>
              </w:rPr>
              <w:t>5=4-3</w:t>
            </w:r>
          </w:p>
        </w:tc>
        <w:tc>
          <w:tcPr>
            <w:tcW w:w="721" w:type="dxa"/>
            <w:tcBorders>
              <w:top w:val="nil"/>
              <w:left w:val="nil"/>
              <w:bottom w:val="single" w:sz="8" w:space="0" w:color="auto"/>
              <w:right w:val="nil"/>
            </w:tcBorders>
            <w:shd w:val="clear" w:color="auto" w:fill="auto"/>
            <w:vAlign w:val="center"/>
            <w:hideMark/>
          </w:tcPr>
          <w:p w14:paraId="6AAE5138" w14:textId="77777777" w:rsidR="00ED568D" w:rsidRPr="002A79FA" w:rsidRDefault="00ED568D" w:rsidP="00391C90">
            <w:pPr>
              <w:spacing w:after="0" w:line="240" w:lineRule="auto"/>
              <w:jc w:val="center"/>
              <w:rPr>
                <w:rFonts w:eastAsia="Times New Roman" w:cs="Times New Roman"/>
                <w:b/>
                <w:bCs/>
                <w:sz w:val="18"/>
                <w:szCs w:val="18"/>
                <w:lang w:eastAsia="sk-SK"/>
              </w:rPr>
            </w:pPr>
            <w:r w:rsidRPr="002A79FA">
              <w:rPr>
                <w:rFonts w:eastAsia="Times New Roman" w:cs="Times New Roman"/>
                <w:b/>
                <w:bCs/>
                <w:sz w:val="18"/>
                <w:szCs w:val="18"/>
                <w:lang w:eastAsia="sk-SK"/>
              </w:rPr>
              <w:t>6=4-3</w:t>
            </w:r>
          </w:p>
        </w:tc>
      </w:tr>
      <w:tr w:rsidR="00F44AE2" w:rsidRPr="002A79FA" w14:paraId="4979A61C" w14:textId="77777777" w:rsidTr="00ED568D">
        <w:trPr>
          <w:trHeight w:val="289"/>
        </w:trPr>
        <w:tc>
          <w:tcPr>
            <w:tcW w:w="4120" w:type="dxa"/>
            <w:tcBorders>
              <w:top w:val="nil"/>
              <w:left w:val="nil"/>
              <w:bottom w:val="nil"/>
              <w:right w:val="nil"/>
            </w:tcBorders>
            <w:shd w:val="clear" w:color="000000" w:fill="FFFFFF"/>
            <w:noWrap/>
            <w:vAlign w:val="center"/>
            <w:hideMark/>
          </w:tcPr>
          <w:p w14:paraId="7F16DFCF" w14:textId="77777777" w:rsidR="00F44AE2" w:rsidRPr="002A79FA" w:rsidRDefault="00F44AE2" w:rsidP="00391C90">
            <w:pPr>
              <w:spacing w:after="0" w:line="240" w:lineRule="auto"/>
              <w:jc w:val="lef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 xml:space="preserve">Ministerstvo </w:t>
            </w:r>
            <w:proofErr w:type="spellStart"/>
            <w:r w:rsidRPr="002A79FA">
              <w:rPr>
                <w:rFonts w:eastAsia="Times New Roman" w:cs="Times New Roman"/>
                <w:b/>
                <w:bCs/>
                <w:color w:val="000000"/>
                <w:sz w:val="18"/>
                <w:szCs w:val="18"/>
                <w:lang w:eastAsia="sk-SK"/>
              </w:rPr>
              <w:t>zahranič.vecí</w:t>
            </w:r>
            <w:proofErr w:type="spellEnd"/>
            <w:r w:rsidRPr="002A79FA">
              <w:rPr>
                <w:rFonts w:eastAsia="Times New Roman" w:cs="Times New Roman"/>
                <w:b/>
                <w:bCs/>
                <w:color w:val="000000"/>
                <w:sz w:val="18"/>
                <w:szCs w:val="18"/>
                <w:lang w:eastAsia="sk-SK"/>
              </w:rPr>
              <w:t xml:space="preserve"> a európ. záležitostí SR</w:t>
            </w:r>
          </w:p>
        </w:tc>
        <w:tc>
          <w:tcPr>
            <w:tcW w:w="920" w:type="dxa"/>
            <w:tcBorders>
              <w:top w:val="nil"/>
              <w:left w:val="nil"/>
              <w:bottom w:val="nil"/>
              <w:right w:val="nil"/>
            </w:tcBorders>
            <w:shd w:val="clear" w:color="000000" w:fill="FFFFFF"/>
            <w:noWrap/>
            <w:vAlign w:val="center"/>
            <w:hideMark/>
          </w:tcPr>
          <w:p w14:paraId="2B950029"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698</w:t>
            </w:r>
          </w:p>
        </w:tc>
        <w:tc>
          <w:tcPr>
            <w:tcW w:w="960" w:type="dxa"/>
            <w:tcBorders>
              <w:top w:val="nil"/>
              <w:left w:val="nil"/>
              <w:bottom w:val="nil"/>
              <w:right w:val="nil"/>
            </w:tcBorders>
            <w:shd w:val="clear" w:color="000000" w:fill="FFFFFF"/>
            <w:noWrap/>
            <w:vAlign w:val="center"/>
            <w:hideMark/>
          </w:tcPr>
          <w:p w14:paraId="0E33F765"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250</w:t>
            </w:r>
          </w:p>
        </w:tc>
        <w:tc>
          <w:tcPr>
            <w:tcW w:w="1060" w:type="dxa"/>
            <w:tcBorders>
              <w:top w:val="nil"/>
              <w:left w:val="nil"/>
              <w:bottom w:val="nil"/>
              <w:right w:val="nil"/>
            </w:tcBorders>
            <w:shd w:val="clear" w:color="auto" w:fill="auto"/>
            <w:noWrap/>
            <w:vAlign w:val="center"/>
            <w:hideMark/>
          </w:tcPr>
          <w:p w14:paraId="7AA690A4"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240</w:t>
            </w:r>
          </w:p>
        </w:tc>
        <w:tc>
          <w:tcPr>
            <w:tcW w:w="1060" w:type="dxa"/>
            <w:tcBorders>
              <w:top w:val="nil"/>
              <w:left w:val="nil"/>
              <w:bottom w:val="nil"/>
              <w:right w:val="nil"/>
            </w:tcBorders>
            <w:shd w:val="clear" w:color="auto" w:fill="auto"/>
            <w:noWrap/>
            <w:vAlign w:val="center"/>
            <w:hideMark/>
          </w:tcPr>
          <w:p w14:paraId="6307D132"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240</w:t>
            </w:r>
          </w:p>
        </w:tc>
        <w:tc>
          <w:tcPr>
            <w:tcW w:w="940" w:type="dxa"/>
            <w:tcBorders>
              <w:top w:val="nil"/>
              <w:left w:val="nil"/>
              <w:bottom w:val="nil"/>
              <w:right w:val="nil"/>
            </w:tcBorders>
            <w:shd w:val="clear" w:color="000000" w:fill="FFFFFF"/>
            <w:vAlign w:val="center"/>
            <w:hideMark/>
          </w:tcPr>
          <w:p w14:paraId="3DF1617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703557E4"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7A96B6A6" w14:textId="77777777" w:rsidTr="00ED568D">
        <w:trPr>
          <w:trHeight w:val="289"/>
        </w:trPr>
        <w:tc>
          <w:tcPr>
            <w:tcW w:w="4120" w:type="dxa"/>
            <w:tcBorders>
              <w:top w:val="nil"/>
              <w:left w:val="nil"/>
              <w:bottom w:val="nil"/>
              <w:right w:val="nil"/>
            </w:tcBorders>
            <w:shd w:val="clear" w:color="000000" w:fill="FFFFFF"/>
            <w:noWrap/>
            <w:vAlign w:val="center"/>
            <w:hideMark/>
          </w:tcPr>
          <w:p w14:paraId="5AE669BF"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Správa služieb diplomatického zboru,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nil"/>
              <w:left w:val="nil"/>
              <w:bottom w:val="nil"/>
              <w:right w:val="nil"/>
            </w:tcBorders>
            <w:shd w:val="clear" w:color="000000" w:fill="FFFFFF"/>
            <w:noWrap/>
            <w:vAlign w:val="center"/>
            <w:hideMark/>
          </w:tcPr>
          <w:p w14:paraId="54739B9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698</w:t>
            </w:r>
          </w:p>
        </w:tc>
        <w:tc>
          <w:tcPr>
            <w:tcW w:w="960" w:type="dxa"/>
            <w:tcBorders>
              <w:top w:val="nil"/>
              <w:left w:val="nil"/>
              <w:bottom w:val="nil"/>
              <w:right w:val="nil"/>
            </w:tcBorders>
            <w:shd w:val="clear" w:color="000000" w:fill="FFFFFF"/>
            <w:noWrap/>
            <w:vAlign w:val="center"/>
            <w:hideMark/>
          </w:tcPr>
          <w:p w14:paraId="72254D44"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250</w:t>
            </w:r>
          </w:p>
        </w:tc>
        <w:tc>
          <w:tcPr>
            <w:tcW w:w="1060" w:type="dxa"/>
            <w:tcBorders>
              <w:top w:val="nil"/>
              <w:left w:val="nil"/>
              <w:bottom w:val="nil"/>
              <w:right w:val="nil"/>
            </w:tcBorders>
            <w:shd w:val="clear" w:color="000000" w:fill="FFFFFF"/>
            <w:noWrap/>
            <w:vAlign w:val="center"/>
            <w:hideMark/>
          </w:tcPr>
          <w:p w14:paraId="1C12203E"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240</w:t>
            </w:r>
          </w:p>
        </w:tc>
        <w:tc>
          <w:tcPr>
            <w:tcW w:w="1060" w:type="dxa"/>
            <w:tcBorders>
              <w:top w:val="nil"/>
              <w:left w:val="nil"/>
              <w:bottom w:val="nil"/>
              <w:right w:val="nil"/>
            </w:tcBorders>
            <w:shd w:val="clear" w:color="auto" w:fill="auto"/>
            <w:noWrap/>
            <w:vAlign w:val="center"/>
            <w:hideMark/>
          </w:tcPr>
          <w:p w14:paraId="7E6BABC8"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240</w:t>
            </w:r>
          </w:p>
        </w:tc>
        <w:tc>
          <w:tcPr>
            <w:tcW w:w="940" w:type="dxa"/>
            <w:tcBorders>
              <w:top w:val="nil"/>
              <w:left w:val="nil"/>
              <w:bottom w:val="nil"/>
              <w:right w:val="nil"/>
            </w:tcBorders>
            <w:shd w:val="clear" w:color="000000" w:fill="FFFFFF"/>
            <w:vAlign w:val="center"/>
            <w:hideMark/>
          </w:tcPr>
          <w:p w14:paraId="03AA1FE1"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3095B6E8"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58D1BB1D" w14:textId="77777777" w:rsidTr="00ED568D">
        <w:trPr>
          <w:trHeight w:val="289"/>
        </w:trPr>
        <w:tc>
          <w:tcPr>
            <w:tcW w:w="4120" w:type="dxa"/>
            <w:tcBorders>
              <w:top w:val="nil"/>
              <w:left w:val="nil"/>
              <w:bottom w:val="nil"/>
              <w:right w:val="nil"/>
            </w:tcBorders>
            <w:shd w:val="clear" w:color="000000" w:fill="FFFFFF"/>
            <w:noWrap/>
            <w:vAlign w:val="center"/>
            <w:hideMark/>
          </w:tcPr>
          <w:p w14:paraId="02E9EC61" w14:textId="77777777" w:rsidR="00F44AE2" w:rsidRPr="002A79FA" w:rsidRDefault="00F44AE2" w:rsidP="00391C90">
            <w:pPr>
              <w:spacing w:after="0" w:line="240" w:lineRule="auto"/>
              <w:jc w:val="lef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Ministerstvo financií SR</w:t>
            </w:r>
          </w:p>
        </w:tc>
        <w:tc>
          <w:tcPr>
            <w:tcW w:w="920" w:type="dxa"/>
            <w:tcBorders>
              <w:top w:val="nil"/>
              <w:left w:val="nil"/>
              <w:bottom w:val="nil"/>
              <w:right w:val="nil"/>
            </w:tcBorders>
            <w:shd w:val="clear" w:color="000000" w:fill="FFFFFF"/>
            <w:noWrap/>
            <w:vAlign w:val="center"/>
            <w:hideMark/>
          </w:tcPr>
          <w:p w14:paraId="631DF245"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6 444</w:t>
            </w:r>
          </w:p>
        </w:tc>
        <w:tc>
          <w:tcPr>
            <w:tcW w:w="960" w:type="dxa"/>
            <w:tcBorders>
              <w:top w:val="nil"/>
              <w:left w:val="nil"/>
              <w:bottom w:val="nil"/>
              <w:right w:val="nil"/>
            </w:tcBorders>
            <w:shd w:val="clear" w:color="000000" w:fill="FFFFFF"/>
            <w:noWrap/>
            <w:vAlign w:val="center"/>
            <w:hideMark/>
          </w:tcPr>
          <w:p w14:paraId="0EE42148"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32 410</w:t>
            </w:r>
          </w:p>
        </w:tc>
        <w:tc>
          <w:tcPr>
            <w:tcW w:w="1060" w:type="dxa"/>
            <w:tcBorders>
              <w:top w:val="nil"/>
              <w:left w:val="nil"/>
              <w:bottom w:val="nil"/>
              <w:right w:val="nil"/>
            </w:tcBorders>
            <w:shd w:val="clear" w:color="000000" w:fill="FFFFFF"/>
            <w:noWrap/>
            <w:vAlign w:val="center"/>
            <w:hideMark/>
          </w:tcPr>
          <w:p w14:paraId="60DD73F6"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10 529</w:t>
            </w:r>
          </w:p>
        </w:tc>
        <w:tc>
          <w:tcPr>
            <w:tcW w:w="1060" w:type="dxa"/>
            <w:tcBorders>
              <w:top w:val="nil"/>
              <w:left w:val="nil"/>
              <w:bottom w:val="nil"/>
              <w:right w:val="nil"/>
            </w:tcBorders>
            <w:shd w:val="clear" w:color="auto" w:fill="auto"/>
            <w:noWrap/>
            <w:vAlign w:val="center"/>
            <w:hideMark/>
          </w:tcPr>
          <w:p w14:paraId="2AB69609"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7 000</w:t>
            </w:r>
          </w:p>
        </w:tc>
        <w:tc>
          <w:tcPr>
            <w:tcW w:w="940" w:type="dxa"/>
            <w:tcBorders>
              <w:top w:val="nil"/>
              <w:left w:val="nil"/>
              <w:bottom w:val="nil"/>
              <w:right w:val="nil"/>
            </w:tcBorders>
            <w:shd w:val="clear" w:color="000000" w:fill="FFFFFF"/>
            <w:vAlign w:val="center"/>
            <w:hideMark/>
          </w:tcPr>
          <w:p w14:paraId="39A69FC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-3 529</w:t>
            </w:r>
          </w:p>
        </w:tc>
        <w:tc>
          <w:tcPr>
            <w:tcW w:w="721" w:type="dxa"/>
            <w:tcBorders>
              <w:top w:val="nil"/>
              <w:left w:val="nil"/>
              <w:bottom w:val="nil"/>
              <w:right w:val="nil"/>
            </w:tcBorders>
            <w:shd w:val="clear" w:color="000000" w:fill="FFFFFF"/>
            <w:vAlign w:val="center"/>
            <w:hideMark/>
          </w:tcPr>
          <w:p w14:paraId="484D4EB8"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-33,5</w:t>
            </w:r>
          </w:p>
        </w:tc>
      </w:tr>
      <w:tr w:rsidR="00F44AE2" w:rsidRPr="002A79FA" w14:paraId="42ECFA3B" w14:textId="77777777" w:rsidTr="00ED568D">
        <w:trPr>
          <w:trHeight w:val="289"/>
        </w:trPr>
        <w:tc>
          <w:tcPr>
            <w:tcW w:w="4120" w:type="dxa"/>
            <w:tcBorders>
              <w:top w:val="nil"/>
              <w:left w:val="nil"/>
              <w:bottom w:val="nil"/>
              <w:right w:val="nil"/>
            </w:tcBorders>
            <w:shd w:val="clear" w:color="000000" w:fill="FFFFFF"/>
            <w:noWrap/>
            <w:vAlign w:val="center"/>
            <w:hideMark/>
          </w:tcPr>
          <w:p w14:paraId="01043250"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Tipos, národná lotériová spoločnosť,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 Bratislava</w:t>
            </w:r>
          </w:p>
        </w:tc>
        <w:tc>
          <w:tcPr>
            <w:tcW w:w="920" w:type="dxa"/>
            <w:tcBorders>
              <w:top w:val="nil"/>
              <w:left w:val="nil"/>
              <w:bottom w:val="nil"/>
              <w:right w:val="nil"/>
            </w:tcBorders>
            <w:shd w:val="clear" w:color="000000" w:fill="FFFFFF"/>
            <w:noWrap/>
            <w:vAlign w:val="center"/>
            <w:hideMark/>
          </w:tcPr>
          <w:p w14:paraId="190AD452"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3 300</w:t>
            </w:r>
          </w:p>
        </w:tc>
        <w:tc>
          <w:tcPr>
            <w:tcW w:w="960" w:type="dxa"/>
            <w:tcBorders>
              <w:top w:val="nil"/>
              <w:left w:val="nil"/>
              <w:bottom w:val="nil"/>
              <w:right w:val="nil"/>
            </w:tcBorders>
            <w:shd w:val="clear" w:color="auto" w:fill="auto"/>
            <w:noWrap/>
            <w:vAlign w:val="center"/>
            <w:hideMark/>
          </w:tcPr>
          <w:p w14:paraId="4F801C8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2 500</w:t>
            </w:r>
          </w:p>
        </w:tc>
        <w:tc>
          <w:tcPr>
            <w:tcW w:w="1060" w:type="dxa"/>
            <w:tcBorders>
              <w:top w:val="nil"/>
              <w:left w:val="nil"/>
              <w:bottom w:val="nil"/>
              <w:right w:val="nil"/>
            </w:tcBorders>
            <w:shd w:val="clear" w:color="000000" w:fill="FFFFFF"/>
            <w:noWrap/>
            <w:vAlign w:val="center"/>
            <w:hideMark/>
          </w:tcPr>
          <w:p w14:paraId="00D3BBCE"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2 500</w:t>
            </w:r>
          </w:p>
        </w:tc>
        <w:tc>
          <w:tcPr>
            <w:tcW w:w="1060" w:type="dxa"/>
            <w:tcBorders>
              <w:top w:val="nil"/>
              <w:left w:val="nil"/>
              <w:bottom w:val="nil"/>
              <w:right w:val="nil"/>
            </w:tcBorders>
            <w:shd w:val="clear" w:color="auto" w:fill="auto"/>
            <w:noWrap/>
            <w:vAlign w:val="center"/>
            <w:hideMark/>
          </w:tcPr>
          <w:p w14:paraId="55D88B93"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5 000</w:t>
            </w:r>
          </w:p>
        </w:tc>
        <w:tc>
          <w:tcPr>
            <w:tcW w:w="940" w:type="dxa"/>
            <w:tcBorders>
              <w:top w:val="nil"/>
              <w:left w:val="nil"/>
              <w:bottom w:val="nil"/>
              <w:right w:val="nil"/>
            </w:tcBorders>
            <w:shd w:val="clear" w:color="000000" w:fill="FFFFFF"/>
            <w:vAlign w:val="center"/>
            <w:hideMark/>
          </w:tcPr>
          <w:p w14:paraId="6F6F7A04"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2 500</w:t>
            </w:r>
          </w:p>
        </w:tc>
        <w:tc>
          <w:tcPr>
            <w:tcW w:w="721" w:type="dxa"/>
            <w:tcBorders>
              <w:top w:val="nil"/>
              <w:left w:val="nil"/>
              <w:bottom w:val="nil"/>
              <w:right w:val="nil"/>
            </w:tcBorders>
            <w:shd w:val="clear" w:color="000000" w:fill="FFFFFF"/>
            <w:vAlign w:val="center"/>
            <w:hideMark/>
          </w:tcPr>
          <w:p w14:paraId="22A8DB2C"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100,0</w:t>
            </w:r>
          </w:p>
        </w:tc>
      </w:tr>
      <w:tr w:rsidR="00F44AE2" w:rsidRPr="002A79FA" w14:paraId="743652E9" w14:textId="77777777" w:rsidTr="00ED568D">
        <w:trPr>
          <w:trHeight w:val="289"/>
        </w:trPr>
        <w:tc>
          <w:tcPr>
            <w:tcW w:w="4120" w:type="dxa"/>
            <w:tcBorders>
              <w:top w:val="nil"/>
              <w:left w:val="nil"/>
              <w:bottom w:val="nil"/>
              <w:right w:val="nil"/>
            </w:tcBorders>
            <w:shd w:val="clear" w:color="000000" w:fill="FFFFFF"/>
            <w:noWrap/>
            <w:vAlign w:val="center"/>
            <w:hideMark/>
          </w:tcPr>
          <w:p w14:paraId="18487BB5"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Slovenská konsolidačná,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 Bratislava</w:t>
            </w:r>
          </w:p>
        </w:tc>
        <w:tc>
          <w:tcPr>
            <w:tcW w:w="920" w:type="dxa"/>
            <w:tcBorders>
              <w:top w:val="nil"/>
              <w:left w:val="nil"/>
              <w:bottom w:val="nil"/>
              <w:right w:val="nil"/>
            </w:tcBorders>
            <w:shd w:val="clear" w:color="000000" w:fill="FFFFFF"/>
            <w:noWrap/>
            <w:vAlign w:val="center"/>
            <w:hideMark/>
          </w:tcPr>
          <w:p w14:paraId="2FBE932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3 144</w:t>
            </w:r>
          </w:p>
        </w:tc>
        <w:tc>
          <w:tcPr>
            <w:tcW w:w="960" w:type="dxa"/>
            <w:tcBorders>
              <w:top w:val="nil"/>
              <w:left w:val="nil"/>
              <w:bottom w:val="nil"/>
              <w:right w:val="nil"/>
            </w:tcBorders>
            <w:shd w:val="clear" w:color="auto" w:fill="auto"/>
            <w:noWrap/>
            <w:vAlign w:val="center"/>
            <w:hideMark/>
          </w:tcPr>
          <w:p w14:paraId="3D2085E1"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575</w:t>
            </w:r>
          </w:p>
        </w:tc>
        <w:tc>
          <w:tcPr>
            <w:tcW w:w="1060" w:type="dxa"/>
            <w:tcBorders>
              <w:top w:val="nil"/>
              <w:left w:val="nil"/>
              <w:bottom w:val="nil"/>
              <w:right w:val="nil"/>
            </w:tcBorders>
            <w:shd w:val="clear" w:color="000000" w:fill="FFFFFF"/>
            <w:noWrap/>
            <w:vAlign w:val="center"/>
            <w:hideMark/>
          </w:tcPr>
          <w:p w14:paraId="23BCD77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120</w:t>
            </w:r>
          </w:p>
        </w:tc>
        <w:tc>
          <w:tcPr>
            <w:tcW w:w="1060" w:type="dxa"/>
            <w:tcBorders>
              <w:top w:val="nil"/>
              <w:left w:val="nil"/>
              <w:bottom w:val="nil"/>
              <w:right w:val="nil"/>
            </w:tcBorders>
            <w:shd w:val="clear" w:color="auto" w:fill="auto"/>
            <w:noWrap/>
            <w:vAlign w:val="center"/>
            <w:hideMark/>
          </w:tcPr>
          <w:p w14:paraId="1EA3AC94"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2 000</w:t>
            </w:r>
          </w:p>
        </w:tc>
        <w:tc>
          <w:tcPr>
            <w:tcW w:w="940" w:type="dxa"/>
            <w:tcBorders>
              <w:top w:val="nil"/>
              <w:left w:val="nil"/>
              <w:bottom w:val="nil"/>
              <w:right w:val="nil"/>
            </w:tcBorders>
            <w:shd w:val="clear" w:color="000000" w:fill="FFFFFF"/>
            <w:vAlign w:val="center"/>
            <w:hideMark/>
          </w:tcPr>
          <w:p w14:paraId="08207F43"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1 880</w:t>
            </w:r>
          </w:p>
        </w:tc>
        <w:tc>
          <w:tcPr>
            <w:tcW w:w="721" w:type="dxa"/>
            <w:tcBorders>
              <w:top w:val="nil"/>
              <w:left w:val="nil"/>
              <w:bottom w:val="nil"/>
              <w:right w:val="nil"/>
            </w:tcBorders>
            <w:shd w:val="clear" w:color="000000" w:fill="FFFFFF"/>
            <w:vAlign w:val="center"/>
            <w:hideMark/>
          </w:tcPr>
          <w:p w14:paraId="61BEEA7B"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1 566,7</w:t>
            </w:r>
          </w:p>
        </w:tc>
      </w:tr>
      <w:tr w:rsidR="00F44AE2" w:rsidRPr="002A79FA" w14:paraId="1474BC5E" w14:textId="77777777" w:rsidTr="00ED568D">
        <w:trPr>
          <w:trHeight w:val="289"/>
        </w:trPr>
        <w:tc>
          <w:tcPr>
            <w:tcW w:w="4120" w:type="dxa"/>
            <w:tcBorders>
              <w:top w:val="nil"/>
              <w:left w:val="nil"/>
              <w:bottom w:val="nil"/>
              <w:right w:val="nil"/>
            </w:tcBorders>
            <w:shd w:val="clear" w:color="000000" w:fill="FFFFFF"/>
            <w:noWrap/>
            <w:vAlign w:val="center"/>
            <w:hideMark/>
          </w:tcPr>
          <w:p w14:paraId="6317B9DD"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Slovenská elektrizačná prenosová sústava,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nil"/>
              <w:left w:val="nil"/>
              <w:bottom w:val="nil"/>
              <w:right w:val="nil"/>
            </w:tcBorders>
            <w:shd w:val="clear" w:color="000000" w:fill="FFFFFF"/>
            <w:noWrap/>
            <w:vAlign w:val="center"/>
            <w:hideMark/>
          </w:tcPr>
          <w:p w14:paraId="204251FE"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60" w:type="dxa"/>
            <w:tcBorders>
              <w:top w:val="nil"/>
              <w:left w:val="nil"/>
              <w:bottom w:val="nil"/>
              <w:right w:val="nil"/>
            </w:tcBorders>
            <w:shd w:val="clear" w:color="auto" w:fill="auto"/>
            <w:noWrap/>
            <w:vAlign w:val="center"/>
            <w:hideMark/>
          </w:tcPr>
          <w:p w14:paraId="2B5036AC"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29 335</w:t>
            </w:r>
          </w:p>
        </w:tc>
        <w:tc>
          <w:tcPr>
            <w:tcW w:w="1060" w:type="dxa"/>
            <w:tcBorders>
              <w:top w:val="nil"/>
              <w:left w:val="nil"/>
              <w:bottom w:val="nil"/>
              <w:right w:val="nil"/>
            </w:tcBorders>
            <w:shd w:val="clear" w:color="000000" w:fill="FFFFFF"/>
            <w:noWrap/>
            <w:vAlign w:val="center"/>
            <w:hideMark/>
          </w:tcPr>
          <w:p w14:paraId="3F4E1D35"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7 909</w:t>
            </w:r>
          </w:p>
        </w:tc>
        <w:tc>
          <w:tcPr>
            <w:tcW w:w="1060" w:type="dxa"/>
            <w:tcBorders>
              <w:top w:val="nil"/>
              <w:left w:val="nil"/>
              <w:bottom w:val="nil"/>
              <w:right w:val="nil"/>
            </w:tcBorders>
            <w:shd w:val="clear" w:color="auto" w:fill="auto"/>
            <w:noWrap/>
            <w:vAlign w:val="center"/>
            <w:hideMark/>
          </w:tcPr>
          <w:p w14:paraId="32C340F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FFFFFF"/>
            <w:vAlign w:val="center"/>
            <w:hideMark/>
          </w:tcPr>
          <w:p w14:paraId="07A0EF5F"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-7 909</w:t>
            </w:r>
          </w:p>
        </w:tc>
        <w:tc>
          <w:tcPr>
            <w:tcW w:w="721" w:type="dxa"/>
            <w:tcBorders>
              <w:top w:val="nil"/>
              <w:left w:val="nil"/>
              <w:bottom w:val="nil"/>
              <w:right w:val="nil"/>
            </w:tcBorders>
            <w:shd w:val="clear" w:color="000000" w:fill="FFFFFF"/>
            <w:vAlign w:val="center"/>
            <w:hideMark/>
          </w:tcPr>
          <w:p w14:paraId="440BD199"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-100,0</w:t>
            </w:r>
          </w:p>
        </w:tc>
      </w:tr>
      <w:tr w:rsidR="00F44AE2" w:rsidRPr="002A79FA" w14:paraId="34F031A8" w14:textId="77777777" w:rsidTr="00ED568D">
        <w:trPr>
          <w:trHeight w:val="289"/>
        </w:trPr>
        <w:tc>
          <w:tcPr>
            <w:tcW w:w="4120" w:type="dxa"/>
            <w:tcBorders>
              <w:top w:val="nil"/>
              <w:left w:val="nil"/>
              <w:bottom w:val="nil"/>
              <w:right w:val="nil"/>
            </w:tcBorders>
            <w:shd w:val="clear" w:color="000000" w:fill="FFFFFF"/>
            <w:noWrap/>
            <w:vAlign w:val="center"/>
            <w:hideMark/>
          </w:tcPr>
          <w:p w14:paraId="5D6B1732" w14:textId="77777777" w:rsidR="00F44AE2" w:rsidRPr="002A79FA" w:rsidRDefault="00F44AE2" w:rsidP="00391C90">
            <w:pPr>
              <w:spacing w:after="0" w:line="240" w:lineRule="auto"/>
              <w:jc w:val="lef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Ministerstvo hospodárstva SR</w:t>
            </w:r>
          </w:p>
        </w:tc>
        <w:tc>
          <w:tcPr>
            <w:tcW w:w="920" w:type="dxa"/>
            <w:tcBorders>
              <w:top w:val="nil"/>
              <w:left w:val="nil"/>
              <w:bottom w:val="nil"/>
              <w:right w:val="nil"/>
            </w:tcBorders>
            <w:shd w:val="clear" w:color="000000" w:fill="FFFFFF"/>
            <w:noWrap/>
            <w:vAlign w:val="center"/>
            <w:hideMark/>
          </w:tcPr>
          <w:p w14:paraId="7065CA14"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2 173</w:t>
            </w:r>
          </w:p>
        </w:tc>
        <w:tc>
          <w:tcPr>
            <w:tcW w:w="960" w:type="dxa"/>
            <w:tcBorders>
              <w:top w:val="nil"/>
              <w:left w:val="nil"/>
              <w:bottom w:val="nil"/>
              <w:right w:val="nil"/>
            </w:tcBorders>
            <w:shd w:val="clear" w:color="000000" w:fill="FFFFFF"/>
            <w:noWrap/>
            <w:vAlign w:val="center"/>
            <w:hideMark/>
          </w:tcPr>
          <w:p w14:paraId="0C065735"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5 000</w:t>
            </w:r>
          </w:p>
        </w:tc>
        <w:tc>
          <w:tcPr>
            <w:tcW w:w="1060" w:type="dxa"/>
            <w:tcBorders>
              <w:top w:val="nil"/>
              <w:left w:val="nil"/>
              <w:bottom w:val="nil"/>
              <w:right w:val="nil"/>
            </w:tcBorders>
            <w:shd w:val="clear" w:color="auto" w:fill="auto"/>
            <w:noWrap/>
            <w:vAlign w:val="center"/>
            <w:hideMark/>
          </w:tcPr>
          <w:p w14:paraId="6A4C3C21"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4 500</w:t>
            </w:r>
          </w:p>
        </w:tc>
        <w:tc>
          <w:tcPr>
            <w:tcW w:w="1060" w:type="dxa"/>
            <w:tcBorders>
              <w:top w:val="nil"/>
              <w:left w:val="nil"/>
              <w:bottom w:val="nil"/>
              <w:right w:val="nil"/>
            </w:tcBorders>
            <w:shd w:val="clear" w:color="auto" w:fill="auto"/>
            <w:noWrap/>
            <w:vAlign w:val="center"/>
            <w:hideMark/>
          </w:tcPr>
          <w:p w14:paraId="09ABC0D1"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4 500</w:t>
            </w:r>
          </w:p>
        </w:tc>
        <w:tc>
          <w:tcPr>
            <w:tcW w:w="940" w:type="dxa"/>
            <w:tcBorders>
              <w:top w:val="nil"/>
              <w:left w:val="nil"/>
              <w:bottom w:val="nil"/>
              <w:right w:val="nil"/>
            </w:tcBorders>
            <w:shd w:val="clear" w:color="000000" w:fill="FFFFFF"/>
            <w:vAlign w:val="center"/>
            <w:hideMark/>
          </w:tcPr>
          <w:p w14:paraId="1D10CAF3"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28468885"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274B0472" w14:textId="77777777" w:rsidTr="004B63E7">
        <w:trPr>
          <w:trHeight w:val="289"/>
        </w:trPr>
        <w:tc>
          <w:tcPr>
            <w:tcW w:w="4120" w:type="dxa"/>
            <w:tcBorders>
              <w:top w:val="nil"/>
              <w:left w:val="nil"/>
              <w:bottom w:val="single" w:sz="4" w:space="0" w:color="auto"/>
              <w:right w:val="nil"/>
            </w:tcBorders>
            <w:shd w:val="clear" w:color="000000" w:fill="FFFFFF"/>
            <w:noWrap/>
            <w:vAlign w:val="center"/>
            <w:hideMark/>
          </w:tcPr>
          <w:p w14:paraId="7DADBD9D"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JAVYS,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nil"/>
              <w:left w:val="nil"/>
              <w:bottom w:val="single" w:sz="4" w:space="0" w:color="auto"/>
              <w:right w:val="nil"/>
            </w:tcBorders>
            <w:shd w:val="clear" w:color="000000" w:fill="FFFFFF"/>
            <w:noWrap/>
            <w:vAlign w:val="center"/>
            <w:hideMark/>
          </w:tcPr>
          <w:p w14:paraId="0D502A19"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2 173</w:t>
            </w:r>
          </w:p>
        </w:tc>
        <w:tc>
          <w:tcPr>
            <w:tcW w:w="960" w:type="dxa"/>
            <w:tcBorders>
              <w:top w:val="nil"/>
              <w:left w:val="nil"/>
              <w:bottom w:val="single" w:sz="4" w:space="0" w:color="auto"/>
              <w:right w:val="nil"/>
            </w:tcBorders>
            <w:shd w:val="clear" w:color="000000" w:fill="FFFFFF"/>
            <w:noWrap/>
            <w:vAlign w:val="center"/>
            <w:hideMark/>
          </w:tcPr>
          <w:p w14:paraId="576BB083"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3 000</w:t>
            </w:r>
          </w:p>
        </w:tc>
        <w:tc>
          <w:tcPr>
            <w:tcW w:w="1060" w:type="dxa"/>
            <w:tcBorders>
              <w:top w:val="nil"/>
              <w:left w:val="nil"/>
              <w:bottom w:val="single" w:sz="4" w:space="0" w:color="auto"/>
              <w:right w:val="nil"/>
            </w:tcBorders>
            <w:shd w:val="clear" w:color="000000" w:fill="FFFFFF"/>
            <w:noWrap/>
            <w:vAlign w:val="center"/>
            <w:hideMark/>
          </w:tcPr>
          <w:p w14:paraId="595F6A9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3 000</w:t>
            </w:r>
          </w:p>
        </w:tc>
        <w:tc>
          <w:tcPr>
            <w:tcW w:w="1060" w:type="dxa"/>
            <w:tcBorders>
              <w:top w:val="nil"/>
              <w:left w:val="nil"/>
              <w:bottom w:val="single" w:sz="4" w:space="0" w:color="auto"/>
              <w:right w:val="nil"/>
            </w:tcBorders>
            <w:shd w:val="clear" w:color="auto" w:fill="auto"/>
            <w:noWrap/>
            <w:vAlign w:val="center"/>
            <w:hideMark/>
          </w:tcPr>
          <w:p w14:paraId="3C898E0E"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3 000</w:t>
            </w:r>
          </w:p>
        </w:tc>
        <w:tc>
          <w:tcPr>
            <w:tcW w:w="940" w:type="dxa"/>
            <w:tcBorders>
              <w:top w:val="nil"/>
              <w:left w:val="nil"/>
              <w:bottom w:val="single" w:sz="4" w:space="0" w:color="auto"/>
              <w:right w:val="nil"/>
            </w:tcBorders>
            <w:shd w:val="clear" w:color="000000" w:fill="FFFFFF"/>
            <w:vAlign w:val="center"/>
            <w:hideMark/>
          </w:tcPr>
          <w:p w14:paraId="041B8F73"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single" w:sz="4" w:space="0" w:color="auto"/>
              <w:right w:val="nil"/>
            </w:tcBorders>
            <w:shd w:val="clear" w:color="000000" w:fill="FFFFFF"/>
            <w:vAlign w:val="center"/>
            <w:hideMark/>
          </w:tcPr>
          <w:p w14:paraId="305AD285"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4B63E7" w:rsidRPr="002A79FA" w14:paraId="0E696316" w14:textId="77777777" w:rsidTr="004B63E7">
        <w:trPr>
          <w:trHeight w:val="289"/>
        </w:trPr>
        <w:tc>
          <w:tcPr>
            <w:tcW w:w="4120" w:type="dxa"/>
            <w:tcBorders>
              <w:top w:val="single" w:sz="4" w:space="0" w:color="auto"/>
              <w:left w:val="nil"/>
              <w:right w:val="nil"/>
            </w:tcBorders>
            <w:shd w:val="clear" w:color="auto" w:fill="auto"/>
            <w:vAlign w:val="center"/>
            <w:hideMark/>
          </w:tcPr>
          <w:p w14:paraId="09BF96C3" w14:textId="77777777" w:rsidR="004B63E7" w:rsidRPr="002A79FA" w:rsidRDefault="004B63E7" w:rsidP="007475A0">
            <w:pPr>
              <w:spacing w:after="0" w:line="240" w:lineRule="auto"/>
              <w:jc w:val="lef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lastRenderedPageBreak/>
              <w:t xml:space="preserve"> v tis. eur</w:t>
            </w:r>
            <w:r w:rsidRPr="002A79FA">
              <w:rPr>
                <w:rFonts w:eastAsia="Times New Roman" w:cs="Times New Roman"/>
                <w:b/>
                <w:bCs/>
                <w:color w:val="FFFFFF"/>
                <w:sz w:val="18"/>
                <w:szCs w:val="18"/>
                <w:lang w:eastAsia="sk-SK"/>
              </w:rPr>
              <w:t> </w:t>
            </w:r>
          </w:p>
        </w:tc>
        <w:tc>
          <w:tcPr>
            <w:tcW w:w="920" w:type="dxa"/>
            <w:tcBorders>
              <w:top w:val="single" w:sz="4" w:space="0" w:color="auto"/>
              <w:left w:val="nil"/>
              <w:right w:val="nil"/>
            </w:tcBorders>
            <w:shd w:val="clear" w:color="auto" w:fill="auto"/>
            <w:vAlign w:val="center"/>
            <w:hideMark/>
          </w:tcPr>
          <w:p w14:paraId="16077E19" w14:textId="77777777" w:rsidR="004B63E7" w:rsidRPr="002A79FA" w:rsidRDefault="004B63E7" w:rsidP="007475A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2020 S</w:t>
            </w:r>
          </w:p>
        </w:tc>
        <w:tc>
          <w:tcPr>
            <w:tcW w:w="960" w:type="dxa"/>
            <w:tcBorders>
              <w:top w:val="single" w:sz="4" w:space="0" w:color="auto"/>
              <w:left w:val="nil"/>
              <w:right w:val="nil"/>
            </w:tcBorders>
            <w:shd w:val="clear" w:color="auto" w:fill="auto"/>
            <w:vAlign w:val="center"/>
            <w:hideMark/>
          </w:tcPr>
          <w:p w14:paraId="387D54F5" w14:textId="77777777" w:rsidR="004B63E7" w:rsidRPr="002A79FA" w:rsidRDefault="004B63E7" w:rsidP="007475A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2021 S</w:t>
            </w:r>
          </w:p>
        </w:tc>
        <w:tc>
          <w:tcPr>
            <w:tcW w:w="1060" w:type="dxa"/>
            <w:tcBorders>
              <w:top w:val="single" w:sz="4" w:space="0" w:color="auto"/>
              <w:left w:val="nil"/>
              <w:right w:val="nil"/>
            </w:tcBorders>
            <w:shd w:val="clear" w:color="auto" w:fill="auto"/>
            <w:vAlign w:val="center"/>
            <w:hideMark/>
          </w:tcPr>
          <w:p w14:paraId="3B31069B" w14:textId="77777777" w:rsidR="004B63E7" w:rsidRPr="002A79FA" w:rsidRDefault="004B63E7" w:rsidP="007475A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2022 R</w:t>
            </w:r>
          </w:p>
        </w:tc>
        <w:tc>
          <w:tcPr>
            <w:tcW w:w="1060" w:type="dxa"/>
            <w:tcBorders>
              <w:top w:val="single" w:sz="4" w:space="0" w:color="auto"/>
              <w:left w:val="nil"/>
              <w:right w:val="nil"/>
            </w:tcBorders>
            <w:shd w:val="clear" w:color="auto" w:fill="auto"/>
            <w:vAlign w:val="center"/>
            <w:hideMark/>
          </w:tcPr>
          <w:p w14:paraId="62D74CB6" w14:textId="77777777" w:rsidR="004B63E7" w:rsidRPr="002A79FA" w:rsidRDefault="004B63E7" w:rsidP="007475A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2022 S</w:t>
            </w:r>
          </w:p>
        </w:tc>
        <w:tc>
          <w:tcPr>
            <w:tcW w:w="940" w:type="dxa"/>
            <w:tcBorders>
              <w:top w:val="single" w:sz="4" w:space="0" w:color="auto"/>
              <w:left w:val="nil"/>
              <w:right w:val="nil"/>
            </w:tcBorders>
            <w:shd w:val="clear" w:color="auto" w:fill="auto"/>
            <w:vAlign w:val="center"/>
            <w:hideMark/>
          </w:tcPr>
          <w:p w14:paraId="78A6CB3D" w14:textId="77777777" w:rsidR="004B63E7" w:rsidRPr="002A79FA" w:rsidRDefault="004B63E7" w:rsidP="007475A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 xml:space="preserve">Rozdiel </w:t>
            </w:r>
          </w:p>
        </w:tc>
        <w:tc>
          <w:tcPr>
            <w:tcW w:w="721" w:type="dxa"/>
            <w:tcBorders>
              <w:top w:val="single" w:sz="4" w:space="0" w:color="auto"/>
              <w:left w:val="nil"/>
              <w:right w:val="nil"/>
            </w:tcBorders>
            <w:shd w:val="clear" w:color="auto" w:fill="auto"/>
            <w:vAlign w:val="center"/>
            <w:hideMark/>
          </w:tcPr>
          <w:p w14:paraId="31CFDD4B" w14:textId="77777777" w:rsidR="004B63E7" w:rsidRPr="002A79FA" w:rsidRDefault="004B63E7" w:rsidP="007475A0">
            <w:pPr>
              <w:spacing w:after="0" w:line="240" w:lineRule="auto"/>
              <w:jc w:val="center"/>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v %</w:t>
            </w:r>
          </w:p>
        </w:tc>
      </w:tr>
      <w:tr w:rsidR="004B63E7" w:rsidRPr="002A79FA" w14:paraId="64653553" w14:textId="77777777" w:rsidTr="004B63E7">
        <w:trPr>
          <w:trHeight w:val="289"/>
        </w:trPr>
        <w:tc>
          <w:tcPr>
            <w:tcW w:w="4120" w:type="dxa"/>
            <w:tcBorders>
              <w:top w:val="nil"/>
              <w:left w:val="nil"/>
              <w:bottom w:val="single" w:sz="4" w:space="0" w:color="auto"/>
              <w:right w:val="nil"/>
            </w:tcBorders>
            <w:shd w:val="clear" w:color="000000" w:fill="FFFFFF"/>
            <w:noWrap/>
            <w:vAlign w:val="center"/>
          </w:tcPr>
          <w:p w14:paraId="43045679" w14:textId="77777777" w:rsidR="004B63E7" w:rsidRPr="002A79FA" w:rsidRDefault="004B63E7" w:rsidP="004B63E7">
            <w:pPr>
              <w:spacing w:after="0" w:line="240" w:lineRule="auto"/>
              <w:jc w:val="left"/>
              <w:rPr>
                <w:rFonts w:eastAsia="Times New Roman" w:cs="Times New Roman"/>
                <w:color w:val="000000"/>
                <w:sz w:val="18"/>
                <w:szCs w:val="18"/>
                <w:lang w:eastAsia="sk-SK"/>
              </w:rPr>
            </w:pPr>
          </w:p>
        </w:tc>
        <w:tc>
          <w:tcPr>
            <w:tcW w:w="920" w:type="dxa"/>
            <w:tcBorders>
              <w:top w:val="nil"/>
              <w:left w:val="nil"/>
              <w:bottom w:val="single" w:sz="4" w:space="0" w:color="auto"/>
              <w:right w:val="nil"/>
            </w:tcBorders>
            <w:shd w:val="clear" w:color="000000" w:fill="FFFFFF"/>
            <w:noWrap/>
            <w:vAlign w:val="center"/>
          </w:tcPr>
          <w:p w14:paraId="18764869" w14:textId="5D2774A1" w:rsidR="004B63E7" w:rsidRPr="002A79FA" w:rsidRDefault="004B63E7" w:rsidP="004B63E7">
            <w:pPr>
              <w:spacing w:after="0" w:line="240" w:lineRule="auto"/>
              <w:jc w:val="right"/>
              <w:rPr>
                <w:rFonts w:eastAsia="Times New Roman" w:cs="Times New Roman"/>
                <w:color w:val="000000"/>
                <w:sz w:val="18"/>
                <w:szCs w:val="18"/>
                <w:lang w:eastAsia="sk-SK"/>
              </w:rPr>
            </w:pPr>
            <w:r w:rsidRPr="002A79FA">
              <w:rPr>
                <w:rFonts w:eastAsia="Times New Roman" w:cs="Times New Roman"/>
                <w:b/>
                <w:bCs/>
                <w:sz w:val="18"/>
                <w:szCs w:val="18"/>
                <w:lang w:eastAsia="sk-SK"/>
              </w:rPr>
              <w:t>1</w:t>
            </w:r>
          </w:p>
        </w:tc>
        <w:tc>
          <w:tcPr>
            <w:tcW w:w="960" w:type="dxa"/>
            <w:tcBorders>
              <w:top w:val="nil"/>
              <w:left w:val="nil"/>
              <w:bottom w:val="single" w:sz="4" w:space="0" w:color="auto"/>
              <w:right w:val="nil"/>
            </w:tcBorders>
            <w:shd w:val="clear" w:color="000000" w:fill="FFFFFF"/>
            <w:noWrap/>
            <w:vAlign w:val="center"/>
          </w:tcPr>
          <w:p w14:paraId="0CC49F91" w14:textId="4DB23EFF" w:rsidR="004B63E7" w:rsidRPr="002A79FA" w:rsidRDefault="004B63E7" w:rsidP="004B63E7">
            <w:pPr>
              <w:spacing w:after="0" w:line="240" w:lineRule="auto"/>
              <w:jc w:val="right"/>
              <w:rPr>
                <w:rFonts w:eastAsia="Times New Roman" w:cs="Times New Roman"/>
                <w:color w:val="000000"/>
                <w:sz w:val="18"/>
                <w:szCs w:val="18"/>
                <w:lang w:eastAsia="sk-SK"/>
              </w:rPr>
            </w:pPr>
            <w:r w:rsidRPr="002A79FA">
              <w:rPr>
                <w:rFonts w:eastAsia="Times New Roman" w:cs="Times New Roman"/>
                <w:b/>
                <w:bCs/>
                <w:sz w:val="18"/>
                <w:szCs w:val="18"/>
                <w:lang w:eastAsia="sk-SK"/>
              </w:rPr>
              <w:t>2</w:t>
            </w:r>
          </w:p>
        </w:tc>
        <w:tc>
          <w:tcPr>
            <w:tcW w:w="1060" w:type="dxa"/>
            <w:tcBorders>
              <w:top w:val="nil"/>
              <w:left w:val="nil"/>
              <w:bottom w:val="single" w:sz="4" w:space="0" w:color="auto"/>
              <w:right w:val="nil"/>
            </w:tcBorders>
            <w:shd w:val="clear" w:color="000000" w:fill="FFFFFF"/>
            <w:noWrap/>
            <w:vAlign w:val="center"/>
          </w:tcPr>
          <w:p w14:paraId="6E2A32B9" w14:textId="4A2795CD" w:rsidR="004B63E7" w:rsidRPr="002A79FA" w:rsidRDefault="004B63E7" w:rsidP="004B63E7">
            <w:pPr>
              <w:spacing w:after="0" w:line="240" w:lineRule="auto"/>
              <w:jc w:val="right"/>
              <w:rPr>
                <w:rFonts w:eastAsia="Times New Roman" w:cs="Times New Roman"/>
                <w:color w:val="000000"/>
                <w:sz w:val="18"/>
                <w:szCs w:val="18"/>
                <w:lang w:eastAsia="sk-SK"/>
              </w:rPr>
            </w:pPr>
            <w:r w:rsidRPr="002A79FA">
              <w:rPr>
                <w:rFonts w:eastAsia="Times New Roman" w:cs="Times New Roman"/>
                <w:b/>
                <w:bCs/>
                <w:sz w:val="18"/>
                <w:szCs w:val="18"/>
                <w:lang w:eastAsia="sk-SK"/>
              </w:rPr>
              <w:t>3</w:t>
            </w:r>
          </w:p>
        </w:tc>
        <w:tc>
          <w:tcPr>
            <w:tcW w:w="1060" w:type="dxa"/>
            <w:tcBorders>
              <w:top w:val="nil"/>
              <w:left w:val="nil"/>
              <w:bottom w:val="single" w:sz="4" w:space="0" w:color="auto"/>
              <w:right w:val="nil"/>
            </w:tcBorders>
            <w:shd w:val="clear" w:color="auto" w:fill="auto"/>
            <w:noWrap/>
            <w:vAlign w:val="center"/>
          </w:tcPr>
          <w:p w14:paraId="63E8D41F" w14:textId="6BAAB927" w:rsidR="004B63E7" w:rsidRPr="002A79FA" w:rsidRDefault="004B63E7" w:rsidP="004B63E7">
            <w:pPr>
              <w:spacing w:after="0" w:line="240" w:lineRule="auto"/>
              <w:jc w:val="right"/>
              <w:rPr>
                <w:rFonts w:eastAsia="Times New Roman" w:cs="Times New Roman"/>
                <w:color w:val="000000"/>
                <w:sz w:val="18"/>
                <w:szCs w:val="18"/>
                <w:lang w:eastAsia="sk-SK"/>
              </w:rPr>
            </w:pPr>
            <w:r w:rsidRPr="002A79FA">
              <w:rPr>
                <w:rFonts w:eastAsia="Times New Roman" w:cs="Times New Roman"/>
                <w:b/>
                <w:bCs/>
                <w:sz w:val="18"/>
                <w:szCs w:val="18"/>
                <w:lang w:eastAsia="sk-SK"/>
              </w:rPr>
              <w:t>4</w:t>
            </w:r>
          </w:p>
        </w:tc>
        <w:tc>
          <w:tcPr>
            <w:tcW w:w="940" w:type="dxa"/>
            <w:tcBorders>
              <w:top w:val="nil"/>
              <w:left w:val="nil"/>
              <w:bottom w:val="single" w:sz="4" w:space="0" w:color="auto"/>
              <w:right w:val="nil"/>
            </w:tcBorders>
            <w:shd w:val="clear" w:color="000000" w:fill="FFFFFF"/>
            <w:vAlign w:val="center"/>
          </w:tcPr>
          <w:p w14:paraId="761E9F45" w14:textId="0F8E0BA6" w:rsidR="004B63E7" w:rsidRPr="002A79FA" w:rsidRDefault="004B63E7" w:rsidP="004B63E7">
            <w:pPr>
              <w:spacing w:after="0" w:line="240" w:lineRule="auto"/>
              <w:jc w:val="right"/>
              <w:rPr>
                <w:rFonts w:eastAsia="Times New Roman" w:cs="Times New Roman"/>
                <w:color w:val="000000"/>
                <w:sz w:val="18"/>
                <w:szCs w:val="18"/>
                <w:lang w:eastAsia="sk-SK"/>
              </w:rPr>
            </w:pPr>
            <w:r w:rsidRPr="002A79FA">
              <w:rPr>
                <w:rFonts w:eastAsia="Times New Roman" w:cs="Times New Roman"/>
                <w:b/>
                <w:bCs/>
                <w:sz w:val="18"/>
                <w:szCs w:val="18"/>
                <w:lang w:eastAsia="sk-SK"/>
              </w:rPr>
              <w:t>5=4-3</w:t>
            </w:r>
          </w:p>
        </w:tc>
        <w:tc>
          <w:tcPr>
            <w:tcW w:w="721" w:type="dxa"/>
            <w:tcBorders>
              <w:top w:val="nil"/>
              <w:left w:val="nil"/>
              <w:bottom w:val="single" w:sz="4" w:space="0" w:color="auto"/>
              <w:right w:val="nil"/>
            </w:tcBorders>
            <w:shd w:val="clear" w:color="000000" w:fill="FFFFFF"/>
            <w:vAlign w:val="center"/>
          </w:tcPr>
          <w:p w14:paraId="0FD11D7E" w14:textId="5761AA28" w:rsidR="004B63E7" w:rsidRPr="002A79FA" w:rsidRDefault="004B63E7" w:rsidP="004B63E7">
            <w:pPr>
              <w:spacing w:after="0" w:line="240" w:lineRule="auto"/>
              <w:jc w:val="right"/>
              <w:rPr>
                <w:rFonts w:eastAsia="Times New Roman" w:cs="Times New Roman"/>
                <w:color w:val="000000"/>
                <w:sz w:val="18"/>
                <w:szCs w:val="18"/>
                <w:lang w:eastAsia="sk-SK"/>
              </w:rPr>
            </w:pPr>
            <w:r w:rsidRPr="002A79FA">
              <w:rPr>
                <w:rFonts w:eastAsia="Times New Roman" w:cs="Times New Roman"/>
                <w:b/>
                <w:bCs/>
                <w:sz w:val="18"/>
                <w:szCs w:val="18"/>
                <w:lang w:eastAsia="sk-SK"/>
              </w:rPr>
              <w:t>6=4-3</w:t>
            </w:r>
          </w:p>
        </w:tc>
      </w:tr>
      <w:tr w:rsidR="00F44AE2" w:rsidRPr="002A79FA" w14:paraId="3912AA94" w14:textId="77777777" w:rsidTr="004B63E7">
        <w:trPr>
          <w:trHeight w:val="289"/>
        </w:trPr>
        <w:tc>
          <w:tcPr>
            <w:tcW w:w="4120" w:type="dxa"/>
            <w:tcBorders>
              <w:top w:val="single" w:sz="4" w:space="0" w:color="auto"/>
              <w:left w:val="nil"/>
              <w:bottom w:val="nil"/>
              <w:right w:val="nil"/>
            </w:tcBorders>
            <w:shd w:val="clear" w:color="000000" w:fill="FFFFFF"/>
            <w:noWrap/>
            <w:vAlign w:val="center"/>
            <w:hideMark/>
          </w:tcPr>
          <w:p w14:paraId="03F651E0"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Transpetrol,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single" w:sz="4" w:space="0" w:color="auto"/>
              <w:left w:val="nil"/>
              <w:bottom w:val="nil"/>
              <w:right w:val="nil"/>
            </w:tcBorders>
            <w:shd w:val="clear" w:color="000000" w:fill="FFFFFF"/>
            <w:noWrap/>
            <w:vAlign w:val="center"/>
            <w:hideMark/>
          </w:tcPr>
          <w:p w14:paraId="1BAFA44B"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60" w:type="dxa"/>
            <w:tcBorders>
              <w:top w:val="single" w:sz="4" w:space="0" w:color="auto"/>
              <w:left w:val="nil"/>
              <w:bottom w:val="nil"/>
              <w:right w:val="nil"/>
            </w:tcBorders>
            <w:shd w:val="clear" w:color="000000" w:fill="FFFFFF"/>
            <w:noWrap/>
            <w:vAlign w:val="center"/>
            <w:hideMark/>
          </w:tcPr>
          <w:p w14:paraId="3C3E8147"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2 000</w:t>
            </w:r>
          </w:p>
        </w:tc>
        <w:tc>
          <w:tcPr>
            <w:tcW w:w="1060" w:type="dxa"/>
            <w:tcBorders>
              <w:top w:val="single" w:sz="4" w:space="0" w:color="auto"/>
              <w:left w:val="nil"/>
              <w:bottom w:val="nil"/>
              <w:right w:val="nil"/>
            </w:tcBorders>
            <w:shd w:val="clear" w:color="000000" w:fill="FFFFFF"/>
            <w:noWrap/>
            <w:vAlign w:val="center"/>
            <w:hideMark/>
          </w:tcPr>
          <w:p w14:paraId="44F244D4"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1 500</w:t>
            </w:r>
          </w:p>
        </w:tc>
        <w:tc>
          <w:tcPr>
            <w:tcW w:w="1060" w:type="dxa"/>
            <w:tcBorders>
              <w:top w:val="single" w:sz="4" w:space="0" w:color="auto"/>
              <w:left w:val="nil"/>
              <w:bottom w:val="nil"/>
              <w:right w:val="nil"/>
            </w:tcBorders>
            <w:shd w:val="clear" w:color="auto" w:fill="auto"/>
            <w:noWrap/>
            <w:vAlign w:val="center"/>
            <w:hideMark/>
          </w:tcPr>
          <w:p w14:paraId="1D475029"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1 500</w:t>
            </w:r>
          </w:p>
        </w:tc>
        <w:tc>
          <w:tcPr>
            <w:tcW w:w="940" w:type="dxa"/>
            <w:tcBorders>
              <w:top w:val="single" w:sz="4" w:space="0" w:color="auto"/>
              <w:left w:val="nil"/>
              <w:bottom w:val="nil"/>
              <w:right w:val="nil"/>
            </w:tcBorders>
            <w:shd w:val="clear" w:color="000000" w:fill="FFFFFF"/>
            <w:vAlign w:val="center"/>
            <w:hideMark/>
          </w:tcPr>
          <w:p w14:paraId="53DAF1E3"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single" w:sz="4" w:space="0" w:color="auto"/>
              <w:left w:val="nil"/>
              <w:bottom w:val="nil"/>
              <w:right w:val="nil"/>
            </w:tcBorders>
            <w:shd w:val="clear" w:color="000000" w:fill="FFFFFF"/>
            <w:vAlign w:val="center"/>
            <w:hideMark/>
          </w:tcPr>
          <w:p w14:paraId="117E65C3"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5FE5AE52" w14:textId="77777777" w:rsidTr="00ED568D">
        <w:trPr>
          <w:trHeight w:val="289"/>
        </w:trPr>
        <w:tc>
          <w:tcPr>
            <w:tcW w:w="4120" w:type="dxa"/>
            <w:tcBorders>
              <w:top w:val="nil"/>
              <w:left w:val="nil"/>
              <w:bottom w:val="nil"/>
              <w:right w:val="nil"/>
            </w:tcBorders>
            <w:shd w:val="clear" w:color="000000" w:fill="FFFFFF"/>
            <w:noWrap/>
            <w:vAlign w:val="center"/>
            <w:hideMark/>
          </w:tcPr>
          <w:p w14:paraId="1C26C736" w14:textId="77777777" w:rsidR="00F44AE2" w:rsidRPr="002A79FA" w:rsidRDefault="00F44AE2" w:rsidP="00391C90">
            <w:pPr>
              <w:spacing w:after="0" w:line="240" w:lineRule="auto"/>
              <w:jc w:val="lef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Ministerstvo dopravy a výstavby  SR</w:t>
            </w:r>
          </w:p>
        </w:tc>
        <w:tc>
          <w:tcPr>
            <w:tcW w:w="920" w:type="dxa"/>
            <w:tcBorders>
              <w:top w:val="nil"/>
              <w:left w:val="nil"/>
              <w:bottom w:val="nil"/>
              <w:right w:val="nil"/>
            </w:tcBorders>
            <w:shd w:val="clear" w:color="000000" w:fill="FFFFFF"/>
            <w:noWrap/>
            <w:vAlign w:val="center"/>
            <w:hideMark/>
          </w:tcPr>
          <w:p w14:paraId="16B5151F"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779</w:t>
            </w:r>
          </w:p>
        </w:tc>
        <w:tc>
          <w:tcPr>
            <w:tcW w:w="960" w:type="dxa"/>
            <w:tcBorders>
              <w:top w:val="nil"/>
              <w:left w:val="nil"/>
              <w:bottom w:val="nil"/>
              <w:right w:val="nil"/>
            </w:tcBorders>
            <w:shd w:val="clear" w:color="000000" w:fill="FFFFFF"/>
            <w:noWrap/>
            <w:vAlign w:val="center"/>
            <w:hideMark/>
          </w:tcPr>
          <w:p w14:paraId="3BF80A13"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0</w:t>
            </w:r>
          </w:p>
        </w:tc>
        <w:tc>
          <w:tcPr>
            <w:tcW w:w="1060" w:type="dxa"/>
            <w:tcBorders>
              <w:top w:val="nil"/>
              <w:left w:val="nil"/>
              <w:bottom w:val="nil"/>
              <w:right w:val="nil"/>
            </w:tcBorders>
            <w:shd w:val="clear" w:color="000000" w:fill="FFFFFF"/>
            <w:noWrap/>
            <w:vAlign w:val="center"/>
            <w:hideMark/>
          </w:tcPr>
          <w:p w14:paraId="35A73D24"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0</w:t>
            </w:r>
          </w:p>
        </w:tc>
        <w:tc>
          <w:tcPr>
            <w:tcW w:w="1060" w:type="dxa"/>
            <w:tcBorders>
              <w:top w:val="nil"/>
              <w:left w:val="nil"/>
              <w:bottom w:val="nil"/>
              <w:right w:val="nil"/>
            </w:tcBorders>
            <w:shd w:val="clear" w:color="auto" w:fill="auto"/>
            <w:noWrap/>
            <w:vAlign w:val="center"/>
            <w:hideMark/>
          </w:tcPr>
          <w:p w14:paraId="6BE1576E"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0</w:t>
            </w:r>
          </w:p>
        </w:tc>
        <w:tc>
          <w:tcPr>
            <w:tcW w:w="940" w:type="dxa"/>
            <w:tcBorders>
              <w:top w:val="nil"/>
              <w:left w:val="nil"/>
              <w:bottom w:val="nil"/>
              <w:right w:val="nil"/>
            </w:tcBorders>
            <w:shd w:val="clear" w:color="000000" w:fill="FFFFFF"/>
            <w:vAlign w:val="center"/>
            <w:hideMark/>
          </w:tcPr>
          <w:p w14:paraId="3EE4107F"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4E59A397"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17FB5078" w14:textId="77777777" w:rsidTr="00ED568D">
        <w:trPr>
          <w:trHeight w:val="289"/>
        </w:trPr>
        <w:tc>
          <w:tcPr>
            <w:tcW w:w="4120" w:type="dxa"/>
            <w:tcBorders>
              <w:top w:val="nil"/>
              <w:left w:val="nil"/>
              <w:bottom w:val="nil"/>
              <w:right w:val="nil"/>
            </w:tcBorders>
            <w:shd w:val="clear" w:color="000000" w:fill="FFFFFF"/>
            <w:vAlign w:val="center"/>
            <w:hideMark/>
          </w:tcPr>
          <w:p w14:paraId="095D7129"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Letisko Košice - </w:t>
            </w:r>
            <w:proofErr w:type="spellStart"/>
            <w:r w:rsidRPr="002A79FA">
              <w:rPr>
                <w:rFonts w:eastAsia="Times New Roman" w:cs="Times New Roman"/>
                <w:color w:val="000000"/>
                <w:sz w:val="18"/>
                <w:szCs w:val="18"/>
                <w:lang w:eastAsia="sk-SK"/>
              </w:rPr>
              <w:t>Airport</w:t>
            </w:r>
            <w:proofErr w:type="spellEnd"/>
            <w:r w:rsidRPr="002A79FA">
              <w:rPr>
                <w:rFonts w:eastAsia="Times New Roman" w:cs="Times New Roman"/>
                <w:color w:val="000000"/>
                <w:sz w:val="18"/>
                <w:szCs w:val="18"/>
                <w:lang w:eastAsia="sk-SK"/>
              </w:rPr>
              <w:t xml:space="preserve"> Košice,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nil"/>
              <w:left w:val="nil"/>
              <w:bottom w:val="nil"/>
              <w:right w:val="nil"/>
            </w:tcBorders>
            <w:shd w:val="clear" w:color="000000" w:fill="FFFFFF"/>
            <w:noWrap/>
            <w:vAlign w:val="center"/>
            <w:hideMark/>
          </w:tcPr>
          <w:p w14:paraId="60CADE8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779</w:t>
            </w:r>
          </w:p>
        </w:tc>
        <w:tc>
          <w:tcPr>
            <w:tcW w:w="960" w:type="dxa"/>
            <w:tcBorders>
              <w:top w:val="nil"/>
              <w:left w:val="nil"/>
              <w:bottom w:val="nil"/>
              <w:right w:val="nil"/>
            </w:tcBorders>
            <w:shd w:val="clear" w:color="auto" w:fill="auto"/>
            <w:noWrap/>
            <w:vAlign w:val="center"/>
            <w:hideMark/>
          </w:tcPr>
          <w:p w14:paraId="61C8AAF3"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1060" w:type="dxa"/>
            <w:tcBorders>
              <w:top w:val="nil"/>
              <w:left w:val="nil"/>
              <w:bottom w:val="nil"/>
              <w:right w:val="nil"/>
            </w:tcBorders>
            <w:shd w:val="clear" w:color="000000" w:fill="FFFFFF"/>
            <w:noWrap/>
            <w:vAlign w:val="center"/>
            <w:hideMark/>
          </w:tcPr>
          <w:p w14:paraId="6A532369"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1060" w:type="dxa"/>
            <w:tcBorders>
              <w:top w:val="nil"/>
              <w:left w:val="nil"/>
              <w:bottom w:val="nil"/>
              <w:right w:val="nil"/>
            </w:tcBorders>
            <w:shd w:val="clear" w:color="auto" w:fill="auto"/>
            <w:noWrap/>
            <w:vAlign w:val="center"/>
            <w:hideMark/>
          </w:tcPr>
          <w:p w14:paraId="12826C02"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FFFFFF"/>
            <w:vAlign w:val="center"/>
            <w:hideMark/>
          </w:tcPr>
          <w:p w14:paraId="30763BAE"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42DC4978"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50BFE91F" w14:textId="77777777" w:rsidTr="00ED568D">
        <w:trPr>
          <w:trHeight w:val="289"/>
        </w:trPr>
        <w:tc>
          <w:tcPr>
            <w:tcW w:w="4120" w:type="dxa"/>
            <w:tcBorders>
              <w:top w:val="nil"/>
              <w:left w:val="nil"/>
              <w:bottom w:val="nil"/>
              <w:right w:val="nil"/>
            </w:tcBorders>
            <w:shd w:val="clear" w:color="000000" w:fill="FFFFFF"/>
            <w:vAlign w:val="center"/>
            <w:hideMark/>
          </w:tcPr>
          <w:p w14:paraId="1F4AD733"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Letisko Sliač,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nil"/>
              <w:left w:val="nil"/>
              <w:bottom w:val="nil"/>
              <w:right w:val="nil"/>
            </w:tcBorders>
            <w:shd w:val="clear" w:color="000000" w:fill="FFFFFF"/>
            <w:noWrap/>
            <w:vAlign w:val="center"/>
            <w:hideMark/>
          </w:tcPr>
          <w:p w14:paraId="152E7D92"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60" w:type="dxa"/>
            <w:tcBorders>
              <w:top w:val="nil"/>
              <w:left w:val="nil"/>
              <w:bottom w:val="nil"/>
              <w:right w:val="nil"/>
            </w:tcBorders>
            <w:shd w:val="clear" w:color="auto" w:fill="auto"/>
            <w:noWrap/>
            <w:vAlign w:val="center"/>
            <w:hideMark/>
          </w:tcPr>
          <w:p w14:paraId="33940CC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1060" w:type="dxa"/>
            <w:tcBorders>
              <w:top w:val="nil"/>
              <w:left w:val="nil"/>
              <w:bottom w:val="nil"/>
              <w:right w:val="nil"/>
            </w:tcBorders>
            <w:shd w:val="clear" w:color="000000" w:fill="FFFFFF"/>
            <w:noWrap/>
            <w:vAlign w:val="center"/>
            <w:hideMark/>
          </w:tcPr>
          <w:p w14:paraId="51BBE83E"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1060" w:type="dxa"/>
            <w:tcBorders>
              <w:top w:val="nil"/>
              <w:left w:val="nil"/>
              <w:bottom w:val="nil"/>
              <w:right w:val="nil"/>
            </w:tcBorders>
            <w:shd w:val="clear" w:color="auto" w:fill="auto"/>
            <w:noWrap/>
            <w:vAlign w:val="center"/>
            <w:hideMark/>
          </w:tcPr>
          <w:p w14:paraId="30C96F36"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FFFFFF"/>
            <w:vAlign w:val="center"/>
            <w:hideMark/>
          </w:tcPr>
          <w:p w14:paraId="3ABC388B"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61D202B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1F0AFD38" w14:textId="77777777" w:rsidTr="00ED568D">
        <w:trPr>
          <w:trHeight w:val="289"/>
        </w:trPr>
        <w:tc>
          <w:tcPr>
            <w:tcW w:w="4120" w:type="dxa"/>
            <w:tcBorders>
              <w:top w:val="nil"/>
              <w:left w:val="nil"/>
              <w:bottom w:val="nil"/>
              <w:right w:val="nil"/>
            </w:tcBorders>
            <w:shd w:val="clear" w:color="000000" w:fill="FFFFFF"/>
            <w:vAlign w:val="center"/>
            <w:hideMark/>
          </w:tcPr>
          <w:p w14:paraId="6D5F29A5"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Poštová banka,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nil"/>
              <w:left w:val="nil"/>
              <w:bottom w:val="nil"/>
              <w:right w:val="nil"/>
            </w:tcBorders>
            <w:shd w:val="clear" w:color="000000" w:fill="FFFFFF"/>
            <w:noWrap/>
            <w:vAlign w:val="center"/>
            <w:hideMark/>
          </w:tcPr>
          <w:p w14:paraId="76CD818B"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60" w:type="dxa"/>
            <w:tcBorders>
              <w:top w:val="nil"/>
              <w:left w:val="nil"/>
              <w:bottom w:val="nil"/>
              <w:right w:val="nil"/>
            </w:tcBorders>
            <w:shd w:val="clear" w:color="auto" w:fill="auto"/>
            <w:noWrap/>
            <w:vAlign w:val="center"/>
            <w:hideMark/>
          </w:tcPr>
          <w:p w14:paraId="44EFB332"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1060" w:type="dxa"/>
            <w:tcBorders>
              <w:top w:val="nil"/>
              <w:left w:val="nil"/>
              <w:bottom w:val="nil"/>
              <w:right w:val="nil"/>
            </w:tcBorders>
            <w:shd w:val="clear" w:color="000000" w:fill="FFFFFF"/>
            <w:noWrap/>
            <w:vAlign w:val="center"/>
            <w:hideMark/>
          </w:tcPr>
          <w:p w14:paraId="3ABA6F30"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1060" w:type="dxa"/>
            <w:tcBorders>
              <w:top w:val="nil"/>
              <w:left w:val="nil"/>
              <w:bottom w:val="nil"/>
              <w:right w:val="nil"/>
            </w:tcBorders>
            <w:shd w:val="clear" w:color="auto" w:fill="auto"/>
            <w:noWrap/>
            <w:vAlign w:val="center"/>
            <w:hideMark/>
          </w:tcPr>
          <w:p w14:paraId="1D485F1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FFFFFF"/>
            <w:vAlign w:val="center"/>
            <w:hideMark/>
          </w:tcPr>
          <w:p w14:paraId="7C753A0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38408A6B"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68EE871A" w14:textId="77777777" w:rsidTr="00ED568D">
        <w:trPr>
          <w:trHeight w:val="289"/>
        </w:trPr>
        <w:tc>
          <w:tcPr>
            <w:tcW w:w="4120" w:type="dxa"/>
            <w:tcBorders>
              <w:top w:val="nil"/>
              <w:left w:val="nil"/>
              <w:bottom w:val="nil"/>
              <w:right w:val="nil"/>
            </w:tcBorders>
            <w:shd w:val="clear" w:color="000000" w:fill="FFFFFF"/>
            <w:vAlign w:val="center"/>
            <w:hideMark/>
          </w:tcPr>
          <w:p w14:paraId="03A118BA" w14:textId="77777777" w:rsidR="00F44AE2" w:rsidRPr="002A79FA" w:rsidRDefault="00F44AE2" w:rsidP="00391C90">
            <w:pPr>
              <w:spacing w:after="0" w:line="240" w:lineRule="auto"/>
              <w:jc w:val="lef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Správa štátnych hmotných rezerv SR</w:t>
            </w:r>
          </w:p>
        </w:tc>
        <w:tc>
          <w:tcPr>
            <w:tcW w:w="920" w:type="dxa"/>
            <w:tcBorders>
              <w:top w:val="nil"/>
              <w:left w:val="nil"/>
              <w:bottom w:val="nil"/>
              <w:right w:val="nil"/>
            </w:tcBorders>
            <w:shd w:val="clear" w:color="000000" w:fill="FFFFFF"/>
            <w:noWrap/>
            <w:vAlign w:val="center"/>
            <w:hideMark/>
          </w:tcPr>
          <w:p w14:paraId="563E40B4"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0</w:t>
            </w:r>
          </w:p>
        </w:tc>
        <w:tc>
          <w:tcPr>
            <w:tcW w:w="960" w:type="dxa"/>
            <w:tcBorders>
              <w:top w:val="nil"/>
              <w:left w:val="nil"/>
              <w:bottom w:val="nil"/>
              <w:right w:val="nil"/>
            </w:tcBorders>
            <w:shd w:val="clear" w:color="auto" w:fill="auto"/>
            <w:noWrap/>
            <w:vAlign w:val="center"/>
            <w:hideMark/>
          </w:tcPr>
          <w:p w14:paraId="2D452EE1"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121</w:t>
            </w:r>
          </w:p>
        </w:tc>
        <w:tc>
          <w:tcPr>
            <w:tcW w:w="1060" w:type="dxa"/>
            <w:tcBorders>
              <w:top w:val="nil"/>
              <w:left w:val="nil"/>
              <w:bottom w:val="nil"/>
              <w:right w:val="nil"/>
            </w:tcBorders>
            <w:shd w:val="clear" w:color="000000" w:fill="FFFFFF"/>
            <w:noWrap/>
            <w:vAlign w:val="center"/>
            <w:hideMark/>
          </w:tcPr>
          <w:p w14:paraId="52244062"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0</w:t>
            </w:r>
          </w:p>
        </w:tc>
        <w:tc>
          <w:tcPr>
            <w:tcW w:w="1060" w:type="dxa"/>
            <w:tcBorders>
              <w:top w:val="nil"/>
              <w:left w:val="nil"/>
              <w:bottom w:val="nil"/>
              <w:right w:val="nil"/>
            </w:tcBorders>
            <w:shd w:val="clear" w:color="auto" w:fill="auto"/>
            <w:noWrap/>
            <w:vAlign w:val="center"/>
            <w:hideMark/>
          </w:tcPr>
          <w:p w14:paraId="53C6D6DA"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93</w:t>
            </w:r>
          </w:p>
        </w:tc>
        <w:tc>
          <w:tcPr>
            <w:tcW w:w="940" w:type="dxa"/>
            <w:tcBorders>
              <w:top w:val="nil"/>
              <w:left w:val="nil"/>
              <w:bottom w:val="nil"/>
              <w:right w:val="nil"/>
            </w:tcBorders>
            <w:shd w:val="clear" w:color="000000" w:fill="FFFFFF"/>
            <w:vAlign w:val="center"/>
            <w:hideMark/>
          </w:tcPr>
          <w:p w14:paraId="0E2D4E94"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93</w:t>
            </w:r>
          </w:p>
        </w:tc>
        <w:tc>
          <w:tcPr>
            <w:tcW w:w="721" w:type="dxa"/>
            <w:tcBorders>
              <w:top w:val="nil"/>
              <w:left w:val="nil"/>
              <w:bottom w:val="nil"/>
              <w:right w:val="nil"/>
            </w:tcBorders>
            <w:shd w:val="clear" w:color="000000" w:fill="FFFFFF"/>
            <w:vAlign w:val="center"/>
            <w:hideMark/>
          </w:tcPr>
          <w:p w14:paraId="7B2C2E06"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40208C66" w14:textId="77777777" w:rsidTr="00ED568D">
        <w:trPr>
          <w:trHeight w:val="289"/>
        </w:trPr>
        <w:tc>
          <w:tcPr>
            <w:tcW w:w="4120" w:type="dxa"/>
            <w:tcBorders>
              <w:top w:val="nil"/>
              <w:left w:val="nil"/>
              <w:bottom w:val="nil"/>
              <w:right w:val="nil"/>
            </w:tcBorders>
            <w:shd w:val="clear" w:color="000000" w:fill="FFFFFF"/>
            <w:vAlign w:val="center"/>
            <w:hideMark/>
          </w:tcPr>
          <w:p w14:paraId="21C1D214"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Spoločnosť pre skladovanie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nil"/>
              <w:left w:val="nil"/>
              <w:bottom w:val="nil"/>
              <w:right w:val="nil"/>
            </w:tcBorders>
            <w:shd w:val="clear" w:color="000000" w:fill="FFFFFF"/>
            <w:noWrap/>
            <w:vAlign w:val="center"/>
            <w:hideMark/>
          </w:tcPr>
          <w:p w14:paraId="23A516BE"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60" w:type="dxa"/>
            <w:tcBorders>
              <w:top w:val="nil"/>
              <w:left w:val="nil"/>
              <w:bottom w:val="nil"/>
              <w:right w:val="nil"/>
            </w:tcBorders>
            <w:shd w:val="clear" w:color="auto" w:fill="auto"/>
            <w:noWrap/>
            <w:vAlign w:val="center"/>
            <w:hideMark/>
          </w:tcPr>
          <w:p w14:paraId="0F6649D3"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121</w:t>
            </w:r>
          </w:p>
        </w:tc>
        <w:tc>
          <w:tcPr>
            <w:tcW w:w="1060" w:type="dxa"/>
            <w:tcBorders>
              <w:top w:val="nil"/>
              <w:left w:val="nil"/>
              <w:bottom w:val="nil"/>
              <w:right w:val="nil"/>
            </w:tcBorders>
            <w:shd w:val="clear" w:color="000000" w:fill="FFFFFF"/>
            <w:noWrap/>
            <w:vAlign w:val="center"/>
            <w:hideMark/>
          </w:tcPr>
          <w:p w14:paraId="622ACC1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1060" w:type="dxa"/>
            <w:tcBorders>
              <w:top w:val="nil"/>
              <w:left w:val="nil"/>
              <w:bottom w:val="nil"/>
              <w:right w:val="nil"/>
            </w:tcBorders>
            <w:shd w:val="clear" w:color="auto" w:fill="auto"/>
            <w:noWrap/>
            <w:vAlign w:val="center"/>
            <w:hideMark/>
          </w:tcPr>
          <w:p w14:paraId="1EE551AC"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93</w:t>
            </w:r>
          </w:p>
        </w:tc>
        <w:tc>
          <w:tcPr>
            <w:tcW w:w="940" w:type="dxa"/>
            <w:tcBorders>
              <w:top w:val="nil"/>
              <w:left w:val="nil"/>
              <w:bottom w:val="nil"/>
              <w:right w:val="nil"/>
            </w:tcBorders>
            <w:shd w:val="clear" w:color="000000" w:fill="FFFFFF"/>
            <w:vAlign w:val="center"/>
            <w:hideMark/>
          </w:tcPr>
          <w:p w14:paraId="5E7B04DB"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93</w:t>
            </w:r>
          </w:p>
        </w:tc>
        <w:tc>
          <w:tcPr>
            <w:tcW w:w="721" w:type="dxa"/>
            <w:tcBorders>
              <w:top w:val="nil"/>
              <w:left w:val="nil"/>
              <w:bottom w:val="nil"/>
              <w:right w:val="nil"/>
            </w:tcBorders>
            <w:shd w:val="clear" w:color="000000" w:fill="FFFFFF"/>
            <w:vAlign w:val="center"/>
            <w:hideMark/>
          </w:tcPr>
          <w:p w14:paraId="30762970"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x</w:t>
            </w:r>
          </w:p>
        </w:tc>
      </w:tr>
      <w:tr w:rsidR="00F44AE2" w:rsidRPr="002A79FA" w14:paraId="6200188E" w14:textId="77777777" w:rsidTr="00ED568D">
        <w:trPr>
          <w:trHeight w:val="289"/>
        </w:trPr>
        <w:tc>
          <w:tcPr>
            <w:tcW w:w="4120" w:type="dxa"/>
            <w:tcBorders>
              <w:top w:val="nil"/>
              <w:left w:val="nil"/>
              <w:bottom w:val="nil"/>
              <w:right w:val="nil"/>
            </w:tcBorders>
            <w:shd w:val="clear" w:color="000000" w:fill="FFFFFF"/>
            <w:vAlign w:val="center"/>
            <w:hideMark/>
          </w:tcPr>
          <w:p w14:paraId="3BB6EF4F" w14:textId="77777777" w:rsidR="00F44AE2" w:rsidRPr="002A79FA" w:rsidRDefault="00F44AE2" w:rsidP="00391C90">
            <w:pPr>
              <w:spacing w:after="0" w:line="240" w:lineRule="auto"/>
              <w:jc w:val="lef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Všeobecná pokladničná správa*</w:t>
            </w:r>
          </w:p>
        </w:tc>
        <w:tc>
          <w:tcPr>
            <w:tcW w:w="920" w:type="dxa"/>
            <w:tcBorders>
              <w:top w:val="nil"/>
              <w:left w:val="nil"/>
              <w:bottom w:val="nil"/>
              <w:right w:val="nil"/>
            </w:tcBorders>
            <w:shd w:val="clear" w:color="000000" w:fill="FFFFFF"/>
            <w:noWrap/>
            <w:vAlign w:val="center"/>
            <w:hideMark/>
          </w:tcPr>
          <w:p w14:paraId="740783C3"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418 035</w:t>
            </w:r>
          </w:p>
        </w:tc>
        <w:tc>
          <w:tcPr>
            <w:tcW w:w="960" w:type="dxa"/>
            <w:tcBorders>
              <w:top w:val="nil"/>
              <w:left w:val="nil"/>
              <w:bottom w:val="nil"/>
              <w:right w:val="nil"/>
            </w:tcBorders>
            <w:shd w:val="clear" w:color="000000" w:fill="FFFFFF"/>
            <w:noWrap/>
            <w:vAlign w:val="center"/>
            <w:hideMark/>
          </w:tcPr>
          <w:p w14:paraId="5F56B66A"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442 445</w:t>
            </w:r>
          </w:p>
        </w:tc>
        <w:tc>
          <w:tcPr>
            <w:tcW w:w="1060" w:type="dxa"/>
            <w:tcBorders>
              <w:top w:val="nil"/>
              <w:left w:val="nil"/>
              <w:bottom w:val="nil"/>
              <w:right w:val="nil"/>
            </w:tcBorders>
            <w:shd w:val="clear" w:color="auto" w:fill="auto"/>
            <w:noWrap/>
            <w:vAlign w:val="center"/>
            <w:hideMark/>
          </w:tcPr>
          <w:p w14:paraId="1CA0F3FA"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368 686</w:t>
            </w:r>
          </w:p>
        </w:tc>
        <w:tc>
          <w:tcPr>
            <w:tcW w:w="1060" w:type="dxa"/>
            <w:tcBorders>
              <w:top w:val="nil"/>
              <w:left w:val="nil"/>
              <w:bottom w:val="nil"/>
              <w:right w:val="nil"/>
            </w:tcBorders>
            <w:shd w:val="clear" w:color="auto" w:fill="auto"/>
            <w:noWrap/>
            <w:vAlign w:val="center"/>
            <w:hideMark/>
          </w:tcPr>
          <w:p w14:paraId="65BC6DC6"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148 686</w:t>
            </w:r>
          </w:p>
        </w:tc>
        <w:tc>
          <w:tcPr>
            <w:tcW w:w="940" w:type="dxa"/>
            <w:tcBorders>
              <w:top w:val="nil"/>
              <w:left w:val="nil"/>
              <w:bottom w:val="nil"/>
              <w:right w:val="nil"/>
            </w:tcBorders>
            <w:shd w:val="clear" w:color="000000" w:fill="FFFFFF"/>
            <w:vAlign w:val="center"/>
            <w:hideMark/>
          </w:tcPr>
          <w:p w14:paraId="08CC285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-220 000</w:t>
            </w:r>
          </w:p>
        </w:tc>
        <w:tc>
          <w:tcPr>
            <w:tcW w:w="721" w:type="dxa"/>
            <w:tcBorders>
              <w:top w:val="nil"/>
              <w:left w:val="nil"/>
              <w:bottom w:val="nil"/>
              <w:right w:val="nil"/>
            </w:tcBorders>
            <w:shd w:val="clear" w:color="000000" w:fill="FFFFFF"/>
            <w:vAlign w:val="center"/>
            <w:hideMark/>
          </w:tcPr>
          <w:p w14:paraId="1B352CB0"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-59,7</w:t>
            </w:r>
          </w:p>
        </w:tc>
      </w:tr>
      <w:tr w:rsidR="00F44AE2" w:rsidRPr="002A79FA" w14:paraId="78771829" w14:textId="77777777" w:rsidTr="00ED568D">
        <w:trPr>
          <w:trHeight w:val="289"/>
        </w:trPr>
        <w:tc>
          <w:tcPr>
            <w:tcW w:w="4120" w:type="dxa"/>
            <w:tcBorders>
              <w:top w:val="nil"/>
              <w:left w:val="nil"/>
              <w:bottom w:val="nil"/>
              <w:right w:val="nil"/>
            </w:tcBorders>
            <w:shd w:val="clear" w:color="000000" w:fill="FFFFFF"/>
            <w:noWrap/>
            <w:vAlign w:val="center"/>
            <w:hideMark/>
          </w:tcPr>
          <w:p w14:paraId="38BAD767"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Slovenský plynárenský priemysel,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nil"/>
              <w:left w:val="nil"/>
              <w:bottom w:val="nil"/>
              <w:right w:val="nil"/>
            </w:tcBorders>
            <w:shd w:val="clear" w:color="000000" w:fill="FFFFFF"/>
            <w:noWrap/>
            <w:vAlign w:val="center"/>
            <w:hideMark/>
          </w:tcPr>
          <w:p w14:paraId="72E65FC2"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250 000</w:t>
            </w:r>
          </w:p>
        </w:tc>
        <w:tc>
          <w:tcPr>
            <w:tcW w:w="960" w:type="dxa"/>
            <w:tcBorders>
              <w:top w:val="nil"/>
              <w:left w:val="nil"/>
              <w:bottom w:val="nil"/>
              <w:right w:val="nil"/>
            </w:tcBorders>
            <w:shd w:val="clear" w:color="auto" w:fill="auto"/>
            <w:noWrap/>
            <w:vAlign w:val="center"/>
            <w:hideMark/>
          </w:tcPr>
          <w:p w14:paraId="0AF49169"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250 000</w:t>
            </w:r>
          </w:p>
        </w:tc>
        <w:tc>
          <w:tcPr>
            <w:tcW w:w="1060" w:type="dxa"/>
            <w:tcBorders>
              <w:top w:val="nil"/>
              <w:left w:val="nil"/>
              <w:bottom w:val="nil"/>
              <w:right w:val="nil"/>
            </w:tcBorders>
            <w:shd w:val="clear" w:color="000000" w:fill="FFFFFF"/>
            <w:noWrap/>
            <w:vAlign w:val="center"/>
            <w:hideMark/>
          </w:tcPr>
          <w:p w14:paraId="637B2D67"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220 000</w:t>
            </w:r>
          </w:p>
        </w:tc>
        <w:tc>
          <w:tcPr>
            <w:tcW w:w="1060" w:type="dxa"/>
            <w:tcBorders>
              <w:top w:val="nil"/>
              <w:left w:val="nil"/>
              <w:bottom w:val="nil"/>
              <w:right w:val="nil"/>
            </w:tcBorders>
            <w:shd w:val="clear" w:color="auto" w:fill="auto"/>
            <w:noWrap/>
            <w:vAlign w:val="center"/>
            <w:hideMark/>
          </w:tcPr>
          <w:p w14:paraId="0789B478"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FFFFFF"/>
            <w:vAlign w:val="center"/>
            <w:hideMark/>
          </w:tcPr>
          <w:p w14:paraId="48DD1039"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-220 000</w:t>
            </w:r>
          </w:p>
        </w:tc>
        <w:tc>
          <w:tcPr>
            <w:tcW w:w="721" w:type="dxa"/>
            <w:tcBorders>
              <w:top w:val="nil"/>
              <w:left w:val="nil"/>
              <w:bottom w:val="nil"/>
              <w:right w:val="nil"/>
            </w:tcBorders>
            <w:shd w:val="clear" w:color="000000" w:fill="FFFFFF"/>
            <w:vAlign w:val="center"/>
            <w:hideMark/>
          </w:tcPr>
          <w:p w14:paraId="63C43020"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-100,0</w:t>
            </w:r>
          </w:p>
        </w:tc>
      </w:tr>
      <w:tr w:rsidR="00F44AE2" w:rsidRPr="002A79FA" w14:paraId="70F0CD7F" w14:textId="77777777" w:rsidTr="00ED568D">
        <w:trPr>
          <w:trHeight w:val="289"/>
        </w:trPr>
        <w:tc>
          <w:tcPr>
            <w:tcW w:w="4120" w:type="dxa"/>
            <w:tcBorders>
              <w:top w:val="nil"/>
              <w:left w:val="nil"/>
              <w:bottom w:val="nil"/>
              <w:right w:val="nil"/>
            </w:tcBorders>
            <w:shd w:val="clear" w:color="000000" w:fill="FFFFFF"/>
            <w:noWrap/>
            <w:vAlign w:val="center"/>
            <w:hideMark/>
          </w:tcPr>
          <w:p w14:paraId="0BE6C340"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Západoslovenská energetika, a. s.</w:t>
            </w:r>
          </w:p>
        </w:tc>
        <w:tc>
          <w:tcPr>
            <w:tcW w:w="920" w:type="dxa"/>
            <w:tcBorders>
              <w:top w:val="nil"/>
              <w:left w:val="nil"/>
              <w:bottom w:val="nil"/>
              <w:right w:val="nil"/>
            </w:tcBorders>
            <w:shd w:val="clear" w:color="000000" w:fill="FFFFFF"/>
            <w:noWrap/>
            <w:vAlign w:val="center"/>
            <w:hideMark/>
          </w:tcPr>
          <w:p w14:paraId="2EDD2686"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37 808</w:t>
            </w:r>
          </w:p>
        </w:tc>
        <w:tc>
          <w:tcPr>
            <w:tcW w:w="960" w:type="dxa"/>
            <w:tcBorders>
              <w:top w:val="nil"/>
              <w:left w:val="nil"/>
              <w:bottom w:val="nil"/>
              <w:right w:val="nil"/>
            </w:tcBorders>
            <w:shd w:val="clear" w:color="auto" w:fill="auto"/>
            <w:noWrap/>
            <w:vAlign w:val="center"/>
            <w:hideMark/>
          </w:tcPr>
          <w:p w14:paraId="751BA5F6"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45 697</w:t>
            </w:r>
          </w:p>
        </w:tc>
        <w:tc>
          <w:tcPr>
            <w:tcW w:w="1060" w:type="dxa"/>
            <w:tcBorders>
              <w:top w:val="nil"/>
              <w:left w:val="nil"/>
              <w:bottom w:val="nil"/>
              <w:right w:val="nil"/>
            </w:tcBorders>
            <w:shd w:val="clear" w:color="000000" w:fill="FFFFFF"/>
            <w:noWrap/>
            <w:vAlign w:val="center"/>
            <w:hideMark/>
          </w:tcPr>
          <w:p w14:paraId="40BAD2E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44 839</w:t>
            </w:r>
          </w:p>
        </w:tc>
        <w:tc>
          <w:tcPr>
            <w:tcW w:w="1060" w:type="dxa"/>
            <w:tcBorders>
              <w:top w:val="nil"/>
              <w:left w:val="nil"/>
              <w:bottom w:val="nil"/>
              <w:right w:val="nil"/>
            </w:tcBorders>
            <w:shd w:val="clear" w:color="auto" w:fill="auto"/>
            <w:vAlign w:val="center"/>
            <w:hideMark/>
          </w:tcPr>
          <w:p w14:paraId="5A3A4149"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44 839</w:t>
            </w:r>
          </w:p>
        </w:tc>
        <w:tc>
          <w:tcPr>
            <w:tcW w:w="940" w:type="dxa"/>
            <w:tcBorders>
              <w:top w:val="nil"/>
              <w:left w:val="nil"/>
              <w:bottom w:val="nil"/>
              <w:right w:val="nil"/>
            </w:tcBorders>
            <w:shd w:val="clear" w:color="000000" w:fill="FFFFFF"/>
            <w:vAlign w:val="center"/>
            <w:hideMark/>
          </w:tcPr>
          <w:p w14:paraId="07E7650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531BEA1A"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0,0</w:t>
            </w:r>
          </w:p>
        </w:tc>
      </w:tr>
      <w:tr w:rsidR="00F44AE2" w:rsidRPr="002A79FA" w14:paraId="11B8B6A2" w14:textId="77777777" w:rsidTr="00ED568D">
        <w:trPr>
          <w:trHeight w:val="289"/>
        </w:trPr>
        <w:tc>
          <w:tcPr>
            <w:tcW w:w="4120" w:type="dxa"/>
            <w:tcBorders>
              <w:top w:val="nil"/>
              <w:left w:val="nil"/>
              <w:bottom w:val="nil"/>
              <w:right w:val="nil"/>
            </w:tcBorders>
            <w:shd w:val="clear" w:color="000000" w:fill="FFFFFF"/>
            <w:noWrap/>
            <w:vAlign w:val="center"/>
            <w:hideMark/>
          </w:tcPr>
          <w:p w14:paraId="61086A1C"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Stredoslovenská energetika, a s.</w:t>
            </w:r>
          </w:p>
        </w:tc>
        <w:tc>
          <w:tcPr>
            <w:tcW w:w="920" w:type="dxa"/>
            <w:tcBorders>
              <w:top w:val="nil"/>
              <w:left w:val="nil"/>
              <w:bottom w:val="nil"/>
              <w:right w:val="nil"/>
            </w:tcBorders>
            <w:shd w:val="clear" w:color="000000" w:fill="FFFFFF"/>
            <w:noWrap/>
            <w:vAlign w:val="center"/>
            <w:hideMark/>
          </w:tcPr>
          <w:p w14:paraId="1ADBA072"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96 204</w:t>
            </w:r>
          </w:p>
        </w:tc>
        <w:tc>
          <w:tcPr>
            <w:tcW w:w="960" w:type="dxa"/>
            <w:tcBorders>
              <w:top w:val="nil"/>
              <w:left w:val="nil"/>
              <w:bottom w:val="nil"/>
              <w:right w:val="nil"/>
            </w:tcBorders>
            <w:shd w:val="clear" w:color="auto" w:fill="auto"/>
            <w:noWrap/>
            <w:vAlign w:val="center"/>
            <w:hideMark/>
          </w:tcPr>
          <w:p w14:paraId="76A6FAF2"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113 071</w:t>
            </w:r>
          </w:p>
        </w:tc>
        <w:tc>
          <w:tcPr>
            <w:tcW w:w="1060" w:type="dxa"/>
            <w:tcBorders>
              <w:top w:val="nil"/>
              <w:left w:val="nil"/>
              <w:bottom w:val="nil"/>
              <w:right w:val="nil"/>
            </w:tcBorders>
            <w:shd w:val="clear" w:color="000000" w:fill="FFFFFF"/>
            <w:noWrap/>
            <w:vAlign w:val="center"/>
            <w:hideMark/>
          </w:tcPr>
          <w:p w14:paraId="7EF60554"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74 777</w:t>
            </w:r>
          </w:p>
        </w:tc>
        <w:tc>
          <w:tcPr>
            <w:tcW w:w="1060" w:type="dxa"/>
            <w:tcBorders>
              <w:top w:val="nil"/>
              <w:left w:val="nil"/>
              <w:bottom w:val="nil"/>
              <w:right w:val="nil"/>
            </w:tcBorders>
            <w:shd w:val="clear" w:color="auto" w:fill="auto"/>
            <w:vAlign w:val="center"/>
            <w:hideMark/>
          </w:tcPr>
          <w:p w14:paraId="3F376B9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74 777</w:t>
            </w:r>
          </w:p>
        </w:tc>
        <w:tc>
          <w:tcPr>
            <w:tcW w:w="940" w:type="dxa"/>
            <w:tcBorders>
              <w:top w:val="nil"/>
              <w:left w:val="nil"/>
              <w:bottom w:val="nil"/>
              <w:right w:val="nil"/>
            </w:tcBorders>
            <w:shd w:val="clear" w:color="000000" w:fill="FFFFFF"/>
            <w:vAlign w:val="center"/>
            <w:hideMark/>
          </w:tcPr>
          <w:p w14:paraId="4C2848DD"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40803687"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0,0</w:t>
            </w:r>
          </w:p>
        </w:tc>
      </w:tr>
      <w:tr w:rsidR="00F44AE2" w:rsidRPr="002A79FA" w14:paraId="033F195C" w14:textId="77777777" w:rsidTr="00ED568D">
        <w:trPr>
          <w:trHeight w:val="289"/>
        </w:trPr>
        <w:tc>
          <w:tcPr>
            <w:tcW w:w="4120" w:type="dxa"/>
            <w:tcBorders>
              <w:top w:val="nil"/>
              <w:left w:val="nil"/>
              <w:bottom w:val="nil"/>
              <w:right w:val="nil"/>
            </w:tcBorders>
            <w:shd w:val="clear" w:color="000000" w:fill="FFFFFF"/>
            <w:noWrap/>
            <w:vAlign w:val="center"/>
            <w:hideMark/>
          </w:tcPr>
          <w:p w14:paraId="7643134E" w14:textId="77777777" w:rsidR="00F44AE2" w:rsidRPr="002A79FA" w:rsidRDefault="00F44AE2" w:rsidP="00391C90">
            <w:pPr>
              <w:spacing w:after="0" w:line="240" w:lineRule="auto"/>
              <w:jc w:val="left"/>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   Východoslovenská energetika HOLDING, </w:t>
            </w:r>
            <w:proofErr w:type="spellStart"/>
            <w:r w:rsidRPr="002A79FA">
              <w:rPr>
                <w:rFonts w:eastAsia="Times New Roman" w:cs="Times New Roman"/>
                <w:color w:val="000000"/>
                <w:sz w:val="18"/>
                <w:szCs w:val="18"/>
                <w:lang w:eastAsia="sk-SK"/>
              </w:rPr>
              <w:t>a.s</w:t>
            </w:r>
            <w:proofErr w:type="spellEnd"/>
            <w:r w:rsidRPr="002A79FA">
              <w:rPr>
                <w:rFonts w:eastAsia="Times New Roman" w:cs="Times New Roman"/>
                <w:color w:val="000000"/>
                <w:sz w:val="18"/>
                <w:szCs w:val="18"/>
                <w:lang w:eastAsia="sk-SK"/>
              </w:rPr>
              <w:t>.</w:t>
            </w:r>
          </w:p>
        </w:tc>
        <w:tc>
          <w:tcPr>
            <w:tcW w:w="920" w:type="dxa"/>
            <w:tcBorders>
              <w:top w:val="nil"/>
              <w:left w:val="nil"/>
              <w:bottom w:val="nil"/>
              <w:right w:val="nil"/>
            </w:tcBorders>
            <w:shd w:val="clear" w:color="000000" w:fill="FFFFFF"/>
            <w:noWrap/>
            <w:vAlign w:val="center"/>
            <w:hideMark/>
          </w:tcPr>
          <w:p w14:paraId="064888DB"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34 023</w:t>
            </w:r>
          </w:p>
        </w:tc>
        <w:tc>
          <w:tcPr>
            <w:tcW w:w="960" w:type="dxa"/>
            <w:tcBorders>
              <w:top w:val="nil"/>
              <w:left w:val="nil"/>
              <w:bottom w:val="nil"/>
              <w:right w:val="nil"/>
            </w:tcBorders>
            <w:shd w:val="clear" w:color="auto" w:fill="auto"/>
            <w:noWrap/>
            <w:vAlign w:val="center"/>
            <w:hideMark/>
          </w:tcPr>
          <w:p w14:paraId="27B6F43B"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33 677</w:t>
            </w:r>
          </w:p>
        </w:tc>
        <w:tc>
          <w:tcPr>
            <w:tcW w:w="1060" w:type="dxa"/>
            <w:tcBorders>
              <w:top w:val="nil"/>
              <w:left w:val="nil"/>
              <w:bottom w:val="nil"/>
              <w:right w:val="nil"/>
            </w:tcBorders>
            <w:shd w:val="clear" w:color="000000" w:fill="FFFFFF"/>
            <w:noWrap/>
            <w:vAlign w:val="center"/>
            <w:hideMark/>
          </w:tcPr>
          <w:p w14:paraId="30C43787"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29 070</w:t>
            </w:r>
          </w:p>
        </w:tc>
        <w:tc>
          <w:tcPr>
            <w:tcW w:w="1060" w:type="dxa"/>
            <w:tcBorders>
              <w:top w:val="nil"/>
              <w:left w:val="nil"/>
              <w:bottom w:val="single" w:sz="4" w:space="0" w:color="auto"/>
              <w:right w:val="nil"/>
            </w:tcBorders>
            <w:shd w:val="clear" w:color="auto" w:fill="auto"/>
            <w:vAlign w:val="center"/>
            <w:hideMark/>
          </w:tcPr>
          <w:p w14:paraId="72930371"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29 070</w:t>
            </w:r>
          </w:p>
        </w:tc>
        <w:tc>
          <w:tcPr>
            <w:tcW w:w="940" w:type="dxa"/>
            <w:tcBorders>
              <w:top w:val="nil"/>
              <w:left w:val="nil"/>
              <w:bottom w:val="nil"/>
              <w:right w:val="nil"/>
            </w:tcBorders>
            <w:shd w:val="clear" w:color="000000" w:fill="FFFFFF"/>
            <w:vAlign w:val="center"/>
            <w:hideMark/>
          </w:tcPr>
          <w:p w14:paraId="0CF7F83F"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w:t>
            </w:r>
          </w:p>
        </w:tc>
        <w:tc>
          <w:tcPr>
            <w:tcW w:w="721" w:type="dxa"/>
            <w:tcBorders>
              <w:top w:val="nil"/>
              <w:left w:val="nil"/>
              <w:bottom w:val="nil"/>
              <w:right w:val="nil"/>
            </w:tcBorders>
            <w:shd w:val="clear" w:color="000000" w:fill="FFFFFF"/>
            <w:vAlign w:val="center"/>
            <w:hideMark/>
          </w:tcPr>
          <w:p w14:paraId="1FFB3579"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0,0</w:t>
            </w:r>
          </w:p>
        </w:tc>
      </w:tr>
      <w:tr w:rsidR="00F44AE2" w:rsidRPr="002A79FA" w14:paraId="7A05C69F" w14:textId="77777777" w:rsidTr="00ED568D">
        <w:trPr>
          <w:trHeight w:val="289"/>
        </w:trPr>
        <w:tc>
          <w:tcPr>
            <w:tcW w:w="4120" w:type="dxa"/>
            <w:tcBorders>
              <w:top w:val="single" w:sz="4" w:space="0" w:color="auto"/>
              <w:left w:val="nil"/>
              <w:bottom w:val="single" w:sz="8" w:space="0" w:color="auto"/>
              <w:right w:val="nil"/>
            </w:tcBorders>
            <w:shd w:val="clear" w:color="000000" w:fill="FFFFFF"/>
            <w:noWrap/>
            <w:vAlign w:val="center"/>
            <w:hideMark/>
          </w:tcPr>
          <w:p w14:paraId="26BC8CF4" w14:textId="77777777" w:rsidR="00F44AE2" w:rsidRPr="002A79FA" w:rsidRDefault="00F44AE2" w:rsidP="00391C90">
            <w:pPr>
              <w:spacing w:after="0" w:line="240" w:lineRule="auto"/>
              <w:jc w:val="lef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Spolu</w:t>
            </w:r>
          </w:p>
        </w:tc>
        <w:tc>
          <w:tcPr>
            <w:tcW w:w="920" w:type="dxa"/>
            <w:tcBorders>
              <w:top w:val="single" w:sz="4" w:space="0" w:color="auto"/>
              <w:left w:val="nil"/>
              <w:bottom w:val="single" w:sz="8" w:space="0" w:color="auto"/>
              <w:right w:val="nil"/>
            </w:tcBorders>
            <w:shd w:val="clear" w:color="000000" w:fill="FFFFFF"/>
            <w:noWrap/>
            <w:vAlign w:val="center"/>
            <w:hideMark/>
          </w:tcPr>
          <w:p w14:paraId="2A783EC4"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428 129</w:t>
            </w:r>
          </w:p>
        </w:tc>
        <w:tc>
          <w:tcPr>
            <w:tcW w:w="960" w:type="dxa"/>
            <w:tcBorders>
              <w:top w:val="single" w:sz="4" w:space="0" w:color="auto"/>
              <w:left w:val="nil"/>
              <w:bottom w:val="single" w:sz="8" w:space="0" w:color="auto"/>
              <w:right w:val="nil"/>
            </w:tcBorders>
            <w:shd w:val="clear" w:color="000000" w:fill="FFFFFF"/>
            <w:noWrap/>
            <w:vAlign w:val="center"/>
            <w:hideMark/>
          </w:tcPr>
          <w:p w14:paraId="620CB2AD"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480 226</w:t>
            </w:r>
          </w:p>
        </w:tc>
        <w:tc>
          <w:tcPr>
            <w:tcW w:w="1060" w:type="dxa"/>
            <w:tcBorders>
              <w:top w:val="single" w:sz="4" w:space="0" w:color="auto"/>
              <w:left w:val="nil"/>
              <w:bottom w:val="single" w:sz="8" w:space="0" w:color="auto"/>
              <w:right w:val="nil"/>
            </w:tcBorders>
            <w:shd w:val="clear" w:color="000000" w:fill="FFFFFF"/>
            <w:noWrap/>
            <w:vAlign w:val="center"/>
            <w:hideMark/>
          </w:tcPr>
          <w:p w14:paraId="1C2F9002"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383 955</w:t>
            </w:r>
          </w:p>
        </w:tc>
        <w:tc>
          <w:tcPr>
            <w:tcW w:w="1060" w:type="dxa"/>
            <w:tcBorders>
              <w:top w:val="nil"/>
              <w:left w:val="nil"/>
              <w:bottom w:val="single" w:sz="8" w:space="0" w:color="auto"/>
              <w:right w:val="nil"/>
            </w:tcBorders>
            <w:shd w:val="clear" w:color="000000" w:fill="FFFFFF"/>
            <w:noWrap/>
            <w:vAlign w:val="center"/>
            <w:hideMark/>
          </w:tcPr>
          <w:p w14:paraId="67B46B8D"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160 519</w:t>
            </w:r>
          </w:p>
        </w:tc>
        <w:tc>
          <w:tcPr>
            <w:tcW w:w="940" w:type="dxa"/>
            <w:tcBorders>
              <w:top w:val="single" w:sz="4" w:space="0" w:color="auto"/>
              <w:left w:val="nil"/>
              <w:bottom w:val="single" w:sz="8" w:space="0" w:color="auto"/>
              <w:right w:val="nil"/>
            </w:tcBorders>
            <w:shd w:val="clear" w:color="000000" w:fill="FFFFFF"/>
            <w:noWrap/>
            <w:vAlign w:val="center"/>
            <w:hideMark/>
          </w:tcPr>
          <w:p w14:paraId="0F8EDD5D"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-223 436</w:t>
            </w:r>
          </w:p>
        </w:tc>
        <w:tc>
          <w:tcPr>
            <w:tcW w:w="721" w:type="dxa"/>
            <w:tcBorders>
              <w:top w:val="single" w:sz="4" w:space="0" w:color="auto"/>
              <w:left w:val="nil"/>
              <w:bottom w:val="single" w:sz="8" w:space="0" w:color="auto"/>
              <w:right w:val="nil"/>
            </w:tcBorders>
            <w:shd w:val="clear" w:color="000000" w:fill="FFFFFF"/>
            <w:noWrap/>
            <w:vAlign w:val="center"/>
            <w:hideMark/>
          </w:tcPr>
          <w:p w14:paraId="76CEE3CA" w14:textId="77777777" w:rsidR="00F44AE2" w:rsidRPr="002A79FA" w:rsidRDefault="00F44AE2" w:rsidP="00391C90">
            <w:pPr>
              <w:spacing w:after="0" w:line="240" w:lineRule="auto"/>
              <w:jc w:val="right"/>
              <w:rPr>
                <w:rFonts w:eastAsia="Times New Roman" w:cs="Times New Roman"/>
                <w:b/>
                <w:bCs/>
                <w:color w:val="000000"/>
                <w:sz w:val="18"/>
                <w:szCs w:val="18"/>
                <w:lang w:eastAsia="sk-SK"/>
              </w:rPr>
            </w:pPr>
            <w:r w:rsidRPr="002A79FA">
              <w:rPr>
                <w:rFonts w:eastAsia="Times New Roman" w:cs="Times New Roman"/>
                <w:b/>
                <w:bCs/>
                <w:color w:val="000000"/>
                <w:sz w:val="18"/>
                <w:szCs w:val="18"/>
                <w:lang w:eastAsia="sk-SK"/>
              </w:rPr>
              <w:t>-58,2</w:t>
            </w:r>
          </w:p>
        </w:tc>
      </w:tr>
      <w:tr w:rsidR="00F44AE2" w:rsidRPr="002A79FA" w14:paraId="537C5F76" w14:textId="77777777" w:rsidTr="00ED568D">
        <w:trPr>
          <w:trHeight w:val="540"/>
        </w:trPr>
        <w:tc>
          <w:tcPr>
            <w:tcW w:w="8120" w:type="dxa"/>
            <w:gridSpan w:val="5"/>
            <w:tcBorders>
              <w:top w:val="nil"/>
              <w:left w:val="nil"/>
              <w:bottom w:val="nil"/>
              <w:right w:val="nil"/>
            </w:tcBorders>
            <w:shd w:val="clear" w:color="auto" w:fill="auto"/>
            <w:noWrap/>
            <w:vAlign w:val="center"/>
            <w:hideMark/>
          </w:tcPr>
          <w:p w14:paraId="4AA1C6E9" w14:textId="77777777" w:rsidR="00F44AE2" w:rsidRPr="002A79FA" w:rsidRDefault="00F44AE2" w:rsidP="00391C90">
            <w:pPr>
              <w:spacing w:after="0" w:line="240" w:lineRule="auto"/>
              <w:rPr>
                <w:rFonts w:eastAsia="Times New Roman" w:cs="Times New Roman"/>
                <w:color w:val="000000"/>
                <w:sz w:val="18"/>
                <w:szCs w:val="18"/>
                <w:lang w:eastAsia="sk-SK"/>
              </w:rPr>
            </w:pPr>
            <w:r w:rsidRPr="002A79FA">
              <w:rPr>
                <w:rFonts w:eastAsia="Times New Roman" w:cs="Times New Roman"/>
                <w:color w:val="000000"/>
                <w:sz w:val="18"/>
                <w:szCs w:val="18"/>
                <w:lang w:eastAsia="sk-SK"/>
              </w:rPr>
              <w:t xml:space="preserve">*Podiely daných spoločností sú účtovne evidované pod MH SR. Dividendy plynú na osobitné účty Všeobecnej pokladničnej správy obdobne ako tomu bolo počas existencie zrušeného FNM SR. </w:t>
            </w:r>
          </w:p>
        </w:tc>
        <w:tc>
          <w:tcPr>
            <w:tcW w:w="1661" w:type="dxa"/>
            <w:gridSpan w:val="2"/>
            <w:tcBorders>
              <w:top w:val="nil"/>
              <w:left w:val="nil"/>
              <w:bottom w:val="nil"/>
              <w:right w:val="nil"/>
            </w:tcBorders>
            <w:shd w:val="clear" w:color="auto" w:fill="auto"/>
            <w:noWrap/>
            <w:hideMark/>
          </w:tcPr>
          <w:p w14:paraId="3B58A9F1" w14:textId="77777777" w:rsidR="00F44AE2" w:rsidRPr="002A79FA" w:rsidRDefault="00F44AE2" w:rsidP="00391C90">
            <w:pPr>
              <w:spacing w:after="0" w:line="240" w:lineRule="auto"/>
              <w:jc w:val="right"/>
              <w:rPr>
                <w:rFonts w:eastAsia="Times New Roman" w:cs="Times New Roman"/>
                <w:color w:val="000000"/>
                <w:sz w:val="18"/>
                <w:szCs w:val="18"/>
                <w:lang w:eastAsia="sk-SK"/>
              </w:rPr>
            </w:pPr>
            <w:r w:rsidRPr="002A79FA">
              <w:rPr>
                <w:rFonts w:eastAsia="Times New Roman" w:cs="Times New Roman"/>
                <w:color w:val="000000"/>
                <w:sz w:val="18"/>
                <w:szCs w:val="18"/>
                <w:lang w:eastAsia="sk-SK"/>
              </w:rPr>
              <w:t>Zdroj: MF SR</w:t>
            </w:r>
          </w:p>
        </w:tc>
      </w:tr>
    </w:tbl>
    <w:p w14:paraId="656714B2" w14:textId="77777777" w:rsidR="00F44AE2" w:rsidRDefault="00F44AE2" w:rsidP="00F44AE2">
      <w:pPr>
        <w:tabs>
          <w:tab w:val="left" w:pos="284"/>
        </w:tabs>
        <w:spacing w:line="240" w:lineRule="auto"/>
        <w:rPr>
          <w:sz w:val="24"/>
          <w:szCs w:val="24"/>
        </w:rPr>
      </w:pPr>
    </w:p>
    <w:p w14:paraId="3E91E0E8" w14:textId="77777777" w:rsidR="00F44AE2" w:rsidRPr="005F67C8" w:rsidRDefault="00F44AE2" w:rsidP="00F44AE2">
      <w:pPr>
        <w:tabs>
          <w:tab w:val="left" w:pos="284"/>
        </w:tabs>
        <w:spacing w:before="120" w:line="240" w:lineRule="auto"/>
        <w:rPr>
          <w:color w:val="000000" w:themeColor="text1"/>
          <w:sz w:val="24"/>
          <w:szCs w:val="24"/>
        </w:rPr>
      </w:pPr>
      <w:r w:rsidRPr="00A41EA9">
        <w:rPr>
          <w:color w:val="000000" w:themeColor="text1"/>
          <w:sz w:val="24"/>
          <w:szCs w:val="24"/>
        </w:rPr>
        <w:t xml:space="preserve">Celková výška prijatých dividend v roku 2022 bola v sume 160 519 tis. eur. </w:t>
      </w:r>
      <w:r>
        <w:rPr>
          <w:color w:val="000000" w:themeColor="text1"/>
          <w:sz w:val="24"/>
          <w:szCs w:val="24"/>
        </w:rPr>
        <w:t xml:space="preserve">Oproti schválenému rozpočtu v objeme 383 955 tis. eur ide o najväčší výpadok príjmov v rámci celkových nedaňových príjmov, a to až v sume 223 436 tis. eur. </w:t>
      </w:r>
      <w:r w:rsidRPr="00A41EA9">
        <w:rPr>
          <w:color w:val="000000" w:themeColor="text1"/>
          <w:sz w:val="24"/>
          <w:szCs w:val="24"/>
        </w:rPr>
        <w:t xml:space="preserve">Najvyšší príjem z dividend bol v kapitole </w:t>
      </w:r>
      <w:r w:rsidRPr="00A41EA9">
        <w:rPr>
          <w:color w:val="000000" w:themeColor="text1"/>
          <w:sz w:val="24"/>
          <w:szCs w:val="24"/>
          <w:u w:val="single"/>
        </w:rPr>
        <w:t>Všeobecná pokladničná správa</w:t>
      </w:r>
      <w:r w:rsidRPr="00A41EA9">
        <w:rPr>
          <w:color w:val="000000" w:themeColor="text1"/>
          <w:sz w:val="24"/>
          <w:szCs w:val="24"/>
        </w:rPr>
        <w:t xml:space="preserve"> v sume 148 686 tis. eur, do rozpočtu ktorej patria dividendy od Slovenského plynárenského priemyslu, a. s. a jednotlivých energetických spoločností. </w:t>
      </w:r>
      <w:r>
        <w:rPr>
          <w:color w:val="000000" w:themeColor="text1"/>
          <w:sz w:val="24"/>
          <w:szCs w:val="24"/>
        </w:rPr>
        <w:t xml:space="preserve">U Slovenského plynárenského priemyslu, a. s. prišlo k výpadku príjmov z dividend v sume 220 000 tis. eur </w:t>
      </w:r>
      <w:r w:rsidRPr="005F67C8">
        <w:rPr>
          <w:sz w:val="24"/>
          <w:szCs w:val="24"/>
        </w:rPr>
        <w:t xml:space="preserve">z dôvodu posunu </w:t>
      </w:r>
      <w:r>
        <w:rPr>
          <w:sz w:val="24"/>
          <w:szCs w:val="24"/>
        </w:rPr>
        <w:t>splatnosti výplaty dividend za rok 2022 z 31.</w:t>
      </w:r>
      <w:r>
        <w:t> </w:t>
      </w:r>
      <w:r w:rsidRPr="005F67C8">
        <w:rPr>
          <w:sz w:val="24"/>
          <w:szCs w:val="24"/>
        </w:rPr>
        <w:t>12.</w:t>
      </w:r>
      <w:r>
        <w:rPr>
          <w:sz w:val="24"/>
          <w:szCs w:val="24"/>
        </w:rPr>
        <w:t> </w:t>
      </w:r>
      <w:r w:rsidRPr="005F67C8">
        <w:rPr>
          <w:sz w:val="24"/>
          <w:szCs w:val="24"/>
        </w:rPr>
        <w:t>2022 na 31.</w:t>
      </w:r>
      <w:r>
        <w:rPr>
          <w:sz w:val="24"/>
          <w:szCs w:val="24"/>
        </w:rPr>
        <w:t> </w:t>
      </w:r>
      <w:r w:rsidRPr="005F67C8">
        <w:rPr>
          <w:sz w:val="24"/>
          <w:szCs w:val="24"/>
        </w:rPr>
        <w:t>03.</w:t>
      </w:r>
      <w:r>
        <w:rPr>
          <w:sz w:val="24"/>
          <w:szCs w:val="24"/>
        </w:rPr>
        <w:t> </w:t>
      </w:r>
      <w:r w:rsidRPr="005F67C8">
        <w:rPr>
          <w:sz w:val="24"/>
          <w:szCs w:val="24"/>
        </w:rPr>
        <w:t>2023.</w:t>
      </w:r>
      <w:r>
        <w:rPr>
          <w:sz w:val="24"/>
          <w:szCs w:val="24"/>
        </w:rPr>
        <w:t xml:space="preserve"> Ministerstvo financií SR nezískalo rozpočtované dividendy od Slovenskej elektrizačnej prenosovej sústavy, </w:t>
      </w:r>
      <w:proofErr w:type="spellStart"/>
      <w:r>
        <w:rPr>
          <w:sz w:val="24"/>
          <w:szCs w:val="24"/>
        </w:rPr>
        <w:t>a.s</w:t>
      </w:r>
      <w:proofErr w:type="spellEnd"/>
      <w:r>
        <w:rPr>
          <w:sz w:val="24"/>
          <w:szCs w:val="24"/>
        </w:rPr>
        <w:t>. v sume 7 909 tis. eur, nakoľko spoločnosť nevyplatila v roku 2022 dividendy z dôvodu nevytvorenia dostatočného zisku. Ostatné príjmy z dividend boli v kapitolách Ministerstva hospodárstva SR, Ministerstva zahraničných vecí a európskych záležitostí SR a Správy štátnych hmotných rezerv SR. Ich objem bol však nevýznamný.</w:t>
      </w:r>
    </w:p>
    <w:p w14:paraId="7D6E01DD" w14:textId="77777777" w:rsidR="00F44AE2" w:rsidRPr="004F3554" w:rsidRDefault="00F44AE2" w:rsidP="00F44AE2">
      <w:pPr>
        <w:tabs>
          <w:tab w:val="left" w:pos="284"/>
        </w:tabs>
        <w:spacing w:line="240" w:lineRule="auto"/>
        <w:rPr>
          <w:color w:val="000000" w:themeColor="text1"/>
          <w:sz w:val="24"/>
          <w:szCs w:val="24"/>
        </w:rPr>
      </w:pPr>
      <w:r w:rsidRPr="00261C0A">
        <w:rPr>
          <w:b/>
          <w:i/>
          <w:color w:val="000000" w:themeColor="text1"/>
          <w:sz w:val="24"/>
          <w:szCs w:val="24"/>
        </w:rPr>
        <w:t>Príjmy z vlastníctva</w:t>
      </w:r>
      <w:r w:rsidRPr="00261C0A">
        <w:rPr>
          <w:color w:val="000000" w:themeColor="text1"/>
          <w:sz w:val="24"/>
          <w:szCs w:val="24"/>
        </w:rPr>
        <w:t xml:space="preserve"> dosiahli 7 286 tis. eur, </w:t>
      </w:r>
      <w:r w:rsidRPr="002864B6">
        <w:rPr>
          <w:color w:val="000000" w:themeColor="text1"/>
          <w:sz w:val="24"/>
          <w:szCs w:val="24"/>
        </w:rPr>
        <w:t xml:space="preserve">z toho najviac v rozpočte Ministerstva spravodlivosti SR 1 229 tis. eur, </w:t>
      </w:r>
      <w:r>
        <w:rPr>
          <w:color w:val="000000" w:themeColor="text1"/>
          <w:sz w:val="24"/>
          <w:szCs w:val="24"/>
        </w:rPr>
        <w:t xml:space="preserve">Ministerstva vnútra SR 972 tis. eur, </w:t>
      </w:r>
      <w:r w:rsidRPr="00FE3F87">
        <w:rPr>
          <w:color w:val="000000" w:themeColor="text1"/>
          <w:sz w:val="24"/>
          <w:szCs w:val="24"/>
        </w:rPr>
        <w:t>Ministerstva zahraničných vecí a európskych záležitostí SR 827 tis. eur,</w:t>
      </w:r>
      <w:r>
        <w:rPr>
          <w:color w:val="FF0000"/>
          <w:sz w:val="24"/>
          <w:szCs w:val="24"/>
        </w:rPr>
        <w:t xml:space="preserve"> </w:t>
      </w:r>
      <w:r w:rsidRPr="00717290">
        <w:rPr>
          <w:color w:val="000000" w:themeColor="text1"/>
          <w:sz w:val="24"/>
          <w:szCs w:val="24"/>
        </w:rPr>
        <w:t xml:space="preserve">Ministerstva zdravotníctva SR 710 tis. eur. </w:t>
      </w:r>
      <w:r w:rsidRPr="004F3554">
        <w:rPr>
          <w:color w:val="000000" w:themeColor="text1"/>
          <w:sz w:val="24"/>
          <w:szCs w:val="24"/>
        </w:rPr>
        <w:t>Z celkovej sumy tvorili najviac príjmy z prenájmu budov a priestorov 6 089 tis. eur, príjmy z prenajatých pozemkov 590 tis. eur a príjmy z úhrad za využívanie prírodných liečivých zdrojov 526 tis. eur.</w:t>
      </w:r>
    </w:p>
    <w:p w14:paraId="004A7679" w14:textId="77777777" w:rsidR="00F44AE2" w:rsidRPr="00EB594C" w:rsidRDefault="00F44AE2" w:rsidP="00F44AE2">
      <w:pPr>
        <w:tabs>
          <w:tab w:val="left" w:pos="284"/>
        </w:tabs>
        <w:spacing w:line="240" w:lineRule="auto"/>
        <w:rPr>
          <w:color w:val="000000" w:themeColor="text1"/>
          <w:sz w:val="24"/>
          <w:szCs w:val="24"/>
        </w:rPr>
      </w:pPr>
      <w:r w:rsidRPr="00FC6BE2">
        <w:rPr>
          <w:b/>
          <w:i/>
          <w:color w:val="000000" w:themeColor="text1"/>
          <w:sz w:val="24"/>
          <w:szCs w:val="24"/>
        </w:rPr>
        <w:t>Iné príjmy z podnikania</w:t>
      </w:r>
      <w:r w:rsidRPr="00FC6BE2">
        <w:rPr>
          <w:color w:val="000000" w:themeColor="text1"/>
          <w:sz w:val="24"/>
          <w:szCs w:val="24"/>
        </w:rPr>
        <w:t xml:space="preserve"> dosiahli sumu 221 tis. eur, z toho najviac Ministerstvo životného prostredia SR získalo 200 tis. eur od Vodohospodárskej výstavby, š. p.</w:t>
      </w:r>
      <w:r>
        <w:rPr>
          <w:color w:val="FF0000"/>
          <w:sz w:val="24"/>
          <w:szCs w:val="24"/>
        </w:rPr>
        <w:t xml:space="preserve"> </w:t>
      </w:r>
      <w:r w:rsidRPr="00EB594C">
        <w:rPr>
          <w:color w:val="000000" w:themeColor="text1"/>
          <w:sz w:val="24"/>
          <w:szCs w:val="24"/>
        </w:rPr>
        <w:t>Najvyššiu sumu 250 tis. eur malo rozpočtovan</w:t>
      </w:r>
      <w:r>
        <w:rPr>
          <w:color w:val="000000" w:themeColor="text1"/>
          <w:sz w:val="24"/>
          <w:szCs w:val="24"/>
        </w:rPr>
        <w:t>é</w:t>
      </w:r>
      <w:r w:rsidRPr="00EB594C">
        <w:rPr>
          <w:color w:val="000000" w:themeColor="text1"/>
          <w:sz w:val="24"/>
          <w:szCs w:val="24"/>
        </w:rPr>
        <w:t xml:space="preserve"> Ministerstvo financií SR</w:t>
      </w:r>
      <w:r>
        <w:rPr>
          <w:color w:val="000000" w:themeColor="text1"/>
          <w:sz w:val="24"/>
          <w:szCs w:val="24"/>
        </w:rPr>
        <w:t>, kde išlo o odvod zo zisku od Exportno-importnej banky SR, ktorý sa však nerealizoval, nakoľko banka v roku 2021 skončila v strate.</w:t>
      </w:r>
    </w:p>
    <w:p w14:paraId="43AFA4BF" w14:textId="0C05A731" w:rsidR="00F44AE2" w:rsidRPr="00311606" w:rsidRDefault="00F44AE2" w:rsidP="00F44AE2">
      <w:pPr>
        <w:tabs>
          <w:tab w:val="left" w:pos="284"/>
        </w:tabs>
        <w:spacing w:line="240" w:lineRule="auto"/>
        <w:rPr>
          <w:color w:val="000000" w:themeColor="text1"/>
          <w:sz w:val="24"/>
          <w:szCs w:val="24"/>
        </w:rPr>
      </w:pPr>
      <w:r w:rsidRPr="00311606">
        <w:rPr>
          <w:b/>
          <w:color w:val="000000" w:themeColor="text1"/>
          <w:sz w:val="24"/>
          <w:szCs w:val="24"/>
        </w:rPr>
        <w:t>Príjem z administratívnych poplatkov a iných poplatkov a platieb</w:t>
      </w:r>
      <w:r w:rsidRPr="00311606">
        <w:rPr>
          <w:color w:val="000000" w:themeColor="text1"/>
          <w:sz w:val="24"/>
          <w:szCs w:val="24"/>
        </w:rPr>
        <w:t xml:space="preserve"> závisí od počtu jednotlivých konaní v priebehu roka. Skutočné plnenie vo výške 400 937 tis. e</w:t>
      </w:r>
      <w:r w:rsidR="00F554C5">
        <w:rPr>
          <w:color w:val="000000" w:themeColor="text1"/>
          <w:sz w:val="24"/>
          <w:szCs w:val="24"/>
        </w:rPr>
        <w:t>ur je najvyššie za </w:t>
      </w:r>
      <w:r>
        <w:rPr>
          <w:color w:val="000000" w:themeColor="text1"/>
          <w:sz w:val="24"/>
          <w:szCs w:val="24"/>
        </w:rPr>
        <w:t xml:space="preserve">ostatné </w:t>
      </w:r>
      <w:r w:rsidRPr="00311606">
        <w:rPr>
          <w:color w:val="000000" w:themeColor="text1"/>
          <w:sz w:val="24"/>
          <w:szCs w:val="24"/>
        </w:rPr>
        <w:t>tri roky.</w:t>
      </w:r>
    </w:p>
    <w:p w14:paraId="0B3429D1" w14:textId="77777777" w:rsidR="00063234" w:rsidRDefault="00063234">
      <w:r>
        <w:br w:type="page"/>
      </w:r>
    </w:p>
    <w:tbl>
      <w:tblPr>
        <w:tblW w:w="9214" w:type="dxa"/>
        <w:tblCellMar>
          <w:left w:w="70" w:type="dxa"/>
          <w:right w:w="70" w:type="dxa"/>
        </w:tblCellMar>
        <w:tblLook w:val="04A0" w:firstRow="1" w:lastRow="0" w:firstColumn="1" w:lastColumn="0" w:noHBand="0" w:noVBand="1"/>
      </w:tblPr>
      <w:tblGrid>
        <w:gridCol w:w="4283"/>
        <w:gridCol w:w="783"/>
        <w:gridCol w:w="836"/>
        <w:gridCol w:w="783"/>
        <w:gridCol w:w="906"/>
        <w:gridCol w:w="858"/>
        <w:gridCol w:w="765"/>
      </w:tblGrid>
      <w:tr w:rsidR="00F44AE2" w:rsidRPr="002A79FA" w14:paraId="4301FC01" w14:textId="77777777" w:rsidTr="00063234">
        <w:trPr>
          <w:trHeight w:val="288"/>
        </w:trPr>
        <w:tc>
          <w:tcPr>
            <w:tcW w:w="8449" w:type="dxa"/>
            <w:gridSpan w:val="6"/>
            <w:tcBorders>
              <w:top w:val="nil"/>
              <w:left w:val="nil"/>
              <w:bottom w:val="single" w:sz="8" w:space="0" w:color="auto"/>
              <w:right w:val="nil"/>
            </w:tcBorders>
            <w:shd w:val="clear" w:color="auto" w:fill="auto"/>
            <w:vAlign w:val="center"/>
            <w:hideMark/>
          </w:tcPr>
          <w:p w14:paraId="4F295DD8" w14:textId="2F9A872E" w:rsidR="00F44AE2" w:rsidRPr="002A79FA" w:rsidRDefault="00D50C99" w:rsidP="008B3212">
            <w:pPr>
              <w:spacing w:after="0" w:line="240" w:lineRule="auto"/>
              <w:jc w:val="left"/>
              <w:rPr>
                <w:rFonts w:eastAsia="Times New Roman" w:cs="Times New Roman"/>
                <w:b/>
                <w:bCs/>
                <w:color w:val="4F81BD"/>
                <w:sz w:val="20"/>
                <w:szCs w:val="20"/>
                <w:lang w:eastAsia="sk-SK"/>
              </w:rPr>
            </w:pPr>
            <w:r>
              <w:rPr>
                <w:rFonts w:eastAsia="Times New Roman" w:cs="Times New Roman"/>
                <w:b/>
                <w:bCs/>
                <w:color w:val="4F81BD"/>
                <w:sz w:val="20"/>
                <w:szCs w:val="20"/>
                <w:lang w:eastAsia="sk-SK"/>
              </w:rPr>
              <w:lastRenderedPageBreak/>
              <w:t>Tabuľka 2</w:t>
            </w:r>
            <w:r w:rsidR="008B3212">
              <w:rPr>
                <w:rFonts w:eastAsia="Times New Roman" w:cs="Times New Roman"/>
                <w:b/>
                <w:bCs/>
                <w:color w:val="4F81BD"/>
                <w:sz w:val="20"/>
                <w:szCs w:val="20"/>
                <w:lang w:eastAsia="sk-SK"/>
              </w:rPr>
              <w:t>9</w:t>
            </w:r>
            <w:r>
              <w:rPr>
                <w:rFonts w:eastAsia="Times New Roman" w:cs="Times New Roman"/>
                <w:b/>
                <w:bCs/>
                <w:color w:val="4F81BD"/>
                <w:sz w:val="20"/>
                <w:szCs w:val="20"/>
                <w:lang w:eastAsia="sk-SK"/>
              </w:rPr>
              <w:t xml:space="preserve"> - </w:t>
            </w:r>
            <w:r w:rsidR="00F44AE2" w:rsidRPr="002A79FA">
              <w:rPr>
                <w:rFonts w:eastAsia="Times New Roman" w:cs="Times New Roman"/>
                <w:b/>
                <w:bCs/>
                <w:color w:val="4F81BD"/>
                <w:sz w:val="20"/>
                <w:szCs w:val="20"/>
                <w:lang w:eastAsia="sk-SK"/>
              </w:rPr>
              <w:t>Administratívne poplatky a iné poplatky a platby</w:t>
            </w:r>
          </w:p>
        </w:tc>
        <w:tc>
          <w:tcPr>
            <w:tcW w:w="765" w:type="dxa"/>
            <w:tcBorders>
              <w:top w:val="nil"/>
              <w:left w:val="nil"/>
              <w:bottom w:val="single" w:sz="8" w:space="0" w:color="auto"/>
              <w:right w:val="nil"/>
            </w:tcBorders>
            <w:shd w:val="clear" w:color="auto" w:fill="auto"/>
            <w:noWrap/>
            <w:vAlign w:val="bottom"/>
            <w:hideMark/>
          </w:tcPr>
          <w:p w14:paraId="0101F433" w14:textId="77777777" w:rsidR="00F44AE2" w:rsidRPr="002A79FA" w:rsidRDefault="00F44AE2" w:rsidP="00391C90">
            <w:pPr>
              <w:spacing w:after="0" w:line="240" w:lineRule="auto"/>
              <w:jc w:val="right"/>
              <w:rPr>
                <w:rFonts w:eastAsia="Times New Roman" w:cs="Times New Roman"/>
                <w:b/>
                <w:bCs/>
                <w:color w:val="FFFFFF"/>
                <w:sz w:val="20"/>
                <w:szCs w:val="20"/>
                <w:lang w:eastAsia="sk-SK"/>
              </w:rPr>
            </w:pPr>
            <w:r w:rsidRPr="002A79FA">
              <w:rPr>
                <w:rFonts w:eastAsia="Times New Roman" w:cs="Times New Roman"/>
                <w:b/>
                <w:bCs/>
                <w:color w:val="FFFFFF"/>
                <w:sz w:val="20"/>
                <w:szCs w:val="20"/>
                <w:lang w:eastAsia="sk-SK"/>
              </w:rPr>
              <w:t>v tis. eur</w:t>
            </w:r>
          </w:p>
        </w:tc>
      </w:tr>
      <w:tr w:rsidR="00F44AE2" w:rsidRPr="002A79FA" w14:paraId="13981856" w14:textId="77777777" w:rsidTr="00063234">
        <w:trPr>
          <w:trHeight w:val="276"/>
        </w:trPr>
        <w:tc>
          <w:tcPr>
            <w:tcW w:w="4283" w:type="dxa"/>
            <w:tcBorders>
              <w:top w:val="nil"/>
              <w:left w:val="nil"/>
              <w:bottom w:val="nil"/>
              <w:right w:val="nil"/>
            </w:tcBorders>
            <w:shd w:val="clear" w:color="auto" w:fill="auto"/>
            <w:vAlign w:val="center"/>
            <w:hideMark/>
          </w:tcPr>
          <w:p w14:paraId="3E2D8409" w14:textId="0BC46D20" w:rsidR="00F44AE2" w:rsidRPr="002A79FA" w:rsidRDefault="00F44AE2" w:rsidP="00391C90">
            <w:pPr>
              <w:spacing w:after="0" w:line="240" w:lineRule="auto"/>
              <w:jc w:val="left"/>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v tis. eur</w:t>
            </w:r>
          </w:p>
        </w:tc>
        <w:tc>
          <w:tcPr>
            <w:tcW w:w="783" w:type="dxa"/>
            <w:tcBorders>
              <w:top w:val="nil"/>
              <w:left w:val="nil"/>
              <w:bottom w:val="nil"/>
              <w:right w:val="nil"/>
            </w:tcBorders>
            <w:shd w:val="clear" w:color="auto" w:fill="auto"/>
            <w:vAlign w:val="center"/>
            <w:hideMark/>
          </w:tcPr>
          <w:p w14:paraId="732F321F" w14:textId="77777777" w:rsidR="00F44AE2" w:rsidRPr="002A79FA" w:rsidRDefault="00F44AE2" w:rsidP="00391C90">
            <w:pPr>
              <w:spacing w:after="0" w:line="240" w:lineRule="auto"/>
              <w:jc w:val="center"/>
              <w:rPr>
                <w:rFonts w:eastAsia="Times New Roman" w:cs="Times New Roman"/>
                <w:b/>
                <w:bCs/>
                <w:sz w:val="20"/>
                <w:szCs w:val="20"/>
                <w:lang w:eastAsia="sk-SK"/>
              </w:rPr>
            </w:pPr>
            <w:r w:rsidRPr="002A79FA">
              <w:rPr>
                <w:rFonts w:eastAsia="Times New Roman" w:cs="Times New Roman"/>
                <w:b/>
                <w:bCs/>
                <w:sz w:val="20"/>
                <w:szCs w:val="20"/>
                <w:lang w:eastAsia="sk-SK"/>
              </w:rPr>
              <w:t>2020 S</w:t>
            </w:r>
          </w:p>
        </w:tc>
        <w:tc>
          <w:tcPr>
            <w:tcW w:w="836" w:type="dxa"/>
            <w:tcBorders>
              <w:top w:val="nil"/>
              <w:left w:val="nil"/>
              <w:bottom w:val="nil"/>
              <w:right w:val="nil"/>
            </w:tcBorders>
            <w:shd w:val="clear" w:color="auto" w:fill="auto"/>
            <w:vAlign w:val="center"/>
            <w:hideMark/>
          </w:tcPr>
          <w:p w14:paraId="74A2BBD4" w14:textId="77777777" w:rsidR="00F44AE2" w:rsidRPr="002A79FA" w:rsidRDefault="00F44AE2" w:rsidP="00391C90">
            <w:pPr>
              <w:spacing w:after="0" w:line="240" w:lineRule="auto"/>
              <w:jc w:val="center"/>
              <w:rPr>
                <w:rFonts w:eastAsia="Times New Roman" w:cs="Times New Roman"/>
                <w:b/>
                <w:bCs/>
                <w:sz w:val="20"/>
                <w:szCs w:val="20"/>
                <w:lang w:eastAsia="sk-SK"/>
              </w:rPr>
            </w:pPr>
            <w:r w:rsidRPr="002A79FA">
              <w:rPr>
                <w:rFonts w:eastAsia="Times New Roman" w:cs="Times New Roman"/>
                <w:b/>
                <w:bCs/>
                <w:sz w:val="20"/>
                <w:szCs w:val="20"/>
                <w:lang w:eastAsia="sk-SK"/>
              </w:rPr>
              <w:t>2021 S</w:t>
            </w:r>
          </w:p>
        </w:tc>
        <w:tc>
          <w:tcPr>
            <w:tcW w:w="783" w:type="dxa"/>
            <w:tcBorders>
              <w:top w:val="nil"/>
              <w:left w:val="nil"/>
              <w:bottom w:val="nil"/>
              <w:right w:val="nil"/>
            </w:tcBorders>
            <w:shd w:val="clear" w:color="auto" w:fill="auto"/>
            <w:vAlign w:val="center"/>
            <w:hideMark/>
          </w:tcPr>
          <w:p w14:paraId="220CBBDD" w14:textId="77777777" w:rsidR="00F44AE2" w:rsidRPr="002A79FA" w:rsidRDefault="00F44AE2" w:rsidP="00391C90">
            <w:pPr>
              <w:spacing w:after="0" w:line="240" w:lineRule="auto"/>
              <w:jc w:val="center"/>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2022 R</w:t>
            </w:r>
          </w:p>
        </w:tc>
        <w:tc>
          <w:tcPr>
            <w:tcW w:w="906" w:type="dxa"/>
            <w:tcBorders>
              <w:top w:val="nil"/>
              <w:left w:val="nil"/>
              <w:bottom w:val="nil"/>
              <w:right w:val="nil"/>
            </w:tcBorders>
            <w:shd w:val="clear" w:color="auto" w:fill="auto"/>
            <w:vAlign w:val="center"/>
            <w:hideMark/>
          </w:tcPr>
          <w:p w14:paraId="5D8FCCE6" w14:textId="77777777" w:rsidR="00F44AE2" w:rsidRPr="002A79FA" w:rsidRDefault="00F44AE2" w:rsidP="00391C90">
            <w:pPr>
              <w:spacing w:after="0" w:line="240" w:lineRule="auto"/>
              <w:jc w:val="center"/>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2022 S</w:t>
            </w:r>
          </w:p>
        </w:tc>
        <w:tc>
          <w:tcPr>
            <w:tcW w:w="858" w:type="dxa"/>
            <w:tcBorders>
              <w:top w:val="nil"/>
              <w:left w:val="nil"/>
              <w:bottom w:val="nil"/>
              <w:right w:val="nil"/>
            </w:tcBorders>
            <w:shd w:val="clear" w:color="auto" w:fill="auto"/>
            <w:vAlign w:val="center"/>
            <w:hideMark/>
          </w:tcPr>
          <w:p w14:paraId="70B4758F" w14:textId="77777777" w:rsidR="00F44AE2" w:rsidRPr="002A79FA" w:rsidRDefault="00F44AE2" w:rsidP="00391C90">
            <w:pPr>
              <w:spacing w:after="0" w:line="240" w:lineRule="auto"/>
              <w:jc w:val="center"/>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Rozdiel</w:t>
            </w:r>
          </w:p>
        </w:tc>
        <w:tc>
          <w:tcPr>
            <w:tcW w:w="765" w:type="dxa"/>
            <w:tcBorders>
              <w:top w:val="nil"/>
              <w:left w:val="nil"/>
              <w:bottom w:val="nil"/>
              <w:right w:val="nil"/>
            </w:tcBorders>
            <w:shd w:val="clear" w:color="auto" w:fill="auto"/>
            <w:vAlign w:val="center"/>
            <w:hideMark/>
          </w:tcPr>
          <w:p w14:paraId="560EDF44" w14:textId="77777777" w:rsidR="00F44AE2" w:rsidRPr="002A79FA" w:rsidRDefault="00F44AE2" w:rsidP="00391C90">
            <w:pPr>
              <w:spacing w:after="0" w:line="240" w:lineRule="auto"/>
              <w:jc w:val="center"/>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v %</w:t>
            </w:r>
          </w:p>
        </w:tc>
      </w:tr>
      <w:tr w:rsidR="00F44AE2" w:rsidRPr="002A79FA" w14:paraId="4AACD3BB" w14:textId="77777777" w:rsidTr="00063234">
        <w:trPr>
          <w:trHeight w:val="288"/>
        </w:trPr>
        <w:tc>
          <w:tcPr>
            <w:tcW w:w="4283" w:type="dxa"/>
            <w:tcBorders>
              <w:top w:val="nil"/>
              <w:left w:val="nil"/>
              <w:bottom w:val="single" w:sz="8" w:space="0" w:color="auto"/>
              <w:right w:val="nil"/>
            </w:tcBorders>
            <w:shd w:val="clear" w:color="auto" w:fill="auto"/>
            <w:vAlign w:val="center"/>
            <w:hideMark/>
          </w:tcPr>
          <w:p w14:paraId="4CEA4C8B" w14:textId="77777777" w:rsidR="00F44AE2" w:rsidRPr="002A79FA" w:rsidRDefault="00F44AE2" w:rsidP="00391C90">
            <w:pPr>
              <w:spacing w:after="0" w:line="240" w:lineRule="auto"/>
              <w:jc w:val="left"/>
              <w:rPr>
                <w:rFonts w:eastAsia="Times New Roman" w:cs="Times New Roman"/>
                <w:b/>
                <w:bCs/>
                <w:color w:val="FFFFFF"/>
                <w:sz w:val="20"/>
                <w:szCs w:val="20"/>
                <w:lang w:eastAsia="sk-SK"/>
              </w:rPr>
            </w:pPr>
            <w:r w:rsidRPr="002A79FA">
              <w:rPr>
                <w:rFonts w:eastAsia="Times New Roman" w:cs="Times New Roman"/>
                <w:b/>
                <w:bCs/>
                <w:color w:val="FFFFFF"/>
                <w:sz w:val="20"/>
                <w:szCs w:val="20"/>
                <w:lang w:eastAsia="sk-SK"/>
              </w:rPr>
              <w:t> </w:t>
            </w:r>
          </w:p>
        </w:tc>
        <w:tc>
          <w:tcPr>
            <w:tcW w:w="783" w:type="dxa"/>
            <w:tcBorders>
              <w:top w:val="nil"/>
              <w:left w:val="nil"/>
              <w:bottom w:val="single" w:sz="8" w:space="0" w:color="auto"/>
              <w:right w:val="nil"/>
            </w:tcBorders>
            <w:shd w:val="clear" w:color="auto" w:fill="auto"/>
            <w:vAlign w:val="center"/>
            <w:hideMark/>
          </w:tcPr>
          <w:p w14:paraId="53875E44" w14:textId="77777777" w:rsidR="00F44AE2" w:rsidRPr="002A79FA" w:rsidRDefault="00F44AE2" w:rsidP="00391C90">
            <w:pPr>
              <w:spacing w:after="0" w:line="240" w:lineRule="auto"/>
              <w:jc w:val="center"/>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1</w:t>
            </w:r>
          </w:p>
        </w:tc>
        <w:tc>
          <w:tcPr>
            <w:tcW w:w="836" w:type="dxa"/>
            <w:tcBorders>
              <w:top w:val="nil"/>
              <w:left w:val="nil"/>
              <w:bottom w:val="single" w:sz="8" w:space="0" w:color="auto"/>
              <w:right w:val="nil"/>
            </w:tcBorders>
            <w:shd w:val="clear" w:color="auto" w:fill="auto"/>
            <w:vAlign w:val="center"/>
            <w:hideMark/>
          </w:tcPr>
          <w:p w14:paraId="0B383484" w14:textId="77777777" w:rsidR="00F44AE2" w:rsidRPr="002A79FA" w:rsidRDefault="00F44AE2" w:rsidP="00391C90">
            <w:pPr>
              <w:spacing w:after="0" w:line="240" w:lineRule="auto"/>
              <w:jc w:val="center"/>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2</w:t>
            </w:r>
          </w:p>
        </w:tc>
        <w:tc>
          <w:tcPr>
            <w:tcW w:w="783" w:type="dxa"/>
            <w:tcBorders>
              <w:top w:val="nil"/>
              <w:left w:val="nil"/>
              <w:bottom w:val="single" w:sz="8" w:space="0" w:color="auto"/>
              <w:right w:val="nil"/>
            </w:tcBorders>
            <w:shd w:val="clear" w:color="auto" w:fill="auto"/>
            <w:vAlign w:val="center"/>
            <w:hideMark/>
          </w:tcPr>
          <w:p w14:paraId="06436F51" w14:textId="77777777" w:rsidR="00F44AE2" w:rsidRPr="002A79FA" w:rsidRDefault="00F44AE2" w:rsidP="00391C90">
            <w:pPr>
              <w:spacing w:after="0" w:line="240" w:lineRule="auto"/>
              <w:jc w:val="center"/>
              <w:rPr>
                <w:rFonts w:eastAsia="Times New Roman" w:cs="Times New Roman"/>
                <w:b/>
                <w:bCs/>
                <w:sz w:val="20"/>
                <w:szCs w:val="20"/>
                <w:lang w:eastAsia="sk-SK"/>
              </w:rPr>
            </w:pPr>
            <w:r w:rsidRPr="002A79FA">
              <w:rPr>
                <w:rFonts w:eastAsia="Times New Roman" w:cs="Times New Roman"/>
                <w:b/>
                <w:bCs/>
                <w:sz w:val="20"/>
                <w:szCs w:val="20"/>
                <w:lang w:eastAsia="sk-SK"/>
              </w:rPr>
              <w:t>3</w:t>
            </w:r>
          </w:p>
        </w:tc>
        <w:tc>
          <w:tcPr>
            <w:tcW w:w="906" w:type="dxa"/>
            <w:tcBorders>
              <w:top w:val="nil"/>
              <w:left w:val="nil"/>
              <w:bottom w:val="single" w:sz="8" w:space="0" w:color="auto"/>
              <w:right w:val="nil"/>
            </w:tcBorders>
            <w:shd w:val="clear" w:color="auto" w:fill="auto"/>
            <w:vAlign w:val="center"/>
            <w:hideMark/>
          </w:tcPr>
          <w:p w14:paraId="64123537" w14:textId="77777777" w:rsidR="00F44AE2" w:rsidRPr="002A79FA" w:rsidRDefault="00F44AE2" w:rsidP="00391C90">
            <w:pPr>
              <w:spacing w:after="0" w:line="240" w:lineRule="auto"/>
              <w:jc w:val="center"/>
              <w:rPr>
                <w:rFonts w:eastAsia="Times New Roman" w:cs="Times New Roman"/>
                <w:b/>
                <w:bCs/>
                <w:sz w:val="20"/>
                <w:szCs w:val="20"/>
                <w:lang w:eastAsia="sk-SK"/>
              </w:rPr>
            </w:pPr>
            <w:r w:rsidRPr="002A79FA">
              <w:rPr>
                <w:rFonts w:eastAsia="Times New Roman" w:cs="Times New Roman"/>
                <w:b/>
                <w:bCs/>
                <w:sz w:val="20"/>
                <w:szCs w:val="20"/>
                <w:lang w:eastAsia="sk-SK"/>
              </w:rPr>
              <w:t>4</w:t>
            </w:r>
          </w:p>
        </w:tc>
        <w:tc>
          <w:tcPr>
            <w:tcW w:w="858" w:type="dxa"/>
            <w:tcBorders>
              <w:top w:val="nil"/>
              <w:left w:val="nil"/>
              <w:bottom w:val="single" w:sz="8" w:space="0" w:color="auto"/>
              <w:right w:val="nil"/>
            </w:tcBorders>
            <w:shd w:val="clear" w:color="auto" w:fill="auto"/>
            <w:vAlign w:val="center"/>
            <w:hideMark/>
          </w:tcPr>
          <w:p w14:paraId="29906110" w14:textId="77777777" w:rsidR="00F44AE2" w:rsidRPr="002A79FA" w:rsidRDefault="00F44AE2" w:rsidP="00391C90">
            <w:pPr>
              <w:spacing w:after="0" w:line="240" w:lineRule="auto"/>
              <w:jc w:val="center"/>
              <w:rPr>
                <w:rFonts w:eastAsia="Times New Roman" w:cs="Times New Roman"/>
                <w:b/>
                <w:bCs/>
                <w:sz w:val="20"/>
                <w:szCs w:val="20"/>
                <w:lang w:eastAsia="sk-SK"/>
              </w:rPr>
            </w:pPr>
            <w:r w:rsidRPr="002A79FA">
              <w:rPr>
                <w:rFonts w:eastAsia="Times New Roman" w:cs="Times New Roman"/>
                <w:b/>
                <w:bCs/>
                <w:sz w:val="20"/>
                <w:szCs w:val="20"/>
                <w:lang w:eastAsia="sk-SK"/>
              </w:rPr>
              <w:t>5=4-3</w:t>
            </w:r>
          </w:p>
        </w:tc>
        <w:tc>
          <w:tcPr>
            <w:tcW w:w="765" w:type="dxa"/>
            <w:tcBorders>
              <w:top w:val="nil"/>
              <w:left w:val="nil"/>
              <w:bottom w:val="single" w:sz="8" w:space="0" w:color="auto"/>
              <w:right w:val="nil"/>
            </w:tcBorders>
            <w:shd w:val="clear" w:color="auto" w:fill="auto"/>
            <w:vAlign w:val="center"/>
            <w:hideMark/>
          </w:tcPr>
          <w:p w14:paraId="22E873BD" w14:textId="77777777" w:rsidR="00F44AE2" w:rsidRPr="002A79FA" w:rsidRDefault="00F44AE2" w:rsidP="00391C90">
            <w:pPr>
              <w:spacing w:after="0" w:line="240" w:lineRule="auto"/>
              <w:jc w:val="center"/>
              <w:rPr>
                <w:rFonts w:eastAsia="Times New Roman" w:cs="Times New Roman"/>
                <w:b/>
                <w:bCs/>
                <w:sz w:val="20"/>
                <w:szCs w:val="20"/>
                <w:lang w:eastAsia="sk-SK"/>
              </w:rPr>
            </w:pPr>
            <w:r w:rsidRPr="002A79FA">
              <w:rPr>
                <w:rFonts w:eastAsia="Times New Roman" w:cs="Times New Roman"/>
                <w:b/>
                <w:bCs/>
                <w:sz w:val="20"/>
                <w:szCs w:val="20"/>
                <w:lang w:eastAsia="sk-SK"/>
              </w:rPr>
              <w:t>6=4-3</w:t>
            </w:r>
          </w:p>
        </w:tc>
      </w:tr>
      <w:tr w:rsidR="00F44AE2" w:rsidRPr="002A79FA" w14:paraId="1FE74DA6" w14:textId="77777777" w:rsidTr="00063234">
        <w:trPr>
          <w:trHeight w:val="276"/>
        </w:trPr>
        <w:tc>
          <w:tcPr>
            <w:tcW w:w="4283" w:type="dxa"/>
            <w:tcBorders>
              <w:top w:val="nil"/>
              <w:left w:val="nil"/>
              <w:bottom w:val="nil"/>
              <w:right w:val="nil"/>
            </w:tcBorders>
            <w:shd w:val="clear" w:color="000000" w:fill="FFFFFF"/>
            <w:noWrap/>
            <w:vAlign w:val="center"/>
            <w:hideMark/>
          </w:tcPr>
          <w:p w14:paraId="63437E01" w14:textId="77777777" w:rsidR="00F44AE2" w:rsidRPr="002A79FA" w:rsidRDefault="00F44AE2" w:rsidP="00391C90">
            <w:pPr>
              <w:spacing w:after="0" w:line="240" w:lineRule="auto"/>
              <w:jc w:val="left"/>
              <w:rPr>
                <w:rFonts w:eastAsia="Times New Roman" w:cs="Times New Roman"/>
                <w:color w:val="000000"/>
                <w:sz w:val="20"/>
                <w:szCs w:val="20"/>
                <w:lang w:eastAsia="sk-SK"/>
              </w:rPr>
            </w:pPr>
            <w:r w:rsidRPr="002A79FA">
              <w:rPr>
                <w:rFonts w:eastAsia="Times New Roman" w:cs="Times New Roman"/>
                <w:color w:val="000000"/>
                <w:sz w:val="20"/>
                <w:szCs w:val="20"/>
                <w:lang w:eastAsia="sk-SK"/>
              </w:rPr>
              <w:t>Administratívne poplatky</w:t>
            </w:r>
          </w:p>
        </w:tc>
        <w:tc>
          <w:tcPr>
            <w:tcW w:w="783" w:type="dxa"/>
            <w:tcBorders>
              <w:top w:val="nil"/>
              <w:left w:val="nil"/>
              <w:bottom w:val="nil"/>
              <w:right w:val="nil"/>
            </w:tcBorders>
            <w:shd w:val="clear" w:color="auto" w:fill="auto"/>
            <w:noWrap/>
            <w:vAlign w:val="center"/>
            <w:hideMark/>
          </w:tcPr>
          <w:p w14:paraId="2F45DABC" w14:textId="77777777" w:rsidR="00F44AE2" w:rsidRPr="002A79FA" w:rsidRDefault="00F44AE2" w:rsidP="00391C90">
            <w:pPr>
              <w:spacing w:after="0" w:line="240" w:lineRule="auto"/>
              <w:rPr>
                <w:rFonts w:eastAsia="Times New Roman" w:cs="Times New Roman"/>
                <w:color w:val="000000"/>
                <w:sz w:val="20"/>
                <w:szCs w:val="20"/>
                <w:lang w:eastAsia="sk-SK"/>
              </w:rPr>
            </w:pPr>
            <w:r w:rsidRPr="002A79FA">
              <w:rPr>
                <w:rFonts w:eastAsia="Times New Roman" w:cs="Times New Roman"/>
                <w:color w:val="000000"/>
                <w:sz w:val="20"/>
                <w:szCs w:val="20"/>
                <w:lang w:eastAsia="sk-SK"/>
              </w:rPr>
              <w:t>219 407</w:t>
            </w:r>
          </w:p>
        </w:tc>
        <w:tc>
          <w:tcPr>
            <w:tcW w:w="836" w:type="dxa"/>
            <w:tcBorders>
              <w:top w:val="nil"/>
              <w:left w:val="nil"/>
              <w:bottom w:val="nil"/>
              <w:right w:val="nil"/>
            </w:tcBorders>
            <w:shd w:val="clear" w:color="auto" w:fill="auto"/>
            <w:noWrap/>
            <w:vAlign w:val="center"/>
            <w:hideMark/>
          </w:tcPr>
          <w:p w14:paraId="25E52721"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219 202</w:t>
            </w:r>
          </w:p>
        </w:tc>
        <w:tc>
          <w:tcPr>
            <w:tcW w:w="783" w:type="dxa"/>
            <w:tcBorders>
              <w:top w:val="nil"/>
              <w:left w:val="nil"/>
              <w:bottom w:val="nil"/>
              <w:right w:val="nil"/>
            </w:tcBorders>
            <w:shd w:val="clear" w:color="000000" w:fill="FFFFFF"/>
            <w:noWrap/>
            <w:vAlign w:val="center"/>
            <w:hideMark/>
          </w:tcPr>
          <w:p w14:paraId="631AE5BE" w14:textId="77777777" w:rsidR="00F44AE2" w:rsidRPr="002A79FA" w:rsidRDefault="00F44AE2" w:rsidP="00391C90">
            <w:pPr>
              <w:spacing w:after="0" w:line="240" w:lineRule="auto"/>
              <w:rPr>
                <w:rFonts w:eastAsia="Times New Roman" w:cs="Times New Roman"/>
                <w:color w:val="000000"/>
                <w:sz w:val="20"/>
                <w:szCs w:val="20"/>
                <w:lang w:eastAsia="sk-SK"/>
              </w:rPr>
            </w:pPr>
            <w:r w:rsidRPr="002A79FA">
              <w:rPr>
                <w:rFonts w:eastAsia="Times New Roman" w:cs="Times New Roman"/>
                <w:color w:val="000000"/>
                <w:sz w:val="20"/>
                <w:szCs w:val="20"/>
                <w:lang w:eastAsia="sk-SK"/>
              </w:rPr>
              <w:t>225 997</w:t>
            </w:r>
          </w:p>
        </w:tc>
        <w:tc>
          <w:tcPr>
            <w:tcW w:w="906" w:type="dxa"/>
            <w:tcBorders>
              <w:top w:val="nil"/>
              <w:left w:val="nil"/>
              <w:bottom w:val="nil"/>
              <w:right w:val="nil"/>
            </w:tcBorders>
            <w:shd w:val="clear" w:color="auto" w:fill="auto"/>
            <w:noWrap/>
            <w:vAlign w:val="center"/>
            <w:hideMark/>
          </w:tcPr>
          <w:p w14:paraId="19EC922D"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237 814</w:t>
            </w:r>
          </w:p>
        </w:tc>
        <w:tc>
          <w:tcPr>
            <w:tcW w:w="858" w:type="dxa"/>
            <w:tcBorders>
              <w:top w:val="nil"/>
              <w:left w:val="nil"/>
              <w:bottom w:val="nil"/>
              <w:right w:val="nil"/>
            </w:tcBorders>
            <w:shd w:val="clear" w:color="000000" w:fill="FFFFFF"/>
            <w:noWrap/>
            <w:vAlign w:val="center"/>
            <w:hideMark/>
          </w:tcPr>
          <w:p w14:paraId="23B08E42"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11 817</w:t>
            </w:r>
          </w:p>
        </w:tc>
        <w:tc>
          <w:tcPr>
            <w:tcW w:w="765" w:type="dxa"/>
            <w:tcBorders>
              <w:top w:val="nil"/>
              <w:left w:val="nil"/>
              <w:bottom w:val="nil"/>
              <w:right w:val="nil"/>
            </w:tcBorders>
            <w:shd w:val="clear" w:color="000000" w:fill="FFFFFF"/>
            <w:vAlign w:val="center"/>
            <w:hideMark/>
          </w:tcPr>
          <w:p w14:paraId="474E3F83"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5,2</w:t>
            </w:r>
          </w:p>
        </w:tc>
      </w:tr>
      <w:tr w:rsidR="00F44AE2" w:rsidRPr="002A79FA" w14:paraId="0B2EE4E5" w14:textId="77777777" w:rsidTr="00063234">
        <w:trPr>
          <w:trHeight w:val="276"/>
        </w:trPr>
        <w:tc>
          <w:tcPr>
            <w:tcW w:w="4283" w:type="dxa"/>
            <w:tcBorders>
              <w:top w:val="nil"/>
              <w:left w:val="nil"/>
              <w:bottom w:val="nil"/>
              <w:right w:val="nil"/>
            </w:tcBorders>
            <w:shd w:val="clear" w:color="000000" w:fill="FFFFFF"/>
            <w:noWrap/>
            <w:vAlign w:val="center"/>
            <w:hideMark/>
          </w:tcPr>
          <w:p w14:paraId="079A909B" w14:textId="77777777" w:rsidR="00F44AE2" w:rsidRPr="002A79FA" w:rsidRDefault="00F44AE2" w:rsidP="00391C90">
            <w:pPr>
              <w:spacing w:after="0" w:line="240" w:lineRule="auto"/>
              <w:jc w:val="left"/>
              <w:rPr>
                <w:rFonts w:eastAsia="Times New Roman" w:cs="Times New Roman"/>
                <w:color w:val="000000"/>
                <w:sz w:val="20"/>
                <w:szCs w:val="20"/>
                <w:lang w:eastAsia="sk-SK"/>
              </w:rPr>
            </w:pPr>
            <w:r w:rsidRPr="002A79FA">
              <w:rPr>
                <w:rFonts w:eastAsia="Times New Roman" w:cs="Times New Roman"/>
                <w:color w:val="000000"/>
                <w:sz w:val="20"/>
                <w:szCs w:val="20"/>
                <w:lang w:eastAsia="sk-SK"/>
              </w:rPr>
              <w:t xml:space="preserve">     z toho: súdne poplatky</w:t>
            </w:r>
          </w:p>
        </w:tc>
        <w:tc>
          <w:tcPr>
            <w:tcW w:w="783" w:type="dxa"/>
            <w:tcBorders>
              <w:top w:val="nil"/>
              <w:left w:val="nil"/>
              <w:bottom w:val="nil"/>
              <w:right w:val="nil"/>
            </w:tcBorders>
            <w:shd w:val="clear" w:color="auto" w:fill="auto"/>
            <w:noWrap/>
            <w:vAlign w:val="center"/>
            <w:hideMark/>
          </w:tcPr>
          <w:p w14:paraId="4FAA3FBB"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26 986</w:t>
            </w:r>
          </w:p>
        </w:tc>
        <w:tc>
          <w:tcPr>
            <w:tcW w:w="836" w:type="dxa"/>
            <w:tcBorders>
              <w:top w:val="nil"/>
              <w:left w:val="nil"/>
              <w:bottom w:val="nil"/>
              <w:right w:val="nil"/>
            </w:tcBorders>
            <w:shd w:val="clear" w:color="auto" w:fill="auto"/>
            <w:noWrap/>
            <w:vAlign w:val="center"/>
            <w:hideMark/>
          </w:tcPr>
          <w:p w14:paraId="515BD654"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29 918</w:t>
            </w:r>
          </w:p>
        </w:tc>
        <w:tc>
          <w:tcPr>
            <w:tcW w:w="783" w:type="dxa"/>
            <w:tcBorders>
              <w:top w:val="nil"/>
              <w:left w:val="nil"/>
              <w:bottom w:val="nil"/>
              <w:right w:val="nil"/>
            </w:tcBorders>
            <w:shd w:val="clear" w:color="000000" w:fill="FFFFFF"/>
            <w:noWrap/>
            <w:vAlign w:val="center"/>
            <w:hideMark/>
          </w:tcPr>
          <w:p w14:paraId="4B3A35D9"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28 004</w:t>
            </w:r>
          </w:p>
        </w:tc>
        <w:tc>
          <w:tcPr>
            <w:tcW w:w="906" w:type="dxa"/>
            <w:tcBorders>
              <w:top w:val="nil"/>
              <w:left w:val="nil"/>
              <w:bottom w:val="nil"/>
              <w:right w:val="nil"/>
            </w:tcBorders>
            <w:shd w:val="clear" w:color="auto" w:fill="auto"/>
            <w:noWrap/>
            <w:vAlign w:val="center"/>
            <w:hideMark/>
          </w:tcPr>
          <w:p w14:paraId="13309DCD"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30 276</w:t>
            </w:r>
          </w:p>
        </w:tc>
        <w:tc>
          <w:tcPr>
            <w:tcW w:w="858" w:type="dxa"/>
            <w:tcBorders>
              <w:top w:val="nil"/>
              <w:left w:val="nil"/>
              <w:bottom w:val="nil"/>
              <w:right w:val="nil"/>
            </w:tcBorders>
            <w:shd w:val="clear" w:color="000000" w:fill="FFFFFF"/>
            <w:noWrap/>
            <w:vAlign w:val="center"/>
            <w:hideMark/>
          </w:tcPr>
          <w:p w14:paraId="4B227E64"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2 272</w:t>
            </w:r>
          </w:p>
        </w:tc>
        <w:tc>
          <w:tcPr>
            <w:tcW w:w="765" w:type="dxa"/>
            <w:tcBorders>
              <w:top w:val="nil"/>
              <w:left w:val="nil"/>
              <w:bottom w:val="nil"/>
              <w:right w:val="nil"/>
            </w:tcBorders>
            <w:shd w:val="clear" w:color="000000" w:fill="FFFFFF"/>
            <w:vAlign w:val="center"/>
            <w:hideMark/>
          </w:tcPr>
          <w:p w14:paraId="05578FA8"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8,1</w:t>
            </w:r>
          </w:p>
        </w:tc>
      </w:tr>
      <w:tr w:rsidR="00F44AE2" w:rsidRPr="002A79FA" w14:paraId="2FE56DEF" w14:textId="77777777" w:rsidTr="00063234">
        <w:trPr>
          <w:trHeight w:val="276"/>
        </w:trPr>
        <w:tc>
          <w:tcPr>
            <w:tcW w:w="4283" w:type="dxa"/>
            <w:tcBorders>
              <w:top w:val="nil"/>
              <w:left w:val="nil"/>
              <w:bottom w:val="nil"/>
              <w:right w:val="nil"/>
            </w:tcBorders>
            <w:shd w:val="clear" w:color="000000" w:fill="FFFFFF"/>
            <w:noWrap/>
            <w:vAlign w:val="center"/>
            <w:hideMark/>
          </w:tcPr>
          <w:p w14:paraId="210FD5E6" w14:textId="77777777" w:rsidR="00F44AE2" w:rsidRPr="002A79FA" w:rsidRDefault="00F44AE2" w:rsidP="00391C90">
            <w:pPr>
              <w:spacing w:after="0" w:line="240" w:lineRule="auto"/>
              <w:jc w:val="left"/>
              <w:rPr>
                <w:rFonts w:eastAsia="Times New Roman" w:cs="Times New Roman"/>
                <w:color w:val="000000"/>
                <w:sz w:val="20"/>
                <w:szCs w:val="20"/>
                <w:lang w:eastAsia="sk-SK"/>
              </w:rPr>
            </w:pPr>
            <w:r w:rsidRPr="002A79FA">
              <w:rPr>
                <w:rFonts w:eastAsia="Times New Roman" w:cs="Times New Roman"/>
                <w:color w:val="000000"/>
                <w:sz w:val="20"/>
                <w:szCs w:val="20"/>
                <w:lang w:eastAsia="sk-SK"/>
              </w:rPr>
              <w:t>Pokuty, penále a iné sankcie</w:t>
            </w:r>
          </w:p>
        </w:tc>
        <w:tc>
          <w:tcPr>
            <w:tcW w:w="783" w:type="dxa"/>
            <w:tcBorders>
              <w:top w:val="nil"/>
              <w:left w:val="nil"/>
              <w:bottom w:val="nil"/>
              <w:right w:val="nil"/>
            </w:tcBorders>
            <w:shd w:val="clear" w:color="auto" w:fill="auto"/>
            <w:noWrap/>
            <w:vAlign w:val="center"/>
            <w:hideMark/>
          </w:tcPr>
          <w:p w14:paraId="778D8E93"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56 748</w:t>
            </w:r>
          </w:p>
        </w:tc>
        <w:tc>
          <w:tcPr>
            <w:tcW w:w="836" w:type="dxa"/>
            <w:tcBorders>
              <w:top w:val="nil"/>
              <w:left w:val="nil"/>
              <w:bottom w:val="nil"/>
              <w:right w:val="nil"/>
            </w:tcBorders>
            <w:shd w:val="clear" w:color="auto" w:fill="auto"/>
            <w:noWrap/>
            <w:vAlign w:val="center"/>
            <w:hideMark/>
          </w:tcPr>
          <w:p w14:paraId="0CA39C2F"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56 444</w:t>
            </w:r>
          </w:p>
        </w:tc>
        <w:tc>
          <w:tcPr>
            <w:tcW w:w="783" w:type="dxa"/>
            <w:tcBorders>
              <w:top w:val="nil"/>
              <w:left w:val="nil"/>
              <w:bottom w:val="nil"/>
              <w:right w:val="nil"/>
            </w:tcBorders>
            <w:shd w:val="clear" w:color="000000" w:fill="FFFFFF"/>
            <w:noWrap/>
            <w:vAlign w:val="center"/>
            <w:hideMark/>
          </w:tcPr>
          <w:p w14:paraId="7BAB776F"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62 323</w:t>
            </w:r>
          </w:p>
        </w:tc>
        <w:tc>
          <w:tcPr>
            <w:tcW w:w="906" w:type="dxa"/>
            <w:tcBorders>
              <w:top w:val="nil"/>
              <w:left w:val="nil"/>
              <w:bottom w:val="nil"/>
              <w:right w:val="nil"/>
            </w:tcBorders>
            <w:shd w:val="clear" w:color="auto" w:fill="auto"/>
            <w:noWrap/>
            <w:vAlign w:val="center"/>
            <w:hideMark/>
          </w:tcPr>
          <w:p w14:paraId="7C11DEA6"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68 713</w:t>
            </w:r>
          </w:p>
        </w:tc>
        <w:tc>
          <w:tcPr>
            <w:tcW w:w="858" w:type="dxa"/>
            <w:tcBorders>
              <w:top w:val="nil"/>
              <w:left w:val="nil"/>
              <w:bottom w:val="nil"/>
              <w:right w:val="nil"/>
            </w:tcBorders>
            <w:shd w:val="clear" w:color="000000" w:fill="FFFFFF"/>
            <w:vAlign w:val="center"/>
            <w:hideMark/>
          </w:tcPr>
          <w:p w14:paraId="549773ED"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6 390</w:t>
            </w:r>
          </w:p>
        </w:tc>
        <w:tc>
          <w:tcPr>
            <w:tcW w:w="765" w:type="dxa"/>
            <w:tcBorders>
              <w:top w:val="nil"/>
              <w:left w:val="nil"/>
              <w:bottom w:val="nil"/>
              <w:right w:val="nil"/>
            </w:tcBorders>
            <w:shd w:val="clear" w:color="000000" w:fill="FFFFFF"/>
            <w:vAlign w:val="center"/>
            <w:hideMark/>
          </w:tcPr>
          <w:p w14:paraId="51471B0C"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10,3</w:t>
            </w:r>
          </w:p>
        </w:tc>
      </w:tr>
      <w:tr w:rsidR="00F44AE2" w:rsidRPr="002A79FA" w14:paraId="5F65467A" w14:textId="77777777" w:rsidTr="00063234">
        <w:trPr>
          <w:trHeight w:val="276"/>
        </w:trPr>
        <w:tc>
          <w:tcPr>
            <w:tcW w:w="4283" w:type="dxa"/>
            <w:tcBorders>
              <w:top w:val="nil"/>
              <w:left w:val="nil"/>
              <w:bottom w:val="nil"/>
              <w:right w:val="nil"/>
            </w:tcBorders>
            <w:shd w:val="clear" w:color="000000" w:fill="FFFFFF"/>
            <w:noWrap/>
            <w:vAlign w:val="center"/>
            <w:hideMark/>
          </w:tcPr>
          <w:p w14:paraId="0FB723BF" w14:textId="77777777" w:rsidR="00F44AE2" w:rsidRPr="002A79FA" w:rsidRDefault="00F44AE2" w:rsidP="00391C90">
            <w:pPr>
              <w:spacing w:after="0" w:line="240" w:lineRule="auto"/>
              <w:jc w:val="left"/>
              <w:rPr>
                <w:rFonts w:eastAsia="Times New Roman" w:cs="Times New Roman"/>
                <w:color w:val="000000"/>
                <w:sz w:val="20"/>
                <w:szCs w:val="20"/>
                <w:lang w:eastAsia="sk-SK"/>
              </w:rPr>
            </w:pPr>
            <w:r w:rsidRPr="002A79FA">
              <w:rPr>
                <w:rFonts w:eastAsia="Times New Roman" w:cs="Times New Roman"/>
                <w:color w:val="000000"/>
                <w:sz w:val="20"/>
                <w:szCs w:val="20"/>
                <w:lang w:eastAsia="sk-SK"/>
              </w:rPr>
              <w:t>Poplatky a platby z nepriemyselného a náhod. predaja</w:t>
            </w:r>
          </w:p>
        </w:tc>
        <w:tc>
          <w:tcPr>
            <w:tcW w:w="783" w:type="dxa"/>
            <w:tcBorders>
              <w:top w:val="nil"/>
              <w:left w:val="nil"/>
              <w:bottom w:val="nil"/>
              <w:right w:val="nil"/>
            </w:tcBorders>
            <w:shd w:val="clear" w:color="auto" w:fill="auto"/>
            <w:noWrap/>
            <w:vAlign w:val="center"/>
            <w:hideMark/>
          </w:tcPr>
          <w:p w14:paraId="7FE31985" w14:textId="77777777" w:rsidR="00F44AE2" w:rsidRPr="002A79FA" w:rsidRDefault="00F44AE2" w:rsidP="00391C90">
            <w:pPr>
              <w:spacing w:after="0" w:line="240" w:lineRule="auto"/>
              <w:rPr>
                <w:rFonts w:eastAsia="Times New Roman" w:cs="Times New Roman"/>
                <w:color w:val="000000"/>
                <w:sz w:val="20"/>
                <w:szCs w:val="20"/>
                <w:lang w:eastAsia="sk-SK"/>
              </w:rPr>
            </w:pPr>
            <w:r w:rsidRPr="002A79FA">
              <w:rPr>
                <w:rFonts w:eastAsia="Times New Roman" w:cs="Times New Roman"/>
                <w:color w:val="000000"/>
                <w:sz w:val="20"/>
                <w:szCs w:val="20"/>
                <w:lang w:eastAsia="sk-SK"/>
              </w:rPr>
              <w:t>111 807</w:t>
            </w:r>
          </w:p>
        </w:tc>
        <w:tc>
          <w:tcPr>
            <w:tcW w:w="836" w:type="dxa"/>
            <w:tcBorders>
              <w:top w:val="nil"/>
              <w:left w:val="nil"/>
              <w:bottom w:val="nil"/>
              <w:right w:val="nil"/>
            </w:tcBorders>
            <w:shd w:val="clear" w:color="auto" w:fill="auto"/>
            <w:noWrap/>
            <w:vAlign w:val="center"/>
            <w:hideMark/>
          </w:tcPr>
          <w:p w14:paraId="4656F9EE"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78 947</w:t>
            </w:r>
          </w:p>
        </w:tc>
        <w:tc>
          <w:tcPr>
            <w:tcW w:w="783" w:type="dxa"/>
            <w:tcBorders>
              <w:top w:val="nil"/>
              <w:left w:val="nil"/>
              <w:bottom w:val="nil"/>
              <w:right w:val="nil"/>
            </w:tcBorders>
            <w:shd w:val="clear" w:color="000000" w:fill="FFFFFF"/>
            <w:noWrap/>
            <w:vAlign w:val="center"/>
            <w:hideMark/>
          </w:tcPr>
          <w:p w14:paraId="11BEE79F"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75 788</w:t>
            </w:r>
          </w:p>
        </w:tc>
        <w:tc>
          <w:tcPr>
            <w:tcW w:w="906" w:type="dxa"/>
            <w:tcBorders>
              <w:top w:val="nil"/>
              <w:left w:val="nil"/>
              <w:bottom w:val="nil"/>
              <w:right w:val="nil"/>
            </w:tcBorders>
            <w:shd w:val="clear" w:color="auto" w:fill="auto"/>
            <w:noWrap/>
            <w:vAlign w:val="center"/>
            <w:hideMark/>
          </w:tcPr>
          <w:p w14:paraId="63C86F2A"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94 410</w:t>
            </w:r>
          </w:p>
        </w:tc>
        <w:tc>
          <w:tcPr>
            <w:tcW w:w="858" w:type="dxa"/>
            <w:tcBorders>
              <w:top w:val="nil"/>
              <w:left w:val="nil"/>
              <w:bottom w:val="nil"/>
              <w:right w:val="nil"/>
            </w:tcBorders>
            <w:shd w:val="clear" w:color="000000" w:fill="FFFFFF"/>
            <w:vAlign w:val="center"/>
            <w:hideMark/>
          </w:tcPr>
          <w:p w14:paraId="1B5D8523"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18 622</w:t>
            </w:r>
          </w:p>
        </w:tc>
        <w:tc>
          <w:tcPr>
            <w:tcW w:w="765" w:type="dxa"/>
            <w:tcBorders>
              <w:top w:val="nil"/>
              <w:left w:val="nil"/>
              <w:bottom w:val="nil"/>
              <w:right w:val="nil"/>
            </w:tcBorders>
            <w:shd w:val="clear" w:color="000000" w:fill="FFFFFF"/>
            <w:vAlign w:val="center"/>
            <w:hideMark/>
          </w:tcPr>
          <w:p w14:paraId="6DC95240" w14:textId="77777777" w:rsidR="00F44AE2" w:rsidRPr="002A79FA" w:rsidRDefault="00F44AE2" w:rsidP="00391C90">
            <w:pPr>
              <w:spacing w:after="0" w:line="240" w:lineRule="auto"/>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24,6</w:t>
            </w:r>
          </w:p>
        </w:tc>
      </w:tr>
      <w:tr w:rsidR="00F44AE2" w:rsidRPr="002A79FA" w14:paraId="76B49BA7" w14:textId="77777777" w:rsidTr="00063234">
        <w:trPr>
          <w:trHeight w:val="288"/>
        </w:trPr>
        <w:tc>
          <w:tcPr>
            <w:tcW w:w="4283" w:type="dxa"/>
            <w:tcBorders>
              <w:top w:val="single" w:sz="4" w:space="0" w:color="auto"/>
              <w:left w:val="nil"/>
              <w:bottom w:val="single" w:sz="8" w:space="0" w:color="auto"/>
              <w:right w:val="nil"/>
            </w:tcBorders>
            <w:shd w:val="clear" w:color="000000" w:fill="FFFFFF"/>
            <w:noWrap/>
            <w:vAlign w:val="center"/>
            <w:hideMark/>
          </w:tcPr>
          <w:p w14:paraId="4B4D9F72" w14:textId="77777777" w:rsidR="00F44AE2" w:rsidRPr="002A79FA" w:rsidRDefault="00F44AE2" w:rsidP="00391C90">
            <w:pPr>
              <w:spacing w:after="0" w:line="240" w:lineRule="auto"/>
              <w:jc w:val="left"/>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Spolu</w:t>
            </w:r>
          </w:p>
        </w:tc>
        <w:tc>
          <w:tcPr>
            <w:tcW w:w="783" w:type="dxa"/>
            <w:tcBorders>
              <w:top w:val="single" w:sz="4" w:space="0" w:color="auto"/>
              <w:left w:val="nil"/>
              <w:bottom w:val="single" w:sz="8" w:space="0" w:color="auto"/>
              <w:right w:val="nil"/>
            </w:tcBorders>
            <w:shd w:val="clear" w:color="000000" w:fill="FFFFFF"/>
            <w:noWrap/>
            <w:vAlign w:val="center"/>
            <w:hideMark/>
          </w:tcPr>
          <w:p w14:paraId="7BEAAC2E" w14:textId="77777777" w:rsidR="00F44AE2" w:rsidRPr="002A79FA" w:rsidRDefault="00F44AE2" w:rsidP="00391C90">
            <w:pPr>
              <w:spacing w:after="0" w:line="240" w:lineRule="auto"/>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387 962</w:t>
            </w:r>
          </w:p>
        </w:tc>
        <w:tc>
          <w:tcPr>
            <w:tcW w:w="836" w:type="dxa"/>
            <w:tcBorders>
              <w:top w:val="single" w:sz="4" w:space="0" w:color="auto"/>
              <w:left w:val="nil"/>
              <w:bottom w:val="single" w:sz="8" w:space="0" w:color="auto"/>
              <w:right w:val="nil"/>
            </w:tcBorders>
            <w:shd w:val="clear" w:color="000000" w:fill="FFFFFF"/>
            <w:noWrap/>
            <w:vAlign w:val="center"/>
            <w:hideMark/>
          </w:tcPr>
          <w:p w14:paraId="74DC63C2" w14:textId="77777777" w:rsidR="00F44AE2" w:rsidRPr="002A79FA" w:rsidRDefault="00F44AE2" w:rsidP="00391C90">
            <w:pPr>
              <w:spacing w:after="0" w:line="240" w:lineRule="auto"/>
              <w:jc w:val="right"/>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354 593</w:t>
            </w:r>
          </w:p>
        </w:tc>
        <w:tc>
          <w:tcPr>
            <w:tcW w:w="783" w:type="dxa"/>
            <w:tcBorders>
              <w:top w:val="single" w:sz="4" w:space="0" w:color="auto"/>
              <w:left w:val="nil"/>
              <w:bottom w:val="single" w:sz="8" w:space="0" w:color="auto"/>
              <w:right w:val="nil"/>
            </w:tcBorders>
            <w:shd w:val="clear" w:color="000000" w:fill="FFFFFF"/>
            <w:noWrap/>
            <w:vAlign w:val="center"/>
            <w:hideMark/>
          </w:tcPr>
          <w:p w14:paraId="45EBFDD7" w14:textId="77777777" w:rsidR="00F44AE2" w:rsidRPr="002A79FA" w:rsidRDefault="00F44AE2" w:rsidP="00391C90">
            <w:pPr>
              <w:spacing w:after="0" w:line="240" w:lineRule="auto"/>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364 108</w:t>
            </w:r>
          </w:p>
        </w:tc>
        <w:tc>
          <w:tcPr>
            <w:tcW w:w="906" w:type="dxa"/>
            <w:tcBorders>
              <w:top w:val="single" w:sz="4" w:space="0" w:color="auto"/>
              <w:left w:val="nil"/>
              <w:bottom w:val="single" w:sz="8" w:space="0" w:color="auto"/>
              <w:right w:val="nil"/>
            </w:tcBorders>
            <w:shd w:val="clear" w:color="auto" w:fill="auto"/>
            <w:noWrap/>
            <w:vAlign w:val="center"/>
            <w:hideMark/>
          </w:tcPr>
          <w:p w14:paraId="0975FE65" w14:textId="77777777" w:rsidR="00F44AE2" w:rsidRPr="002A79FA" w:rsidRDefault="00F44AE2" w:rsidP="00391C90">
            <w:pPr>
              <w:spacing w:after="0" w:line="240" w:lineRule="auto"/>
              <w:jc w:val="right"/>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400 937</w:t>
            </w:r>
          </w:p>
        </w:tc>
        <w:tc>
          <w:tcPr>
            <w:tcW w:w="858" w:type="dxa"/>
            <w:tcBorders>
              <w:top w:val="single" w:sz="4" w:space="0" w:color="auto"/>
              <w:left w:val="nil"/>
              <w:bottom w:val="single" w:sz="8" w:space="0" w:color="auto"/>
              <w:right w:val="nil"/>
            </w:tcBorders>
            <w:shd w:val="clear" w:color="000000" w:fill="FFFFFF"/>
            <w:noWrap/>
            <w:vAlign w:val="center"/>
            <w:hideMark/>
          </w:tcPr>
          <w:p w14:paraId="0EAD21A4" w14:textId="77777777" w:rsidR="00F44AE2" w:rsidRPr="002A79FA" w:rsidRDefault="00F44AE2" w:rsidP="00391C90">
            <w:pPr>
              <w:spacing w:after="0" w:line="240" w:lineRule="auto"/>
              <w:jc w:val="right"/>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36 829</w:t>
            </w:r>
          </w:p>
        </w:tc>
        <w:tc>
          <w:tcPr>
            <w:tcW w:w="765" w:type="dxa"/>
            <w:tcBorders>
              <w:top w:val="single" w:sz="4" w:space="0" w:color="auto"/>
              <w:left w:val="nil"/>
              <w:bottom w:val="single" w:sz="8" w:space="0" w:color="auto"/>
              <w:right w:val="nil"/>
            </w:tcBorders>
            <w:shd w:val="clear" w:color="000000" w:fill="FFFFFF"/>
            <w:noWrap/>
            <w:vAlign w:val="center"/>
            <w:hideMark/>
          </w:tcPr>
          <w:p w14:paraId="22F045DB" w14:textId="77777777" w:rsidR="00F44AE2" w:rsidRPr="002A79FA" w:rsidRDefault="00F44AE2" w:rsidP="00391C90">
            <w:pPr>
              <w:spacing w:after="0" w:line="240" w:lineRule="auto"/>
              <w:jc w:val="right"/>
              <w:rPr>
                <w:rFonts w:eastAsia="Times New Roman" w:cs="Times New Roman"/>
                <w:b/>
                <w:bCs/>
                <w:color w:val="000000"/>
                <w:sz w:val="20"/>
                <w:szCs w:val="20"/>
                <w:lang w:eastAsia="sk-SK"/>
              </w:rPr>
            </w:pPr>
            <w:r w:rsidRPr="002A79FA">
              <w:rPr>
                <w:rFonts w:eastAsia="Times New Roman" w:cs="Times New Roman"/>
                <w:b/>
                <w:bCs/>
                <w:color w:val="000000"/>
                <w:sz w:val="20"/>
                <w:szCs w:val="20"/>
                <w:lang w:eastAsia="sk-SK"/>
              </w:rPr>
              <w:t>10,1</w:t>
            </w:r>
          </w:p>
        </w:tc>
      </w:tr>
    </w:tbl>
    <w:p w14:paraId="09C43F3F" w14:textId="094ED81A" w:rsidR="00F44AE2" w:rsidRPr="002A79FA" w:rsidRDefault="00F44AE2" w:rsidP="00624699">
      <w:pPr>
        <w:jc w:val="right"/>
        <w:rPr>
          <w:rFonts w:eastAsia="Times New Roman" w:cs="Times New Roman"/>
          <w:color w:val="000000"/>
          <w:sz w:val="20"/>
          <w:szCs w:val="20"/>
          <w:lang w:eastAsia="sk-SK"/>
        </w:rPr>
      </w:pPr>
      <w:r w:rsidRPr="002A79FA">
        <w:rPr>
          <w:rFonts w:eastAsia="Times New Roman" w:cs="Times New Roman"/>
          <w:color w:val="000000"/>
          <w:sz w:val="20"/>
          <w:szCs w:val="20"/>
          <w:lang w:eastAsia="sk-SK"/>
        </w:rPr>
        <w:t>Zdroj: MF SR</w:t>
      </w:r>
    </w:p>
    <w:p w14:paraId="48BB04D1" w14:textId="77777777" w:rsidR="00F44AE2" w:rsidRPr="008D5E3F" w:rsidRDefault="00F44AE2" w:rsidP="00F44AE2">
      <w:pPr>
        <w:tabs>
          <w:tab w:val="left" w:pos="284"/>
        </w:tabs>
        <w:spacing w:line="240" w:lineRule="auto"/>
        <w:rPr>
          <w:color w:val="000000" w:themeColor="text1"/>
          <w:sz w:val="24"/>
          <w:szCs w:val="24"/>
        </w:rPr>
      </w:pPr>
      <w:r w:rsidRPr="001D326D">
        <w:rPr>
          <w:color w:val="000000" w:themeColor="text1"/>
          <w:sz w:val="24"/>
          <w:szCs w:val="24"/>
        </w:rPr>
        <w:t xml:space="preserve">V rámci tejto kategórie dosiahli najvyšší príjem </w:t>
      </w:r>
      <w:r w:rsidRPr="001D326D">
        <w:rPr>
          <w:b/>
          <w:i/>
          <w:color w:val="000000" w:themeColor="text1"/>
          <w:sz w:val="24"/>
          <w:szCs w:val="24"/>
        </w:rPr>
        <w:t>ostatné administratívne poplatky</w:t>
      </w:r>
      <w:r w:rsidRPr="001D326D">
        <w:rPr>
          <w:color w:val="000000" w:themeColor="text1"/>
          <w:sz w:val="24"/>
          <w:szCs w:val="24"/>
        </w:rPr>
        <w:t>, a to čiastku 206 689</w:t>
      </w:r>
      <w:r>
        <w:rPr>
          <w:color w:val="000000" w:themeColor="text1"/>
          <w:sz w:val="24"/>
          <w:szCs w:val="24"/>
        </w:rPr>
        <w:t> tis. eur, z toho</w:t>
      </w:r>
      <w:r w:rsidRPr="001D326D">
        <w:rPr>
          <w:color w:val="000000" w:themeColor="text1"/>
          <w:sz w:val="24"/>
          <w:szCs w:val="24"/>
        </w:rPr>
        <w:t xml:space="preserve"> </w:t>
      </w:r>
      <w:r>
        <w:rPr>
          <w:color w:val="000000" w:themeColor="text1"/>
          <w:sz w:val="24"/>
          <w:szCs w:val="24"/>
        </w:rPr>
        <w:t>r</w:t>
      </w:r>
      <w:r w:rsidRPr="00CE177B">
        <w:rPr>
          <w:color w:val="000000" w:themeColor="text1"/>
          <w:sz w:val="24"/>
          <w:szCs w:val="24"/>
        </w:rPr>
        <w:t>ozhodujúca suma 193 118 tis. eur plynula do rozpočtu kapitoly Všeobecná pokladničná správa</w:t>
      </w:r>
      <w:r>
        <w:rPr>
          <w:color w:val="000000" w:themeColor="text1"/>
          <w:sz w:val="24"/>
          <w:szCs w:val="24"/>
        </w:rPr>
        <w:t>,</w:t>
      </w:r>
      <w:r w:rsidRPr="00CE177B">
        <w:rPr>
          <w:color w:val="000000" w:themeColor="text1"/>
          <w:sz w:val="24"/>
          <w:szCs w:val="24"/>
        </w:rPr>
        <w:t xml:space="preserve"> </w:t>
      </w:r>
      <w:r w:rsidRPr="008D5E3F">
        <w:rPr>
          <w:color w:val="000000" w:themeColor="text1"/>
          <w:sz w:val="24"/>
          <w:szCs w:val="24"/>
        </w:rPr>
        <w:t>z ktorej 179</w:t>
      </w:r>
      <w:r>
        <w:rPr>
          <w:color w:val="000000" w:themeColor="text1"/>
          <w:sz w:val="24"/>
          <w:szCs w:val="24"/>
        </w:rPr>
        <w:t> </w:t>
      </w:r>
      <w:r w:rsidRPr="008D5E3F">
        <w:rPr>
          <w:color w:val="000000" w:themeColor="text1"/>
          <w:sz w:val="24"/>
          <w:szCs w:val="24"/>
        </w:rPr>
        <w:t>096</w:t>
      </w:r>
      <w:r>
        <w:rPr>
          <w:color w:val="000000" w:themeColor="text1"/>
          <w:sz w:val="24"/>
          <w:szCs w:val="24"/>
        </w:rPr>
        <w:t> </w:t>
      </w:r>
      <w:r w:rsidRPr="008D5E3F">
        <w:rPr>
          <w:color w:val="000000" w:themeColor="text1"/>
          <w:sz w:val="24"/>
          <w:szCs w:val="24"/>
        </w:rPr>
        <w:t xml:space="preserve">tis. eur tvorili správne poplatky platené prostredníctvom systému e-Kolok a prostredníctvom integrovaných obslužných miest. </w:t>
      </w:r>
    </w:p>
    <w:p w14:paraId="49B490DB" w14:textId="77777777" w:rsidR="00F44AE2" w:rsidRPr="00175732" w:rsidRDefault="00F44AE2" w:rsidP="00F44AE2">
      <w:pPr>
        <w:tabs>
          <w:tab w:val="left" w:pos="284"/>
        </w:tabs>
        <w:spacing w:line="240" w:lineRule="auto"/>
        <w:rPr>
          <w:rFonts w:cs="Times New Roman"/>
          <w:color w:val="000000" w:themeColor="text1"/>
          <w:sz w:val="24"/>
          <w:szCs w:val="24"/>
        </w:rPr>
      </w:pPr>
      <w:r w:rsidRPr="00623329">
        <w:rPr>
          <w:b/>
          <w:i/>
          <w:color w:val="000000" w:themeColor="text1"/>
          <w:sz w:val="24"/>
          <w:szCs w:val="24"/>
        </w:rPr>
        <w:t>Súdne poplatky</w:t>
      </w:r>
      <w:r w:rsidRPr="00623329">
        <w:rPr>
          <w:color w:val="000000" w:themeColor="text1"/>
          <w:sz w:val="24"/>
          <w:szCs w:val="24"/>
        </w:rPr>
        <w:t xml:space="preserve"> dosiahli skutočné plnenie vo výške 30 276</w:t>
      </w:r>
      <w:r>
        <w:rPr>
          <w:color w:val="000000" w:themeColor="text1"/>
          <w:sz w:val="24"/>
          <w:szCs w:val="24"/>
        </w:rPr>
        <w:t> tis. eur a</w:t>
      </w:r>
      <w:r w:rsidRPr="00623329">
        <w:rPr>
          <w:color w:val="000000" w:themeColor="text1"/>
          <w:sz w:val="24"/>
          <w:szCs w:val="24"/>
        </w:rPr>
        <w:t xml:space="preserve"> takmer v celej výške (30 272 tis. eur) boli príjmom kapitoly Všeobecná pokladničná správa.</w:t>
      </w:r>
      <w:r w:rsidRPr="00213E51">
        <w:rPr>
          <w:color w:val="FF0000"/>
          <w:sz w:val="24"/>
          <w:szCs w:val="24"/>
        </w:rPr>
        <w:t xml:space="preserve"> </w:t>
      </w:r>
      <w:r w:rsidRPr="00175732">
        <w:rPr>
          <w:rFonts w:cs="Times New Roman"/>
          <w:color w:val="000000" w:themeColor="text1"/>
          <w:sz w:val="24"/>
          <w:szCs w:val="24"/>
        </w:rPr>
        <w:t xml:space="preserve">V roku 2022 sa takmer všetky súdne poplatky platili prostredníctvom systému e-Kolok, tak ako aj všetky ostatné administratívne poplatky. </w:t>
      </w:r>
    </w:p>
    <w:p w14:paraId="2F25ED9D" w14:textId="77777777" w:rsidR="00F44AE2" w:rsidRPr="002719AC" w:rsidRDefault="00F44AE2" w:rsidP="00F44AE2">
      <w:pPr>
        <w:spacing w:line="240" w:lineRule="auto"/>
        <w:rPr>
          <w:color w:val="000000" w:themeColor="text1"/>
          <w:sz w:val="24"/>
          <w:szCs w:val="24"/>
        </w:rPr>
      </w:pPr>
      <w:r w:rsidRPr="00FA029C">
        <w:rPr>
          <w:b/>
          <w:i/>
          <w:color w:val="000000" w:themeColor="text1"/>
          <w:sz w:val="24"/>
          <w:szCs w:val="24"/>
        </w:rPr>
        <w:t xml:space="preserve">Pokuty, penále a iné sankcie </w:t>
      </w:r>
      <w:r w:rsidRPr="00FA029C">
        <w:rPr>
          <w:color w:val="000000" w:themeColor="text1"/>
          <w:sz w:val="24"/>
          <w:szCs w:val="24"/>
        </w:rPr>
        <w:t xml:space="preserve">dosiahli sumu 68 713 tis. eur a sú vyrubované zo strany štátnych úradov najmä v súvislosti s porušením daňových, colných, cenových a ostatných predpisov. </w:t>
      </w:r>
      <w:r w:rsidRPr="006733C1">
        <w:rPr>
          <w:color w:val="000000" w:themeColor="text1"/>
          <w:sz w:val="24"/>
          <w:szCs w:val="24"/>
        </w:rPr>
        <w:t xml:space="preserve">Najväčší podiel tvorila kapitola </w:t>
      </w:r>
      <w:r w:rsidRPr="006733C1">
        <w:rPr>
          <w:color w:val="000000" w:themeColor="text1"/>
          <w:sz w:val="24"/>
          <w:szCs w:val="24"/>
          <w:u w:val="single"/>
        </w:rPr>
        <w:t xml:space="preserve">Ministerstva vnútra SR </w:t>
      </w:r>
      <w:r w:rsidRPr="006733C1">
        <w:rPr>
          <w:color w:val="000000" w:themeColor="text1"/>
          <w:sz w:val="24"/>
          <w:szCs w:val="24"/>
        </w:rPr>
        <w:t xml:space="preserve">(48 943 tis. eur), </w:t>
      </w:r>
      <w:r w:rsidRPr="002719AC">
        <w:rPr>
          <w:color w:val="000000" w:themeColor="text1"/>
          <w:sz w:val="24"/>
          <w:szCs w:val="24"/>
        </w:rPr>
        <w:t xml:space="preserve">kde išlo najmä zaplatené alebo vymožené pokuty, ktoré uložili útvary Policajného zboru, okresné úrady, v nižšej miere útvary Hasičského a záchranného zboru a útvary </w:t>
      </w:r>
      <w:r>
        <w:rPr>
          <w:color w:val="000000" w:themeColor="text1"/>
          <w:sz w:val="24"/>
          <w:szCs w:val="24"/>
        </w:rPr>
        <w:t>Ministerstva vnútra SR (pokuty v blokovom konaní alebo uložené rozhodnutím 28 148 tis. eur, pokuty za použitie vymedzených úsekov ciest bez úhrady – diaľničná známka 14 925 tis. eur, pokuty za nevykonanie emisnej a technickej kontroly na vozidle 3 276 tis. eur a ďalšie).</w:t>
      </w:r>
    </w:p>
    <w:p w14:paraId="5D196185" w14:textId="77777777" w:rsidR="00F44AE2" w:rsidRDefault="00F44AE2" w:rsidP="00F44AE2">
      <w:pPr>
        <w:spacing w:line="240" w:lineRule="auto"/>
        <w:rPr>
          <w:color w:val="000000" w:themeColor="text1"/>
          <w:sz w:val="24"/>
          <w:szCs w:val="24"/>
        </w:rPr>
      </w:pPr>
      <w:r w:rsidRPr="006C4111">
        <w:rPr>
          <w:color w:val="000000" w:themeColor="text1"/>
          <w:sz w:val="24"/>
          <w:szCs w:val="24"/>
          <w:u w:val="single"/>
        </w:rPr>
        <w:t>Ministerstvo práce, sociálnych vecí a rodiny SR</w:t>
      </w:r>
      <w:r w:rsidRPr="006C4111">
        <w:rPr>
          <w:color w:val="000000" w:themeColor="text1"/>
          <w:sz w:val="24"/>
          <w:szCs w:val="24"/>
        </w:rPr>
        <w:t xml:space="preserve"> prijalo za porušenie predpisov sumu 6</w:t>
      </w:r>
      <w:r>
        <w:rPr>
          <w:color w:val="000000" w:themeColor="text1"/>
          <w:sz w:val="24"/>
          <w:szCs w:val="24"/>
        </w:rPr>
        <w:t> </w:t>
      </w:r>
      <w:r w:rsidRPr="006C4111">
        <w:rPr>
          <w:color w:val="000000" w:themeColor="text1"/>
          <w:sz w:val="24"/>
          <w:szCs w:val="24"/>
        </w:rPr>
        <w:t>2</w:t>
      </w:r>
      <w:r>
        <w:rPr>
          <w:color w:val="000000" w:themeColor="text1"/>
          <w:sz w:val="24"/>
          <w:szCs w:val="24"/>
        </w:rPr>
        <w:t>81 </w:t>
      </w:r>
      <w:r w:rsidRPr="006C4111">
        <w:rPr>
          <w:color w:val="000000" w:themeColor="text1"/>
          <w:sz w:val="24"/>
          <w:szCs w:val="24"/>
        </w:rPr>
        <w:t xml:space="preserve">tis. eur </w:t>
      </w:r>
      <w:r w:rsidRPr="00BC1C0E">
        <w:rPr>
          <w:color w:val="000000" w:themeColor="text1"/>
          <w:sz w:val="24"/>
          <w:szCs w:val="24"/>
        </w:rPr>
        <w:t>vo forme blokových pokút a pokút za porušovanie pracovnoprávnych predpisov a predpisov na zaistenie bezpečnosti a ochrany zdravia pri práci (ukladané najmä inšpektorátmi práce) a odvodov za neplnenie povinného podielu zamestnávania občanov so zdravotným postihnutím podľa § 65 zákona č. 5/2004 Z. z. o službách zamestnanosti.</w:t>
      </w:r>
    </w:p>
    <w:p w14:paraId="31BF2214" w14:textId="77777777" w:rsidR="00F44AE2" w:rsidRPr="00020571" w:rsidRDefault="00F44AE2" w:rsidP="00F44AE2">
      <w:pPr>
        <w:spacing w:line="240" w:lineRule="auto"/>
        <w:rPr>
          <w:color w:val="000000" w:themeColor="text1"/>
          <w:sz w:val="24"/>
          <w:szCs w:val="24"/>
        </w:rPr>
      </w:pPr>
      <w:r w:rsidRPr="00A26A37">
        <w:rPr>
          <w:color w:val="000000" w:themeColor="text1"/>
          <w:sz w:val="24"/>
          <w:szCs w:val="24"/>
          <w:u w:val="single"/>
        </w:rPr>
        <w:t>Ministerstvo pôdohospodárstva a rozvoja vidieka SR</w:t>
      </w:r>
      <w:r w:rsidRPr="00A26A37">
        <w:rPr>
          <w:color w:val="000000" w:themeColor="text1"/>
          <w:sz w:val="24"/>
          <w:szCs w:val="24"/>
        </w:rPr>
        <w:t xml:space="preserve"> získalo príjmy za porušenie predpisov v celkovej výške 2 474 tis. eur. </w:t>
      </w:r>
      <w:r w:rsidRPr="00020571">
        <w:rPr>
          <w:color w:val="000000" w:themeColor="text1"/>
          <w:sz w:val="24"/>
          <w:szCs w:val="24"/>
        </w:rPr>
        <w:t xml:space="preserve">Najväčší objem príjmov dosiahla Štátna veterinárna a potravinová správa SR z pokút, ktoré boli uložené prevádzkovateľom v obchodných sieťach. </w:t>
      </w:r>
    </w:p>
    <w:p w14:paraId="0C8B2F49" w14:textId="77777777" w:rsidR="00F44AE2" w:rsidRPr="00A12810" w:rsidRDefault="00F44AE2" w:rsidP="00F44AE2">
      <w:pPr>
        <w:spacing w:line="240" w:lineRule="auto"/>
        <w:rPr>
          <w:color w:val="000000" w:themeColor="text1"/>
          <w:sz w:val="24"/>
          <w:szCs w:val="24"/>
        </w:rPr>
      </w:pPr>
      <w:r w:rsidRPr="00500AA7">
        <w:rPr>
          <w:rFonts w:cs="Times New Roman"/>
          <w:color w:val="000000" w:themeColor="text1"/>
          <w:sz w:val="24"/>
          <w:szCs w:val="24"/>
          <w:u w:val="single"/>
        </w:rPr>
        <w:t>Všeobecná pokladničná správa</w:t>
      </w:r>
      <w:r w:rsidRPr="00500AA7">
        <w:rPr>
          <w:rFonts w:cs="Times New Roman"/>
          <w:color w:val="000000" w:themeColor="text1"/>
          <w:sz w:val="24"/>
          <w:szCs w:val="24"/>
        </w:rPr>
        <w:t xml:space="preserve"> získala príjem z pokút v sume 2 2</w:t>
      </w:r>
      <w:r>
        <w:rPr>
          <w:rFonts w:cs="Times New Roman"/>
          <w:color w:val="000000" w:themeColor="text1"/>
          <w:sz w:val="24"/>
          <w:szCs w:val="24"/>
        </w:rPr>
        <w:t>90</w:t>
      </w:r>
      <w:r w:rsidRPr="00500AA7">
        <w:rPr>
          <w:rFonts w:cs="Times New Roman"/>
          <w:color w:val="000000" w:themeColor="text1"/>
          <w:sz w:val="24"/>
          <w:szCs w:val="24"/>
        </w:rPr>
        <w:t xml:space="preserve"> tis. eur. Z toho Finančné riaditeľstvo SR vybralo pokuty za porušenie predpisov v sume 1 236 tis. eur, </w:t>
      </w:r>
      <w:r w:rsidRPr="00850495">
        <w:rPr>
          <w:rFonts w:cs="Times New Roman"/>
          <w:color w:val="000000" w:themeColor="text1"/>
          <w:sz w:val="24"/>
          <w:szCs w:val="24"/>
        </w:rPr>
        <w:t>Úrad pre reguláciu hazardných hier 633 tis. eur,</w:t>
      </w:r>
      <w:r>
        <w:rPr>
          <w:rFonts w:cs="Times New Roman"/>
          <w:color w:val="FF0000"/>
          <w:sz w:val="24"/>
          <w:szCs w:val="24"/>
        </w:rPr>
        <w:t xml:space="preserve"> </w:t>
      </w:r>
      <w:r w:rsidRPr="00A12810">
        <w:rPr>
          <w:rFonts w:cs="Times New Roman"/>
          <w:color w:val="000000" w:themeColor="text1"/>
          <w:sz w:val="24"/>
          <w:szCs w:val="24"/>
        </w:rPr>
        <w:t xml:space="preserve">Úrad na ochranu osobných údajov SR 106 tis. eur a Rada pre vysielanie a retransmisiu 76 tis. eur. </w:t>
      </w:r>
      <w:r w:rsidRPr="00A12810">
        <w:rPr>
          <w:color w:val="000000" w:themeColor="text1"/>
          <w:sz w:val="24"/>
          <w:szCs w:val="24"/>
        </w:rPr>
        <w:t>Zvyšnú sumu predstavujú ďalšie príjmy z pokút, ktoré boli pripísané na účet kapitoly.</w:t>
      </w:r>
    </w:p>
    <w:p w14:paraId="52A1CB13" w14:textId="157B6AAD" w:rsidR="00F44AE2" w:rsidRDefault="00F44AE2" w:rsidP="00F44AE2">
      <w:pPr>
        <w:spacing w:line="240" w:lineRule="auto"/>
        <w:rPr>
          <w:color w:val="FF0000"/>
          <w:sz w:val="24"/>
          <w:szCs w:val="24"/>
        </w:rPr>
      </w:pPr>
      <w:r w:rsidRPr="00572803">
        <w:rPr>
          <w:b/>
          <w:i/>
          <w:color w:val="000000" w:themeColor="text1"/>
          <w:sz w:val="24"/>
          <w:szCs w:val="24"/>
        </w:rPr>
        <w:t>Poplatky a platby z nepriemyselného a náhodného predaja</w:t>
      </w:r>
      <w:r w:rsidRPr="00572803">
        <w:rPr>
          <w:color w:val="000000" w:themeColor="text1"/>
          <w:sz w:val="24"/>
          <w:szCs w:val="24"/>
        </w:rPr>
        <w:t xml:space="preserve"> prijali kapitoly v celkovej čiastke 94 410 tis. eur, z toho takmer v celej výške za predaj výrobkov, tovarov a služieb (92 308 tis. eur). Oproti schválenému rozpočtu dosiahli tieto poplatky vyššie plnenie o 28,0 %. Najvyššiu čiastku získalo </w:t>
      </w:r>
      <w:r w:rsidRPr="00572803">
        <w:rPr>
          <w:color w:val="000000" w:themeColor="text1"/>
          <w:sz w:val="24"/>
          <w:szCs w:val="24"/>
          <w:u w:val="single"/>
        </w:rPr>
        <w:t>Ministerstvo dopravy a výstavby SR</w:t>
      </w:r>
      <w:r w:rsidRPr="00572803">
        <w:rPr>
          <w:color w:val="000000" w:themeColor="text1"/>
          <w:sz w:val="24"/>
          <w:szCs w:val="24"/>
        </w:rPr>
        <w:t xml:space="preserve">, a to 57 322 tis. eur, pričom schválený rozpočet bol prekročený až o 20 046 tis. eur najmä z dôvodu, že príjmy z jednorazových úhrad sa nerozpočtujú. Išlo najmä o príjmy Úradu pre reguláciu elektronických komunikácií a poštových služieb v sume 52 106 tis. eur za správu frekvencií a za reguláciu </w:t>
      </w:r>
      <w:r w:rsidRPr="00572803">
        <w:rPr>
          <w:color w:val="000000" w:themeColor="text1"/>
          <w:sz w:val="24"/>
          <w:szCs w:val="24"/>
        </w:rPr>
        <w:lastRenderedPageBreak/>
        <w:t xml:space="preserve">elektronických komunikácií. </w:t>
      </w:r>
      <w:r w:rsidRPr="00572803">
        <w:rPr>
          <w:rFonts w:cs="Times New Roman"/>
          <w:color w:val="000000" w:themeColor="text1"/>
          <w:sz w:val="24"/>
          <w:szCs w:val="24"/>
        </w:rPr>
        <w:t>Hlavná časť príjmov za správu frekvencií boli úhrady za frekvencie v sume 50 139 tis. eur, z toho jednorazové úhrady vo výške 36 260 tis. eur. Jednorazové úhrady boli za pridelené frekvencie z frekvenčných pásiem 700 MHz, 900 MHz a 1800 MHz, pričom výberové konanie bolo realizované formou elektronickej aukcie na viac frekvenčných pásiem súčasne. Predmetné frekvenc</w:t>
      </w:r>
      <w:r w:rsidR="004820B5">
        <w:rPr>
          <w:rFonts w:cs="Times New Roman"/>
          <w:color w:val="000000" w:themeColor="text1"/>
          <w:sz w:val="24"/>
          <w:szCs w:val="24"/>
        </w:rPr>
        <w:t>ie boli pridelené pre budovanie</w:t>
      </w:r>
      <w:r w:rsidRPr="00572803">
        <w:rPr>
          <w:rFonts w:cs="Times New Roman"/>
          <w:color w:val="000000" w:themeColor="text1"/>
          <w:sz w:val="24"/>
          <w:szCs w:val="24"/>
        </w:rPr>
        <w:t xml:space="preserve"> tzv. 5G sietí – primárne frekvenčné pásmo 700 MHz. Jednorazové úhrady operátorov za pridelené frekvencie boli v celkovej výške 20 660 tis. eur. V roku 2022 bola uzatvorená zmluva, ktorej predmetom bola realizácia elektronickej aukcie v rámci výberového konania organizova</w:t>
      </w:r>
      <w:r w:rsidR="00F554C5">
        <w:rPr>
          <w:rFonts w:cs="Times New Roman"/>
          <w:color w:val="000000" w:themeColor="text1"/>
          <w:sz w:val="24"/>
          <w:szCs w:val="24"/>
        </w:rPr>
        <w:t>ného úradom na udelenie práv na </w:t>
      </w:r>
      <w:r w:rsidRPr="00572803">
        <w:rPr>
          <w:rFonts w:cs="Times New Roman"/>
          <w:color w:val="000000" w:themeColor="text1"/>
          <w:sz w:val="24"/>
          <w:szCs w:val="24"/>
        </w:rPr>
        <w:t>využívanie rádiových frekvencií vo</w:t>
      </w:r>
      <w:r>
        <w:rPr>
          <w:rFonts w:cs="Times New Roman"/>
          <w:color w:val="000000" w:themeColor="text1"/>
          <w:sz w:val="24"/>
          <w:szCs w:val="24"/>
        </w:rPr>
        <w:t> </w:t>
      </w:r>
      <w:r w:rsidRPr="00572803">
        <w:rPr>
          <w:rFonts w:cs="Times New Roman"/>
          <w:color w:val="000000" w:themeColor="text1"/>
          <w:sz w:val="24"/>
          <w:szCs w:val="24"/>
        </w:rPr>
        <w:t>frekvenčnom pásme 3,6 GHz. Jednorazové úhrady (finančné zábezpeky v rámci výberového konania) operátorov na</w:t>
      </w:r>
      <w:r>
        <w:rPr>
          <w:rFonts w:cs="Times New Roman"/>
          <w:color w:val="000000" w:themeColor="text1"/>
          <w:sz w:val="24"/>
          <w:szCs w:val="24"/>
        </w:rPr>
        <w:t xml:space="preserve"> </w:t>
      </w:r>
      <w:r w:rsidRPr="00572803">
        <w:rPr>
          <w:rFonts w:cs="Times New Roman"/>
          <w:color w:val="000000" w:themeColor="text1"/>
          <w:sz w:val="24"/>
          <w:szCs w:val="24"/>
        </w:rPr>
        <w:t>základe te</w:t>
      </w:r>
      <w:r w:rsidR="00F554C5">
        <w:rPr>
          <w:rFonts w:cs="Times New Roman"/>
          <w:color w:val="000000" w:themeColor="text1"/>
          <w:sz w:val="24"/>
          <w:szCs w:val="24"/>
        </w:rPr>
        <w:t>jto elektronickej aukcie boli v </w:t>
      </w:r>
      <w:r w:rsidRPr="00572803">
        <w:rPr>
          <w:rFonts w:cs="Times New Roman"/>
          <w:color w:val="000000" w:themeColor="text1"/>
          <w:sz w:val="24"/>
          <w:szCs w:val="24"/>
        </w:rPr>
        <w:t xml:space="preserve">celkovej výške 15 600 tis. eur. </w:t>
      </w:r>
    </w:p>
    <w:p w14:paraId="23F883A7" w14:textId="77777777" w:rsidR="00F44AE2" w:rsidRDefault="00F44AE2" w:rsidP="00F44AE2">
      <w:pPr>
        <w:spacing w:line="240" w:lineRule="auto"/>
        <w:rPr>
          <w:rFonts w:cs="Times New Roman"/>
          <w:color w:val="000000" w:themeColor="text1"/>
          <w:sz w:val="24"/>
          <w:szCs w:val="24"/>
        </w:rPr>
      </w:pPr>
      <w:r w:rsidRPr="00056791">
        <w:rPr>
          <w:color w:val="000000" w:themeColor="text1"/>
          <w:sz w:val="24"/>
          <w:szCs w:val="24"/>
          <w:u w:val="single"/>
        </w:rPr>
        <w:t>Ministerstvo spravodlivosti SR</w:t>
      </w:r>
      <w:r w:rsidRPr="00056791">
        <w:rPr>
          <w:color w:val="000000" w:themeColor="text1"/>
          <w:sz w:val="24"/>
          <w:szCs w:val="24"/>
        </w:rPr>
        <w:t xml:space="preserve"> získalo čiastku 19 264 tis. eur.</w:t>
      </w:r>
      <w:r w:rsidRPr="00056791">
        <w:rPr>
          <w:color w:val="FF0000"/>
          <w:sz w:val="24"/>
          <w:szCs w:val="24"/>
        </w:rPr>
        <w:t xml:space="preserve"> </w:t>
      </w:r>
      <w:r w:rsidRPr="00056791">
        <w:rPr>
          <w:color w:val="000000" w:themeColor="text1"/>
          <w:sz w:val="24"/>
          <w:szCs w:val="24"/>
        </w:rPr>
        <w:t xml:space="preserve">Z toho sumu 17 399 tis. eur tvorili </w:t>
      </w:r>
      <w:r w:rsidRPr="00056791">
        <w:rPr>
          <w:rFonts w:cs="Times New Roman"/>
          <w:color w:val="000000" w:themeColor="text1"/>
          <w:sz w:val="24"/>
          <w:szCs w:val="24"/>
        </w:rPr>
        <w:t>príjmy Zboru väzenskej a justičnej stráže z vedľajšieho hospodárstva – drevovýroba, kovovýroba, krajčírske práce, pomocné práce, upratovanie a čistenie, montážne práce pre automobilový priemysel ako aj poľnohospodárske práce a výroba, v tom 3 132 tis. eur predstavovali zdravotnícke výkony Nemocnice pre obvinených a odsúdených Trenčín. Ďalšie príjmy plynuli z rehabilitačných a rekreačných služieb, predaja tovarov v bufete ústavov. V civilnej časti kapitoly príjmy vznikali najmä pri výkone súdnictva za poskytnuté právne služby a z prevádzkovej činnosti.</w:t>
      </w:r>
    </w:p>
    <w:p w14:paraId="0FDF58CA" w14:textId="77777777" w:rsidR="00F44AE2" w:rsidRDefault="00F44AE2" w:rsidP="00F44AE2">
      <w:pPr>
        <w:spacing w:line="240" w:lineRule="auto"/>
        <w:rPr>
          <w:rFonts w:cs="Times New Roman"/>
          <w:color w:val="000000" w:themeColor="text1"/>
          <w:sz w:val="24"/>
          <w:szCs w:val="24"/>
        </w:rPr>
      </w:pPr>
      <w:r w:rsidRPr="00707054">
        <w:rPr>
          <w:rFonts w:cs="Times New Roman"/>
          <w:color w:val="000000" w:themeColor="text1"/>
          <w:sz w:val="24"/>
          <w:szCs w:val="24"/>
          <w:u w:val="single"/>
        </w:rPr>
        <w:t xml:space="preserve">Ministerstvo pôdohospodárstva a rozvoja vidieka SR </w:t>
      </w:r>
      <w:r>
        <w:rPr>
          <w:rFonts w:cs="Times New Roman"/>
          <w:color w:val="000000" w:themeColor="text1"/>
          <w:sz w:val="24"/>
          <w:szCs w:val="24"/>
        </w:rPr>
        <w:t xml:space="preserve">dosiahlo na tejto podpoložke celkové príjmy 5 162 tis. eur najmä za </w:t>
      </w:r>
      <w:proofErr w:type="spellStart"/>
      <w:r>
        <w:rPr>
          <w:rFonts w:cs="Times New Roman"/>
          <w:color w:val="000000" w:themeColor="text1"/>
          <w:sz w:val="24"/>
          <w:szCs w:val="24"/>
        </w:rPr>
        <w:t>fytosanitárne</w:t>
      </w:r>
      <w:proofErr w:type="spellEnd"/>
      <w:r>
        <w:rPr>
          <w:rFonts w:cs="Times New Roman"/>
          <w:color w:val="000000" w:themeColor="text1"/>
          <w:sz w:val="24"/>
          <w:szCs w:val="24"/>
        </w:rPr>
        <w:t xml:space="preserve"> výkony (registrácia pesticídov, odrodové skúšobníctvo, ochrana rastlín, laboratórne analýzy krmív, pôdy a hnojív) a za veterinárne výkony (poplatky za činnosť veterinárnych lekárov, kontroly, certifikácie a iné).</w:t>
      </w:r>
    </w:p>
    <w:p w14:paraId="065DFCED" w14:textId="47512192" w:rsidR="00F44AE2" w:rsidRPr="00B45E29" w:rsidRDefault="00F44AE2" w:rsidP="00F44AE2">
      <w:pPr>
        <w:spacing w:line="240" w:lineRule="auto"/>
        <w:rPr>
          <w:rFonts w:cs="Times New Roman"/>
          <w:color w:val="000000" w:themeColor="text1"/>
          <w:sz w:val="24"/>
          <w:szCs w:val="24"/>
        </w:rPr>
      </w:pPr>
      <w:r w:rsidRPr="00C22A97">
        <w:rPr>
          <w:rFonts w:cs="Times New Roman"/>
          <w:color w:val="000000" w:themeColor="text1"/>
          <w:sz w:val="24"/>
          <w:szCs w:val="24"/>
          <w:u w:val="single"/>
        </w:rPr>
        <w:t>Ministerstvo vnútra SR</w:t>
      </w:r>
      <w:r>
        <w:rPr>
          <w:rFonts w:cs="Times New Roman"/>
          <w:color w:val="000000" w:themeColor="text1"/>
          <w:sz w:val="24"/>
          <w:szCs w:val="24"/>
        </w:rPr>
        <w:t xml:space="preserve"> získalo príjmy v sume 4 821 tis. eur, z toho 2 409 tis. eur boli príjmy </w:t>
      </w:r>
      <w:r w:rsidR="00F554C5">
        <w:rPr>
          <w:rFonts w:cs="Times New Roman"/>
          <w:color w:val="000000" w:themeColor="text1"/>
          <w:sz w:val="24"/>
          <w:szCs w:val="24"/>
        </w:rPr>
        <w:t>za </w:t>
      </w:r>
      <w:r w:rsidRPr="00C22A97">
        <w:rPr>
          <w:rFonts w:cs="Times New Roman"/>
          <w:color w:val="000000" w:themeColor="text1"/>
          <w:sz w:val="24"/>
          <w:szCs w:val="24"/>
        </w:rPr>
        <w:t>poskytovanie služieb ochrany objektov v súvislosti s napojením objektov na tzv. pulty centralizovanej ochrany</w:t>
      </w:r>
      <w:r>
        <w:rPr>
          <w:rFonts w:cs="Times New Roman"/>
          <w:color w:val="1F497D"/>
          <w:sz w:val="24"/>
          <w:szCs w:val="24"/>
        </w:rPr>
        <w:t>.</w:t>
      </w:r>
      <w:r w:rsidRPr="00C22A97">
        <w:rPr>
          <w:rFonts w:cs="Times New Roman"/>
          <w:color w:val="1F497D"/>
          <w:sz w:val="24"/>
          <w:szCs w:val="24"/>
        </w:rPr>
        <w:t xml:space="preserve"> </w:t>
      </w:r>
      <w:r w:rsidRPr="00DF439E">
        <w:rPr>
          <w:rFonts w:cs="Times New Roman"/>
          <w:color w:val="000000" w:themeColor="text1"/>
          <w:sz w:val="24"/>
          <w:szCs w:val="24"/>
        </w:rPr>
        <w:t>Ďalšie prostriedky plynuli kapitole za</w:t>
      </w:r>
      <w:r>
        <w:rPr>
          <w:rFonts w:cs="Times New Roman"/>
          <w:color w:val="1F497D"/>
          <w:sz w:val="24"/>
          <w:szCs w:val="24"/>
        </w:rPr>
        <w:t xml:space="preserve"> </w:t>
      </w:r>
      <w:r w:rsidRPr="00DF439E">
        <w:rPr>
          <w:rFonts w:cs="Times New Roman"/>
          <w:color w:val="000000" w:themeColor="text1"/>
          <w:sz w:val="24"/>
          <w:szCs w:val="24"/>
        </w:rPr>
        <w:t xml:space="preserve">policajný </w:t>
      </w:r>
      <w:proofErr w:type="spellStart"/>
      <w:r w:rsidRPr="00DF439E">
        <w:rPr>
          <w:rFonts w:cs="Times New Roman"/>
          <w:color w:val="000000" w:themeColor="text1"/>
          <w:sz w:val="24"/>
          <w:szCs w:val="24"/>
        </w:rPr>
        <w:t>doprovod</w:t>
      </w:r>
      <w:proofErr w:type="spellEnd"/>
      <w:r w:rsidRPr="00DF439E">
        <w:rPr>
          <w:rFonts w:cs="Times New Roman"/>
          <w:color w:val="000000" w:themeColor="text1"/>
          <w:sz w:val="24"/>
          <w:szCs w:val="24"/>
        </w:rPr>
        <w:t>, ubytovanie v zariadeniach Ministerstva vnútra SR, vypracované znalecké posudky, lekárske výkony</w:t>
      </w:r>
      <w:r>
        <w:rPr>
          <w:rFonts w:cs="Times New Roman"/>
          <w:color w:val="1F497D"/>
          <w:sz w:val="24"/>
          <w:szCs w:val="24"/>
        </w:rPr>
        <w:t xml:space="preserve"> </w:t>
      </w:r>
      <w:r w:rsidRPr="00B45E29">
        <w:rPr>
          <w:rFonts w:cs="Times New Roman"/>
          <w:color w:val="000000" w:themeColor="text1"/>
          <w:sz w:val="24"/>
          <w:szCs w:val="24"/>
        </w:rPr>
        <w:t>a iné.</w:t>
      </w:r>
    </w:p>
    <w:p w14:paraId="5EBCC4C5" w14:textId="77777777" w:rsidR="00F44AE2" w:rsidRDefault="00F44AE2" w:rsidP="00F44AE2">
      <w:pPr>
        <w:spacing w:line="240" w:lineRule="auto"/>
        <w:rPr>
          <w:color w:val="000000" w:themeColor="text1"/>
          <w:sz w:val="24"/>
          <w:szCs w:val="24"/>
        </w:rPr>
      </w:pPr>
      <w:r w:rsidRPr="0063176A">
        <w:rPr>
          <w:b/>
          <w:color w:val="000000" w:themeColor="text1"/>
          <w:sz w:val="24"/>
          <w:szCs w:val="24"/>
        </w:rPr>
        <w:t xml:space="preserve">Kapitálové príjmy </w:t>
      </w:r>
      <w:r w:rsidRPr="0063176A">
        <w:rPr>
          <w:color w:val="000000" w:themeColor="text1"/>
          <w:sz w:val="24"/>
          <w:szCs w:val="24"/>
        </w:rPr>
        <w:t xml:space="preserve">sú príjmy z predaja hnuteľného aj nehnuteľného majetku štátu, ktorý je vyhlásený za prebytočný alebo neupotrebiteľný. Jednotlivé kapitoly štátneho rozpočtu sú zodpovedné za pravidelné vyhodnocovanie fyzického stavu majetku a rozhodnutie o jeho prebytočnosti alebo neupotrebiteľnosti. V návrhu rozpočtu sa premietajú zámery na odpredaj tohto majetku, pričom z dôvodu splnenia legislatívnych podmienok na predaj majetku štátu môže k plneniu tohto zámeru dôjsť až nasledujúce obdobie. </w:t>
      </w:r>
      <w:r w:rsidRPr="00CA7C84">
        <w:rPr>
          <w:color w:val="000000" w:themeColor="text1"/>
          <w:sz w:val="24"/>
          <w:szCs w:val="24"/>
        </w:rPr>
        <w:t xml:space="preserve">Hotovostné plnenie kapitálových príjmov dosiahlo 11 460 tis. eur, z toho najviac príjem z predaja pozemkov a nehmotných aktív 5 727 tis. eur a z predaja kapitálových aktív 5 150 tis. eur. </w:t>
      </w:r>
    </w:p>
    <w:p w14:paraId="0AD5AE02" w14:textId="22835863" w:rsidR="00F44AE2" w:rsidRPr="00E504FC" w:rsidRDefault="00F44AE2" w:rsidP="00F44AE2">
      <w:pPr>
        <w:spacing w:line="240" w:lineRule="auto"/>
        <w:rPr>
          <w:rFonts w:cs="Times New Roman"/>
          <w:color w:val="000000" w:themeColor="text1"/>
          <w:sz w:val="24"/>
          <w:szCs w:val="24"/>
        </w:rPr>
      </w:pPr>
      <w:r w:rsidRPr="00664B89">
        <w:rPr>
          <w:rFonts w:cs="Times New Roman"/>
          <w:color w:val="000000" w:themeColor="text1"/>
          <w:sz w:val="24"/>
          <w:szCs w:val="24"/>
        </w:rPr>
        <w:t>Príjmy z predaja pozemkov a nehmotných aktív boli rozpočtované v sume 1 205 tis. eur a ich skutočné plnenie dosiahlo sumu 5 727 tis. eur.</w:t>
      </w:r>
      <w:r w:rsidRPr="00213E51">
        <w:rPr>
          <w:rFonts w:cs="Times New Roman"/>
          <w:color w:val="FF0000"/>
          <w:sz w:val="24"/>
          <w:szCs w:val="24"/>
        </w:rPr>
        <w:t xml:space="preserve"> </w:t>
      </w:r>
      <w:r w:rsidRPr="004E1ED0">
        <w:rPr>
          <w:rFonts w:cs="Times New Roman"/>
          <w:color w:val="000000" w:themeColor="text1"/>
          <w:sz w:val="24"/>
          <w:szCs w:val="24"/>
        </w:rPr>
        <w:t xml:space="preserve">Najväčší objem bol dosiahnutý v kapitole </w:t>
      </w:r>
      <w:r w:rsidRPr="004E1ED0">
        <w:rPr>
          <w:rFonts w:cs="Times New Roman"/>
          <w:color w:val="000000" w:themeColor="text1"/>
          <w:sz w:val="24"/>
          <w:szCs w:val="24"/>
          <w:u w:val="single"/>
        </w:rPr>
        <w:t>Ministerstva vnútra SR</w:t>
      </w:r>
      <w:r w:rsidRPr="004E1ED0">
        <w:rPr>
          <w:rFonts w:cs="Times New Roman"/>
          <w:color w:val="000000" w:themeColor="text1"/>
          <w:sz w:val="24"/>
          <w:szCs w:val="24"/>
        </w:rPr>
        <w:t xml:space="preserve"> (4 815 tis. eur),</w:t>
      </w:r>
      <w:r w:rsidRPr="00213E51">
        <w:rPr>
          <w:rFonts w:cs="Times New Roman"/>
          <w:color w:val="FF0000"/>
          <w:sz w:val="24"/>
          <w:szCs w:val="24"/>
        </w:rPr>
        <w:t xml:space="preserve"> </w:t>
      </w:r>
      <w:r w:rsidRPr="005D0C95">
        <w:rPr>
          <w:rFonts w:cs="Times New Roman"/>
          <w:color w:val="000000" w:themeColor="text1"/>
          <w:sz w:val="24"/>
          <w:szCs w:val="24"/>
        </w:rPr>
        <w:t>pričom schválený rozpočet bol len 975 tis. eur</w:t>
      </w:r>
      <w:r w:rsidRPr="00870ECD">
        <w:rPr>
          <w:rFonts w:cs="Times New Roman"/>
          <w:color w:val="000000" w:themeColor="text1"/>
          <w:sz w:val="24"/>
          <w:szCs w:val="24"/>
        </w:rPr>
        <w:t xml:space="preserve">. Išlo najmä o odpredaj pozemkov a o prevedené zábezpeky v zmysle uzatvorených zmlúv od fyzických osôb, právnických osôb, miest, pričom v prevažnej miere išlo o odpredaj majetku v správe Okresných úradov, </w:t>
      </w:r>
      <w:r>
        <w:rPr>
          <w:rFonts w:cs="Times New Roman"/>
          <w:color w:val="000000" w:themeColor="text1"/>
          <w:sz w:val="24"/>
          <w:szCs w:val="24"/>
        </w:rPr>
        <w:t>ako dočasných správcov majetku.</w:t>
      </w:r>
      <w:r w:rsidRPr="008979B6">
        <w:rPr>
          <w:rFonts w:cs="Times New Roman"/>
          <w:color w:val="1F4E79"/>
          <w:sz w:val="14"/>
          <w:szCs w:val="14"/>
        </w:rPr>
        <w:t xml:space="preserve"> </w:t>
      </w:r>
      <w:r w:rsidRPr="009515B7">
        <w:rPr>
          <w:rFonts w:cs="Times New Roman"/>
          <w:color w:val="000000" w:themeColor="text1"/>
          <w:sz w:val="24"/>
          <w:szCs w:val="24"/>
        </w:rPr>
        <w:t>Pri príprave návrhu rozpočtu sa vychádzalo z predpokladu plnenia rozpočtu, pričom v priebehu roka 2022 boli zrealizované odpredaje vo</w:t>
      </w:r>
      <w:r>
        <w:rPr>
          <w:rFonts w:cs="Times New Roman"/>
          <w:color w:val="000000" w:themeColor="text1"/>
          <w:sz w:val="24"/>
          <w:szCs w:val="24"/>
        </w:rPr>
        <w:t xml:space="preserve"> vyššej sume a objeme, ako bolo</w:t>
      </w:r>
      <w:r w:rsidRPr="009515B7">
        <w:rPr>
          <w:rFonts w:cs="Times New Roman"/>
          <w:color w:val="000000" w:themeColor="text1"/>
          <w:sz w:val="24"/>
          <w:szCs w:val="24"/>
        </w:rPr>
        <w:t xml:space="preserve"> plánované. </w:t>
      </w:r>
      <w:r w:rsidRPr="00E504FC">
        <w:rPr>
          <w:rFonts w:cs="Times New Roman"/>
          <w:color w:val="000000" w:themeColor="text1"/>
          <w:sz w:val="24"/>
          <w:szCs w:val="24"/>
          <w:u w:val="single"/>
        </w:rPr>
        <w:t>Ministerstvo dopravy a výstavby SR</w:t>
      </w:r>
      <w:r>
        <w:rPr>
          <w:rFonts w:cs="Times New Roman"/>
          <w:color w:val="000000" w:themeColor="text1"/>
          <w:sz w:val="24"/>
          <w:szCs w:val="24"/>
          <w:u w:val="single"/>
        </w:rPr>
        <w:t xml:space="preserve"> </w:t>
      </w:r>
      <w:r>
        <w:rPr>
          <w:rFonts w:cs="Times New Roman"/>
          <w:color w:val="000000" w:themeColor="text1"/>
          <w:sz w:val="24"/>
          <w:szCs w:val="24"/>
        </w:rPr>
        <w:t>získalo sumu 466 tis. eur a išlo o príjmy Slovenskej správy ciest, ktoré sa týkali vysporiadania pozemkov s kupujúcimi. Z toho v sume 307 tis. eur iš</w:t>
      </w:r>
      <w:r w:rsidR="00F554C5">
        <w:rPr>
          <w:rFonts w:cs="Times New Roman"/>
          <w:color w:val="000000" w:themeColor="text1"/>
          <w:sz w:val="24"/>
          <w:szCs w:val="24"/>
        </w:rPr>
        <w:t>lo o vysporiadanie pozemkov pod </w:t>
      </w:r>
      <w:r>
        <w:rPr>
          <w:rFonts w:cs="Times New Roman"/>
          <w:color w:val="000000" w:themeColor="text1"/>
          <w:sz w:val="24"/>
          <w:szCs w:val="24"/>
        </w:rPr>
        <w:t xml:space="preserve">železničnou traťou so Železnicami SR, pod administratívnou budovou s Lesmi SR, </w:t>
      </w:r>
      <w:proofErr w:type="spellStart"/>
      <w:r>
        <w:rPr>
          <w:rFonts w:cs="Times New Roman"/>
          <w:color w:val="000000" w:themeColor="text1"/>
          <w:sz w:val="24"/>
          <w:szCs w:val="24"/>
        </w:rPr>
        <w:t>š.p</w:t>
      </w:r>
      <w:proofErr w:type="spellEnd"/>
      <w:r>
        <w:rPr>
          <w:rFonts w:cs="Times New Roman"/>
          <w:color w:val="000000" w:themeColor="text1"/>
          <w:sz w:val="24"/>
          <w:szCs w:val="24"/>
        </w:rPr>
        <w:t xml:space="preserve">. a za účelom výstavby diaľnic s Národnou diaľničnou spoločnosťou, </w:t>
      </w:r>
      <w:proofErr w:type="spellStart"/>
      <w:r>
        <w:rPr>
          <w:rFonts w:cs="Times New Roman"/>
          <w:color w:val="000000" w:themeColor="text1"/>
          <w:sz w:val="24"/>
          <w:szCs w:val="24"/>
        </w:rPr>
        <w:t>a.s</w:t>
      </w:r>
      <w:proofErr w:type="spellEnd"/>
      <w:r>
        <w:rPr>
          <w:rFonts w:cs="Times New Roman"/>
          <w:color w:val="000000" w:themeColor="text1"/>
          <w:sz w:val="24"/>
          <w:szCs w:val="24"/>
        </w:rPr>
        <w:t xml:space="preserve">. Ďalšiu sumu 154 tis. eur </w:t>
      </w:r>
      <w:r>
        <w:rPr>
          <w:rFonts w:cs="Times New Roman"/>
          <w:color w:val="000000" w:themeColor="text1"/>
          <w:sz w:val="24"/>
          <w:szCs w:val="24"/>
        </w:rPr>
        <w:lastRenderedPageBreak/>
        <w:t>predstavovalo vysporiadanie pozemkov za účelom súkromného alebo podnikateľského využitia so súkromnými alebo právnickými osobami.</w:t>
      </w:r>
    </w:p>
    <w:p w14:paraId="4281408B" w14:textId="77777777" w:rsidR="00F44AE2" w:rsidRPr="00177938" w:rsidRDefault="00F44AE2" w:rsidP="00F44AE2">
      <w:pPr>
        <w:spacing w:line="240" w:lineRule="auto"/>
        <w:rPr>
          <w:color w:val="000000" w:themeColor="text1"/>
          <w:sz w:val="24"/>
          <w:szCs w:val="24"/>
        </w:rPr>
      </w:pPr>
      <w:r w:rsidRPr="00B95AE9">
        <w:rPr>
          <w:color w:val="000000" w:themeColor="text1"/>
          <w:sz w:val="24"/>
          <w:szCs w:val="24"/>
        </w:rPr>
        <w:t>Príjmy z predaja kapitálových aktív boli naplnené v celkovom objeme 5 150 tis. eur,</w:t>
      </w:r>
      <w:r w:rsidRPr="00213E51">
        <w:rPr>
          <w:color w:val="FF0000"/>
          <w:sz w:val="24"/>
          <w:szCs w:val="24"/>
        </w:rPr>
        <w:t xml:space="preserve"> </w:t>
      </w:r>
      <w:r w:rsidRPr="00256F41">
        <w:rPr>
          <w:color w:val="000000" w:themeColor="text1"/>
          <w:sz w:val="24"/>
          <w:szCs w:val="24"/>
        </w:rPr>
        <w:t xml:space="preserve">pričom najvyšší objem prostriedkov (1 551 tis. eur) dosiahla </w:t>
      </w:r>
      <w:r w:rsidRPr="00256F41">
        <w:rPr>
          <w:color w:val="000000" w:themeColor="text1"/>
          <w:sz w:val="24"/>
          <w:szCs w:val="24"/>
          <w:u w:val="single"/>
        </w:rPr>
        <w:t>Správa štátnych hmotných rezerv SR</w:t>
      </w:r>
      <w:r>
        <w:rPr>
          <w:color w:val="000000" w:themeColor="text1"/>
          <w:sz w:val="24"/>
          <w:szCs w:val="24"/>
        </w:rPr>
        <w:t xml:space="preserve">. Išlo najmä o odplatný prevod nehnuteľného majetku štátu fyzickej osobe v sume 903 tis. eur a dvom právnickým osobám v sume 445 tis. eur. </w:t>
      </w:r>
      <w:r w:rsidRPr="00B205DE">
        <w:rPr>
          <w:color w:val="000000" w:themeColor="text1"/>
          <w:sz w:val="24"/>
          <w:szCs w:val="24"/>
          <w:u w:val="single"/>
        </w:rPr>
        <w:t>Ministerstvo vnútra SR</w:t>
      </w:r>
      <w:r w:rsidRPr="00B205DE">
        <w:rPr>
          <w:color w:val="000000" w:themeColor="text1"/>
          <w:sz w:val="24"/>
          <w:szCs w:val="24"/>
        </w:rPr>
        <w:t xml:space="preserve"> získalo čiastku 1 489 tis. eur </w:t>
      </w:r>
      <w:r>
        <w:rPr>
          <w:color w:val="000000" w:themeColor="text1"/>
          <w:sz w:val="24"/>
          <w:szCs w:val="24"/>
        </w:rPr>
        <w:t xml:space="preserve">a </w:t>
      </w:r>
      <w:r w:rsidRPr="00FF4369">
        <w:rPr>
          <w:color w:val="000000" w:themeColor="text1"/>
          <w:sz w:val="24"/>
          <w:szCs w:val="24"/>
        </w:rPr>
        <w:t>išlo v prevažnej miere</w:t>
      </w:r>
      <w:r w:rsidRPr="00FF4369">
        <w:rPr>
          <w:rFonts w:eastAsia="Times New Roman" w:cs="Times New Roman"/>
          <w:color w:val="000000" w:themeColor="text1"/>
          <w:sz w:val="24"/>
          <w:szCs w:val="24"/>
        </w:rPr>
        <w:t xml:space="preserve"> </w:t>
      </w:r>
      <w:r w:rsidRPr="004846DA">
        <w:rPr>
          <w:rFonts w:cs="Times New Roman"/>
          <w:color w:val="000000" w:themeColor="text1"/>
          <w:sz w:val="24"/>
          <w:szCs w:val="24"/>
        </w:rPr>
        <w:t>o splátky od zamestnancov a bývalých zamestnancov za odpredané služobné byty, úhrady zostatkových cien odpredaných služobných bytov, úhrady kúpnych cien za nehnuteľnosti na základe kúpnych zmlúv a príjem z prevodu zábezpek, ktoré boli súčasťou ceny majetku.</w:t>
      </w:r>
      <w:r w:rsidRPr="00C20FE0">
        <w:rPr>
          <w:rFonts w:cs="Times New Roman"/>
          <w:color w:val="1F497D"/>
          <w:sz w:val="24"/>
          <w:szCs w:val="24"/>
        </w:rPr>
        <w:t xml:space="preserve"> </w:t>
      </w:r>
      <w:r w:rsidRPr="00177938">
        <w:rPr>
          <w:rFonts w:cs="Times New Roman"/>
          <w:color w:val="000000" w:themeColor="text1"/>
          <w:sz w:val="24"/>
          <w:szCs w:val="24"/>
        </w:rPr>
        <w:t xml:space="preserve">Pri príprave schváleného rozpočtu v sume 3 157 tis. eur sa vychádzalo z predpokladu, že príjmy budú dosiahnuté v takejto výške, k čomu však v dôsledku klesajúcej tendencie predaja nedošlo. </w:t>
      </w:r>
      <w:r>
        <w:rPr>
          <w:rFonts w:cs="Times New Roman"/>
          <w:color w:val="000000" w:themeColor="text1"/>
          <w:sz w:val="24"/>
          <w:szCs w:val="24"/>
        </w:rPr>
        <w:t xml:space="preserve">Ďalšie vyššie sumy dosiahli Ministerstvo práce, sociálnych vecí a rodiny SR 518 tis. eur, Ministerstvo zdravotníctva SR 478 tis. eur a Ministerstvo zahraničných vecí a európskych záležitostí SR 364 tis. eur. </w:t>
      </w:r>
    </w:p>
    <w:p w14:paraId="7395E8B6" w14:textId="77777777" w:rsidR="00F44AE2" w:rsidRPr="00885344" w:rsidRDefault="00F44AE2" w:rsidP="00F44AE2">
      <w:pPr>
        <w:spacing w:line="240" w:lineRule="auto"/>
        <w:rPr>
          <w:color w:val="000000" w:themeColor="text1"/>
          <w:sz w:val="24"/>
          <w:szCs w:val="24"/>
        </w:rPr>
      </w:pPr>
      <w:r w:rsidRPr="0092181A">
        <w:rPr>
          <w:b/>
          <w:color w:val="000000" w:themeColor="text1"/>
          <w:sz w:val="24"/>
          <w:szCs w:val="24"/>
        </w:rPr>
        <w:t xml:space="preserve">Úroky z tuzemských úverov, pôžičiek a návratných finančných výpomocí </w:t>
      </w:r>
      <w:r w:rsidRPr="0092181A">
        <w:rPr>
          <w:color w:val="000000" w:themeColor="text1"/>
          <w:sz w:val="24"/>
          <w:szCs w:val="24"/>
        </w:rPr>
        <w:t>dosiahli 9 995 tis. eur,</w:t>
      </w:r>
      <w:r w:rsidRPr="00213E51">
        <w:rPr>
          <w:color w:val="FF0000"/>
          <w:sz w:val="24"/>
          <w:szCs w:val="24"/>
        </w:rPr>
        <w:t xml:space="preserve"> </w:t>
      </w:r>
      <w:r w:rsidRPr="00885344">
        <w:rPr>
          <w:color w:val="000000" w:themeColor="text1"/>
          <w:sz w:val="24"/>
          <w:szCs w:val="24"/>
        </w:rPr>
        <w:t xml:space="preserve">pričom kapitola </w:t>
      </w:r>
      <w:r w:rsidRPr="00885344">
        <w:rPr>
          <w:color w:val="000000" w:themeColor="text1"/>
          <w:sz w:val="24"/>
          <w:szCs w:val="24"/>
          <w:u w:val="single"/>
        </w:rPr>
        <w:t>Všeobecná pokladničná správa</w:t>
      </w:r>
      <w:r w:rsidRPr="00885344">
        <w:rPr>
          <w:color w:val="000000" w:themeColor="text1"/>
          <w:sz w:val="24"/>
          <w:szCs w:val="24"/>
        </w:rPr>
        <w:t xml:space="preserve"> tvorí takmer 100 % týchto príjmov z dôvodu poskytnutých návratných finančných výpomocí v predchádzajúcich obdobiach a úročenia účtov finančného hospodárenia. </w:t>
      </w:r>
      <w:r w:rsidRPr="00885344">
        <w:rPr>
          <w:rFonts w:cs="Times New Roman"/>
          <w:i/>
          <w:color w:val="000000" w:themeColor="text1"/>
          <w:sz w:val="24"/>
          <w:szCs w:val="24"/>
        </w:rPr>
        <w:t>Úroky z účtov finančného hospodárenia so Štátnou pokladnicou</w:t>
      </w:r>
      <w:r w:rsidRPr="00885344">
        <w:rPr>
          <w:rFonts w:cs="Times New Roman"/>
          <w:color w:val="000000" w:themeColor="text1"/>
          <w:sz w:val="24"/>
          <w:szCs w:val="24"/>
        </w:rPr>
        <w:t xml:space="preserve"> dosiahli sumu 5 96</w:t>
      </w:r>
      <w:r>
        <w:rPr>
          <w:rFonts w:cs="Times New Roman"/>
          <w:color w:val="000000" w:themeColor="text1"/>
          <w:sz w:val="24"/>
          <w:szCs w:val="24"/>
        </w:rPr>
        <w:t>6</w:t>
      </w:r>
      <w:r w:rsidRPr="00885344">
        <w:rPr>
          <w:rFonts w:cs="Times New Roman"/>
          <w:color w:val="000000" w:themeColor="text1"/>
          <w:sz w:val="24"/>
          <w:szCs w:val="24"/>
        </w:rPr>
        <w:t> tis. eur, čo znamená prekročenie rozpočtovanej sumy o 2 73</w:t>
      </w:r>
      <w:r>
        <w:rPr>
          <w:rFonts w:cs="Times New Roman"/>
          <w:color w:val="000000" w:themeColor="text1"/>
          <w:sz w:val="24"/>
          <w:szCs w:val="24"/>
        </w:rPr>
        <w:t>8</w:t>
      </w:r>
      <w:r w:rsidRPr="00885344">
        <w:rPr>
          <w:rFonts w:cs="Times New Roman"/>
          <w:color w:val="000000" w:themeColor="text1"/>
          <w:sz w:val="24"/>
          <w:szCs w:val="24"/>
        </w:rPr>
        <w:t> tis. eur.</w:t>
      </w:r>
      <w:r>
        <w:rPr>
          <w:color w:val="000000" w:themeColor="text1"/>
          <w:sz w:val="24"/>
          <w:szCs w:val="24"/>
        </w:rPr>
        <w:t xml:space="preserve"> </w:t>
      </w:r>
      <w:r w:rsidRPr="00885344">
        <w:rPr>
          <w:sz w:val="24"/>
          <w:szCs w:val="24"/>
        </w:rPr>
        <w:t>Dôvodom výrazného prekročenia rozpočtovaných príjmov bol nárast úrokovej sadzby, ktorú Štátna pokladnica používa pri úročení jednodňových depozít v automatickom refinančnom systéme.</w:t>
      </w:r>
    </w:p>
    <w:p w14:paraId="590D949D" w14:textId="77777777" w:rsidR="00F44AE2" w:rsidRPr="00213E51" w:rsidRDefault="00F44AE2" w:rsidP="00F44AE2">
      <w:pPr>
        <w:spacing w:line="240" w:lineRule="auto"/>
        <w:rPr>
          <w:color w:val="FF0000"/>
          <w:sz w:val="24"/>
          <w:szCs w:val="24"/>
        </w:rPr>
      </w:pPr>
      <w:r w:rsidRPr="0077187B">
        <w:rPr>
          <w:rFonts w:cs="Times New Roman"/>
          <w:i/>
          <w:color w:val="000000" w:themeColor="text1"/>
          <w:sz w:val="24"/>
          <w:szCs w:val="24"/>
        </w:rPr>
        <w:t>Úroky z návratných finančných výpomocí</w:t>
      </w:r>
      <w:r w:rsidRPr="0077187B">
        <w:rPr>
          <w:rFonts w:cs="Times New Roman"/>
          <w:color w:val="000000" w:themeColor="text1"/>
          <w:sz w:val="24"/>
          <w:szCs w:val="24"/>
        </w:rPr>
        <w:t xml:space="preserve"> dosiahli sumu 4 029 tis. eur, </w:t>
      </w:r>
      <w:r>
        <w:rPr>
          <w:rFonts w:cs="Times New Roman"/>
          <w:color w:val="000000" w:themeColor="text1"/>
          <w:sz w:val="24"/>
          <w:szCs w:val="24"/>
        </w:rPr>
        <w:t xml:space="preserve">z toho kapitola Všeobecná pokladničná správa 3 620 tis. eur, </w:t>
      </w:r>
      <w:r w:rsidRPr="0077187B">
        <w:rPr>
          <w:rFonts w:cs="Times New Roman"/>
          <w:color w:val="000000" w:themeColor="text1"/>
          <w:sz w:val="24"/>
          <w:szCs w:val="24"/>
        </w:rPr>
        <w:t xml:space="preserve">a to </w:t>
      </w:r>
      <w:r w:rsidRPr="0077187B">
        <w:rPr>
          <w:color w:val="000000" w:themeColor="text1"/>
          <w:sz w:val="24"/>
          <w:szCs w:val="24"/>
        </w:rPr>
        <w:t xml:space="preserve">v súvislosti s návratnými finančnými výpomocami poskytnutými Agentúre pre núdzové zásoby ropy a ropných výrobkov a spoločnostiam GA </w:t>
      </w:r>
      <w:proofErr w:type="spellStart"/>
      <w:r w:rsidRPr="0077187B">
        <w:rPr>
          <w:color w:val="000000" w:themeColor="text1"/>
          <w:sz w:val="24"/>
          <w:szCs w:val="24"/>
        </w:rPr>
        <w:t>Drilling</w:t>
      </w:r>
      <w:proofErr w:type="spellEnd"/>
      <w:r w:rsidRPr="0077187B">
        <w:rPr>
          <w:color w:val="000000" w:themeColor="text1"/>
          <w:sz w:val="24"/>
          <w:szCs w:val="24"/>
        </w:rPr>
        <w:t xml:space="preserve">, a. s. a </w:t>
      </w:r>
      <w:proofErr w:type="spellStart"/>
      <w:r w:rsidRPr="0077187B">
        <w:rPr>
          <w:color w:val="000000" w:themeColor="text1"/>
          <w:sz w:val="24"/>
          <w:szCs w:val="24"/>
        </w:rPr>
        <w:t>Tachyum</w:t>
      </w:r>
      <w:proofErr w:type="spellEnd"/>
      <w:r w:rsidRPr="0077187B">
        <w:rPr>
          <w:color w:val="000000" w:themeColor="text1"/>
          <w:sz w:val="24"/>
          <w:szCs w:val="24"/>
        </w:rPr>
        <w:t> s. r. o.</w:t>
      </w:r>
      <w:r w:rsidRPr="0077187B">
        <w:rPr>
          <w:color w:val="000000" w:themeColor="text1"/>
        </w:rPr>
        <w:t xml:space="preserve"> </w:t>
      </w:r>
    </w:p>
    <w:p w14:paraId="790B26AB" w14:textId="77777777" w:rsidR="00F44AE2" w:rsidRPr="00654EB7" w:rsidRDefault="00F44AE2" w:rsidP="00F44AE2">
      <w:pPr>
        <w:tabs>
          <w:tab w:val="left" w:pos="284"/>
        </w:tabs>
        <w:spacing w:line="240" w:lineRule="auto"/>
        <w:rPr>
          <w:color w:val="000000" w:themeColor="text1"/>
          <w:sz w:val="24"/>
          <w:szCs w:val="24"/>
        </w:rPr>
      </w:pPr>
      <w:r w:rsidRPr="00654EB7">
        <w:rPr>
          <w:b/>
          <w:color w:val="000000" w:themeColor="text1"/>
          <w:sz w:val="24"/>
          <w:szCs w:val="24"/>
        </w:rPr>
        <w:t>Iné nedaňové príjmy</w:t>
      </w:r>
      <w:r w:rsidRPr="00654EB7">
        <w:rPr>
          <w:color w:val="000000" w:themeColor="text1"/>
          <w:sz w:val="24"/>
          <w:szCs w:val="24"/>
        </w:rPr>
        <w:t xml:space="preserve"> tvoria najmä odvod z hazardných hier, odvod prevádzkovateľov distribučných sústav a prenosovej sústavy, ostatné odvody a príjem z nezrovnalostí a iných </w:t>
      </w:r>
      <w:proofErr w:type="spellStart"/>
      <w:r w:rsidRPr="00654EB7">
        <w:rPr>
          <w:color w:val="000000" w:themeColor="text1"/>
          <w:sz w:val="24"/>
          <w:szCs w:val="24"/>
        </w:rPr>
        <w:t>vratiek</w:t>
      </w:r>
      <w:proofErr w:type="spellEnd"/>
      <w:r w:rsidRPr="00654EB7">
        <w:rPr>
          <w:color w:val="000000" w:themeColor="text1"/>
          <w:sz w:val="24"/>
          <w:szCs w:val="24"/>
        </w:rPr>
        <w:t xml:space="preserve"> za prostriedky EÚ. </w:t>
      </w:r>
      <w:r>
        <w:rPr>
          <w:color w:val="000000" w:themeColor="text1"/>
          <w:sz w:val="24"/>
          <w:szCs w:val="24"/>
        </w:rPr>
        <w:t>K 31. 12. 2022 dosiahli iné nedaňové príjmy sumu 694 670 tis. eur.</w:t>
      </w:r>
    </w:p>
    <w:p w14:paraId="3BD773F2" w14:textId="77777777" w:rsidR="00F44AE2" w:rsidRPr="00381DB6" w:rsidRDefault="00F44AE2" w:rsidP="00F44AE2">
      <w:pPr>
        <w:spacing w:line="240" w:lineRule="auto"/>
        <w:rPr>
          <w:sz w:val="24"/>
          <w:szCs w:val="24"/>
        </w:rPr>
      </w:pPr>
      <w:r w:rsidRPr="008801EE">
        <w:rPr>
          <w:b/>
          <w:i/>
          <w:color w:val="000000" w:themeColor="text1"/>
          <w:sz w:val="24"/>
          <w:szCs w:val="24"/>
        </w:rPr>
        <w:t>Príjem z odvodu z hazardných hier</w:t>
      </w:r>
      <w:r w:rsidRPr="008801EE">
        <w:rPr>
          <w:color w:val="000000" w:themeColor="text1"/>
          <w:sz w:val="24"/>
          <w:szCs w:val="24"/>
        </w:rPr>
        <w:t xml:space="preserve"> je súčasťou rozpočtu kapitoly </w:t>
      </w:r>
      <w:r w:rsidRPr="008801EE">
        <w:rPr>
          <w:color w:val="000000" w:themeColor="text1"/>
          <w:sz w:val="24"/>
          <w:szCs w:val="24"/>
          <w:u w:val="single"/>
        </w:rPr>
        <w:t>Všeobecná pokladničná správa</w:t>
      </w:r>
      <w:r w:rsidRPr="008801EE">
        <w:rPr>
          <w:color w:val="000000" w:themeColor="text1"/>
          <w:sz w:val="24"/>
          <w:szCs w:val="24"/>
        </w:rPr>
        <w:t xml:space="preserve"> a dosiahol 251 889 tis. eur, </w:t>
      </w:r>
      <w:r w:rsidRPr="00381DB6">
        <w:rPr>
          <w:sz w:val="24"/>
          <w:szCs w:val="24"/>
        </w:rPr>
        <w:t>čo predstavuje prekročenie rozpočtu</w:t>
      </w:r>
      <w:r>
        <w:rPr>
          <w:sz w:val="24"/>
          <w:szCs w:val="24"/>
        </w:rPr>
        <w:t xml:space="preserve"> o 6,7 </w:t>
      </w:r>
      <w:r w:rsidRPr="00381DB6">
        <w:rPr>
          <w:sz w:val="24"/>
          <w:szCs w:val="24"/>
        </w:rPr>
        <w:t>%. Za vyššie plnenie je zodpovedný najmä dynamický vývoj hrania v intern</w:t>
      </w:r>
      <w:r>
        <w:rPr>
          <w:sz w:val="24"/>
          <w:szCs w:val="24"/>
        </w:rPr>
        <w:t xml:space="preserve">etových kasínach, ktorý </w:t>
      </w:r>
      <w:r w:rsidRPr="00381DB6">
        <w:rPr>
          <w:sz w:val="24"/>
          <w:szCs w:val="24"/>
        </w:rPr>
        <w:t>sa tak premietol aj do vyššieho odvodu do štátneho rozpočtu. Impulzom pre rozvoj internetových kasín bolo zatváranie prevádzok počas šírenia pandémie ochorenia COVID-19 v rokoch 2020 a 2021 a následný presun hráčov do online priestoru.</w:t>
      </w:r>
    </w:p>
    <w:p w14:paraId="5387CE46" w14:textId="77777777" w:rsidR="00F44AE2" w:rsidRPr="00C733CB" w:rsidRDefault="00F44AE2" w:rsidP="00F44AE2">
      <w:pPr>
        <w:spacing w:line="240" w:lineRule="auto"/>
        <w:rPr>
          <w:rFonts w:eastAsia="Times New Roman" w:cs="Times New Roman"/>
          <w:color w:val="000000"/>
          <w:sz w:val="16"/>
          <w:szCs w:val="16"/>
          <w:lang w:eastAsia="sk-SK"/>
        </w:rPr>
      </w:pPr>
      <w:bookmarkStart w:id="39" w:name="_2et92p0"/>
      <w:bookmarkEnd w:id="39"/>
      <w:r w:rsidRPr="00396772">
        <w:rPr>
          <w:b/>
          <w:i/>
          <w:color w:val="000000" w:themeColor="text1"/>
          <w:sz w:val="24"/>
          <w:szCs w:val="24"/>
        </w:rPr>
        <w:t>Príjmy z odvodu</w:t>
      </w:r>
      <w:r w:rsidRPr="00396772">
        <w:rPr>
          <w:color w:val="000000" w:themeColor="text1"/>
          <w:sz w:val="24"/>
          <w:szCs w:val="24"/>
        </w:rPr>
        <w:t xml:space="preserve"> tvorili finančné prostriedky zo zúčtovania vzťahov so štátnym rozpočtom zo strany podnikateľských subjektov, príspevkových a rozpočtových organizácií, ústredných orgánov, neziskových organizácií, obcí a vyšších územných celkov, ktorým tieto prostriedky štátneho rozpočtu boli poskytnuté. </w:t>
      </w:r>
      <w:r w:rsidRPr="00492F43">
        <w:rPr>
          <w:color w:val="000000" w:themeColor="text1"/>
          <w:sz w:val="24"/>
          <w:szCs w:val="24"/>
        </w:rPr>
        <w:t>V roku 2022 objem týchto odvodov</w:t>
      </w:r>
      <w:r>
        <w:rPr>
          <w:color w:val="000000" w:themeColor="text1"/>
          <w:sz w:val="24"/>
          <w:szCs w:val="24"/>
        </w:rPr>
        <w:t xml:space="preserve"> za rok 2021</w:t>
      </w:r>
      <w:r w:rsidRPr="00492F43">
        <w:rPr>
          <w:color w:val="000000" w:themeColor="text1"/>
          <w:sz w:val="24"/>
          <w:szCs w:val="24"/>
        </w:rPr>
        <w:t xml:space="preserve"> dosiahol 170 879 tis. eur a celý bol súčasťou príjmov kapitoly </w:t>
      </w:r>
      <w:r w:rsidRPr="00492F43">
        <w:rPr>
          <w:color w:val="000000" w:themeColor="text1"/>
          <w:sz w:val="24"/>
          <w:szCs w:val="24"/>
          <w:u w:val="single"/>
        </w:rPr>
        <w:t>Všeobecná pokladničná správa</w:t>
      </w:r>
      <w:r w:rsidRPr="00492F43">
        <w:rPr>
          <w:color w:val="000000" w:themeColor="text1"/>
          <w:sz w:val="24"/>
          <w:szCs w:val="24"/>
        </w:rPr>
        <w:t>, ktorá vykonáva záverečné zúčtovanie s prijímateľmi prostriedkov štátneho rozpočtu. Najväčší podiel na tejto sume predstavuje príjem z finančného zúčtovania s Ministerstvom práce, sociálnych vecí a rodiny SR v sume 47 963 tis. eur, Ministerstvom financií SR v sume 33 574 tis. eur, Ministerstvom obrany SR v sume 26 658 tis. eur, Ministerstvom zdravotníctva SR v</w:t>
      </w:r>
      <w:r>
        <w:rPr>
          <w:color w:val="000000" w:themeColor="text1"/>
          <w:sz w:val="24"/>
          <w:szCs w:val="24"/>
        </w:rPr>
        <w:t> </w:t>
      </w:r>
      <w:r w:rsidRPr="00492F43">
        <w:rPr>
          <w:color w:val="000000" w:themeColor="text1"/>
          <w:sz w:val="24"/>
          <w:szCs w:val="24"/>
        </w:rPr>
        <w:t>sume</w:t>
      </w:r>
      <w:r>
        <w:rPr>
          <w:rFonts w:eastAsia="Times New Roman" w:cs="Times New Roman"/>
          <w:color w:val="000000"/>
          <w:sz w:val="16"/>
          <w:szCs w:val="16"/>
          <w:lang w:eastAsia="sk-SK"/>
        </w:rPr>
        <w:t xml:space="preserve"> </w:t>
      </w:r>
      <w:r w:rsidRPr="00492F43">
        <w:rPr>
          <w:color w:val="000000" w:themeColor="text1"/>
          <w:sz w:val="24"/>
          <w:szCs w:val="24"/>
        </w:rPr>
        <w:t>19 268 tis. eur a Ministerstvom dopravy</w:t>
      </w:r>
      <w:r>
        <w:rPr>
          <w:color w:val="000000" w:themeColor="text1"/>
          <w:sz w:val="24"/>
          <w:szCs w:val="24"/>
        </w:rPr>
        <w:t xml:space="preserve"> a výstavby</w:t>
      </w:r>
      <w:r w:rsidRPr="00492F43">
        <w:rPr>
          <w:color w:val="000000" w:themeColor="text1"/>
          <w:sz w:val="24"/>
          <w:szCs w:val="24"/>
        </w:rPr>
        <w:t xml:space="preserve"> SR v sume 16 851 tis. eur.</w:t>
      </w:r>
      <w:r>
        <w:rPr>
          <w:color w:val="000000" w:themeColor="text1"/>
          <w:sz w:val="24"/>
          <w:szCs w:val="24"/>
        </w:rPr>
        <w:t xml:space="preserve"> Oproti schválenému rozpočtu zaznamenali príjmy z odvodu nárast až o 150 879 tis. eur a tento vysoký nárast súvisel </w:t>
      </w:r>
      <w:r w:rsidRPr="002B12CF">
        <w:rPr>
          <w:color w:val="000000" w:themeColor="text1"/>
          <w:sz w:val="24"/>
          <w:szCs w:val="24"/>
        </w:rPr>
        <w:t>so špecifickým rokom 2021, v ktorom boli nad rámec štandardných dotačných schém poskytované osobitne transfery/dotácie v súvislosti s pandémiou ochorenia COVID-19.</w:t>
      </w:r>
    </w:p>
    <w:p w14:paraId="1C013896" w14:textId="77777777" w:rsidR="00F44AE2" w:rsidRPr="005B32C0" w:rsidRDefault="00F44AE2" w:rsidP="00F44AE2">
      <w:pPr>
        <w:spacing w:line="240" w:lineRule="auto"/>
        <w:rPr>
          <w:color w:val="000000" w:themeColor="text1"/>
          <w:sz w:val="24"/>
          <w:szCs w:val="24"/>
        </w:rPr>
      </w:pPr>
      <w:r w:rsidRPr="008A72E9">
        <w:rPr>
          <w:b/>
          <w:i/>
          <w:color w:val="000000" w:themeColor="text1"/>
          <w:sz w:val="24"/>
          <w:szCs w:val="24"/>
        </w:rPr>
        <w:lastRenderedPageBreak/>
        <w:t>Vrátené neoprávnene použité alebo zadržané finančné prostriedky</w:t>
      </w:r>
      <w:r w:rsidRPr="008A72E9">
        <w:rPr>
          <w:color w:val="000000" w:themeColor="text1"/>
          <w:sz w:val="24"/>
          <w:szCs w:val="24"/>
        </w:rPr>
        <w:t xml:space="preserve"> sa rozpočtovali vo výške 3 725 tis. eur a v skutočnosti dosiahli až 82 718 tis. eur. </w:t>
      </w:r>
      <w:r w:rsidRPr="007C7999">
        <w:rPr>
          <w:color w:val="000000" w:themeColor="text1"/>
          <w:sz w:val="24"/>
          <w:szCs w:val="24"/>
        </w:rPr>
        <w:t xml:space="preserve">Tento rozdiel bol spôsobený najmä príjmami z nezrovnalostí a iných </w:t>
      </w:r>
      <w:proofErr w:type="spellStart"/>
      <w:r w:rsidRPr="007C7999">
        <w:rPr>
          <w:color w:val="000000" w:themeColor="text1"/>
          <w:sz w:val="24"/>
          <w:szCs w:val="24"/>
        </w:rPr>
        <w:t>vratiek</w:t>
      </w:r>
      <w:proofErr w:type="spellEnd"/>
      <w:r w:rsidRPr="007C7999">
        <w:rPr>
          <w:color w:val="000000" w:themeColor="text1"/>
          <w:sz w:val="24"/>
          <w:szCs w:val="24"/>
        </w:rPr>
        <w:t xml:space="preserve"> za prostriedky Európskej únie, ktoré sa nerozpočtovali a dosiahli skutočnosť 76 321 tis. </w:t>
      </w:r>
      <w:r w:rsidRPr="00E758FF">
        <w:rPr>
          <w:color w:val="000000" w:themeColor="text1"/>
          <w:sz w:val="24"/>
          <w:szCs w:val="24"/>
        </w:rPr>
        <w:t>eur. Vrátenia za nezrovnalosti vznikli väčšinou nedodržaním zmluvy o poskytnutí nenávratného finančného príspevku pri realizácii projektov financovaných z prostrie</w:t>
      </w:r>
      <w:r>
        <w:rPr>
          <w:color w:val="000000" w:themeColor="text1"/>
          <w:sz w:val="24"/>
          <w:szCs w:val="24"/>
        </w:rPr>
        <w:t xml:space="preserve">dkov EÚ zo strany prijímateľov. </w:t>
      </w:r>
      <w:r w:rsidRPr="00F736C4">
        <w:rPr>
          <w:color w:val="000000" w:themeColor="text1"/>
          <w:sz w:val="24"/>
          <w:szCs w:val="24"/>
        </w:rPr>
        <w:t xml:space="preserve">Najvyššiu sumu z tohto titulu získala kapitola </w:t>
      </w:r>
      <w:r w:rsidRPr="00F736C4">
        <w:rPr>
          <w:color w:val="000000" w:themeColor="text1"/>
          <w:sz w:val="24"/>
          <w:szCs w:val="24"/>
          <w:u w:val="single"/>
        </w:rPr>
        <w:t>Ministerstva dopravy a výstavby SR</w:t>
      </w:r>
      <w:r w:rsidRPr="00F736C4">
        <w:rPr>
          <w:color w:val="000000" w:themeColor="text1"/>
          <w:sz w:val="24"/>
          <w:szCs w:val="24"/>
        </w:rPr>
        <w:t xml:space="preserve"> a to 47 862 tis. eur </w:t>
      </w:r>
      <w:r w:rsidRPr="00D46C6C">
        <w:rPr>
          <w:color w:val="000000" w:themeColor="text1"/>
          <w:sz w:val="24"/>
          <w:szCs w:val="24"/>
        </w:rPr>
        <w:t xml:space="preserve">a to za nezrovnalosti a nezúčtované </w:t>
      </w:r>
      <w:proofErr w:type="spellStart"/>
      <w:r w:rsidRPr="00D46C6C">
        <w:rPr>
          <w:color w:val="000000" w:themeColor="text1"/>
          <w:sz w:val="24"/>
          <w:szCs w:val="24"/>
        </w:rPr>
        <w:t>predfinancovania</w:t>
      </w:r>
      <w:proofErr w:type="spellEnd"/>
      <w:r w:rsidRPr="00D46C6C">
        <w:rPr>
          <w:color w:val="000000" w:themeColor="text1"/>
          <w:sz w:val="24"/>
          <w:szCs w:val="24"/>
        </w:rPr>
        <w:t xml:space="preserve"> za prostriedky Operačného programu Doprava 2007- 2013 a Operačného programu Integrovaná infraštruktúra 2014- 2020.</w:t>
      </w:r>
      <w:r w:rsidRPr="00213E51">
        <w:rPr>
          <w:color w:val="FF0000"/>
          <w:sz w:val="24"/>
          <w:szCs w:val="24"/>
        </w:rPr>
        <w:t xml:space="preserve"> </w:t>
      </w:r>
      <w:r w:rsidRPr="00AD0454">
        <w:rPr>
          <w:color w:val="000000" w:themeColor="text1"/>
          <w:sz w:val="24"/>
          <w:szCs w:val="24"/>
          <w:u w:val="single"/>
        </w:rPr>
        <w:t xml:space="preserve">Ministerstvo životného prostredia SR </w:t>
      </w:r>
      <w:r w:rsidRPr="00AD0454">
        <w:rPr>
          <w:color w:val="000000" w:themeColor="text1"/>
          <w:sz w:val="24"/>
          <w:szCs w:val="24"/>
        </w:rPr>
        <w:t xml:space="preserve">dosiahlo sumu 7 344 tis. eur za nezrovnalosti, nezúčtované </w:t>
      </w:r>
      <w:proofErr w:type="spellStart"/>
      <w:r w:rsidRPr="00AD0454">
        <w:rPr>
          <w:color w:val="000000" w:themeColor="text1"/>
          <w:sz w:val="24"/>
          <w:szCs w:val="24"/>
        </w:rPr>
        <w:t>predfinancovania</w:t>
      </w:r>
      <w:proofErr w:type="spellEnd"/>
      <w:r w:rsidRPr="00AD0454">
        <w:rPr>
          <w:color w:val="000000" w:themeColor="text1"/>
          <w:sz w:val="24"/>
          <w:szCs w:val="24"/>
        </w:rPr>
        <w:t xml:space="preserve"> a zálohové platby. </w:t>
      </w:r>
      <w:r w:rsidRPr="00BB174B">
        <w:rPr>
          <w:color w:val="000000" w:themeColor="text1"/>
          <w:sz w:val="24"/>
          <w:szCs w:val="24"/>
          <w:u w:val="single"/>
        </w:rPr>
        <w:t>Ministerstvo investícií, regionálneho rozvoja a informatizácie SR</w:t>
      </w:r>
      <w:r w:rsidRPr="00BB174B">
        <w:rPr>
          <w:color w:val="000000" w:themeColor="text1"/>
          <w:sz w:val="24"/>
          <w:szCs w:val="24"/>
        </w:rPr>
        <w:t xml:space="preserve"> získalo čiastku 6 286 tis. eur </w:t>
      </w:r>
      <w:r w:rsidRPr="001D14BB">
        <w:rPr>
          <w:color w:val="000000" w:themeColor="text1"/>
          <w:sz w:val="24"/>
          <w:szCs w:val="24"/>
        </w:rPr>
        <w:t>najmä za nezrovnalosti z programov OPIS, OPII PO7 a</w:t>
      </w:r>
      <w:r>
        <w:rPr>
          <w:color w:val="000000" w:themeColor="text1"/>
          <w:sz w:val="24"/>
          <w:szCs w:val="24"/>
        </w:rPr>
        <w:t> </w:t>
      </w:r>
      <w:r w:rsidRPr="001D14BB">
        <w:rPr>
          <w:color w:val="000000" w:themeColor="text1"/>
          <w:sz w:val="24"/>
          <w:szCs w:val="24"/>
        </w:rPr>
        <w:t>IROP</w:t>
      </w:r>
      <w:r>
        <w:rPr>
          <w:color w:val="000000" w:themeColor="text1"/>
          <w:sz w:val="24"/>
          <w:szCs w:val="24"/>
        </w:rPr>
        <w:t xml:space="preserve"> a</w:t>
      </w:r>
      <w:r w:rsidRPr="001D14BB">
        <w:rPr>
          <w:color w:val="000000" w:themeColor="text1"/>
          <w:sz w:val="24"/>
          <w:szCs w:val="24"/>
        </w:rPr>
        <w:t xml:space="preserve"> </w:t>
      </w:r>
      <w:r w:rsidRPr="005B32C0">
        <w:rPr>
          <w:color w:val="000000" w:themeColor="text1"/>
          <w:sz w:val="24"/>
          <w:szCs w:val="24"/>
          <w:u w:val="single"/>
        </w:rPr>
        <w:t>Ministerstvo školstva, vedy, výskumu a športu SR</w:t>
      </w:r>
      <w:r w:rsidRPr="005B32C0">
        <w:rPr>
          <w:color w:val="000000" w:themeColor="text1"/>
          <w:sz w:val="24"/>
          <w:szCs w:val="24"/>
        </w:rPr>
        <w:t xml:space="preserve"> prijalo sumu 5 489 tis. eur.</w:t>
      </w:r>
    </w:p>
    <w:p w14:paraId="75E48E35" w14:textId="77777777" w:rsidR="00F44AE2" w:rsidRPr="007009A8" w:rsidRDefault="00F44AE2" w:rsidP="00F44AE2">
      <w:pPr>
        <w:tabs>
          <w:tab w:val="left" w:pos="284"/>
        </w:tabs>
        <w:spacing w:line="240" w:lineRule="auto"/>
        <w:rPr>
          <w:color w:val="000000" w:themeColor="text1"/>
          <w:sz w:val="24"/>
          <w:szCs w:val="24"/>
        </w:rPr>
      </w:pPr>
      <w:r w:rsidRPr="00594162">
        <w:rPr>
          <w:color w:val="000000" w:themeColor="text1"/>
          <w:sz w:val="24"/>
          <w:szCs w:val="24"/>
        </w:rPr>
        <w:t xml:space="preserve">Okrem nezrovnalostí a </w:t>
      </w:r>
      <w:proofErr w:type="spellStart"/>
      <w:r w:rsidRPr="00594162">
        <w:rPr>
          <w:color w:val="000000" w:themeColor="text1"/>
          <w:sz w:val="24"/>
          <w:szCs w:val="24"/>
        </w:rPr>
        <w:t>vratiek</w:t>
      </w:r>
      <w:proofErr w:type="spellEnd"/>
      <w:r w:rsidRPr="00594162">
        <w:rPr>
          <w:color w:val="000000" w:themeColor="text1"/>
          <w:sz w:val="24"/>
          <w:szCs w:val="24"/>
        </w:rPr>
        <w:t xml:space="preserve"> za prostriedky EÚ boli významným príjmom aj vrátené neoprávnene použité alebo zadržané finančné prostriedky od fyzických osôb v sume 4 462 tis. eur, z toho najviac v kapitole </w:t>
      </w:r>
      <w:r w:rsidRPr="00594162">
        <w:rPr>
          <w:color w:val="000000" w:themeColor="text1"/>
          <w:sz w:val="24"/>
          <w:szCs w:val="24"/>
          <w:u w:val="single"/>
        </w:rPr>
        <w:t>Ministerstva práce, sociálnych vecí a rodiny SR</w:t>
      </w:r>
      <w:r w:rsidRPr="00594162">
        <w:rPr>
          <w:color w:val="000000" w:themeColor="text1"/>
          <w:sz w:val="24"/>
          <w:szCs w:val="24"/>
        </w:rPr>
        <w:t xml:space="preserve"> (4 413 tis. eur). </w:t>
      </w:r>
      <w:r w:rsidRPr="007009A8">
        <w:rPr>
          <w:color w:val="000000" w:themeColor="text1"/>
          <w:sz w:val="24"/>
          <w:szCs w:val="24"/>
        </w:rPr>
        <w:t>Išlo o </w:t>
      </w:r>
      <w:proofErr w:type="spellStart"/>
      <w:r w:rsidRPr="007009A8">
        <w:rPr>
          <w:color w:val="000000" w:themeColor="text1"/>
          <w:sz w:val="24"/>
          <w:szCs w:val="24"/>
        </w:rPr>
        <w:t>vratky</w:t>
      </w:r>
      <w:proofErr w:type="spellEnd"/>
      <w:r w:rsidRPr="007009A8">
        <w:rPr>
          <w:color w:val="000000" w:themeColor="text1"/>
          <w:sz w:val="24"/>
          <w:szCs w:val="24"/>
        </w:rPr>
        <w:t xml:space="preserve"> z poskytnutých dávok sociálnej pomoci a štátnych sociálnych dávok z minulých rokov od ich poberateľov, ktorým vznikla povinnosť ich vrátenia za určité obdobie, alebo len časti z vyplatenej sumy, keďže ich napríklad poberali dlhšie ako mali nárok.</w:t>
      </w:r>
    </w:p>
    <w:p w14:paraId="5C307E8A" w14:textId="77777777" w:rsidR="00F44AE2" w:rsidRDefault="00F44AE2" w:rsidP="00F44AE2">
      <w:pPr>
        <w:tabs>
          <w:tab w:val="left" w:pos="284"/>
        </w:tabs>
        <w:spacing w:line="240" w:lineRule="auto"/>
        <w:rPr>
          <w:color w:val="000000" w:themeColor="text1"/>
          <w:sz w:val="24"/>
          <w:szCs w:val="24"/>
        </w:rPr>
      </w:pPr>
      <w:r w:rsidRPr="00847861">
        <w:rPr>
          <w:b/>
          <w:i/>
          <w:color w:val="000000" w:themeColor="text1"/>
          <w:sz w:val="24"/>
          <w:szCs w:val="24"/>
        </w:rPr>
        <w:t>Príjmy z </w:t>
      </w:r>
      <w:proofErr w:type="spellStart"/>
      <w:r w:rsidRPr="00847861">
        <w:rPr>
          <w:b/>
          <w:i/>
          <w:color w:val="000000" w:themeColor="text1"/>
          <w:sz w:val="24"/>
          <w:szCs w:val="24"/>
        </w:rPr>
        <w:t>vratiek</w:t>
      </w:r>
      <w:proofErr w:type="spellEnd"/>
      <w:r w:rsidRPr="00847861">
        <w:rPr>
          <w:b/>
          <w:i/>
          <w:color w:val="000000" w:themeColor="text1"/>
          <w:sz w:val="24"/>
          <w:szCs w:val="24"/>
        </w:rPr>
        <w:t xml:space="preserve"> </w:t>
      </w:r>
      <w:r w:rsidRPr="00847861">
        <w:rPr>
          <w:color w:val="000000" w:themeColor="text1"/>
          <w:sz w:val="24"/>
          <w:szCs w:val="24"/>
        </w:rPr>
        <w:t xml:space="preserve">dosiahli celkovú sumu 17 884 tis. eur, </w:t>
      </w:r>
      <w:r w:rsidRPr="00382C9D">
        <w:rPr>
          <w:color w:val="000000" w:themeColor="text1"/>
          <w:sz w:val="24"/>
          <w:szCs w:val="24"/>
        </w:rPr>
        <w:t xml:space="preserve">z toho </w:t>
      </w:r>
      <w:r w:rsidRPr="00382C9D">
        <w:rPr>
          <w:rFonts w:cs="Times New Roman"/>
          <w:color w:val="000000" w:themeColor="text1"/>
          <w:sz w:val="24"/>
          <w:szCs w:val="24"/>
        </w:rPr>
        <w:t>najviac u </w:t>
      </w:r>
      <w:r w:rsidRPr="00382C9D">
        <w:rPr>
          <w:rFonts w:cs="Times New Roman"/>
          <w:color w:val="000000" w:themeColor="text1"/>
          <w:sz w:val="24"/>
          <w:szCs w:val="24"/>
          <w:u w:val="single"/>
        </w:rPr>
        <w:t>Ministerstva spravodlivosti SR</w:t>
      </w:r>
      <w:r w:rsidRPr="00382C9D">
        <w:rPr>
          <w:rFonts w:cs="Times New Roman"/>
          <w:color w:val="000000" w:themeColor="text1"/>
          <w:sz w:val="24"/>
          <w:szCs w:val="24"/>
        </w:rPr>
        <w:t xml:space="preserve"> (4 884 tis. eur</w:t>
      </w:r>
      <w:r w:rsidRPr="004B092E">
        <w:rPr>
          <w:rFonts w:cs="Times New Roman"/>
          <w:color w:val="000000" w:themeColor="text1"/>
          <w:sz w:val="24"/>
          <w:szCs w:val="24"/>
        </w:rPr>
        <w:t xml:space="preserve">), kde išlo najmä o </w:t>
      </w:r>
      <w:r w:rsidRPr="004B092E">
        <w:rPr>
          <w:color w:val="000000" w:themeColor="text1"/>
          <w:sz w:val="24"/>
          <w:szCs w:val="24"/>
        </w:rPr>
        <w:t xml:space="preserve">príjmy od fyzických osôb ako splátky pohľadávky z poskytnutej pôžičky 500 eur v súvislosti s agendou osobného bankrotu, ktorú riešilo Centrum právnej pomoci, pričom tieto príjmy sú očakávané, ale neboli rozpočtované s ohľadom na skutočnosť, že pôžičku je možné splatiť v rôznych čiastkach, resp. aj naraz. </w:t>
      </w:r>
    </w:p>
    <w:p w14:paraId="4B735491" w14:textId="41BA9AED" w:rsidR="00F44AE2" w:rsidRDefault="00F44AE2" w:rsidP="00F44AE2">
      <w:pPr>
        <w:tabs>
          <w:tab w:val="left" w:pos="284"/>
        </w:tabs>
        <w:spacing w:line="240" w:lineRule="auto"/>
        <w:rPr>
          <w:rFonts w:cs="Times New Roman"/>
          <w:color w:val="000000" w:themeColor="text1"/>
          <w:sz w:val="24"/>
          <w:szCs w:val="24"/>
        </w:rPr>
      </w:pPr>
      <w:r w:rsidRPr="00986400">
        <w:rPr>
          <w:color w:val="000000" w:themeColor="text1"/>
          <w:sz w:val="24"/>
          <w:szCs w:val="24"/>
          <w:u w:val="single"/>
        </w:rPr>
        <w:t>Ministerstvo práce, sociálnych vecí a rodiny SR</w:t>
      </w:r>
      <w:r w:rsidRPr="00986400">
        <w:rPr>
          <w:color w:val="000000" w:themeColor="text1"/>
          <w:sz w:val="24"/>
          <w:szCs w:val="24"/>
        </w:rPr>
        <w:t xml:space="preserve"> dosiahlo sumu 4 874 tis. eur. </w:t>
      </w:r>
      <w:r w:rsidRPr="00052090">
        <w:rPr>
          <w:rFonts w:cs="Times New Roman"/>
          <w:color w:val="000000" w:themeColor="text1"/>
          <w:sz w:val="24"/>
          <w:szCs w:val="24"/>
        </w:rPr>
        <w:t>Išlo najmä o </w:t>
      </w:r>
      <w:proofErr w:type="spellStart"/>
      <w:r w:rsidRPr="00052090">
        <w:rPr>
          <w:rFonts w:cs="Times New Roman"/>
          <w:color w:val="000000" w:themeColor="text1"/>
          <w:sz w:val="24"/>
          <w:szCs w:val="24"/>
        </w:rPr>
        <w:t>vratky</w:t>
      </w:r>
      <w:proofErr w:type="spellEnd"/>
      <w:r w:rsidRPr="00052090">
        <w:rPr>
          <w:rFonts w:cs="Times New Roman"/>
          <w:color w:val="000000" w:themeColor="text1"/>
          <w:sz w:val="24"/>
          <w:szCs w:val="24"/>
        </w:rPr>
        <w:t xml:space="preserve"> a splátky z poskytnutých príspevkov aktívnej politiky, vrátené neoprávnene vyplatené dávky sociálnej pomoci občanom v hmotnej núdzi a štátne sociálne dávky, </w:t>
      </w:r>
      <w:proofErr w:type="spellStart"/>
      <w:r w:rsidRPr="00052090">
        <w:rPr>
          <w:rFonts w:cs="Times New Roman"/>
          <w:color w:val="000000" w:themeColor="text1"/>
          <w:sz w:val="24"/>
          <w:szCs w:val="24"/>
        </w:rPr>
        <w:t>vratky</w:t>
      </w:r>
      <w:proofErr w:type="spellEnd"/>
      <w:r w:rsidRPr="00052090">
        <w:rPr>
          <w:rFonts w:cs="Times New Roman"/>
          <w:color w:val="000000" w:themeColor="text1"/>
          <w:sz w:val="24"/>
          <w:szCs w:val="24"/>
        </w:rPr>
        <w:t xml:space="preserve"> z nevyčerpaných miezd a odvodov za rok 2021 a ďalšie. </w:t>
      </w:r>
    </w:p>
    <w:p w14:paraId="22800FC0" w14:textId="77777777" w:rsidR="00F44AE2" w:rsidRPr="00052090" w:rsidRDefault="00F44AE2" w:rsidP="00F44AE2">
      <w:pPr>
        <w:tabs>
          <w:tab w:val="left" w:pos="284"/>
        </w:tabs>
        <w:spacing w:line="240" w:lineRule="auto"/>
        <w:rPr>
          <w:color w:val="000000" w:themeColor="text1"/>
          <w:sz w:val="24"/>
          <w:szCs w:val="24"/>
        </w:rPr>
      </w:pPr>
      <w:r>
        <w:rPr>
          <w:rFonts w:cs="Times New Roman"/>
          <w:color w:val="000000" w:themeColor="text1"/>
          <w:sz w:val="24"/>
          <w:szCs w:val="24"/>
        </w:rPr>
        <w:t>U </w:t>
      </w:r>
      <w:r w:rsidRPr="001605D3">
        <w:rPr>
          <w:rFonts w:cs="Times New Roman"/>
          <w:color w:val="000000" w:themeColor="text1"/>
          <w:sz w:val="24"/>
          <w:szCs w:val="24"/>
          <w:u w:val="single"/>
        </w:rPr>
        <w:t>Ministerstva zdravotníctva SR</w:t>
      </w:r>
      <w:r>
        <w:rPr>
          <w:rFonts w:cs="Times New Roman"/>
          <w:color w:val="000000" w:themeColor="text1"/>
          <w:sz w:val="24"/>
          <w:szCs w:val="24"/>
        </w:rPr>
        <w:t xml:space="preserve"> predstavovali príjmy z </w:t>
      </w:r>
      <w:proofErr w:type="spellStart"/>
      <w:r>
        <w:rPr>
          <w:rFonts w:cs="Times New Roman"/>
          <w:color w:val="000000" w:themeColor="text1"/>
          <w:sz w:val="24"/>
          <w:szCs w:val="24"/>
        </w:rPr>
        <w:t>vratiek</w:t>
      </w:r>
      <w:proofErr w:type="spellEnd"/>
      <w:r>
        <w:rPr>
          <w:rFonts w:cs="Times New Roman"/>
          <w:color w:val="000000" w:themeColor="text1"/>
          <w:sz w:val="24"/>
          <w:szCs w:val="24"/>
        </w:rPr>
        <w:t xml:space="preserve"> sumu 2 207 tis. eur. Išlo o nevyčerpané finančné prostriedky z jednorazového príspevku 350 eur určeného pre každého zdravotníckeho pracovníka, ktorého jeho zamestnávateľ nahlásil do systému odmeňovania v zmysle Uznesenia vlády SR. č. 777/2021 zo dňa 17. 12. 2021. Týmto uznesením boli vyčlenené finančné prostriedky v sume 50 706 tis. eur na jednorazový finančný príspevok pre zdravotníckych pracovníkov vzhľadom na náročnú situáciu v súvislosti s ochorením COVID-19, ktorej čelili zdravotnícki pracovníci poskytujúci zdravotnú starostlivosť.</w:t>
      </w:r>
    </w:p>
    <w:p w14:paraId="25E900C2" w14:textId="77777777" w:rsidR="00F44AE2" w:rsidRPr="0081505A" w:rsidRDefault="00F44AE2" w:rsidP="00F44AE2">
      <w:pPr>
        <w:tabs>
          <w:tab w:val="left" w:pos="284"/>
        </w:tabs>
        <w:spacing w:line="240" w:lineRule="auto"/>
        <w:rPr>
          <w:color w:val="000000" w:themeColor="text1"/>
          <w:sz w:val="24"/>
          <w:szCs w:val="24"/>
        </w:rPr>
      </w:pPr>
      <w:r w:rsidRPr="00DD7DD7">
        <w:rPr>
          <w:b/>
          <w:i/>
          <w:color w:val="000000" w:themeColor="text1"/>
          <w:sz w:val="24"/>
          <w:szCs w:val="24"/>
        </w:rPr>
        <w:t xml:space="preserve">Príjmy z príspevkov prevádzkovateľa hazardnej hry </w:t>
      </w:r>
      <w:r w:rsidRPr="00DD7DD7">
        <w:rPr>
          <w:color w:val="000000" w:themeColor="text1"/>
          <w:sz w:val="24"/>
          <w:szCs w:val="24"/>
        </w:rPr>
        <w:t xml:space="preserve">boli dosiahnuté v celej výške 8 004 tis. eur v kapitole </w:t>
      </w:r>
      <w:r w:rsidRPr="00DD7DD7">
        <w:rPr>
          <w:color w:val="000000" w:themeColor="text1"/>
          <w:sz w:val="24"/>
          <w:szCs w:val="24"/>
          <w:u w:val="single"/>
        </w:rPr>
        <w:t>Ministerstva financií SR</w:t>
      </w:r>
      <w:r w:rsidRPr="00DD7DD7">
        <w:rPr>
          <w:color w:val="000000" w:themeColor="text1"/>
          <w:sz w:val="24"/>
          <w:szCs w:val="24"/>
        </w:rPr>
        <w:t>.</w:t>
      </w:r>
      <w:r w:rsidRPr="00213E51">
        <w:rPr>
          <w:color w:val="FF0000"/>
          <w:sz w:val="24"/>
          <w:szCs w:val="24"/>
        </w:rPr>
        <w:t xml:space="preserve"> </w:t>
      </w:r>
      <w:r w:rsidRPr="0081505A">
        <w:rPr>
          <w:color w:val="000000" w:themeColor="text1"/>
          <w:sz w:val="24"/>
          <w:szCs w:val="24"/>
        </w:rPr>
        <w:t xml:space="preserve">Išlo o </w:t>
      </w:r>
      <w:r w:rsidRPr="0081505A">
        <w:rPr>
          <w:rFonts w:cs="Times New Roman"/>
          <w:color w:val="000000" w:themeColor="text1"/>
          <w:sz w:val="24"/>
          <w:szCs w:val="24"/>
        </w:rPr>
        <w:t xml:space="preserve">príjmy Úradu pre reguláciu hazardných hier, ktoré predstavovali mesačný a osobitný príspevok v zmysle zákona č. 30/2019 Z. z. o hazardných hrách od prevádzkovateľov hazardných hier, ako napríklad TIPOS, národná lotériová spoločnosť, </w:t>
      </w:r>
      <w:proofErr w:type="spellStart"/>
      <w:r w:rsidRPr="0081505A">
        <w:rPr>
          <w:rFonts w:cs="Times New Roman"/>
          <w:color w:val="000000" w:themeColor="text1"/>
          <w:sz w:val="24"/>
          <w:szCs w:val="24"/>
        </w:rPr>
        <w:t>a.s</w:t>
      </w:r>
      <w:proofErr w:type="spellEnd"/>
      <w:r w:rsidRPr="0081505A">
        <w:rPr>
          <w:rFonts w:cs="Times New Roman"/>
          <w:color w:val="000000" w:themeColor="text1"/>
          <w:sz w:val="24"/>
          <w:szCs w:val="24"/>
        </w:rPr>
        <w:t>.</w:t>
      </w:r>
      <w:r>
        <w:rPr>
          <w:rFonts w:cs="Times New Roman"/>
          <w:color w:val="000000" w:themeColor="text1"/>
          <w:sz w:val="24"/>
          <w:szCs w:val="24"/>
        </w:rPr>
        <w:t xml:space="preserve"> </w:t>
      </w:r>
      <w:r w:rsidRPr="0081505A">
        <w:rPr>
          <w:rFonts w:cs="Times New Roman"/>
          <w:color w:val="000000" w:themeColor="text1"/>
          <w:sz w:val="24"/>
          <w:szCs w:val="24"/>
        </w:rPr>
        <w:t>a ďalších.</w:t>
      </w:r>
    </w:p>
    <w:p w14:paraId="76CEDB4E" w14:textId="77777777" w:rsidR="00F44AE2" w:rsidRDefault="00F44AE2" w:rsidP="00F44AE2">
      <w:pPr>
        <w:spacing w:line="240" w:lineRule="auto"/>
        <w:rPr>
          <w:rFonts w:cs="Times New Roman"/>
          <w:sz w:val="24"/>
          <w:szCs w:val="24"/>
        </w:rPr>
      </w:pPr>
      <w:r w:rsidRPr="008D089E">
        <w:rPr>
          <w:b/>
          <w:i/>
          <w:color w:val="000000" w:themeColor="text1"/>
          <w:sz w:val="24"/>
          <w:szCs w:val="24"/>
        </w:rPr>
        <w:t xml:space="preserve">Zvyšnú časť iných nedaňových príjmov </w:t>
      </w:r>
      <w:r w:rsidRPr="008D089E">
        <w:rPr>
          <w:color w:val="000000" w:themeColor="text1"/>
          <w:sz w:val="24"/>
          <w:szCs w:val="24"/>
        </w:rPr>
        <w:t>v hodnote 157 146 tis. eur tvorili</w:t>
      </w:r>
      <w:r>
        <w:rPr>
          <w:color w:val="000000" w:themeColor="text1"/>
          <w:sz w:val="24"/>
          <w:szCs w:val="24"/>
        </w:rPr>
        <w:t xml:space="preserve"> v najvyššej výške</w:t>
      </w:r>
      <w:r w:rsidRPr="008D089E">
        <w:rPr>
          <w:color w:val="000000" w:themeColor="text1"/>
          <w:sz w:val="24"/>
          <w:szCs w:val="24"/>
        </w:rPr>
        <w:t xml:space="preserve"> príjmy </w:t>
      </w:r>
      <w:r w:rsidRPr="008316AB">
        <w:rPr>
          <w:color w:val="000000" w:themeColor="text1"/>
          <w:sz w:val="24"/>
          <w:szCs w:val="24"/>
        </w:rPr>
        <w:t xml:space="preserve">kapitoly </w:t>
      </w:r>
      <w:r w:rsidRPr="008316AB">
        <w:rPr>
          <w:color w:val="000000" w:themeColor="text1"/>
          <w:sz w:val="24"/>
          <w:szCs w:val="24"/>
          <w:u w:val="single"/>
        </w:rPr>
        <w:t>Ministerstva hospodárstva SR</w:t>
      </w:r>
      <w:r w:rsidRPr="008316AB">
        <w:rPr>
          <w:color w:val="000000" w:themeColor="text1"/>
          <w:sz w:val="24"/>
          <w:szCs w:val="24"/>
        </w:rPr>
        <w:t xml:space="preserve"> v sume 73 826 tis. eur. </w:t>
      </w:r>
      <w:r w:rsidRPr="00A205AA">
        <w:rPr>
          <w:color w:val="000000" w:themeColor="text1"/>
          <w:sz w:val="24"/>
          <w:szCs w:val="24"/>
        </w:rPr>
        <w:t>Išlo najmä o odvody prevádzkovateľov distribučných sústav a prenosovej sústavy, ktorí sú povinní odvádzať do</w:t>
      </w:r>
      <w:r>
        <w:rPr>
          <w:color w:val="000000" w:themeColor="text1"/>
          <w:sz w:val="24"/>
          <w:szCs w:val="24"/>
        </w:rPr>
        <w:t> </w:t>
      </w:r>
      <w:r w:rsidRPr="00A205AA">
        <w:rPr>
          <w:color w:val="000000" w:themeColor="text1"/>
          <w:sz w:val="24"/>
          <w:szCs w:val="24"/>
        </w:rPr>
        <w:t xml:space="preserve">štátneho rozpočtu odvod z množstva elektriny dodanej koncovým odberateľom elektriny (72 555 tis. eur). </w:t>
      </w:r>
      <w:r>
        <w:rPr>
          <w:color w:val="000000" w:themeColor="text1"/>
          <w:sz w:val="24"/>
          <w:szCs w:val="24"/>
        </w:rPr>
        <w:t xml:space="preserve">Ďalší príjem v sume 984 tis. eur </w:t>
      </w:r>
      <w:r w:rsidRPr="00473086">
        <w:rPr>
          <w:rFonts w:cs="Times New Roman"/>
          <w:sz w:val="24"/>
          <w:szCs w:val="24"/>
        </w:rPr>
        <w:t>vyplýva</w:t>
      </w:r>
      <w:r>
        <w:rPr>
          <w:rFonts w:cs="Times New Roman"/>
          <w:sz w:val="24"/>
          <w:szCs w:val="24"/>
        </w:rPr>
        <w:t>l</w:t>
      </w:r>
      <w:r w:rsidRPr="00473086">
        <w:rPr>
          <w:rFonts w:cs="Times New Roman"/>
          <w:sz w:val="24"/>
          <w:szCs w:val="24"/>
        </w:rPr>
        <w:t xml:space="preserve"> z Dohody o urovnaní uzavretej medzi poskytovateľom štátnej pomoci </w:t>
      </w:r>
      <w:r>
        <w:rPr>
          <w:rFonts w:cs="Times New Roman"/>
          <w:sz w:val="24"/>
          <w:szCs w:val="24"/>
        </w:rPr>
        <w:t>Ministerstvom hospodárstva SR</w:t>
      </w:r>
      <w:r w:rsidRPr="00473086">
        <w:rPr>
          <w:rFonts w:cs="Times New Roman"/>
          <w:sz w:val="24"/>
          <w:szCs w:val="24"/>
        </w:rPr>
        <w:t xml:space="preserve"> a príjemcom štátnej pomoci 1: FORTISCHEM, a. s. a príjemcom štátnej pomoci</w:t>
      </w:r>
      <w:r>
        <w:rPr>
          <w:rFonts w:cs="Times New Roman"/>
          <w:sz w:val="24"/>
          <w:szCs w:val="24"/>
        </w:rPr>
        <w:t xml:space="preserve"> 2: Novácke chemické závody, a. </w:t>
      </w:r>
      <w:r w:rsidRPr="00473086">
        <w:rPr>
          <w:rFonts w:cs="Times New Roman"/>
          <w:sz w:val="24"/>
          <w:szCs w:val="24"/>
        </w:rPr>
        <w:t>s. v</w:t>
      </w:r>
      <w:r>
        <w:rPr>
          <w:rFonts w:cs="Times New Roman"/>
          <w:sz w:val="24"/>
          <w:szCs w:val="24"/>
        </w:rPr>
        <w:t> </w:t>
      </w:r>
      <w:r w:rsidRPr="00473086">
        <w:rPr>
          <w:rFonts w:cs="Times New Roman"/>
          <w:sz w:val="24"/>
          <w:szCs w:val="24"/>
        </w:rPr>
        <w:t>ko</w:t>
      </w:r>
      <w:r>
        <w:rPr>
          <w:rFonts w:cs="Times New Roman"/>
          <w:sz w:val="24"/>
          <w:szCs w:val="24"/>
        </w:rPr>
        <w:t>nkurze.</w:t>
      </w:r>
      <w:r w:rsidRPr="00473086">
        <w:rPr>
          <w:rFonts w:cs="Times New Roman"/>
          <w:sz w:val="24"/>
          <w:szCs w:val="24"/>
        </w:rPr>
        <w:t> </w:t>
      </w:r>
    </w:p>
    <w:p w14:paraId="78C02E74" w14:textId="77777777" w:rsidR="00F44AE2" w:rsidRDefault="00F44AE2" w:rsidP="00F44AE2">
      <w:pPr>
        <w:spacing w:line="240" w:lineRule="auto"/>
        <w:rPr>
          <w:rFonts w:cs="Times New Roman"/>
          <w:sz w:val="24"/>
          <w:szCs w:val="24"/>
        </w:rPr>
      </w:pPr>
      <w:r w:rsidRPr="0069624B">
        <w:rPr>
          <w:rFonts w:cs="Times New Roman"/>
          <w:sz w:val="24"/>
          <w:szCs w:val="24"/>
          <w:u w:val="single"/>
        </w:rPr>
        <w:lastRenderedPageBreak/>
        <w:t>Ministerstvo obrany SR</w:t>
      </w:r>
      <w:r w:rsidRPr="00E808CE">
        <w:rPr>
          <w:rFonts w:cs="Times New Roman"/>
          <w:sz w:val="24"/>
          <w:szCs w:val="24"/>
        </w:rPr>
        <w:t xml:space="preserve"> </w:t>
      </w:r>
      <w:r>
        <w:rPr>
          <w:rFonts w:cs="Times New Roman"/>
          <w:sz w:val="24"/>
          <w:szCs w:val="24"/>
        </w:rPr>
        <w:t xml:space="preserve">dosiahlo iné nedaňové príjmy v objeme 42 022 tis. eur a išlo najmä o prijatý transfer 40 214 tis. eur z Európskeho mierového nástroja (EPF) ako refundácia za pomoc Ukrajine v súvislosti s vojenským konfliktom. </w:t>
      </w:r>
    </w:p>
    <w:p w14:paraId="7FC3005D" w14:textId="77777777" w:rsidR="00F44AE2" w:rsidRPr="0030544F" w:rsidRDefault="00F44AE2" w:rsidP="00F44AE2">
      <w:pPr>
        <w:spacing w:line="240" w:lineRule="auto"/>
        <w:rPr>
          <w:color w:val="000000" w:themeColor="text1"/>
          <w:sz w:val="24"/>
          <w:szCs w:val="24"/>
        </w:rPr>
      </w:pPr>
      <w:r w:rsidRPr="0030544F">
        <w:rPr>
          <w:color w:val="000000" w:themeColor="text1"/>
          <w:sz w:val="24"/>
          <w:szCs w:val="24"/>
        </w:rPr>
        <w:t xml:space="preserve">Príjmy kapitoly </w:t>
      </w:r>
      <w:r w:rsidRPr="0030544F">
        <w:rPr>
          <w:color w:val="000000" w:themeColor="text1"/>
          <w:sz w:val="24"/>
          <w:szCs w:val="24"/>
          <w:u w:val="single"/>
        </w:rPr>
        <w:t>Ministerstva vnútra SR</w:t>
      </w:r>
      <w:r w:rsidRPr="0030544F">
        <w:rPr>
          <w:color w:val="000000" w:themeColor="text1"/>
          <w:sz w:val="24"/>
          <w:szCs w:val="24"/>
        </w:rPr>
        <w:t xml:space="preserve"> v sume 14 033 tis. eur tvorili odvody za odňatie poľnohospodárskej pôdy a lesnej pôdy, príjmy z predpísaných mánk a škôd, príjmy z trov konania, prepadnuté prostriedky v prospech štátu, príjmy z dedičského konania, príjmy z poplatkov za obnovu evidencie pozemkov a iné. </w:t>
      </w:r>
    </w:p>
    <w:p w14:paraId="76F1E319" w14:textId="77777777" w:rsidR="00F44AE2" w:rsidRDefault="00F44AE2" w:rsidP="00F44AE2">
      <w:pPr>
        <w:spacing w:line="240" w:lineRule="auto"/>
        <w:rPr>
          <w:color w:val="000000" w:themeColor="text1"/>
          <w:sz w:val="24"/>
          <w:szCs w:val="24"/>
        </w:rPr>
      </w:pPr>
      <w:r w:rsidRPr="00633631">
        <w:rPr>
          <w:color w:val="000000" w:themeColor="text1"/>
          <w:sz w:val="24"/>
          <w:szCs w:val="24"/>
          <w:u w:val="single"/>
        </w:rPr>
        <w:t>Ministerstvo spravodlivosti SR</w:t>
      </w:r>
      <w:r w:rsidRPr="00633631">
        <w:rPr>
          <w:color w:val="000000" w:themeColor="text1"/>
          <w:sz w:val="24"/>
          <w:szCs w:val="24"/>
        </w:rPr>
        <w:t xml:space="preserve"> získalo čiastku 11 798 tis. eur </w:t>
      </w:r>
      <w:r w:rsidRPr="00B07B5E">
        <w:rPr>
          <w:color w:val="000000" w:themeColor="text1"/>
          <w:sz w:val="24"/>
          <w:szCs w:val="24"/>
        </w:rPr>
        <w:t>najmä z úhrad trov konania a výkonu väzby a výkonu trestu odňatia slobody, z úhrad pohľadávok obvinených a odsúdených, z prepadnutých kaucií, zábezpek, z prepísaných mánk a škôd.</w:t>
      </w:r>
    </w:p>
    <w:p w14:paraId="38A224E7" w14:textId="77777777" w:rsidR="00F44AE2" w:rsidRPr="00F4180C" w:rsidRDefault="00F44AE2" w:rsidP="00F44AE2">
      <w:pPr>
        <w:spacing w:line="240" w:lineRule="auto"/>
        <w:rPr>
          <w:color w:val="000000" w:themeColor="text1"/>
          <w:sz w:val="24"/>
          <w:szCs w:val="24"/>
        </w:rPr>
      </w:pPr>
      <w:r>
        <w:rPr>
          <w:color w:val="000000" w:themeColor="text1"/>
          <w:sz w:val="24"/>
          <w:szCs w:val="24"/>
        </w:rPr>
        <w:t>U </w:t>
      </w:r>
      <w:r w:rsidRPr="00CD391E">
        <w:rPr>
          <w:color w:val="000000" w:themeColor="text1"/>
          <w:sz w:val="24"/>
          <w:szCs w:val="24"/>
          <w:u w:val="single"/>
        </w:rPr>
        <w:t>Ministerstva životného prostredia SR</w:t>
      </w:r>
      <w:r>
        <w:rPr>
          <w:color w:val="000000" w:themeColor="text1"/>
          <w:sz w:val="24"/>
          <w:szCs w:val="24"/>
          <w:u w:val="single"/>
        </w:rPr>
        <w:t xml:space="preserve"> </w:t>
      </w:r>
      <w:r>
        <w:rPr>
          <w:color w:val="000000" w:themeColor="text1"/>
          <w:sz w:val="24"/>
          <w:szCs w:val="24"/>
        </w:rPr>
        <w:t xml:space="preserve">z celkovej sumy 10 806 tis. eur išlo najmä o dve </w:t>
      </w:r>
      <w:proofErr w:type="spellStart"/>
      <w:r>
        <w:rPr>
          <w:color w:val="000000" w:themeColor="text1"/>
          <w:sz w:val="24"/>
          <w:szCs w:val="24"/>
        </w:rPr>
        <w:t>tranže</w:t>
      </w:r>
      <w:proofErr w:type="spellEnd"/>
      <w:r>
        <w:rPr>
          <w:color w:val="000000" w:themeColor="text1"/>
          <w:sz w:val="24"/>
          <w:szCs w:val="24"/>
        </w:rPr>
        <w:t xml:space="preserve"> odvodu prostriedkov z Environmentálneho fondu v objeme 10 736 tis. eur v nadväznosti </w:t>
      </w:r>
      <w:r>
        <w:rPr>
          <w:rFonts w:cs="Times New Roman"/>
          <w:color w:val="000000" w:themeColor="text1"/>
          <w:sz w:val="24"/>
          <w:szCs w:val="24"/>
        </w:rPr>
        <w:t>na zákon č. </w:t>
      </w:r>
      <w:r w:rsidRPr="00F4180C">
        <w:rPr>
          <w:rFonts w:cs="Times New Roman"/>
          <w:color w:val="000000" w:themeColor="text1"/>
          <w:sz w:val="24"/>
          <w:szCs w:val="24"/>
        </w:rPr>
        <w:t>6/2022 Z. z.</w:t>
      </w:r>
      <w:r>
        <w:rPr>
          <w:rFonts w:cs="Times New Roman"/>
          <w:color w:val="000000" w:themeColor="text1"/>
          <w:sz w:val="24"/>
          <w:szCs w:val="24"/>
        </w:rPr>
        <w:t>,</w:t>
      </w:r>
      <w:r w:rsidRPr="00F4180C">
        <w:rPr>
          <w:rFonts w:cs="Times New Roman"/>
          <w:color w:val="000000" w:themeColor="text1"/>
          <w:sz w:val="24"/>
          <w:szCs w:val="24"/>
        </w:rPr>
        <w:t xml:space="preserve"> k</w:t>
      </w:r>
      <w:r>
        <w:rPr>
          <w:rFonts w:cs="Times New Roman"/>
          <w:color w:val="000000" w:themeColor="text1"/>
          <w:sz w:val="24"/>
          <w:szCs w:val="24"/>
        </w:rPr>
        <w:t>torým sa mení a dopĺňa zákon č. </w:t>
      </w:r>
      <w:r w:rsidRPr="00F4180C">
        <w:rPr>
          <w:rFonts w:cs="Times New Roman"/>
          <w:color w:val="000000" w:themeColor="text1"/>
          <w:sz w:val="24"/>
          <w:szCs w:val="24"/>
        </w:rPr>
        <w:t>543/2002 Z. z. o ochrane prírody a krajiny v znení neskorších predpisov a ktorým sa menia a dopĺňajú niektoré zákony, v súlade s</w:t>
      </w:r>
      <w:r>
        <w:rPr>
          <w:rFonts w:cs="Times New Roman"/>
          <w:color w:val="000000" w:themeColor="text1"/>
          <w:sz w:val="24"/>
          <w:szCs w:val="24"/>
        </w:rPr>
        <w:t> </w:t>
      </w:r>
      <w:r w:rsidRPr="00F4180C">
        <w:rPr>
          <w:rFonts w:cs="Times New Roman"/>
          <w:color w:val="000000" w:themeColor="text1"/>
          <w:sz w:val="24"/>
          <w:szCs w:val="24"/>
        </w:rPr>
        <w:t>doložkou vybraných vplyvov, ktorá bola súčasťou dokumentácie v rámci legislatívneho procesu k zákonu. Cieľom odvodu je financovanie správ národný</w:t>
      </w:r>
      <w:r>
        <w:rPr>
          <w:rFonts w:cs="Times New Roman"/>
          <w:color w:val="000000" w:themeColor="text1"/>
          <w:sz w:val="24"/>
          <w:szCs w:val="24"/>
        </w:rPr>
        <w:t>ch parkov zriadených zákonom č. </w:t>
      </w:r>
      <w:r w:rsidRPr="00F4180C">
        <w:rPr>
          <w:rFonts w:cs="Times New Roman"/>
          <w:color w:val="000000" w:themeColor="text1"/>
          <w:sz w:val="24"/>
          <w:szCs w:val="24"/>
        </w:rPr>
        <w:t>6/2022 Z. z. k 31.</w:t>
      </w:r>
      <w:r>
        <w:rPr>
          <w:rFonts w:cs="Times New Roman"/>
          <w:color w:val="000000" w:themeColor="text1"/>
          <w:sz w:val="24"/>
          <w:szCs w:val="24"/>
        </w:rPr>
        <w:t> </w:t>
      </w:r>
      <w:r w:rsidRPr="00F4180C">
        <w:rPr>
          <w:rFonts w:cs="Times New Roman"/>
          <w:color w:val="000000" w:themeColor="text1"/>
          <w:sz w:val="24"/>
          <w:szCs w:val="24"/>
        </w:rPr>
        <w:t>3.</w:t>
      </w:r>
      <w:r>
        <w:rPr>
          <w:rFonts w:cs="Times New Roman"/>
          <w:color w:val="000000" w:themeColor="text1"/>
          <w:sz w:val="24"/>
          <w:szCs w:val="24"/>
        </w:rPr>
        <w:t> </w:t>
      </w:r>
      <w:r w:rsidRPr="00F4180C">
        <w:rPr>
          <w:rFonts w:cs="Times New Roman"/>
          <w:color w:val="000000" w:themeColor="text1"/>
          <w:sz w:val="24"/>
          <w:szCs w:val="24"/>
        </w:rPr>
        <w:t>2022.</w:t>
      </w:r>
    </w:p>
    <w:p w14:paraId="3F6E7E45" w14:textId="77777777" w:rsidR="00F44AE2" w:rsidRDefault="00F44AE2" w:rsidP="00F44AE2">
      <w:pPr>
        <w:spacing w:line="240" w:lineRule="auto"/>
        <w:rPr>
          <w:b/>
          <w:i/>
        </w:rPr>
      </w:pPr>
      <w:r>
        <w:rPr>
          <w:b/>
          <w:i/>
        </w:rPr>
        <w:t>Podrobné údaje o plnení nedaňových príjmov štátneho rozpočtu v roku 2022 sú uvedené v tab. č. 3 tabuľkovej prílohy štátneho záverečného účtu.</w:t>
      </w:r>
    </w:p>
    <w:p w14:paraId="0CEEFA6E" w14:textId="77777777" w:rsidR="00F44AE2" w:rsidRDefault="00F44AE2" w:rsidP="00F44AE2"/>
    <w:p w14:paraId="091187D4" w14:textId="196941FB" w:rsidR="00EA177A" w:rsidRDefault="00EA177A" w:rsidP="001205D5">
      <w:pPr>
        <w:pStyle w:val="Nadpis3"/>
      </w:pPr>
      <w:bookmarkStart w:id="40" w:name="_Toc6415644"/>
      <w:bookmarkStart w:id="41" w:name="_Toc132929088"/>
      <w:r w:rsidRPr="001205D5">
        <w:t>Granty</w:t>
      </w:r>
      <w:r>
        <w:t xml:space="preserve"> a</w:t>
      </w:r>
      <w:r w:rsidR="004C3312">
        <w:t> </w:t>
      </w:r>
      <w:r>
        <w:t>transfery</w:t>
      </w:r>
      <w:bookmarkEnd w:id="40"/>
      <w:bookmarkEnd w:id="41"/>
    </w:p>
    <w:p w14:paraId="478DD8CB" w14:textId="24EA3665" w:rsidR="004C3312" w:rsidRDefault="004C3312" w:rsidP="004C3312">
      <w:pPr>
        <w:spacing w:line="240" w:lineRule="auto"/>
        <w:rPr>
          <w:sz w:val="24"/>
          <w:szCs w:val="24"/>
        </w:rPr>
      </w:pPr>
      <w:r w:rsidRPr="003C042B">
        <w:rPr>
          <w:sz w:val="24"/>
          <w:szCs w:val="24"/>
        </w:rPr>
        <w:t>Hotovostný príjem z gran</w:t>
      </w:r>
      <w:r>
        <w:rPr>
          <w:sz w:val="24"/>
          <w:szCs w:val="24"/>
        </w:rPr>
        <w:t>tov a transferov bol na rok 2022</w:t>
      </w:r>
      <w:r w:rsidRPr="003C042B">
        <w:rPr>
          <w:sz w:val="24"/>
          <w:szCs w:val="24"/>
        </w:rPr>
        <w:t xml:space="preserve"> rozpočtovaný v celkovej výške </w:t>
      </w:r>
      <w:r>
        <w:rPr>
          <w:sz w:val="24"/>
          <w:szCs w:val="24"/>
        </w:rPr>
        <w:t>4</w:t>
      </w:r>
      <w:r w:rsidRPr="003C042B">
        <w:rPr>
          <w:sz w:val="24"/>
          <w:szCs w:val="24"/>
        </w:rPr>
        <w:t> 491 227 tis. eur (z toho tuzemské v čiastke 41 </w:t>
      </w:r>
      <w:r w:rsidRPr="00BB3707">
        <w:rPr>
          <w:sz w:val="24"/>
          <w:szCs w:val="24"/>
        </w:rPr>
        <w:t>25</w:t>
      </w:r>
      <w:r w:rsidR="00BB3707" w:rsidRPr="00BB3707">
        <w:rPr>
          <w:sz w:val="24"/>
          <w:szCs w:val="24"/>
        </w:rPr>
        <w:t>4</w:t>
      </w:r>
      <w:r w:rsidRPr="00BB3707">
        <w:rPr>
          <w:sz w:val="24"/>
          <w:szCs w:val="24"/>
        </w:rPr>
        <w:t xml:space="preserve"> t</w:t>
      </w:r>
      <w:r w:rsidRPr="003C042B">
        <w:rPr>
          <w:sz w:val="24"/>
          <w:szCs w:val="24"/>
        </w:rPr>
        <w:t>is. eur), čo j</w:t>
      </w:r>
      <w:r>
        <w:rPr>
          <w:sz w:val="24"/>
          <w:szCs w:val="24"/>
        </w:rPr>
        <w:t xml:space="preserve">e oproti roku </w:t>
      </w:r>
      <w:r w:rsidRPr="003C042B">
        <w:rPr>
          <w:sz w:val="24"/>
          <w:szCs w:val="24"/>
        </w:rPr>
        <w:t xml:space="preserve">2021 viac o 1 667 775 tis. eur. </w:t>
      </w:r>
      <w:r w:rsidRPr="00704F0A">
        <w:rPr>
          <w:sz w:val="24"/>
          <w:szCs w:val="24"/>
        </w:rPr>
        <w:t>Skutočné príjmy štátneho rozpočtu z grantov a transferov dosiahli sumu 2 227 577 tis. eur a v porovnaní s rokom 2021 je to menej o 85 362 tis. eur. Rozhodujúcu</w:t>
      </w:r>
      <w:r w:rsidRPr="003C042B">
        <w:rPr>
          <w:sz w:val="24"/>
          <w:szCs w:val="24"/>
        </w:rPr>
        <w:t xml:space="preserve"> časť týchto prostriedkov ako v rozpočte tak aj v skutočnom plnení tvoria každý rok zdroje z rozpočtu EÚ (Európske štrukturálne a investičné fondy – EŠIF), alokované a čerpané v rámci príslušných programových období (aktuálne ako aj dobiehajúce programové obdobia).</w:t>
      </w:r>
      <w:r w:rsidRPr="00BD751C">
        <w:rPr>
          <w:sz w:val="24"/>
          <w:szCs w:val="24"/>
        </w:rPr>
        <w:t xml:space="preserve"> </w:t>
      </w:r>
    </w:p>
    <w:tbl>
      <w:tblPr>
        <w:tblW w:w="9454" w:type="dxa"/>
        <w:tblCellMar>
          <w:left w:w="70" w:type="dxa"/>
          <w:right w:w="70" w:type="dxa"/>
        </w:tblCellMar>
        <w:tblLook w:val="04A0" w:firstRow="1" w:lastRow="0" w:firstColumn="1" w:lastColumn="0" w:noHBand="0" w:noVBand="1"/>
      </w:tblPr>
      <w:tblGrid>
        <w:gridCol w:w="3402"/>
        <w:gridCol w:w="990"/>
        <w:gridCol w:w="990"/>
        <w:gridCol w:w="990"/>
        <w:gridCol w:w="990"/>
        <w:gridCol w:w="1173"/>
        <w:gridCol w:w="919"/>
      </w:tblGrid>
      <w:tr w:rsidR="00F82A99" w:rsidRPr="001205D5" w14:paraId="1D63DB86" w14:textId="77777777" w:rsidTr="00F82A99">
        <w:trPr>
          <w:trHeight w:val="528"/>
        </w:trPr>
        <w:tc>
          <w:tcPr>
            <w:tcW w:w="9454" w:type="dxa"/>
            <w:gridSpan w:val="7"/>
            <w:tcBorders>
              <w:top w:val="nil"/>
              <w:left w:val="nil"/>
              <w:bottom w:val="single" w:sz="4" w:space="0" w:color="auto"/>
              <w:right w:val="nil"/>
            </w:tcBorders>
            <w:shd w:val="clear" w:color="auto" w:fill="auto"/>
            <w:noWrap/>
            <w:vAlign w:val="center"/>
            <w:hideMark/>
          </w:tcPr>
          <w:p w14:paraId="759983D8" w14:textId="7288196B" w:rsidR="00F82A99" w:rsidRPr="00F82A99" w:rsidRDefault="00D50C99" w:rsidP="008B3212">
            <w:pPr>
              <w:spacing w:after="0" w:line="240" w:lineRule="auto"/>
              <w:rPr>
                <w:rFonts w:eastAsia="Times New Roman" w:cs="Times New Roman"/>
                <w:b/>
                <w:bCs/>
                <w:color w:val="5B9BD5" w:themeColor="accent1"/>
                <w:sz w:val="20"/>
                <w:szCs w:val="20"/>
                <w:lang w:eastAsia="sk-SK"/>
              </w:rPr>
            </w:pPr>
            <w:r>
              <w:rPr>
                <w:rFonts w:eastAsia="Times New Roman" w:cs="Times New Roman"/>
                <w:b/>
                <w:bCs/>
                <w:color w:val="5B9BD5" w:themeColor="accent1"/>
                <w:sz w:val="20"/>
                <w:szCs w:val="20"/>
                <w:lang w:eastAsia="sk-SK"/>
              </w:rPr>
              <w:t xml:space="preserve">Tabuľka </w:t>
            </w:r>
            <w:r w:rsidR="008B3212">
              <w:rPr>
                <w:rFonts w:eastAsia="Times New Roman" w:cs="Times New Roman"/>
                <w:b/>
                <w:bCs/>
                <w:color w:val="5B9BD5" w:themeColor="accent1"/>
                <w:sz w:val="20"/>
                <w:szCs w:val="20"/>
                <w:lang w:eastAsia="sk-SK"/>
              </w:rPr>
              <w:t>30</w:t>
            </w:r>
            <w:r w:rsidR="00F82A99">
              <w:rPr>
                <w:rFonts w:eastAsia="Times New Roman" w:cs="Times New Roman"/>
                <w:b/>
                <w:bCs/>
                <w:color w:val="5B9BD5" w:themeColor="accent1"/>
                <w:sz w:val="20"/>
                <w:szCs w:val="20"/>
                <w:lang w:eastAsia="sk-SK"/>
              </w:rPr>
              <w:t xml:space="preserve"> - </w:t>
            </w:r>
            <w:r w:rsidR="00F82A99" w:rsidRPr="001205D5">
              <w:rPr>
                <w:rFonts w:eastAsia="Times New Roman" w:cs="Times New Roman"/>
                <w:b/>
                <w:bCs/>
                <w:color w:val="5B9BD5" w:themeColor="accent1"/>
                <w:sz w:val="20"/>
                <w:szCs w:val="20"/>
                <w:lang w:eastAsia="sk-SK"/>
              </w:rPr>
              <w:t>Granty a</w:t>
            </w:r>
            <w:r w:rsidR="00F82A99">
              <w:rPr>
                <w:rFonts w:eastAsia="Times New Roman" w:cs="Times New Roman"/>
                <w:b/>
                <w:bCs/>
                <w:color w:val="5B9BD5" w:themeColor="accent1"/>
                <w:sz w:val="20"/>
                <w:szCs w:val="20"/>
                <w:lang w:eastAsia="sk-SK"/>
              </w:rPr>
              <w:t> </w:t>
            </w:r>
            <w:r w:rsidR="00F82A99" w:rsidRPr="001205D5">
              <w:rPr>
                <w:rFonts w:eastAsia="Times New Roman" w:cs="Times New Roman"/>
                <w:b/>
                <w:bCs/>
                <w:color w:val="5B9BD5" w:themeColor="accent1"/>
                <w:sz w:val="20"/>
                <w:szCs w:val="20"/>
                <w:lang w:eastAsia="sk-SK"/>
              </w:rPr>
              <w:t>transfery</w:t>
            </w:r>
            <w:r w:rsidR="00F82A99" w:rsidRPr="001205D5">
              <w:rPr>
                <w:rFonts w:eastAsia="Times New Roman" w:cs="Times New Roman"/>
                <w:b/>
                <w:bCs/>
                <w:color w:val="2F75B5"/>
                <w:sz w:val="20"/>
                <w:szCs w:val="20"/>
                <w:lang w:eastAsia="sk-SK"/>
              </w:rPr>
              <w:t> </w:t>
            </w:r>
          </w:p>
        </w:tc>
      </w:tr>
      <w:tr w:rsidR="004C3312" w:rsidRPr="001205D5" w14:paraId="4BC0C1C3" w14:textId="77777777" w:rsidTr="00F82A99">
        <w:trPr>
          <w:trHeight w:val="288"/>
        </w:trPr>
        <w:tc>
          <w:tcPr>
            <w:tcW w:w="3402" w:type="dxa"/>
            <w:vMerge w:val="restart"/>
            <w:tcBorders>
              <w:top w:val="single" w:sz="4" w:space="0" w:color="auto"/>
              <w:left w:val="nil"/>
              <w:right w:val="nil"/>
            </w:tcBorders>
            <w:shd w:val="clear" w:color="auto" w:fill="auto"/>
            <w:vAlign w:val="center"/>
            <w:hideMark/>
          </w:tcPr>
          <w:p w14:paraId="1AE96672" w14:textId="77777777" w:rsidR="004C3312" w:rsidRPr="001205D5" w:rsidRDefault="004C3312" w:rsidP="004C3312">
            <w:pPr>
              <w:spacing w:after="0" w:line="240" w:lineRule="auto"/>
              <w:jc w:val="left"/>
              <w:rPr>
                <w:rFonts w:eastAsia="Times New Roman" w:cs="Times New Roman"/>
                <w:b/>
                <w:bCs/>
                <w:sz w:val="20"/>
                <w:szCs w:val="20"/>
                <w:lang w:eastAsia="sk-SK"/>
              </w:rPr>
            </w:pPr>
            <w:r w:rsidRPr="001205D5">
              <w:rPr>
                <w:rFonts w:eastAsia="Times New Roman" w:cs="Times New Roman"/>
                <w:b/>
                <w:bCs/>
                <w:sz w:val="20"/>
                <w:szCs w:val="20"/>
                <w:lang w:eastAsia="sk-SK"/>
              </w:rPr>
              <w:t>v tis. eur</w:t>
            </w:r>
          </w:p>
        </w:tc>
        <w:tc>
          <w:tcPr>
            <w:tcW w:w="990" w:type="dxa"/>
            <w:tcBorders>
              <w:top w:val="single" w:sz="4" w:space="0" w:color="auto"/>
              <w:left w:val="nil"/>
              <w:bottom w:val="nil"/>
              <w:right w:val="nil"/>
            </w:tcBorders>
            <w:shd w:val="clear" w:color="auto" w:fill="auto"/>
            <w:vAlign w:val="center"/>
            <w:hideMark/>
          </w:tcPr>
          <w:p w14:paraId="070BD0D3" w14:textId="77777777" w:rsidR="004C3312" w:rsidRPr="001205D5" w:rsidRDefault="004C3312" w:rsidP="004C3312">
            <w:pPr>
              <w:spacing w:after="0" w:line="240" w:lineRule="auto"/>
              <w:jc w:val="center"/>
              <w:rPr>
                <w:rFonts w:eastAsia="Times New Roman" w:cs="Times New Roman"/>
                <w:b/>
                <w:bCs/>
                <w:sz w:val="20"/>
                <w:szCs w:val="20"/>
                <w:lang w:eastAsia="sk-SK"/>
              </w:rPr>
            </w:pPr>
            <w:r>
              <w:rPr>
                <w:rFonts w:eastAsia="Times New Roman" w:cs="Times New Roman"/>
                <w:b/>
                <w:bCs/>
                <w:sz w:val="20"/>
                <w:szCs w:val="20"/>
                <w:lang w:eastAsia="sk-SK"/>
              </w:rPr>
              <w:t>2020</w:t>
            </w:r>
            <w:r w:rsidRPr="001205D5">
              <w:rPr>
                <w:rFonts w:eastAsia="Times New Roman" w:cs="Times New Roman"/>
                <w:b/>
                <w:bCs/>
                <w:sz w:val="20"/>
                <w:szCs w:val="20"/>
                <w:lang w:eastAsia="sk-SK"/>
              </w:rPr>
              <w:t xml:space="preserve"> S</w:t>
            </w:r>
          </w:p>
        </w:tc>
        <w:tc>
          <w:tcPr>
            <w:tcW w:w="990" w:type="dxa"/>
            <w:tcBorders>
              <w:top w:val="single" w:sz="4" w:space="0" w:color="auto"/>
              <w:left w:val="nil"/>
              <w:bottom w:val="nil"/>
              <w:right w:val="nil"/>
            </w:tcBorders>
            <w:shd w:val="clear" w:color="auto" w:fill="auto"/>
            <w:vAlign w:val="center"/>
            <w:hideMark/>
          </w:tcPr>
          <w:p w14:paraId="6B56E4F9" w14:textId="77777777" w:rsidR="004C3312" w:rsidRPr="001205D5" w:rsidRDefault="004C3312" w:rsidP="004C3312">
            <w:pPr>
              <w:spacing w:after="0" w:line="240" w:lineRule="auto"/>
              <w:jc w:val="center"/>
              <w:rPr>
                <w:rFonts w:eastAsia="Times New Roman" w:cs="Times New Roman"/>
                <w:b/>
                <w:bCs/>
                <w:sz w:val="20"/>
                <w:szCs w:val="20"/>
                <w:lang w:eastAsia="sk-SK"/>
              </w:rPr>
            </w:pPr>
            <w:r>
              <w:rPr>
                <w:rFonts w:eastAsia="Times New Roman" w:cs="Times New Roman"/>
                <w:b/>
                <w:bCs/>
                <w:sz w:val="20"/>
                <w:szCs w:val="20"/>
                <w:lang w:eastAsia="sk-SK"/>
              </w:rPr>
              <w:t>2021</w:t>
            </w:r>
            <w:r w:rsidRPr="001205D5">
              <w:rPr>
                <w:rFonts w:eastAsia="Times New Roman" w:cs="Times New Roman"/>
                <w:b/>
                <w:bCs/>
                <w:sz w:val="20"/>
                <w:szCs w:val="20"/>
                <w:lang w:eastAsia="sk-SK"/>
              </w:rPr>
              <w:t xml:space="preserve"> S</w:t>
            </w:r>
          </w:p>
        </w:tc>
        <w:tc>
          <w:tcPr>
            <w:tcW w:w="990" w:type="dxa"/>
            <w:tcBorders>
              <w:top w:val="single" w:sz="4" w:space="0" w:color="auto"/>
              <w:left w:val="nil"/>
              <w:bottom w:val="nil"/>
              <w:right w:val="nil"/>
            </w:tcBorders>
            <w:shd w:val="clear" w:color="auto" w:fill="auto"/>
            <w:vAlign w:val="center"/>
            <w:hideMark/>
          </w:tcPr>
          <w:p w14:paraId="7F9B18BE" w14:textId="77777777" w:rsidR="004C3312" w:rsidRPr="001205D5" w:rsidRDefault="004C3312" w:rsidP="004C3312">
            <w:pPr>
              <w:spacing w:after="0" w:line="240" w:lineRule="auto"/>
              <w:jc w:val="center"/>
              <w:rPr>
                <w:rFonts w:eastAsia="Times New Roman" w:cs="Times New Roman"/>
                <w:b/>
                <w:bCs/>
                <w:sz w:val="20"/>
                <w:szCs w:val="20"/>
                <w:lang w:eastAsia="sk-SK"/>
              </w:rPr>
            </w:pPr>
            <w:r>
              <w:rPr>
                <w:rFonts w:eastAsia="Times New Roman" w:cs="Times New Roman"/>
                <w:b/>
                <w:bCs/>
                <w:sz w:val="20"/>
                <w:szCs w:val="20"/>
                <w:lang w:eastAsia="sk-SK"/>
              </w:rPr>
              <w:t>2022</w:t>
            </w:r>
            <w:r w:rsidRPr="001205D5">
              <w:rPr>
                <w:rFonts w:eastAsia="Times New Roman" w:cs="Times New Roman"/>
                <w:b/>
                <w:bCs/>
                <w:sz w:val="20"/>
                <w:szCs w:val="20"/>
                <w:lang w:eastAsia="sk-SK"/>
              </w:rPr>
              <w:t xml:space="preserve"> R</w:t>
            </w:r>
          </w:p>
        </w:tc>
        <w:tc>
          <w:tcPr>
            <w:tcW w:w="990" w:type="dxa"/>
            <w:tcBorders>
              <w:top w:val="single" w:sz="4" w:space="0" w:color="auto"/>
              <w:left w:val="nil"/>
              <w:bottom w:val="nil"/>
              <w:right w:val="nil"/>
            </w:tcBorders>
            <w:shd w:val="clear" w:color="auto" w:fill="auto"/>
            <w:vAlign w:val="center"/>
            <w:hideMark/>
          </w:tcPr>
          <w:p w14:paraId="7C112DA0" w14:textId="77777777" w:rsidR="004C3312" w:rsidRPr="001205D5" w:rsidRDefault="004C3312" w:rsidP="004C3312">
            <w:pPr>
              <w:spacing w:after="0" w:line="240" w:lineRule="auto"/>
              <w:jc w:val="center"/>
              <w:rPr>
                <w:rFonts w:eastAsia="Times New Roman" w:cs="Times New Roman"/>
                <w:b/>
                <w:bCs/>
                <w:sz w:val="20"/>
                <w:szCs w:val="20"/>
                <w:lang w:eastAsia="sk-SK"/>
              </w:rPr>
            </w:pPr>
            <w:r>
              <w:rPr>
                <w:rFonts w:eastAsia="Times New Roman" w:cs="Times New Roman"/>
                <w:b/>
                <w:bCs/>
                <w:sz w:val="20"/>
                <w:szCs w:val="20"/>
                <w:lang w:eastAsia="sk-SK"/>
              </w:rPr>
              <w:t>2022</w:t>
            </w:r>
            <w:r w:rsidRPr="001205D5">
              <w:rPr>
                <w:rFonts w:eastAsia="Times New Roman" w:cs="Times New Roman"/>
                <w:b/>
                <w:bCs/>
                <w:sz w:val="20"/>
                <w:szCs w:val="20"/>
                <w:lang w:eastAsia="sk-SK"/>
              </w:rPr>
              <w:t xml:space="preserve"> S</w:t>
            </w:r>
          </w:p>
        </w:tc>
        <w:tc>
          <w:tcPr>
            <w:tcW w:w="1173" w:type="dxa"/>
            <w:tcBorders>
              <w:top w:val="single" w:sz="4" w:space="0" w:color="auto"/>
              <w:left w:val="nil"/>
              <w:bottom w:val="nil"/>
              <w:right w:val="nil"/>
            </w:tcBorders>
            <w:shd w:val="clear" w:color="auto" w:fill="auto"/>
            <w:vAlign w:val="center"/>
            <w:hideMark/>
          </w:tcPr>
          <w:p w14:paraId="3A105607" w14:textId="77777777" w:rsidR="004C3312" w:rsidRPr="001205D5" w:rsidRDefault="004C3312" w:rsidP="004C3312">
            <w:pPr>
              <w:spacing w:after="0" w:line="240" w:lineRule="auto"/>
              <w:jc w:val="center"/>
              <w:rPr>
                <w:rFonts w:eastAsia="Times New Roman" w:cs="Times New Roman"/>
                <w:b/>
                <w:bCs/>
                <w:sz w:val="20"/>
                <w:szCs w:val="20"/>
                <w:lang w:eastAsia="sk-SK"/>
              </w:rPr>
            </w:pPr>
            <w:r w:rsidRPr="001205D5">
              <w:rPr>
                <w:rFonts w:eastAsia="Times New Roman" w:cs="Times New Roman"/>
                <w:b/>
                <w:bCs/>
                <w:sz w:val="20"/>
                <w:szCs w:val="20"/>
                <w:lang w:eastAsia="sk-SK"/>
              </w:rPr>
              <w:t>Rozdiel</w:t>
            </w:r>
          </w:p>
        </w:tc>
        <w:tc>
          <w:tcPr>
            <w:tcW w:w="919" w:type="dxa"/>
            <w:tcBorders>
              <w:top w:val="single" w:sz="4" w:space="0" w:color="auto"/>
              <w:left w:val="nil"/>
              <w:bottom w:val="nil"/>
              <w:right w:val="nil"/>
            </w:tcBorders>
            <w:shd w:val="clear" w:color="auto" w:fill="auto"/>
            <w:vAlign w:val="center"/>
            <w:hideMark/>
          </w:tcPr>
          <w:p w14:paraId="1FC10A9C" w14:textId="77777777" w:rsidR="004C3312" w:rsidRPr="001205D5" w:rsidRDefault="004C3312" w:rsidP="004C3312">
            <w:pPr>
              <w:spacing w:after="0" w:line="240" w:lineRule="auto"/>
              <w:jc w:val="center"/>
              <w:rPr>
                <w:rFonts w:eastAsia="Times New Roman" w:cs="Times New Roman"/>
                <w:b/>
                <w:bCs/>
                <w:sz w:val="20"/>
                <w:szCs w:val="20"/>
                <w:lang w:eastAsia="sk-SK"/>
              </w:rPr>
            </w:pPr>
            <w:r w:rsidRPr="001205D5">
              <w:rPr>
                <w:rFonts w:eastAsia="Times New Roman" w:cs="Times New Roman"/>
                <w:b/>
                <w:bCs/>
                <w:sz w:val="20"/>
                <w:szCs w:val="20"/>
                <w:lang w:eastAsia="sk-SK"/>
              </w:rPr>
              <w:t>v %</w:t>
            </w:r>
          </w:p>
        </w:tc>
      </w:tr>
      <w:tr w:rsidR="004C3312" w:rsidRPr="001205D5" w14:paraId="3C903024" w14:textId="77777777" w:rsidTr="00F82A99">
        <w:trPr>
          <w:trHeight w:val="288"/>
        </w:trPr>
        <w:tc>
          <w:tcPr>
            <w:tcW w:w="3402" w:type="dxa"/>
            <w:vMerge/>
            <w:tcBorders>
              <w:left w:val="nil"/>
              <w:bottom w:val="single" w:sz="4" w:space="0" w:color="auto"/>
              <w:right w:val="nil"/>
            </w:tcBorders>
            <w:shd w:val="clear" w:color="auto" w:fill="auto"/>
            <w:vAlign w:val="center"/>
            <w:hideMark/>
          </w:tcPr>
          <w:p w14:paraId="3CD62D6E" w14:textId="77777777" w:rsidR="004C3312" w:rsidRPr="001205D5" w:rsidRDefault="004C3312" w:rsidP="004C3312">
            <w:pPr>
              <w:spacing w:after="0" w:line="240" w:lineRule="auto"/>
              <w:jc w:val="left"/>
              <w:rPr>
                <w:rFonts w:eastAsia="Times New Roman" w:cs="Times New Roman"/>
                <w:b/>
                <w:bCs/>
                <w:sz w:val="20"/>
                <w:szCs w:val="20"/>
                <w:lang w:eastAsia="sk-SK"/>
              </w:rPr>
            </w:pPr>
          </w:p>
        </w:tc>
        <w:tc>
          <w:tcPr>
            <w:tcW w:w="990" w:type="dxa"/>
            <w:tcBorders>
              <w:top w:val="nil"/>
              <w:left w:val="nil"/>
              <w:bottom w:val="single" w:sz="4" w:space="0" w:color="auto"/>
              <w:right w:val="nil"/>
            </w:tcBorders>
            <w:shd w:val="clear" w:color="auto" w:fill="auto"/>
            <w:vAlign w:val="center"/>
            <w:hideMark/>
          </w:tcPr>
          <w:p w14:paraId="7F99BBC2" w14:textId="77777777" w:rsidR="004C3312" w:rsidRPr="001205D5" w:rsidRDefault="004C3312" w:rsidP="004C3312">
            <w:pPr>
              <w:spacing w:after="0" w:line="240" w:lineRule="auto"/>
              <w:jc w:val="center"/>
              <w:rPr>
                <w:rFonts w:eastAsia="Times New Roman" w:cs="Times New Roman"/>
                <w:b/>
                <w:bCs/>
                <w:sz w:val="20"/>
                <w:szCs w:val="20"/>
                <w:lang w:eastAsia="sk-SK"/>
              </w:rPr>
            </w:pPr>
            <w:r w:rsidRPr="001205D5">
              <w:rPr>
                <w:rFonts w:eastAsia="Times New Roman" w:cs="Times New Roman"/>
                <w:b/>
                <w:bCs/>
                <w:sz w:val="20"/>
                <w:szCs w:val="20"/>
                <w:lang w:eastAsia="sk-SK"/>
              </w:rPr>
              <w:t>1</w:t>
            </w:r>
          </w:p>
        </w:tc>
        <w:tc>
          <w:tcPr>
            <w:tcW w:w="990" w:type="dxa"/>
            <w:tcBorders>
              <w:top w:val="nil"/>
              <w:left w:val="nil"/>
              <w:bottom w:val="single" w:sz="4" w:space="0" w:color="auto"/>
              <w:right w:val="nil"/>
            </w:tcBorders>
            <w:shd w:val="clear" w:color="auto" w:fill="auto"/>
            <w:vAlign w:val="center"/>
            <w:hideMark/>
          </w:tcPr>
          <w:p w14:paraId="47C509C5" w14:textId="77777777" w:rsidR="004C3312" w:rsidRPr="001205D5" w:rsidRDefault="004C3312" w:rsidP="004C3312">
            <w:pPr>
              <w:spacing w:after="0" w:line="240" w:lineRule="auto"/>
              <w:jc w:val="center"/>
              <w:rPr>
                <w:rFonts w:eastAsia="Times New Roman" w:cs="Times New Roman"/>
                <w:b/>
                <w:bCs/>
                <w:sz w:val="20"/>
                <w:szCs w:val="20"/>
                <w:lang w:eastAsia="sk-SK"/>
              </w:rPr>
            </w:pPr>
            <w:r w:rsidRPr="001205D5">
              <w:rPr>
                <w:rFonts w:eastAsia="Times New Roman" w:cs="Times New Roman"/>
                <w:b/>
                <w:bCs/>
                <w:sz w:val="20"/>
                <w:szCs w:val="20"/>
                <w:lang w:eastAsia="sk-SK"/>
              </w:rPr>
              <w:t>2</w:t>
            </w:r>
          </w:p>
        </w:tc>
        <w:tc>
          <w:tcPr>
            <w:tcW w:w="990" w:type="dxa"/>
            <w:tcBorders>
              <w:top w:val="nil"/>
              <w:left w:val="nil"/>
              <w:bottom w:val="single" w:sz="4" w:space="0" w:color="auto"/>
              <w:right w:val="nil"/>
            </w:tcBorders>
            <w:shd w:val="clear" w:color="auto" w:fill="auto"/>
            <w:vAlign w:val="center"/>
            <w:hideMark/>
          </w:tcPr>
          <w:p w14:paraId="6D14B3FD" w14:textId="77777777" w:rsidR="004C3312" w:rsidRPr="001205D5" w:rsidRDefault="004C3312" w:rsidP="004C3312">
            <w:pPr>
              <w:spacing w:after="0" w:line="240" w:lineRule="auto"/>
              <w:jc w:val="center"/>
              <w:rPr>
                <w:rFonts w:eastAsia="Times New Roman" w:cs="Times New Roman"/>
                <w:b/>
                <w:bCs/>
                <w:sz w:val="20"/>
                <w:szCs w:val="20"/>
                <w:lang w:eastAsia="sk-SK"/>
              </w:rPr>
            </w:pPr>
            <w:r w:rsidRPr="001205D5">
              <w:rPr>
                <w:rFonts w:eastAsia="Times New Roman" w:cs="Times New Roman"/>
                <w:b/>
                <w:bCs/>
                <w:sz w:val="20"/>
                <w:szCs w:val="20"/>
                <w:lang w:eastAsia="sk-SK"/>
              </w:rPr>
              <w:t>3</w:t>
            </w:r>
          </w:p>
        </w:tc>
        <w:tc>
          <w:tcPr>
            <w:tcW w:w="990" w:type="dxa"/>
            <w:tcBorders>
              <w:top w:val="nil"/>
              <w:left w:val="nil"/>
              <w:bottom w:val="single" w:sz="4" w:space="0" w:color="auto"/>
              <w:right w:val="nil"/>
            </w:tcBorders>
            <w:shd w:val="clear" w:color="auto" w:fill="auto"/>
            <w:vAlign w:val="center"/>
            <w:hideMark/>
          </w:tcPr>
          <w:p w14:paraId="4E49E08E" w14:textId="77777777" w:rsidR="004C3312" w:rsidRPr="001205D5" w:rsidRDefault="004C3312" w:rsidP="004C3312">
            <w:pPr>
              <w:spacing w:after="0" w:line="240" w:lineRule="auto"/>
              <w:jc w:val="center"/>
              <w:rPr>
                <w:rFonts w:eastAsia="Times New Roman" w:cs="Times New Roman"/>
                <w:b/>
                <w:bCs/>
                <w:sz w:val="20"/>
                <w:szCs w:val="20"/>
                <w:lang w:eastAsia="sk-SK"/>
              </w:rPr>
            </w:pPr>
            <w:r w:rsidRPr="001205D5">
              <w:rPr>
                <w:rFonts w:eastAsia="Times New Roman" w:cs="Times New Roman"/>
                <w:b/>
                <w:bCs/>
                <w:sz w:val="20"/>
                <w:szCs w:val="20"/>
                <w:lang w:eastAsia="sk-SK"/>
              </w:rPr>
              <w:t>4</w:t>
            </w:r>
          </w:p>
        </w:tc>
        <w:tc>
          <w:tcPr>
            <w:tcW w:w="1173" w:type="dxa"/>
            <w:tcBorders>
              <w:top w:val="nil"/>
              <w:left w:val="nil"/>
              <w:bottom w:val="single" w:sz="4" w:space="0" w:color="auto"/>
              <w:right w:val="nil"/>
            </w:tcBorders>
            <w:shd w:val="clear" w:color="auto" w:fill="auto"/>
            <w:vAlign w:val="center"/>
            <w:hideMark/>
          </w:tcPr>
          <w:p w14:paraId="033873F1" w14:textId="77777777" w:rsidR="004C3312" w:rsidRPr="001205D5" w:rsidRDefault="004C3312" w:rsidP="004C3312">
            <w:pPr>
              <w:spacing w:after="0" w:line="240" w:lineRule="auto"/>
              <w:jc w:val="center"/>
              <w:rPr>
                <w:rFonts w:eastAsia="Times New Roman" w:cs="Times New Roman"/>
                <w:b/>
                <w:bCs/>
                <w:sz w:val="20"/>
                <w:szCs w:val="20"/>
                <w:lang w:eastAsia="sk-SK"/>
              </w:rPr>
            </w:pPr>
            <w:r w:rsidRPr="001205D5">
              <w:rPr>
                <w:rFonts w:eastAsia="Times New Roman" w:cs="Times New Roman"/>
                <w:b/>
                <w:bCs/>
                <w:sz w:val="20"/>
                <w:szCs w:val="20"/>
                <w:lang w:eastAsia="sk-SK"/>
              </w:rPr>
              <w:t>5=4-3</w:t>
            </w:r>
          </w:p>
        </w:tc>
        <w:tc>
          <w:tcPr>
            <w:tcW w:w="919" w:type="dxa"/>
            <w:tcBorders>
              <w:top w:val="nil"/>
              <w:left w:val="nil"/>
              <w:bottom w:val="single" w:sz="4" w:space="0" w:color="auto"/>
              <w:right w:val="nil"/>
            </w:tcBorders>
            <w:shd w:val="clear" w:color="auto" w:fill="auto"/>
            <w:vAlign w:val="center"/>
            <w:hideMark/>
          </w:tcPr>
          <w:p w14:paraId="27C49B8D" w14:textId="77777777" w:rsidR="004C3312" w:rsidRPr="001205D5" w:rsidRDefault="004C3312" w:rsidP="004C3312">
            <w:pPr>
              <w:spacing w:after="0" w:line="240" w:lineRule="auto"/>
              <w:jc w:val="center"/>
              <w:rPr>
                <w:rFonts w:eastAsia="Times New Roman" w:cs="Times New Roman"/>
                <w:b/>
                <w:bCs/>
                <w:sz w:val="20"/>
                <w:szCs w:val="20"/>
                <w:lang w:eastAsia="sk-SK"/>
              </w:rPr>
            </w:pPr>
            <w:r w:rsidRPr="001205D5">
              <w:rPr>
                <w:rFonts w:eastAsia="Times New Roman" w:cs="Times New Roman"/>
                <w:b/>
                <w:bCs/>
                <w:sz w:val="20"/>
                <w:szCs w:val="20"/>
                <w:lang w:eastAsia="sk-SK"/>
              </w:rPr>
              <w:t>6=4-3</w:t>
            </w:r>
          </w:p>
        </w:tc>
      </w:tr>
      <w:tr w:rsidR="004C3312" w:rsidRPr="00DB50F6" w14:paraId="7BF6E81C" w14:textId="77777777" w:rsidTr="00F82A99">
        <w:trPr>
          <w:trHeight w:val="288"/>
        </w:trPr>
        <w:tc>
          <w:tcPr>
            <w:tcW w:w="3402" w:type="dxa"/>
            <w:tcBorders>
              <w:top w:val="nil"/>
              <w:left w:val="nil"/>
              <w:bottom w:val="nil"/>
              <w:right w:val="nil"/>
            </w:tcBorders>
            <w:shd w:val="clear" w:color="000000" w:fill="FFFFFF"/>
            <w:noWrap/>
            <w:vAlign w:val="center"/>
            <w:hideMark/>
          </w:tcPr>
          <w:p w14:paraId="02939D3D" w14:textId="77777777" w:rsidR="004C3312" w:rsidRPr="001205D5" w:rsidRDefault="004C3312" w:rsidP="004C3312">
            <w:pPr>
              <w:spacing w:after="0" w:line="240" w:lineRule="auto"/>
              <w:rPr>
                <w:rFonts w:eastAsia="Times New Roman" w:cs="Times New Roman"/>
                <w:b/>
                <w:bCs/>
                <w:color w:val="000000"/>
                <w:sz w:val="20"/>
                <w:szCs w:val="20"/>
                <w:lang w:eastAsia="sk-SK"/>
              </w:rPr>
            </w:pPr>
            <w:r w:rsidRPr="001205D5">
              <w:rPr>
                <w:rFonts w:eastAsia="Times New Roman" w:cs="Times New Roman"/>
                <w:b/>
                <w:bCs/>
                <w:color w:val="000000"/>
                <w:sz w:val="20"/>
                <w:szCs w:val="20"/>
                <w:lang w:eastAsia="sk-SK"/>
              </w:rPr>
              <w:t>Tuzemské granty a transfery</w:t>
            </w:r>
          </w:p>
        </w:tc>
        <w:tc>
          <w:tcPr>
            <w:tcW w:w="990" w:type="dxa"/>
            <w:tcBorders>
              <w:top w:val="nil"/>
              <w:left w:val="nil"/>
              <w:bottom w:val="nil"/>
              <w:right w:val="nil"/>
            </w:tcBorders>
            <w:shd w:val="clear" w:color="000000" w:fill="FFFFFF"/>
            <w:noWrap/>
            <w:vAlign w:val="center"/>
            <w:hideMark/>
          </w:tcPr>
          <w:p w14:paraId="7403DD90" w14:textId="77777777" w:rsidR="004C3312" w:rsidRPr="00661469" w:rsidRDefault="004C3312" w:rsidP="004C3312">
            <w:pPr>
              <w:spacing w:after="0" w:line="240" w:lineRule="auto"/>
              <w:jc w:val="right"/>
              <w:rPr>
                <w:rFonts w:eastAsia="Times New Roman" w:cs="Times New Roman"/>
                <w:color w:val="000000"/>
                <w:sz w:val="20"/>
                <w:szCs w:val="20"/>
                <w:lang w:eastAsia="sk-SK"/>
              </w:rPr>
            </w:pPr>
            <w:r w:rsidRPr="00661469">
              <w:rPr>
                <w:rFonts w:eastAsia="Times New Roman" w:cs="Times New Roman"/>
                <w:color w:val="000000"/>
                <w:sz w:val="20"/>
                <w:szCs w:val="20"/>
                <w:lang w:eastAsia="sk-SK"/>
              </w:rPr>
              <w:t>37 226</w:t>
            </w:r>
          </w:p>
        </w:tc>
        <w:tc>
          <w:tcPr>
            <w:tcW w:w="990" w:type="dxa"/>
            <w:tcBorders>
              <w:top w:val="nil"/>
              <w:left w:val="nil"/>
              <w:bottom w:val="nil"/>
              <w:right w:val="nil"/>
            </w:tcBorders>
            <w:shd w:val="clear" w:color="auto" w:fill="auto"/>
            <w:noWrap/>
            <w:vAlign w:val="center"/>
            <w:hideMark/>
          </w:tcPr>
          <w:p w14:paraId="5357C431" w14:textId="77777777" w:rsidR="004C3312" w:rsidRPr="00661469" w:rsidRDefault="004C3312" w:rsidP="004C3312">
            <w:pPr>
              <w:spacing w:after="0" w:line="240" w:lineRule="auto"/>
              <w:jc w:val="right"/>
              <w:rPr>
                <w:rFonts w:eastAsia="Times New Roman" w:cs="Times New Roman"/>
                <w:color w:val="000000"/>
                <w:sz w:val="20"/>
                <w:szCs w:val="20"/>
                <w:lang w:eastAsia="sk-SK"/>
              </w:rPr>
            </w:pPr>
            <w:r w:rsidRPr="00661469">
              <w:rPr>
                <w:rFonts w:eastAsia="Times New Roman" w:cs="Times New Roman"/>
                <w:color w:val="000000"/>
                <w:sz w:val="20"/>
                <w:szCs w:val="20"/>
                <w:lang w:eastAsia="sk-SK"/>
              </w:rPr>
              <w:t>38 947</w:t>
            </w:r>
          </w:p>
        </w:tc>
        <w:tc>
          <w:tcPr>
            <w:tcW w:w="990" w:type="dxa"/>
            <w:tcBorders>
              <w:top w:val="nil"/>
              <w:left w:val="nil"/>
              <w:bottom w:val="nil"/>
              <w:right w:val="nil"/>
            </w:tcBorders>
            <w:shd w:val="clear" w:color="000000" w:fill="FFFFFF"/>
            <w:noWrap/>
            <w:vAlign w:val="center"/>
            <w:hideMark/>
          </w:tcPr>
          <w:p w14:paraId="690E6557"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41 25</w:t>
            </w:r>
            <w:r w:rsidRPr="00BB3707">
              <w:rPr>
                <w:rFonts w:eastAsia="Times New Roman" w:cs="Times New Roman"/>
                <w:color w:val="000000"/>
                <w:sz w:val="20"/>
                <w:szCs w:val="20"/>
                <w:lang w:eastAsia="sk-SK"/>
              </w:rPr>
              <w:t>4</w:t>
            </w:r>
          </w:p>
        </w:tc>
        <w:tc>
          <w:tcPr>
            <w:tcW w:w="990" w:type="dxa"/>
            <w:tcBorders>
              <w:top w:val="nil"/>
              <w:left w:val="nil"/>
              <w:bottom w:val="nil"/>
              <w:right w:val="nil"/>
            </w:tcBorders>
            <w:shd w:val="clear" w:color="auto" w:fill="auto"/>
            <w:noWrap/>
            <w:vAlign w:val="center"/>
            <w:hideMark/>
          </w:tcPr>
          <w:p w14:paraId="685296C4"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39 875</w:t>
            </w:r>
          </w:p>
        </w:tc>
        <w:tc>
          <w:tcPr>
            <w:tcW w:w="1173" w:type="dxa"/>
            <w:tcBorders>
              <w:top w:val="nil"/>
              <w:left w:val="nil"/>
              <w:bottom w:val="nil"/>
              <w:right w:val="nil"/>
            </w:tcBorders>
            <w:shd w:val="clear" w:color="000000" w:fill="FFFFFF"/>
            <w:vAlign w:val="center"/>
            <w:hideMark/>
          </w:tcPr>
          <w:p w14:paraId="436EC714"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-1 379</w:t>
            </w:r>
          </w:p>
        </w:tc>
        <w:tc>
          <w:tcPr>
            <w:tcW w:w="919" w:type="dxa"/>
            <w:tcBorders>
              <w:top w:val="nil"/>
              <w:left w:val="nil"/>
              <w:bottom w:val="nil"/>
              <w:right w:val="nil"/>
            </w:tcBorders>
            <w:shd w:val="clear" w:color="000000" w:fill="FFFFFF"/>
            <w:vAlign w:val="center"/>
            <w:hideMark/>
          </w:tcPr>
          <w:p w14:paraId="0BD816FF"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sidRPr="00DB50F6">
              <w:rPr>
                <w:rFonts w:eastAsia="Times New Roman" w:cs="Times New Roman"/>
                <w:color w:val="000000"/>
                <w:sz w:val="20"/>
                <w:szCs w:val="20"/>
                <w:lang w:eastAsia="sk-SK"/>
              </w:rPr>
              <w:t>-3,34</w:t>
            </w:r>
          </w:p>
        </w:tc>
      </w:tr>
      <w:tr w:rsidR="004C3312" w:rsidRPr="00DB50F6" w14:paraId="6369B6F8" w14:textId="77777777" w:rsidTr="00F82A99">
        <w:trPr>
          <w:trHeight w:val="288"/>
        </w:trPr>
        <w:tc>
          <w:tcPr>
            <w:tcW w:w="3402" w:type="dxa"/>
            <w:tcBorders>
              <w:top w:val="nil"/>
              <w:left w:val="nil"/>
              <w:bottom w:val="nil"/>
              <w:right w:val="nil"/>
            </w:tcBorders>
            <w:shd w:val="clear" w:color="000000" w:fill="FFFFFF"/>
            <w:noWrap/>
            <w:vAlign w:val="center"/>
            <w:hideMark/>
          </w:tcPr>
          <w:p w14:paraId="4A337235" w14:textId="77777777" w:rsidR="004C3312" w:rsidRPr="001205D5" w:rsidRDefault="004C3312" w:rsidP="004C3312">
            <w:pPr>
              <w:spacing w:after="0" w:line="240" w:lineRule="auto"/>
              <w:rPr>
                <w:rFonts w:eastAsia="Times New Roman" w:cs="Times New Roman"/>
                <w:color w:val="000000"/>
                <w:sz w:val="20"/>
                <w:szCs w:val="20"/>
                <w:lang w:eastAsia="sk-SK"/>
              </w:rPr>
            </w:pPr>
            <w:r w:rsidRPr="001205D5">
              <w:rPr>
                <w:rFonts w:eastAsia="Times New Roman" w:cs="Times New Roman"/>
                <w:color w:val="000000"/>
                <w:sz w:val="20"/>
                <w:szCs w:val="20"/>
                <w:lang w:eastAsia="sk-SK"/>
              </w:rPr>
              <w:t>Transfery v rámci verejnej správy</w:t>
            </w:r>
          </w:p>
        </w:tc>
        <w:tc>
          <w:tcPr>
            <w:tcW w:w="990" w:type="dxa"/>
            <w:tcBorders>
              <w:top w:val="nil"/>
              <w:left w:val="nil"/>
              <w:bottom w:val="nil"/>
              <w:right w:val="nil"/>
            </w:tcBorders>
            <w:shd w:val="clear" w:color="000000" w:fill="FFFFFF"/>
            <w:noWrap/>
            <w:vAlign w:val="center"/>
            <w:hideMark/>
          </w:tcPr>
          <w:p w14:paraId="32B134CB" w14:textId="77777777" w:rsidR="004C3312" w:rsidRPr="00661469" w:rsidRDefault="004C3312" w:rsidP="004C3312">
            <w:pPr>
              <w:spacing w:after="0" w:line="240" w:lineRule="auto"/>
              <w:jc w:val="right"/>
              <w:rPr>
                <w:rFonts w:eastAsia="Times New Roman" w:cs="Times New Roman"/>
                <w:color w:val="000000"/>
                <w:sz w:val="20"/>
                <w:szCs w:val="20"/>
                <w:lang w:eastAsia="sk-SK"/>
              </w:rPr>
            </w:pPr>
            <w:r w:rsidRPr="00661469">
              <w:rPr>
                <w:rFonts w:eastAsia="Times New Roman" w:cs="Times New Roman"/>
                <w:color w:val="000000"/>
                <w:sz w:val="20"/>
                <w:szCs w:val="20"/>
                <w:lang w:eastAsia="sk-SK"/>
              </w:rPr>
              <w:t>37 226</w:t>
            </w:r>
          </w:p>
        </w:tc>
        <w:tc>
          <w:tcPr>
            <w:tcW w:w="990" w:type="dxa"/>
            <w:tcBorders>
              <w:top w:val="nil"/>
              <w:left w:val="nil"/>
              <w:bottom w:val="nil"/>
              <w:right w:val="nil"/>
            </w:tcBorders>
            <w:shd w:val="clear" w:color="auto" w:fill="auto"/>
            <w:noWrap/>
            <w:vAlign w:val="center"/>
            <w:hideMark/>
          </w:tcPr>
          <w:p w14:paraId="53432BE8" w14:textId="77777777" w:rsidR="004C3312" w:rsidRPr="00661469" w:rsidRDefault="004C3312" w:rsidP="004C3312">
            <w:pPr>
              <w:spacing w:after="0" w:line="240" w:lineRule="auto"/>
              <w:jc w:val="right"/>
              <w:rPr>
                <w:rFonts w:eastAsia="Times New Roman" w:cs="Times New Roman"/>
                <w:color w:val="000000"/>
                <w:sz w:val="20"/>
                <w:szCs w:val="20"/>
                <w:lang w:eastAsia="sk-SK"/>
              </w:rPr>
            </w:pPr>
            <w:r w:rsidRPr="00661469">
              <w:rPr>
                <w:rFonts w:eastAsia="Times New Roman" w:cs="Times New Roman"/>
                <w:color w:val="000000"/>
                <w:sz w:val="20"/>
                <w:szCs w:val="20"/>
                <w:lang w:eastAsia="sk-SK"/>
              </w:rPr>
              <w:t>38 947</w:t>
            </w:r>
          </w:p>
        </w:tc>
        <w:tc>
          <w:tcPr>
            <w:tcW w:w="990" w:type="dxa"/>
            <w:tcBorders>
              <w:top w:val="nil"/>
              <w:left w:val="nil"/>
              <w:bottom w:val="nil"/>
              <w:right w:val="nil"/>
            </w:tcBorders>
            <w:shd w:val="clear" w:color="000000" w:fill="FFFFFF"/>
            <w:noWrap/>
            <w:vAlign w:val="center"/>
            <w:hideMark/>
          </w:tcPr>
          <w:p w14:paraId="52F84D27"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41 254</w:t>
            </w:r>
          </w:p>
        </w:tc>
        <w:tc>
          <w:tcPr>
            <w:tcW w:w="990" w:type="dxa"/>
            <w:tcBorders>
              <w:top w:val="nil"/>
              <w:left w:val="nil"/>
              <w:bottom w:val="nil"/>
              <w:right w:val="nil"/>
            </w:tcBorders>
            <w:shd w:val="clear" w:color="auto" w:fill="auto"/>
            <w:noWrap/>
            <w:vAlign w:val="center"/>
            <w:hideMark/>
          </w:tcPr>
          <w:p w14:paraId="1AB4C443"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39 875</w:t>
            </w:r>
          </w:p>
        </w:tc>
        <w:tc>
          <w:tcPr>
            <w:tcW w:w="1173" w:type="dxa"/>
            <w:tcBorders>
              <w:top w:val="nil"/>
              <w:left w:val="nil"/>
              <w:bottom w:val="nil"/>
              <w:right w:val="nil"/>
            </w:tcBorders>
            <w:shd w:val="clear" w:color="000000" w:fill="FFFFFF"/>
            <w:vAlign w:val="center"/>
            <w:hideMark/>
          </w:tcPr>
          <w:p w14:paraId="23D9F1D1"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-1 379</w:t>
            </w:r>
          </w:p>
        </w:tc>
        <w:tc>
          <w:tcPr>
            <w:tcW w:w="919" w:type="dxa"/>
            <w:tcBorders>
              <w:top w:val="nil"/>
              <w:left w:val="nil"/>
              <w:bottom w:val="nil"/>
              <w:right w:val="nil"/>
            </w:tcBorders>
            <w:shd w:val="clear" w:color="000000" w:fill="FFFFFF"/>
            <w:vAlign w:val="center"/>
            <w:hideMark/>
          </w:tcPr>
          <w:p w14:paraId="7B1EB098"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sidRPr="00DB50F6">
              <w:rPr>
                <w:rFonts w:eastAsia="Times New Roman" w:cs="Times New Roman"/>
                <w:color w:val="000000"/>
                <w:sz w:val="20"/>
                <w:szCs w:val="20"/>
                <w:lang w:eastAsia="sk-SK"/>
              </w:rPr>
              <w:t>-3,34</w:t>
            </w:r>
          </w:p>
        </w:tc>
      </w:tr>
      <w:tr w:rsidR="004C3312" w:rsidRPr="00DB50F6" w14:paraId="2C9A73A7" w14:textId="77777777" w:rsidTr="00F82A99">
        <w:trPr>
          <w:trHeight w:val="288"/>
        </w:trPr>
        <w:tc>
          <w:tcPr>
            <w:tcW w:w="3402" w:type="dxa"/>
            <w:tcBorders>
              <w:top w:val="nil"/>
              <w:left w:val="nil"/>
              <w:bottom w:val="nil"/>
              <w:right w:val="nil"/>
            </w:tcBorders>
            <w:shd w:val="clear" w:color="000000" w:fill="FFFFFF"/>
            <w:noWrap/>
            <w:vAlign w:val="center"/>
            <w:hideMark/>
          </w:tcPr>
          <w:p w14:paraId="699D3CC1" w14:textId="77777777" w:rsidR="004C3312" w:rsidRPr="001205D5" w:rsidRDefault="004C3312" w:rsidP="004C3312">
            <w:pPr>
              <w:spacing w:after="0" w:line="240" w:lineRule="auto"/>
              <w:rPr>
                <w:rFonts w:eastAsia="Times New Roman" w:cs="Times New Roman"/>
                <w:color w:val="000000"/>
                <w:sz w:val="20"/>
                <w:szCs w:val="20"/>
                <w:lang w:eastAsia="sk-SK"/>
              </w:rPr>
            </w:pPr>
            <w:r w:rsidRPr="001205D5">
              <w:rPr>
                <w:rFonts w:eastAsia="Times New Roman" w:cs="Times New Roman"/>
                <w:color w:val="000000"/>
                <w:sz w:val="20"/>
                <w:szCs w:val="20"/>
                <w:lang w:eastAsia="sk-SK"/>
              </w:rPr>
              <w:t xml:space="preserve">   z toho:</w:t>
            </w:r>
          </w:p>
        </w:tc>
        <w:tc>
          <w:tcPr>
            <w:tcW w:w="990" w:type="dxa"/>
            <w:tcBorders>
              <w:top w:val="nil"/>
              <w:left w:val="nil"/>
              <w:bottom w:val="nil"/>
              <w:right w:val="nil"/>
            </w:tcBorders>
            <w:shd w:val="clear" w:color="000000" w:fill="FFFFFF"/>
            <w:noWrap/>
            <w:vAlign w:val="center"/>
            <w:hideMark/>
          </w:tcPr>
          <w:p w14:paraId="5030B132" w14:textId="77777777" w:rsidR="004C3312" w:rsidRPr="00661469" w:rsidRDefault="004C3312" w:rsidP="004C3312">
            <w:pPr>
              <w:spacing w:after="0" w:line="240" w:lineRule="auto"/>
              <w:jc w:val="right"/>
              <w:rPr>
                <w:rFonts w:eastAsia="Times New Roman" w:cs="Times New Roman"/>
                <w:color w:val="000000"/>
                <w:sz w:val="20"/>
                <w:szCs w:val="20"/>
                <w:lang w:eastAsia="sk-SK"/>
              </w:rPr>
            </w:pPr>
            <w:r w:rsidRPr="00661469">
              <w:rPr>
                <w:rFonts w:eastAsia="Times New Roman" w:cs="Times New Roman"/>
                <w:color w:val="000000"/>
                <w:sz w:val="20"/>
                <w:szCs w:val="20"/>
                <w:lang w:eastAsia="sk-SK"/>
              </w:rPr>
              <w:t> </w:t>
            </w:r>
          </w:p>
        </w:tc>
        <w:tc>
          <w:tcPr>
            <w:tcW w:w="990" w:type="dxa"/>
            <w:tcBorders>
              <w:top w:val="nil"/>
              <w:left w:val="nil"/>
              <w:bottom w:val="nil"/>
              <w:right w:val="nil"/>
            </w:tcBorders>
            <w:shd w:val="clear" w:color="auto" w:fill="auto"/>
            <w:noWrap/>
            <w:vAlign w:val="center"/>
            <w:hideMark/>
          </w:tcPr>
          <w:p w14:paraId="770AB961" w14:textId="77777777" w:rsidR="004C3312" w:rsidRPr="00661469" w:rsidRDefault="004C3312" w:rsidP="004C3312">
            <w:pPr>
              <w:spacing w:after="0" w:line="240" w:lineRule="auto"/>
              <w:jc w:val="right"/>
              <w:rPr>
                <w:rFonts w:eastAsia="Times New Roman" w:cs="Times New Roman"/>
                <w:color w:val="000000"/>
                <w:sz w:val="20"/>
                <w:szCs w:val="20"/>
                <w:lang w:eastAsia="sk-SK"/>
              </w:rPr>
            </w:pPr>
          </w:p>
        </w:tc>
        <w:tc>
          <w:tcPr>
            <w:tcW w:w="990" w:type="dxa"/>
            <w:tcBorders>
              <w:top w:val="nil"/>
              <w:left w:val="nil"/>
              <w:bottom w:val="nil"/>
              <w:right w:val="nil"/>
            </w:tcBorders>
            <w:shd w:val="clear" w:color="000000" w:fill="FFFFFF"/>
            <w:noWrap/>
            <w:vAlign w:val="center"/>
            <w:hideMark/>
          </w:tcPr>
          <w:p w14:paraId="7176C5DB"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 </w:t>
            </w:r>
          </w:p>
        </w:tc>
        <w:tc>
          <w:tcPr>
            <w:tcW w:w="990" w:type="dxa"/>
            <w:tcBorders>
              <w:top w:val="nil"/>
              <w:left w:val="nil"/>
              <w:bottom w:val="nil"/>
              <w:right w:val="nil"/>
            </w:tcBorders>
            <w:shd w:val="clear" w:color="auto" w:fill="auto"/>
            <w:noWrap/>
            <w:vAlign w:val="center"/>
            <w:hideMark/>
          </w:tcPr>
          <w:p w14:paraId="74915A11" w14:textId="77777777" w:rsidR="004C3312" w:rsidRPr="00214A1C" w:rsidRDefault="004C3312" w:rsidP="004C3312">
            <w:pPr>
              <w:spacing w:after="0" w:line="240" w:lineRule="auto"/>
              <w:jc w:val="right"/>
              <w:rPr>
                <w:rFonts w:eastAsia="Times New Roman" w:cs="Times New Roman"/>
                <w:color w:val="000000"/>
                <w:sz w:val="20"/>
                <w:szCs w:val="20"/>
                <w:highlight w:val="yellow"/>
                <w:lang w:eastAsia="sk-SK"/>
              </w:rPr>
            </w:pPr>
          </w:p>
        </w:tc>
        <w:tc>
          <w:tcPr>
            <w:tcW w:w="1173" w:type="dxa"/>
            <w:tcBorders>
              <w:top w:val="nil"/>
              <w:left w:val="nil"/>
              <w:bottom w:val="nil"/>
              <w:right w:val="nil"/>
            </w:tcBorders>
            <w:shd w:val="clear" w:color="000000" w:fill="FFFFFF"/>
            <w:vAlign w:val="center"/>
            <w:hideMark/>
          </w:tcPr>
          <w:p w14:paraId="07393398"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 </w:t>
            </w:r>
          </w:p>
        </w:tc>
        <w:tc>
          <w:tcPr>
            <w:tcW w:w="919" w:type="dxa"/>
            <w:tcBorders>
              <w:top w:val="nil"/>
              <w:left w:val="nil"/>
              <w:bottom w:val="nil"/>
              <w:right w:val="nil"/>
            </w:tcBorders>
            <w:shd w:val="clear" w:color="000000" w:fill="FFFFFF"/>
            <w:vAlign w:val="center"/>
            <w:hideMark/>
          </w:tcPr>
          <w:p w14:paraId="387CF39C"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sidRPr="00DB50F6">
              <w:rPr>
                <w:rFonts w:eastAsia="Times New Roman" w:cs="Times New Roman"/>
                <w:color w:val="000000"/>
                <w:sz w:val="20"/>
                <w:szCs w:val="20"/>
                <w:lang w:eastAsia="sk-SK"/>
              </w:rPr>
              <w:t> </w:t>
            </w:r>
          </w:p>
        </w:tc>
      </w:tr>
      <w:tr w:rsidR="004C3312" w:rsidRPr="00DB50F6" w14:paraId="2AD2D6C9" w14:textId="77777777" w:rsidTr="00F82A99">
        <w:trPr>
          <w:trHeight w:val="564"/>
        </w:trPr>
        <w:tc>
          <w:tcPr>
            <w:tcW w:w="3402" w:type="dxa"/>
            <w:tcBorders>
              <w:top w:val="nil"/>
              <w:left w:val="nil"/>
              <w:bottom w:val="nil"/>
              <w:right w:val="nil"/>
            </w:tcBorders>
            <w:shd w:val="clear" w:color="auto" w:fill="auto"/>
            <w:noWrap/>
            <w:vAlign w:val="center"/>
            <w:hideMark/>
          </w:tcPr>
          <w:p w14:paraId="3C538830" w14:textId="77777777" w:rsidR="004C3312" w:rsidRPr="001205D5" w:rsidRDefault="004C3312" w:rsidP="004C3312">
            <w:pPr>
              <w:spacing w:after="0" w:line="240" w:lineRule="auto"/>
              <w:rPr>
                <w:rFonts w:eastAsia="Times New Roman" w:cs="Times New Roman"/>
                <w:i/>
                <w:color w:val="000000"/>
                <w:sz w:val="20"/>
                <w:szCs w:val="20"/>
                <w:lang w:eastAsia="sk-SK"/>
              </w:rPr>
            </w:pPr>
            <w:r w:rsidRPr="001205D5">
              <w:rPr>
                <w:rFonts w:eastAsia="Times New Roman" w:cs="Times New Roman"/>
                <w:i/>
                <w:color w:val="000000"/>
                <w:sz w:val="20"/>
                <w:szCs w:val="20"/>
                <w:lang w:eastAsia="sk-SK"/>
              </w:rPr>
              <w:t>zo štátneho rozpočtu okrem transferu na úhradu nákladov preneseného výkonu štátnej správy</w:t>
            </w:r>
          </w:p>
        </w:tc>
        <w:tc>
          <w:tcPr>
            <w:tcW w:w="990" w:type="dxa"/>
            <w:tcBorders>
              <w:top w:val="nil"/>
              <w:left w:val="nil"/>
              <w:bottom w:val="nil"/>
              <w:right w:val="nil"/>
            </w:tcBorders>
            <w:shd w:val="clear" w:color="000000" w:fill="FFFFFF"/>
            <w:noWrap/>
            <w:vAlign w:val="center"/>
            <w:hideMark/>
          </w:tcPr>
          <w:p w14:paraId="6B9C6DF4" w14:textId="77777777" w:rsidR="004C3312" w:rsidRPr="00661469" w:rsidRDefault="004C3312" w:rsidP="004C3312">
            <w:pPr>
              <w:spacing w:after="0" w:line="240" w:lineRule="auto"/>
              <w:jc w:val="right"/>
              <w:rPr>
                <w:rFonts w:eastAsia="Times New Roman" w:cs="Times New Roman"/>
                <w:color w:val="000000"/>
                <w:sz w:val="20"/>
                <w:szCs w:val="20"/>
                <w:lang w:eastAsia="sk-SK"/>
              </w:rPr>
            </w:pPr>
            <w:r w:rsidRPr="00661469">
              <w:rPr>
                <w:rFonts w:eastAsia="Times New Roman" w:cs="Times New Roman"/>
                <w:color w:val="000000"/>
                <w:sz w:val="20"/>
                <w:szCs w:val="20"/>
                <w:lang w:eastAsia="sk-SK"/>
              </w:rPr>
              <w:t>135</w:t>
            </w:r>
          </w:p>
        </w:tc>
        <w:tc>
          <w:tcPr>
            <w:tcW w:w="990" w:type="dxa"/>
            <w:tcBorders>
              <w:top w:val="nil"/>
              <w:left w:val="nil"/>
              <w:bottom w:val="nil"/>
              <w:right w:val="nil"/>
            </w:tcBorders>
            <w:shd w:val="clear" w:color="auto" w:fill="auto"/>
            <w:noWrap/>
            <w:vAlign w:val="center"/>
            <w:hideMark/>
          </w:tcPr>
          <w:p w14:paraId="6B3325A5" w14:textId="77777777" w:rsidR="004C3312" w:rsidRPr="00661469" w:rsidRDefault="004C3312" w:rsidP="004C3312">
            <w:pPr>
              <w:spacing w:after="0" w:line="240" w:lineRule="auto"/>
              <w:jc w:val="right"/>
              <w:rPr>
                <w:rFonts w:eastAsia="Times New Roman" w:cs="Times New Roman"/>
                <w:color w:val="000000"/>
                <w:sz w:val="20"/>
                <w:szCs w:val="20"/>
                <w:lang w:eastAsia="sk-SK"/>
              </w:rPr>
            </w:pPr>
            <w:r w:rsidRPr="00661469">
              <w:rPr>
                <w:rFonts w:eastAsia="Times New Roman" w:cs="Times New Roman"/>
                <w:color w:val="000000"/>
                <w:sz w:val="20"/>
                <w:szCs w:val="20"/>
                <w:lang w:eastAsia="sk-SK"/>
              </w:rPr>
              <w:t>84</w:t>
            </w:r>
          </w:p>
        </w:tc>
        <w:tc>
          <w:tcPr>
            <w:tcW w:w="990" w:type="dxa"/>
            <w:tcBorders>
              <w:top w:val="nil"/>
              <w:left w:val="nil"/>
              <w:bottom w:val="nil"/>
              <w:right w:val="nil"/>
            </w:tcBorders>
            <w:shd w:val="clear" w:color="000000" w:fill="FFFFFF"/>
            <w:noWrap/>
            <w:vAlign w:val="center"/>
            <w:hideMark/>
          </w:tcPr>
          <w:p w14:paraId="24381C76" w14:textId="77777777" w:rsidR="004C3312" w:rsidRPr="00214A1C" w:rsidRDefault="004C3312" w:rsidP="004C3312">
            <w:pPr>
              <w:spacing w:after="0" w:line="240" w:lineRule="auto"/>
              <w:jc w:val="right"/>
              <w:rPr>
                <w:rFonts w:eastAsia="Times New Roman" w:cs="Times New Roman"/>
                <w:color w:val="000000"/>
                <w:sz w:val="20"/>
                <w:szCs w:val="20"/>
                <w:highlight w:val="yellow"/>
                <w:lang w:eastAsia="sk-SK"/>
              </w:rPr>
            </w:pPr>
            <w:r w:rsidRPr="00E27073">
              <w:rPr>
                <w:rFonts w:eastAsia="Times New Roman" w:cs="Times New Roman"/>
                <w:color w:val="000000"/>
                <w:sz w:val="20"/>
                <w:szCs w:val="20"/>
                <w:lang w:eastAsia="sk-SK"/>
              </w:rPr>
              <w:t>110</w:t>
            </w:r>
          </w:p>
        </w:tc>
        <w:tc>
          <w:tcPr>
            <w:tcW w:w="990" w:type="dxa"/>
            <w:tcBorders>
              <w:top w:val="nil"/>
              <w:left w:val="nil"/>
              <w:bottom w:val="nil"/>
              <w:right w:val="nil"/>
            </w:tcBorders>
            <w:shd w:val="clear" w:color="auto" w:fill="auto"/>
            <w:noWrap/>
            <w:vAlign w:val="center"/>
            <w:hideMark/>
          </w:tcPr>
          <w:p w14:paraId="17A8958A"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71</w:t>
            </w:r>
          </w:p>
        </w:tc>
        <w:tc>
          <w:tcPr>
            <w:tcW w:w="1173" w:type="dxa"/>
            <w:tcBorders>
              <w:top w:val="nil"/>
              <w:left w:val="nil"/>
              <w:bottom w:val="nil"/>
              <w:right w:val="nil"/>
            </w:tcBorders>
            <w:shd w:val="clear" w:color="000000" w:fill="FFFFFF"/>
            <w:vAlign w:val="center"/>
            <w:hideMark/>
          </w:tcPr>
          <w:p w14:paraId="397D8B3A"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-39</w:t>
            </w:r>
          </w:p>
        </w:tc>
        <w:tc>
          <w:tcPr>
            <w:tcW w:w="919" w:type="dxa"/>
            <w:tcBorders>
              <w:top w:val="nil"/>
              <w:left w:val="nil"/>
              <w:bottom w:val="nil"/>
              <w:right w:val="nil"/>
            </w:tcBorders>
            <w:shd w:val="clear" w:color="000000" w:fill="FFFFFF"/>
            <w:vAlign w:val="center"/>
            <w:hideMark/>
          </w:tcPr>
          <w:p w14:paraId="2052FD79"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sidRPr="00DB50F6">
              <w:rPr>
                <w:rFonts w:eastAsia="Times New Roman" w:cs="Times New Roman"/>
                <w:color w:val="000000"/>
                <w:sz w:val="20"/>
                <w:szCs w:val="20"/>
                <w:lang w:eastAsia="sk-SK"/>
              </w:rPr>
              <w:t>-35,45 </w:t>
            </w:r>
          </w:p>
        </w:tc>
      </w:tr>
      <w:tr w:rsidR="004C3312" w:rsidRPr="00DB50F6" w14:paraId="51957257" w14:textId="77777777" w:rsidTr="00F82A99">
        <w:trPr>
          <w:trHeight w:val="288"/>
        </w:trPr>
        <w:tc>
          <w:tcPr>
            <w:tcW w:w="3402" w:type="dxa"/>
            <w:tcBorders>
              <w:top w:val="nil"/>
              <w:left w:val="nil"/>
              <w:bottom w:val="nil"/>
              <w:right w:val="nil"/>
            </w:tcBorders>
            <w:shd w:val="clear" w:color="000000" w:fill="FFFFFF"/>
            <w:noWrap/>
            <w:vAlign w:val="center"/>
            <w:hideMark/>
          </w:tcPr>
          <w:p w14:paraId="7586AFF6" w14:textId="77777777" w:rsidR="004C3312" w:rsidRPr="001205D5" w:rsidRDefault="004C3312" w:rsidP="004C3312">
            <w:pPr>
              <w:spacing w:after="0" w:line="240" w:lineRule="auto"/>
              <w:rPr>
                <w:rFonts w:eastAsia="Times New Roman" w:cs="Times New Roman"/>
                <w:i/>
                <w:color w:val="000000"/>
                <w:sz w:val="20"/>
                <w:szCs w:val="20"/>
                <w:lang w:eastAsia="sk-SK"/>
              </w:rPr>
            </w:pPr>
            <w:r w:rsidRPr="001205D5">
              <w:rPr>
                <w:rFonts w:eastAsia="Times New Roman" w:cs="Times New Roman"/>
                <w:i/>
                <w:color w:val="000000"/>
                <w:sz w:val="20"/>
                <w:szCs w:val="20"/>
                <w:lang w:eastAsia="sk-SK"/>
              </w:rPr>
              <w:t>zo zdravotných poisťovní</w:t>
            </w:r>
          </w:p>
        </w:tc>
        <w:tc>
          <w:tcPr>
            <w:tcW w:w="990" w:type="dxa"/>
            <w:tcBorders>
              <w:top w:val="nil"/>
              <w:left w:val="nil"/>
              <w:bottom w:val="nil"/>
              <w:right w:val="nil"/>
            </w:tcBorders>
            <w:shd w:val="clear" w:color="000000" w:fill="FFFFFF"/>
            <w:noWrap/>
            <w:vAlign w:val="center"/>
            <w:hideMark/>
          </w:tcPr>
          <w:p w14:paraId="4B19737E" w14:textId="77777777" w:rsidR="004C3312" w:rsidRPr="00661469" w:rsidRDefault="004C3312" w:rsidP="004C3312">
            <w:pPr>
              <w:spacing w:after="0" w:line="240" w:lineRule="auto"/>
              <w:jc w:val="right"/>
              <w:rPr>
                <w:rFonts w:eastAsia="Times New Roman" w:cs="Times New Roman"/>
                <w:color w:val="000000"/>
                <w:sz w:val="20"/>
                <w:szCs w:val="20"/>
                <w:lang w:eastAsia="sk-SK"/>
              </w:rPr>
            </w:pPr>
            <w:r w:rsidRPr="00661469">
              <w:rPr>
                <w:rFonts w:eastAsia="Times New Roman" w:cs="Times New Roman"/>
                <w:color w:val="000000"/>
                <w:sz w:val="20"/>
                <w:szCs w:val="20"/>
                <w:lang w:eastAsia="sk-SK"/>
              </w:rPr>
              <w:t>37 076</w:t>
            </w:r>
          </w:p>
        </w:tc>
        <w:tc>
          <w:tcPr>
            <w:tcW w:w="990" w:type="dxa"/>
            <w:tcBorders>
              <w:top w:val="nil"/>
              <w:left w:val="nil"/>
              <w:bottom w:val="nil"/>
              <w:right w:val="nil"/>
            </w:tcBorders>
            <w:shd w:val="clear" w:color="auto" w:fill="auto"/>
            <w:noWrap/>
            <w:vAlign w:val="center"/>
            <w:hideMark/>
          </w:tcPr>
          <w:p w14:paraId="2A707DD2" w14:textId="77777777" w:rsidR="004C3312" w:rsidRPr="00661469" w:rsidRDefault="004C3312" w:rsidP="004C3312">
            <w:pPr>
              <w:spacing w:after="0" w:line="240" w:lineRule="auto"/>
              <w:jc w:val="right"/>
              <w:rPr>
                <w:rFonts w:eastAsia="Times New Roman" w:cs="Times New Roman"/>
                <w:color w:val="000000"/>
                <w:sz w:val="20"/>
                <w:szCs w:val="20"/>
                <w:lang w:eastAsia="sk-SK"/>
              </w:rPr>
            </w:pPr>
            <w:r w:rsidRPr="00661469">
              <w:rPr>
                <w:rFonts w:eastAsia="Times New Roman" w:cs="Times New Roman"/>
                <w:color w:val="000000"/>
                <w:sz w:val="20"/>
                <w:szCs w:val="20"/>
                <w:lang w:eastAsia="sk-SK"/>
              </w:rPr>
              <w:t>38 863</w:t>
            </w:r>
          </w:p>
        </w:tc>
        <w:tc>
          <w:tcPr>
            <w:tcW w:w="990" w:type="dxa"/>
            <w:tcBorders>
              <w:top w:val="nil"/>
              <w:left w:val="nil"/>
              <w:bottom w:val="nil"/>
              <w:right w:val="nil"/>
            </w:tcBorders>
            <w:shd w:val="clear" w:color="000000" w:fill="FFFFFF"/>
            <w:noWrap/>
            <w:vAlign w:val="center"/>
            <w:hideMark/>
          </w:tcPr>
          <w:p w14:paraId="38979AFC" w14:textId="77777777" w:rsidR="004C3312" w:rsidRPr="00214A1C" w:rsidRDefault="004C3312" w:rsidP="004C3312">
            <w:pPr>
              <w:spacing w:after="0" w:line="240" w:lineRule="auto"/>
              <w:jc w:val="right"/>
              <w:rPr>
                <w:rFonts w:eastAsia="Times New Roman" w:cs="Times New Roman"/>
                <w:color w:val="000000"/>
                <w:sz w:val="20"/>
                <w:szCs w:val="20"/>
                <w:highlight w:val="yellow"/>
                <w:lang w:eastAsia="sk-SK"/>
              </w:rPr>
            </w:pPr>
            <w:r w:rsidRPr="00E27073">
              <w:rPr>
                <w:rFonts w:eastAsia="Times New Roman" w:cs="Times New Roman"/>
                <w:color w:val="000000"/>
                <w:sz w:val="20"/>
                <w:szCs w:val="20"/>
                <w:lang w:eastAsia="sk-SK"/>
              </w:rPr>
              <w:t>39 644</w:t>
            </w:r>
          </w:p>
        </w:tc>
        <w:tc>
          <w:tcPr>
            <w:tcW w:w="990" w:type="dxa"/>
            <w:tcBorders>
              <w:top w:val="nil"/>
              <w:left w:val="nil"/>
              <w:bottom w:val="nil"/>
              <w:right w:val="nil"/>
            </w:tcBorders>
            <w:shd w:val="clear" w:color="auto" w:fill="auto"/>
            <w:noWrap/>
            <w:vAlign w:val="center"/>
            <w:hideMark/>
          </w:tcPr>
          <w:p w14:paraId="2B218A24" w14:textId="77777777" w:rsidR="004C3312" w:rsidRPr="00214A1C" w:rsidRDefault="004C3312" w:rsidP="004C3312">
            <w:pPr>
              <w:spacing w:after="0" w:line="240" w:lineRule="auto"/>
              <w:jc w:val="right"/>
              <w:rPr>
                <w:rFonts w:eastAsia="Times New Roman" w:cs="Times New Roman"/>
                <w:color w:val="000000"/>
                <w:sz w:val="20"/>
                <w:szCs w:val="20"/>
                <w:highlight w:val="yellow"/>
                <w:lang w:eastAsia="sk-SK"/>
              </w:rPr>
            </w:pPr>
            <w:r w:rsidRPr="00E27073">
              <w:rPr>
                <w:rFonts w:eastAsia="Times New Roman" w:cs="Times New Roman"/>
                <w:color w:val="000000"/>
                <w:sz w:val="20"/>
                <w:szCs w:val="20"/>
                <w:lang w:eastAsia="sk-SK"/>
              </w:rPr>
              <w:t>39 804</w:t>
            </w:r>
          </w:p>
        </w:tc>
        <w:tc>
          <w:tcPr>
            <w:tcW w:w="1173" w:type="dxa"/>
            <w:tcBorders>
              <w:top w:val="nil"/>
              <w:left w:val="nil"/>
              <w:bottom w:val="nil"/>
              <w:right w:val="nil"/>
            </w:tcBorders>
            <w:shd w:val="clear" w:color="000000" w:fill="FFFFFF"/>
            <w:vAlign w:val="center"/>
            <w:hideMark/>
          </w:tcPr>
          <w:p w14:paraId="40BD63B1" w14:textId="77777777" w:rsidR="004C3312" w:rsidRPr="00214A1C" w:rsidRDefault="004C3312" w:rsidP="004C3312">
            <w:pPr>
              <w:spacing w:after="0" w:line="240" w:lineRule="auto"/>
              <w:jc w:val="right"/>
              <w:rPr>
                <w:rFonts w:eastAsia="Times New Roman" w:cs="Times New Roman"/>
                <w:color w:val="000000"/>
                <w:sz w:val="20"/>
                <w:szCs w:val="20"/>
                <w:highlight w:val="yellow"/>
                <w:lang w:eastAsia="sk-SK"/>
              </w:rPr>
            </w:pPr>
            <w:r w:rsidRPr="00E27073">
              <w:rPr>
                <w:rFonts w:eastAsia="Times New Roman" w:cs="Times New Roman"/>
                <w:color w:val="000000"/>
                <w:sz w:val="20"/>
                <w:szCs w:val="20"/>
                <w:lang w:eastAsia="sk-SK"/>
              </w:rPr>
              <w:t>160</w:t>
            </w:r>
          </w:p>
        </w:tc>
        <w:tc>
          <w:tcPr>
            <w:tcW w:w="919" w:type="dxa"/>
            <w:tcBorders>
              <w:top w:val="nil"/>
              <w:left w:val="nil"/>
              <w:bottom w:val="nil"/>
              <w:right w:val="nil"/>
            </w:tcBorders>
            <w:shd w:val="clear" w:color="000000" w:fill="FFFFFF"/>
            <w:vAlign w:val="center"/>
            <w:hideMark/>
          </w:tcPr>
          <w:p w14:paraId="3CA64442"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sidRPr="00DB50F6">
              <w:rPr>
                <w:rFonts w:eastAsia="Times New Roman" w:cs="Times New Roman"/>
                <w:color w:val="000000"/>
                <w:sz w:val="20"/>
                <w:szCs w:val="20"/>
                <w:lang w:eastAsia="sk-SK"/>
              </w:rPr>
              <w:t>0,4 </w:t>
            </w:r>
          </w:p>
        </w:tc>
      </w:tr>
      <w:tr w:rsidR="004C3312" w:rsidRPr="00DB50F6" w14:paraId="6042F973" w14:textId="77777777" w:rsidTr="00F82A99">
        <w:trPr>
          <w:trHeight w:val="288"/>
        </w:trPr>
        <w:tc>
          <w:tcPr>
            <w:tcW w:w="3402" w:type="dxa"/>
            <w:tcBorders>
              <w:top w:val="nil"/>
              <w:left w:val="nil"/>
              <w:bottom w:val="nil"/>
              <w:right w:val="nil"/>
            </w:tcBorders>
            <w:shd w:val="clear" w:color="000000" w:fill="FFFFFF"/>
            <w:noWrap/>
            <w:vAlign w:val="center"/>
            <w:hideMark/>
          </w:tcPr>
          <w:p w14:paraId="6D504FB1" w14:textId="77777777" w:rsidR="004C3312" w:rsidRPr="001205D5" w:rsidRDefault="004C3312" w:rsidP="004C3312">
            <w:pPr>
              <w:spacing w:after="0" w:line="240" w:lineRule="auto"/>
              <w:rPr>
                <w:rFonts w:eastAsia="Times New Roman" w:cs="Times New Roman"/>
                <w:i/>
                <w:color w:val="000000"/>
                <w:sz w:val="20"/>
                <w:szCs w:val="20"/>
                <w:lang w:eastAsia="sk-SK"/>
              </w:rPr>
            </w:pPr>
            <w:r w:rsidRPr="001205D5">
              <w:rPr>
                <w:rFonts w:eastAsia="Times New Roman" w:cs="Times New Roman"/>
                <w:i/>
                <w:color w:val="000000"/>
                <w:sz w:val="20"/>
                <w:szCs w:val="20"/>
                <w:lang w:eastAsia="sk-SK"/>
              </w:rPr>
              <w:t>zo Slovenského pozemkového fondu</w:t>
            </w:r>
          </w:p>
        </w:tc>
        <w:tc>
          <w:tcPr>
            <w:tcW w:w="990" w:type="dxa"/>
            <w:tcBorders>
              <w:top w:val="nil"/>
              <w:left w:val="nil"/>
              <w:bottom w:val="nil"/>
              <w:right w:val="nil"/>
            </w:tcBorders>
            <w:shd w:val="clear" w:color="000000" w:fill="FFFFFF"/>
            <w:noWrap/>
            <w:vAlign w:val="center"/>
            <w:hideMark/>
          </w:tcPr>
          <w:p w14:paraId="3D0E1C35"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0</w:t>
            </w:r>
          </w:p>
        </w:tc>
        <w:tc>
          <w:tcPr>
            <w:tcW w:w="990" w:type="dxa"/>
            <w:tcBorders>
              <w:top w:val="nil"/>
              <w:left w:val="nil"/>
              <w:bottom w:val="nil"/>
              <w:right w:val="nil"/>
            </w:tcBorders>
            <w:shd w:val="clear" w:color="auto" w:fill="auto"/>
            <w:noWrap/>
            <w:vAlign w:val="center"/>
            <w:hideMark/>
          </w:tcPr>
          <w:p w14:paraId="615CEE1A"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0</w:t>
            </w:r>
          </w:p>
        </w:tc>
        <w:tc>
          <w:tcPr>
            <w:tcW w:w="990" w:type="dxa"/>
            <w:tcBorders>
              <w:top w:val="nil"/>
              <w:left w:val="nil"/>
              <w:bottom w:val="nil"/>
              <w:right w:val="nil"/>
            </w:tcBorders>
            <w:shd w:val="clear" w:color="000000" w:fill="FFFFFF"/>
            <w:noWrap/>
            <w:vAlign w:val="center"/>
            <w:hideMark/>
          </w:tcPr>
          <w:p w14:paraId="452734E9" w14:textId="77777777" w:rsidR="004C3312" w:rsidRPr="00214A1C" w:rsidRDefault="004C3312" w:rsidP="004C3312">
            <w:pPr>
              <w:spacing w:after="0" w:line="240" w:lineRule="auto"/>
              <w:jc w:val="right"/>
              <w:rPr>
                <w:rFonts w:eastAsia="Times New Roman" w:cs="Times New Roman"/>
                <w:color w:val="000000"/>
                <w:sz w:val="20"/>
                <w:szCs w:val="20"/>
                <w:highlight w:val="yellow"/>
                <w:lang w:eastAsia="sk-SK"/>
              </w:rPr>
            </w:pPr>
            <w:r w:rsidRPr="00E27073">
              <w:rPr>
                <w:rFonts w:eastAsia="Times New Roman" w:cs="Times New Roman"/>
                <w:color w:val="000000"/>
                <w:sz w:val="20"/>
                <w:szCs w:val="20"/>
                <w:lang w:eastAsia="sk-SK"/>
              </w:rPr>
              <w:t>1 500</w:t>
            </w:r>
          </w:p>
        </w:tc>
        <w:tc>
          <w:tcPr>
            <w:tcW w:w="990" w:type="dxa"/>
            <w:tcBorders>
              <w:top w:val="nil"/>
              <w:left w:val="nil"/>
              <w:bottom w:val="nil"/>
              <w:right w:val="nil"/>
            </w:tcBorders>
            <w:shd w:val="clear" w:color="auto" w:fill="auto"/>
            <w:noWrap/>
            <w:vAlign w:val="center"/>
            <w:hideMark/>
          </w:tcPr>
          <w:p w14:paraId="0C25A3D7"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0</w:t>
            </w:r>
          </w:p>
        </w:tc>
        <w:tc>
          <w:tcPr>
            <w:tcW w:w="1173" w:type="dxa"/>
            <w:tcBorders>
              <w:top w:val="nil"/>
              <w:left w:val="nil"/>
              <w:bottom w:val="nil"/>
              <w:right w:val="nil"/>
            </w:tcBorders>
            <w:shd w:val="clear" w:color="000000" w:fill="FFFFFF"/>
            <w:vAlign w:val="center"/>
            <w:hideMark/>
          </w:tcPr>
          <w:p w14:paraId="1B0B36BD" w14:textId="77777777" w:rsidR="004C3312" w:rsidRPr="00214A1C" w:rsidRDefault="004C3312" w:rsidP="004C3312">
            <w:pPr>
              <w:spacing w:after="0" w:line="240" w:lineRule="auto"/>
              <w:jc w:val="right"/>
              <w:rPr>
                <w:rFonts w:eastAsia="Times New Roman" w:cs="Times New Roman"/>
                <w:color w:val="000000"/>
                <w:sz w:val="20"/>
                <w:szCs w:val="20"/>
                <w:highlight w:val="yellow"/>
                <w:lang w:eastAsia="sk-SK"/>
              </w:rPr>
            </w:pPr>
            <w:r w:rsidRPr="00E27073">
              <w:rPr>
                <w:rFonts w:eastAsia="Times New Roman" w:cs="Times New Roman"/>
                <w:color w:val="000000"/>
                <w:sz w:val="20"/>
                <w:szCs w:val="20"/>
                <w:lang w:eastAsia="sk-SK"/>
              </w:rPr>
              <w:t>-1 500</w:t>
            </w:r>
          </w:p>
        </w:tc>
        <w:tc>
          <w:tcPr>
            <w:tcW w:w="919" w:type="dxa"/>
            <w:tcBorders>
              <w:top w:val="nil"/>
              <w:left w:val="nil"/>
              <w:bottom w:val="nil"/>
              <w:right w:val="nil"/>
            </w:tcBorders>
            <w:shd w:val="clear" w:color="000000" w:fill="FFFFFF"/>
            <w:vAlign w:val="center"/>
            <w:hideMark/>
          </w:tcPr>
          <w:p w14:paraId="183FBD04"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sidRPr="00DB50F6">
              <w:rPr>
                <w:rFonts w:eastAsia="Times New Roman" w:cs="Times New Roman"/>
                <w:color w:val="000000"/>
                <w:sz w:val="20"/>
                <w:szCs w:val="20"/>
                <w:lang w:eastAsia="sk-SK"/>
              </w:rPr>
              <w:t>0 </w:t>
            </w:r>
          </w:p>
        </w:tc>
      </w:tr>
      <w:tr w:rsidR="004C3312" w:rsidRPr="00DB50F6" w14:paraId="490D1015" w14:textId="77777777" w:rsidTr="00F82A99">
        <w:trPr>
          <w:trHeight w:val="288"/>
        </w:trPr>
        <w:tc>
          <w:tcPr>
            <w:tcW w:w="3402" w:type="dxa"/>
            <w:tcBorders>
              <w:top w:val="nil"/>
              <w:left w:val="nil"/>
              <w:bottom w:val="nil"/>
              <w:right w:val="nil"/>
            </w:tcBorders>
            <w:shd w:val="clear" w:color="000000" w:fill="FFFFFF"/>
            <w:noWrap/>
            <w:vAlign w:val="center"/>
            <w:hideMark/>
          </w:tcPr>
          <w:p w14:paraId="0468970F" w14:textId="77777777" w:rsidR="004C3312" w:rsidRPr="001205D5" w:rsidRDefault="004C3312" w:rsidP="004C3312">
            <w:pPr>
              <w:spacing w:after="0" w:line="240" w:lineRule="auto"/>
              <w:rPr>
                <w:rFonts w:eastAsia="Times New Roman" w:cs="Times New Roman"/>
                <w:i/>
                <w:color w:val="000000"/>
                <w:sz w:val="20"/>
                <w:szCs w:val="20"/>
                <w:lang w:eastAsia="sk-SK"/>
              </w:rPr>
            </w:pPr>
            <w:r w:rsidRPr="001205D5">
              <w:rPr>
                <w:rFonts w:eastAsia="Times New Roman" w:cs="Times New Roman"/>
                <w:i/>
                <w:color w:val="000000"/>
                <w:sz w:val="20"/>
                <w:szCs w:val="20"/>
                <w:lang w:eastAsia="sk-SK"/>
              </w:rPr>
              <w:t>od ostatných subjektov verejnej správy</w:t>
            </w:r>
          </w:p>
        </w:tc>
        <w:tc>
          <w:tcPr>
            <w:tcW w:w="990" w:type="dxa"/>
            <w:tcBorders>
              <w:top w:val="nil"/>
              <w:left w:val="nil"/>
              <w:bottom w:val="nil"/>
              <w:right w:val="nil"/>
            </w:tcBorders>
            <w:shd w:val="clear" w:color="000000" w:fill="FFFFFF"/>
            <w:noWrap/>
            <w:vAlign w:val="center"/>
            <w:hideMark/>
          </w:tcPr>
          <w:p w14:paraId="3B77CB9A"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5</w:t>
            </w:r>
          </w:p>
        </w:tc>
        <w:tc>
          <w:tcPr>
            <w:tcW w:w="990" w:type="dxa"/>
            <w:tcBorders>
              <w:top w:val="nil"/>
              <w:left w:val="nil"/>
              <w:bottom w:val="nil"/>
              <w:right w:val="nil"/>
            </w:tcBorders>
            <w:shd w:val="clear" w:color="auto" w:fill="auto"/>
            <w:noWrap/>
            <w:vAlign w:val="center"/>
            <w:hideMark/>
          </w:tcPr>
          <w:p w14:paraId="7DCAB2C6"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0</w:t>
            </w:r>
          </w:p>
        </w:tc>
        <w:tc>
          <w:tcPr>
            <w:tcW w:w="990" w:type="dxa"/>
            <w:tcBorders>
              <w:top w:val="nil"/>
              <w:left w:val="nil"/>
              <w:bottom w:val="nil"/>
              <w:right w:val="nil"/>
            </w:tcBorders>
            <w:shd w:val="clear" w:color="000000" w:fill="FFFFFF"/>
            <w:noWrap/>
            <w:vAlign w:val="center"/>
            <w:hideMark/>
          </w:tcPr>
          <w:p w14:paraId="64396258"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0</w:t>
            </w:r>
          </w:p>
        </w:tc>
        <w:tc>
          <w:tcPr>
            <w:tcW w:w="990" w:type="dxa"/>
            <w:tcBorders>
              <w:top w:val="nil"/>
              <w:left w:val="nil"/>
              <w:bottom w:val="nil"/>
              <w:right w:val="nil"/>
            </w:tcBorders>
            <w:shd w:val="clear" w:color="auto" w:fill="auto"/>
            <w:noWrap/>
            <w:vAlign w:val="center"/>
            <w:hideMark/>
          </w:tcPr>
          <w:p w14:paraId="087EB319"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0</w:t>
            </w:r>
          </w:p>
        </w:tc>
        <w:tc>
          <w:tcPr>
            <w:tcW w:w="1173" w:type="dxa"/>
            <w:tcBorders>
              <w:top w:val="nil"/>
              <w:left w:val="nil"/>
              <w:bottom w:val="nil"/>
              <w:right w:val="nil"/>
            </w:tcBorders>
            <w:shd w:val="clear" w:color="000000" w:fill="FFFFFF"/>
            <w:vAlign w:val="center"/>
            <w:hideMark/>
          </w:tcPr>
          <w:p w14:paraId="7FA9737C"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0</w:t>
            </w:r>
          </w:p>
        </w:tc>
        <w:tc>
          <w:tcPr>
            <w:tcW w:w="919" w:type="dxa"/>
            <w:tcBorders>
              <w:top w:val="nil"/>
              <w:left w:val="nil"/>
              <w:bottom w:val="nil"/>
              <w:right w:val="nil"/>
            </w:tcBorders>
            <w:shd w:val="clear" w:color="000000" w:fill="FFFFFF"/>
            <w:vAlign w:val="center"/>
            <w:hideMark/>
          </w:tcPr>
          <w:p w14:paraId="22C05F19"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sidRPr="00DB50F6">
              <w:rPr>
                <w:rFonts w:eastAsia="Times New Roman" w:cs="Times New Roman"/>
                <w:color w:val="000000"/>
                <w:sz w:val="20"/>
                <w:szCs w:val="20"/>
                <w:lang w:eastAsia="sk-SK"/>
              </w:rPr>
              <w:t>0 </w:t>
            </w:r>
          </w:p>
        </w:tc>
      </w:tr>
      <w:tr w:rsidR="004C3312" w:rsidRPr="00DB50F6" w14:paraId="2E8E9FCA" w14:textId="77777777" w:rsidTr="00F82A99">
        <w:trPr>
          <w:trHeight w:val="288"/>
        </w:trPr>
        <w:tc>
          <w:tcPr>
            <w:tcW w:w="3402" w:type="dxa"/>
            <w:tcBorders>
              <w:top w:val="nil"/>
              <w:left w:val="nil"/>
              <w:bottom w:val="nil"/>
              <w:right w:val="nil"/>
            </w:tcBorders>
            <w:shd w:val="clear" w:color="000000" w:fill="FFFFFF"/>
            <w:noWrap/>
            <w:vAlign w:val="center"/>
            <w:hideMark/>
          </w:tcPr>
          <w:p w14:paraId="152ED2D8" w14:textId="77777777" w:rsidR="004C3312" w:rsidRPr="001205D5" w:rsidRDefault="004C3312" w:rsidP="004C3312">
            <w:pPr>
              <w:spacing w:after="0" w:line="240" w:lineRule="auto"/>
              <w:rPr>
                <w:rFonts w:eastAsia="Times New Roman" w:cs="Times New Roman"/>
                <w:b/>
                <w:bCs/>
                <w:color w:val="000000"/>
                <w:sz w:val="20"/>
                <w:szCs w:val="20"/>
                <w:lang w:eastAsia="sk-SK"/>
              </w:rPr>
            </w:pPr>
            <w:r w:rsidRPr="001205D5">
              <w:rPr>
                <w:rFonts w:eastAsia="Times New Roman" w:cs="Times New Roman"/>
                <w:b/>
                <w:bCs/>
                <w:color w:val="000000"/>
                <w:sz w:val="20"/>
                <w:szCs w:val="20"/>
                <w:lang w:eastAsia="sk-SK"/>
              </w:rPr>
              <w:t>Zahraničné granty a transfery</w:t>
            </w:r>
          </w:p>
        </w:tc>
        <w:tc>
          <w:tcPr>
            <w:tcW w:w="990" w:type="dxa"/>
            <w:tcBorders>
              <w:top w:val="nil"/>
              <w:left w:val="nil"/>
              <w:bottom w:val="nil"/>
              <w:right w:val="nil"/>
            </w:tcBorders>
            <w:shd w:val="clear" w:color="000000" w:fill="FFFFFF"/>
            <w:noWrap/>
            <w:vAlign w:val="center"/>
            <w:hideMark/>
          </w:tcPr>
          <w:p w14:paraId="405B5A72" w14:textId="3266F175" w:rsidR="004C3312" w:rsidRPr="00E27073" w:rsidRDefault="00F8104D"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2 551 329</w:t>
            </w:r>
          </w:p>
        </w:tc>
        <w:tc>
          <w:tcPr>
            <w:tcW w:w="990" w:type="dxa"/>
            <w:tcBorders>
              <w:top w:val="nil"/>
              <w:left w:val="nil"/>
              <w:bottom w:val="nil"/>
              <w:right w:val="nil"/>
            </w:tcBorders>
            <w:shd w:val="clear" w:color="auto" w:fill="auto"/>
            <w:noWrap/>
            <w:vAlign w:val="center"/>
            <w:hideMark/>
          </w:tcPr>
          <w:p w14:paraId="0BA9A72D"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2 273 99</w:t>
            </w:r>
            <w:r>
              <w:rPr>
                <w:rFonts w:eastAsia="Times New Roman" w:cs="Times New Roman"/>
                <w:color w:val="000000"/>
                <w:sz w:val="20"/>
                <w:szCs w:val="20"/>
                <w:lang w:eastAsia="sk-SK"/>
              </w:rPr>
              <w:t>0</w:t>
            </w:r>
          </w:p>
        </w:tc>
        <w:tc>
          <w:tcPr>
            <w:tcW w:w="990" w:type="dxa"/>
            <w:tcBorders>
              <w:top w:val="nil"/>
              <w:left w:val="nil"/>
              <w:bottom w:val="nil"/>
              <w:right w:val="nil"/>
            </w:tcBorders>
            <w:shd w:val="clear" w:color="000000" w:fill="FFFFFF"/>
            <w:noWrap/>
            <w:vAlign w:val="center"/>
            <w:hideMark/>
          </w:tcPr>
          <w:p w14:paraId="067F2212"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4 449 973</w:t>
            </w:r>
          </w:p>
        </w:tc>
        <w:tc>
          <w:tcPr>
            <w:tcW w:w="990" w:type="dxa"/>
            <w:tcBorders>
              <w:top w:val="nil"/>
              <w:left w:val="nil"/>
              <w:bottom w:val="nil"/>
              <w:right w:val="nil"/>
            </w:tcBorders>
            <w:shd w:val="clear" w:color="auto" w:fill="auto"/>
            <w:noWrap/>
            <w:vAlign w:val="center"/>
            <w:hideMark/>
          </w:tcPr>
          <w:p w14:paraId="564AD345" w14:textId="478EB626" w:rsidR="004C3312" w:rsidRPr="00E27073" w:rsidRDefault="00F8104D"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2 187 702</w:t>
            </w:r>
          </w:p>
        </w:tc>
        <w:tc>
          <w:tcPr>
            <w:tcW w:w="1173" w:type="dxa"/>
            <w:tcBorders>
              <w:top w:val="nil"/>
              <w:left w:val="nil"/>
              <w:bottom w:val="nil"/>
              <w:right w:val="nil"/>
            </w:tcBorders>
            <w:shd w:val="clear" w:color="000000" w:fill="FFFFFF"/>
            <w:vAlign w:val="center"/>
            <w:hideMark/>
          </w:tcPr>
          <w:p w14:paraId="0F97E9E4" w14:textId="7CC1EE85" w:rsidR="004C3312" w:rsidRPr="00DB50F6" w:rsidRDefault="00F8104D"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-2 262 271</w:t>
            </w:r>
          </w:p>
        </w:tc>
        <w:tc>
          <w:tcPr>
            <w:tcW w:w="919" w:type="dxa"/>
            <w:tcBorders>
              <w:top w:val="nil"/>
              <w:left w:val="nil"/>
              <w:bottom w:val="nil"/>
              <w:right w:val="nil"/>
            </w:tcBorders>
            <w:shd w:val="clear" w:color="000000" w:fill="FFFFFF"/>
            <w:vAlign w:val="center"/>
            <w:hideMark/>
          </w:tcPr>
          <w:p w14:paraId="51F491EA"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sidRPr="00DB50F6">
              <w:rPr>
                <w:rFonts w:eastAsia="Times New Roman" w:cs="Times New Roman"/>
                <w:color w:val="000000"/>
                <w:sz w:val="20"/>
                <w:szCs w:val="20"/>
                <w:lang w:eastAsia="sk-SK"/>
              </w:rPr>
              <w:t>-50,8</w:t>
            </w:r>
          </w:p>
        </w:tc>
      </w:tr>
      <w:tr w:rsidR="004C3312" w:rsidRPr="00DB50F6" w14:paraId="2FCD8ACD" w14:textId="77777777" w:rsidTr="00F82A99">
        <w:trPr>
          <w:trHeight w:val="288"/>
        </w:trPr>
        <w:tc>
          <w:tcPr>
            <w:tcW w:w="3402" w:type="dxa"/>
            <w:tcBorders>
              <w:top w:val="nil"/>
              <w:left w:val="nil"/>
              <w:bottom w:val="nil"/>
              <w:right w:val="nil"/>
            </w:tcBorders>
            <w:shd w:val="clear" w:color="000000" w:fill="FFFFFF"/>
            <w:noWrap/>
            <w:vAlign w:val="center"/>
            <w:hideMark/>
          </w:tcPr>
          <w:p w14:paraId="3094E3CC" w14:textId="77777777" w:rsidR="004C3312" w:rsidRPr="001205D5" w:rsidRDefault="004C3312" w:rsidP="004C3312">
            <w:pPr>
              <w:spacing w:after="0" w:line="240" w:lineRule="auto"/>
              <w:rPr>
                <w:rFonts w:eastAsia="Times New Roman" w:cs="Times New Roman"/>
                <w:color w:val="000000"/>
                <w:sz w:val="20"/>
                <w:szCs w:val="20"/>
                <w:lang w:eastAsia="sk-SK"/>
              </w:rPr>
            </w:pPr>
            <w:r w:rsidRPr="001205D5">
              <w:rPr>
                <w:rFonts w:eastAsia="Times New Roman" w:cs="Times New Roman"/>
                <w:color w:val="000000"/>
                <w:sz w:val="20"/>
                <w:szCs w:val="20"/>
                <w:lang w:eastAsia="sk-SK"/>
              </w:rPr>
              <w:t xml:space="preserve">   z toho:</w:t>
            </w:r>
          </w:p>
        </w:tc>
        <w:tc>
          <w:tcPr>
            <w:tcW w:w="990" w:type="dxa"/>
            <w:tcBorders>
              <w:top w:val="nil"/>
              <w:left w:val="nil"/>
              <w:bottom w:val="nil"/>
              <w:right w:val="nil"/>
            </w:tcBorders>
            <w:shd w:val="clear" w:color="000000" w:fill="FFFFFF"/>
            <w:noWrap/>
            <w:vAlign w:val="center"/>
          </w:tcPr>
          <w:p w14:paraId="5AF3D3A9" w14:textId="77777777" w:rsidR="004C3312" w:rsidRPr="00E27073" w:rsidRDefault="004C3312" w:rsidP="004C3312">
            <w:pPr>
              <w:spacing w:after="0" w:line="240" w:lineRule="auto"/>
              <w:jc w:val="right"/>
              <w:rPr>
                <w:rFonts w:eastAsia="Times New Roman" w:cs="Times New Roman"/>
                <w:color w:val="000000"/>
                <w:sz w:val="20"/>
                <w:szCs w:val="20"/>
                <w:lang w:eastAsia="sk-SK"/>
              </w:rPr>
            </w:pPr>
          </w:p>
        </w:tc>
        <w:tc>
          <w:tcPr>
            <w:tcW w:w="990" w:type="dxa"/>
            <w:tcBorders>
              <w:top w:val="nil"/>
              <w:left w:val="nil"/>
              <w:bottom w:val="nil"/>
              <w:right w:val="nil"/>
            </w:tcBorders>
            <w:shd w:val="clear" w:color="auto" w:fill="auto"/>
            <w:noWrap/>
            <w:vAlign w:val="center"/>
          </w:tcPr>
          <w:p w14:paraId="570BF055" w14:textId="77777777" w:rsidR="004C3312" w:rsidRPr="00E27073" w:rsidRDefault="004C3312" w:rsidP="004C3312">
            <w:pPr>
              <w:spacing w:after="0" w:line="240" w:lineRule="auto"/>
              <w:jc w:val="right"/>
              <w:rPr>
                <w:rFonts w:eastAsia="Times New Roman" w:cs="Times New Roman"/>
                <w:color w:val="000000"/>
                <w:sz w:val="20"/>
                <w:szCs w:val="20"/>
                <w:lang w:eastAsia="sk-SK"/>
              </w:rPr>
            </w:pPr>
          </w:p>
        </w:tc>
        <w:tc>
          <w:tcPr>
            <w:tcW w:w="990" w:type="dxa"/>
            <w:tcBorders>
              <w:top w:val="nil"/>
              <w:left w:val="nil"/>
              <w:bottom w:val="nil"/>
              <w:right w:val="nil"/>
            </w:tcBorders>
            <w:shd w:val="clear" w:color="000000" w:fill="FFFFFF"/>
            <w:noWrap/>
            <w:vAlign w:val="center"/>
          </w:tcPr>
          <w:p w14:paraId="000FC2FA" w14:textId="77777777" w:rsidR="004C3312" w:rsidRPr="00E27073" w:rsidRDefault="004C3312" w:rsidP="004C3312">
            <w:pPr>
              <w:spacing w:after="0" w:line="240" w:lineRule="auto"/>
              <w:jc w:val="right"/>
              <w:rPr>
                <w:rFonts w:eastAsia="Times New Roman" w:cs="Times New Roman"/>
                <w:color w:val="000000"/>
                <w:sz w:val="20"/>
                <w:szCs w:val="20"/>
                <w:lang w:eastAsia="sk-SK"/>
              </w:rPr>
            </w:pPr>
          </w:p>
        </w:tc>
        <w:tc>
          <w:tcPr>
            <w:tcW w:w="990" w:type="dxa"/>
            <w:tcBorders>
              <w:top w:val="nil"/>
              <w:left w:val="nil"/>
              <w:bottom w:val="nil"/>
              <w:right w:val="nil"/>
            </w:tcBorders>
            <w:shd w:val="clear" w:color="auto" w:fill="auto"/>
            <w:noWrap/>
            <w:vAlign w:val="center"/>
          </w:tcPr>
          <w:p w14:paraId="77B798FB" w14:textId="77777777" w:rsidR="004C3312" w:rsidRPr="00E27073" w:rsidRDefault="004C3312" w:rsidP="004C3312">
            <w:pPr>
              <w:spacing w:after="0" w:line="240" w:lineRule="auto"/>
              <w:jc w:val="right"/>
              <w:rPr>
                <w:rFonts w:eastAsia="Times New Roman" w:cs="Times New Roman"/>
                <w:color w:val="000000"/>
                <w:sz w:val="20"/>
                <w:szCs w:val="20"/>
                <w:lang w:eastAsia="sk-SK"/>
              </w:rPr>
            </w:pPr>
          </w:p>
        </w:tc>
        <w:tc>
          <w:tcPr>
            <w:tcW w:w="1173" w:type="dxa"/>
            <w:tcBorders>
              <w:top w:val="nil"/>
              <w:left w:val="nil"/>
              <w:bottom w:val="nil"/>
              <w:right w:val="nil"/>
            </w:tcBorders>
            <w:shd w:val="clear" w:color="000000" w:fill="FFFFFF"/>
            <w:vAlign w:val="center"/>
          </w:tcPr>
          <w:p w14:paraId="5974BCCF" w14:textId="77777777" w:rsidR="004C3312" w:rsidRPr="00DB50F6" w:rsidRDefault="004C3312" w:rsidP="004C3312">
            <w:pPr>
              <w:spacing w:after="0" w:line="240" w:lineRule="auto"/>
              <w:jc w:val="right"/>
              <w:rPr>
                <w:rFonts w:eastAsia="Times New Roman" w:cs="Times New Roman"/>
                <w:color w:val="000000"/>
                <w:sz w:val="20"/>
                <w:szCs w:val="20"/>
                <w:lang w:eastAsia="sk-SK"/>
              </w:rPr>
            </w:pPr>
          </w:p>
        </w:tc>
        <w:tc>
          <w:tcPr>
            <w:tcW w:w="919" w:type="dxa"/>
            <w:tcBorders>
              <w:top w:val="nil"/>
              <w:left w:val="nil"/>
              <w:bottom w:val="nil"/>
              <w:right w:val="nil"/>
            </w:tcBorders>
            <w:shd w:val="clear" w:color="000000" w:fill="FFFFFF"/>
            <w:vAlign w:val="center"/>
          </w:tcPr>
          <w:p w14:paraId="6E7C40C4" w14:textId="77777777" w:rsidR="004C3312" w:rsidRPr="00DB50F6" w:rsidRDefault="004C3312" w:rsidP="004C3312">
            <w:pPr>
              <w:spacing w:after="0" w:line="240" w:lineRule="auto"/>
              <w:jc w:val="right"/>
              <w:rPr>
                <w:rFonts w:eastAsia="Times New Roman" w:cs="Times New Roman"/>
                <w:color w:val="000000"/>
                <w:sz w:val="20"/>
                <w:szCs w:val="20"/>
                <w:lang w:eastAsia="sk-SK"/>
              </w:rPr>
            </w:pPr>
          </w:p>
        </w:tc>
      </w:tr>
      <w:tr w:rsidR="004C3312" w:rsidRPr="00DB50F6" w14:paraId="6505703D" w14:textId="77777777" w:rsidTr="00F82A99">
        <w:trPr>
          <w:trHeight w:val="289"/>
        </w:trPr>
        <w:tc>
          <w:tcPr>
            <w:tcW w:w="3402" w:type="dxa"/>
            <w:tcBorders>
              <w:top w:val="nil"/>
              <w:left w:val="nil"/>
              <w:bottom w:val="nil"/>
              <w:right w:val="nil"/>
            </w:tcBorders>
            <w:shd w:val="clear" w:color="000000" w:fill="FFFFFF"/>
            <w:noWrap/>
            <w:vAlign w:val="center"/>
            <w:hideMark/>
          </w:tcPr>
          <w:p w14:paraId="7B52AE04" w14:textId="0CE66BCB" w:rsidR="004C3312" w:rsidRPr="005A1223" w:rsidRDefault="004C3312" w:rsidP="004C3312">
            <w:pPr>
              <w:spacing w:after="0" w:line="240" w:lineRule="auto"/>
              <w:rPr>
                <w:rFonts w:eastAsia="Times New Roman" w:cs="Times New Roman"/>
                <w:i/>
                <w:color w:val="000000"/>
                <w:sz w:val="20"/>
                <w:szCs w:val="20"/>
                <w:lang w:eastAsia="sk-SK"/>
              </w:rPr>
            </w:pPr>
            <w:r w:rsidRPr="005A1223">
              <w:rPr>
                <w:rFonts w:eastAsia="Times New Roman" w:cs="Times New Roman"/>
                <w:i/>
                <w:color w:val="000000"/>
                <w:sz w:val="20"/>
                <w:szCs w:val="20"/>
                <w:lang w:eastAsia="sk-SK"/>
              </w:rPr>
              <w:t xml:space="preserve">       </w:t>
            </w:r>
            <w:r w:rsidR="00847487">
              <w:rPr>
                <w:rFonts w:eastAsia="Times New Roman" w:cs="Times New Roman"/>
                <w:i/>
                <w:color w:val="000000"/>
                <w:sz w:val="20"/>
                <w:szCs w:val="20"/>
                <w:lang w:eastAsia="sk-SK"/>
              </w:rPr>
              <w:t>prostriedky z rozpočtu EÚ</w:t>
            </w:r>
          </w:p>
        </w:tc>
        <w:tc>
          <w:tcPr>
            <w:tcW w:w="990" w:type="dxa"/>
            <w:tcBorders>
              <w:top w:val="nil"/>
              <w:left w:val="nil"/>
              <w:bottom w:val="nil"/>
              <w:right w:val="nil"/>
            </w:tcBorders>
            <w:shd w:val="clear" w:color="000000" w:fill="FFFFFF"/>
            <w:vAlign w:val="center"/>
            <w:hideMark/>
          </w:tcPr>
          <w:p w14:paraId="2DEABD99" w14:textId="77777777" w:rsidR="004C3312" w:rsidRPr="005D3C8A" w:rsidRDefault="004C3312" w:rsidP="004C3312">
            <w:pPr>
              <w:spacing w:after="0" w:line="240" w:lineRule="auto"/>
              <w:jc w:val="right"/>
              <w:rPr>
                <w:rFonts w:eastAsia="Times New Roman" w:cs="Times New Roman"/>
                <w:color w:val="000000"/>
                <w:sz w:val="20"/>
                <w:szCs w:val="20"/>
                <w:lang w:eastAsia="sk-SK"/>
              </w:rPr>
            </w:pPr>
            <w:r w:rsidRPr="005D3C8A">
              <w:rPr>
                <w:rFonts w:eastAsia="Times New Roman" w:cs="Times New Roman"/>
                <w:color w:val="000000"/>
                <w:sz w:val="20"/>
                <w:szCs w:val="20"/>
                <w:lang w:eastAsia="sk-SK"/>
              </w:rPr>
              <w:t>2 551 329</w:t>
            </w:r>
          </w:p>
        </w:tc>
        <w:tc>
          <w:tcPr>
            <w:tcW w:w="990" w:type="dxa"/>
            <w:tcBorders>
              <w:top w:val="nil"/>
              <w:left w:val="nil"/>
              <w:bottom w:val="nil"/>
              <w:right w:val="nil"/>
            </w:tcBorders>
            <w:shd w:val="clear" w:color="auto" w:fill="auto"/>
            <w:vAlign w:val="center"/>
            <w:hideMark/>
          </w:tcPr>
          <w:p w14:paraId="21787106" w14:textId="77777777" w:rsidR="004C3312" w:rsidRPr="0044339F" w:rsidRDefault="004C3312" w:rsidP="004C3312">
            <w:pPr>
              <w:spacing w:after="0" w:line="240" w:lineRule="auto"/>
              <w:jc w:val="right"/>
              <w:rPr>
                <w:rFonts w:eastAsia="Times New Roman" w:cs="Times New Roman"/>
                <w:color w:val="000000"/>
                <w:sz w:val="20"/>
                <w:szCs w:val="20"/>
                <w:highlight w:val="yellow"/>
                <w:lang w:eastAsia="sk-SK"/>
              </w:rPr>
            </w:pPr>
            <w:r w:rsidRPr="00E0762F">
              <w:rPr>
                <w:rFonts w:eastAsia="Times New Roman" w:cs="Times New Roman"/>
                <w:color w:val="000000"/>
                <w:sz w:val="20"/>
                <w:szCs w:val="20"/>
                <w:lang w:eastAsia="sk-SK"/>
              </w:rPr>
              <w:t>2 269 707</w:t>
            </w:r>
          </w:p>
        </w:tc>
        <w:tc>
          <w:tcPr>
            <w:tcW w:w="990" w:type="dxa"/>
            <w:tcBorders>
              <w:top w:val="nil"/>
              <w:left w:val="nil"/>
              <w:bottom w:val="nil"/>
              <w:right w:val="nil"/>
            </w:tcBorders>
            <w:shd w:val="clear" w:color="000000" w:fill="FFFFFF"/>
            <w:vAlign w:val="center"/>
            <w:hideMark/>
          </w:tcPr>
          <w:p w14:paraId="2494AFE0"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3 148 001</w:t>
            </w:r>
          </w:p>
        </w:tc>
        <w:tc>
          <w:tcPr>
            <w:tcW w:w="990" w:type="dxa"/>
            <w:tcBorders>
              <w:top w:val="nil"/>
              <w:left w:val="nil"/>
              <w:bottom w:val="nil"/>
              <w:right w:val="nil"/>
            </w:tcBorders>
            <w:shd w:val="clear" w:color="auto" w:fill="auto"/>
            <w:vAlign w:val="center"/>
            <w:hideMark/>
          </w:tcPr>
          <w:p w14:paraId="772BDCCB"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sidRPr="00E27073">
              <w:rPr>
                <w:rFonts w:eastAsia="Times New Roman" w:cs="Times New Roman"/>
                <w:color w:val="000000"/>
                <w:sz w:val="20"/>
                <w:szCs w:val="20"/>
                <w:lang w:eastAsia="sk-SK"/>
              </w:rPr>
              <w:t>2</w:t>
            </w:r>
            <w:r>
              <w:rPr>
                <w:rFonts w:eastAsia="Times New Roman" w:cs="Times New Roman"/>
                <w:color w:val="000000"/>
                <w:sz w:val="20"/>
                <w:szCs w:val="20"/>
                <w:lang w:eastAsia="sk-SK"/>
              </w:rPr>
              <w:t> </w:t>
            </w:r>
            <w:r w:rsidRPr="00E27073">
              <w:rPr>
                <w:rFonts w:eastAsia="Times New Roman" w:cs="Times New Roman"/>
                <w:color w:val="000000"/>
                <w:sz w:val="20"/>
                <w:szCs w:val="20"/>
                <w:lang w:eastAsia="sk-SK"/>
              </w:rPr>
              <w:t>1</w:t>
            </w:r>
            <w:r>
              <w:rPr>
                <w:rFonts w:eastAsia="Times New Roman" w:cs="Times New Roman"/>
                <w:color w:val="000000"/>
                <w:sz w:val="20"/>
                <w:szCs w:val="20"/>
                <w:lang w:eastAsia="sk-SK"/>
              </w:rPr>
              <w:t>46 641</w:t>
            </w:r>
          </w:p>
        </w:tc>
        <w:tc>
          <w:tcPr>
            <w:tcW w:w="1173" w:type="dxa"/>
            <w:tcBorders>
              <w:top w:val="nil"/>
              <w:left w:val="nil"/>
              <w:bottom w:val="nil"/>
              <w:right w:val="nil"/>
            </w:tcBorders>
            <w:shd w:val="clear" w:color="000000" w:fill="FFFFFF"/>
            <w:vAlign w:val="center"/>
            <w:hideMark/>
          </w:tcPr>
          <w:p w14:paraId="68C24F54"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-1 001 360</w:t>
            </w:r>
          </w:p>
        </w:tc>
        <w:tc>
          <w:tcPr>
            <w:tcW w:w="919" w:type="dxa"/>
            <w:tcBorders>
              <w:top w:val="nil"/>
              <w:left w:val="nil"/>
              <w:bottom w:val="nil"/>
              <w:right w:val="nil"/>
            </w:tcBorders>
            <w:shd w:val="clear" w:color="000000" w:fill="FFFFFF"/>
            <w:vAlign w:val="center"/>
            <w:hideMark/>
          </w:tcPr>
          <w:p w14:paraId="016A45D3"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sidRPr="008529BF">
              <w:rPr>
                <w:rFonts w:eastAsia="Times New Roman" w:cs="Times New Roman"/>
                <w:color w:val="000000"/>
                <w:sz w:val="20"/>
                <w:szCs w:val="20"/>
                <w:lang w:eastAsia="sk-SK"/>
              </w:rPr>
              <w:t>-</w:t>
            </w:r>
            <w:r>
              <w:rPr>
                <w:rFonts w:eastAsia="Times New Roman" w:cs="Times New Roman"/>
                <w:color w:val="000000"/>
                <w:sz w:val="20"/>
                <w:szCs w:val="20"/>
                <w:lang w:eastAsia="sk-SK"/>
              </w:rPr>
              <w:t>31,8</w:t>
            </w:r>
          </w:p>
        </w:tc>
      </w:tr>
      <w:tr w:rsidR="004C3312" w:rsidRPr="00DB50F6" w14:paraId="2E72E26E" w14:textId="77777777" w:rsidTr="00F82A99">
        <w:trPr>
          <w:trHeight w:val="289"/>
        </w:trPr>
        <w:tc>
          <w:tcPr>
            <w:tcW w:w="3402" w:type="dxa"/>
            <w:tcBorders>
              <w:top w:val="nil"/>
              <w:left w:val="nil"/>
              <w:bottom w:val="nil"/>
              <w:right w:val="nil"/>
            </w:tcBorders>
            <w:shd w:val="clear" w:color="000000" w:fill="FFFFFF"/>
            <w:noWrap/>
            <w:vAlign w:val="center"/>
            <w:hideMark/>
          </w:tcPr>
          <w:p w14:paraId="1CAFC408" w14:textId="77777777" w:rsidR="004C3312" w:rsidRPr="005A1223" w:rsidRDefault="004C3312" w:rsidP="004C3312">
            <w:pPr>
              <w:spacing w:after="0" w:line="240" w:lineRule="auto"/>
              <w:rPr>
                <w:rFonts w:eastAsia="Times New Roman" w:cs="Times New Roman"/>
                <w:i/>
                <w:color w:val="000000"/>
                <w:sz w:val="20"/>
                <w:szCs w:val="20"/>
                <w:lang w:eastAsia="sk-SK"/>
              </w:rPr>
            </w:pPr>
            <w:r w:rsidRPr="005A1223">
              <w:rPr>
                <w:rFonts w:eastAsia="Times New Roman" w:cs="Times New Roman"/>
                <w:i/>
                <w:color w:val="000000"/>
                <w:sz w:val="20"/>
                <w:szCs w:val="20"/>
                <w:lang w:eastAsia="sk-SK"/>
              </w:rPr>
              <w:t xml:space="preserve">       prostriedky z rozpočtu EÚ (POO)</w:t>
            </w:r>
          </w:p>
        </w:tc>
        <w:tc>
          <w:tcPr>
            <w:tcW w:w="990" w:type="dxa"/>
            <w:tcBorders>
              <w:top w:val="nil"/>
              <w:left w:val="nil"/>
              <w:bottom w:val="nil"/>
              <w:right w:val="nil"/>
            </w:tcBorders>
            <w:shd w:val="clear" w:color="000000" w:fill="FFFFFF"/>
            <w:vAlign w:val="center"/>
          </w:tcPr>
          <w:p w14:paraId="1E002D1E"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0</w:t>
            </w:r>
          </w:p>
        </w:tc>
        <w:tc>
          <w:tcPr>
            <w:tcW w:w="990" w:type="dxa"/>
            <w:tcBorders>
              <w:top w:val="nil"/>
              <w:left w:val="nil"/>
              <w:bottom w:val="nil"/>
              <w:right w:val="nil"/>
            </w:tcBorders>
            <w:shd w:val="clear" w:color="auto" w:fill="auto"/>
            <w:vAlign w:val="center"/>
          </w:tcPr>
          <w:p w14:paraId="07CF92F2"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4 283</w:t>
            </w:r>
          </w:p>
        </w:tc>
        <w:tc>
          <w:tcPr>
            <w:tcW w:w="990" w:type="dxa"/>
            <w:tcBorders>
              <w:top w:val="nil"/>
              <w:left w:val="nil"/>
              <w:bottom w:val="nil"/>
              <w:right w:val="nil"/>
            </w:tcBorders>
            <w:shd w:val="clear" w:color="000000" w:fill="FFFFFF"/>
            <w:vAlign w:val="center"/>
          </w:tcPr>
          <w:p w14:paraId="4145067C" w14:textId="77777777" w:rsidR="004C3312" w:rsidRPr="0044339F"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1 </w:t>
            </w:r>
            <w:r w:rsidRPr="0044339F">
              <w:rPr>
                <w:rFonts w:eastAsia="Times New Roman" w:cs="Times New Roman"/>
                <w:color w:val="000000"/>
                <w:sz w:val="20"/>
                <w:szCs w:val="20"/>
                <w:lang w:eastAsia="sk-SK"/>
              </w:rPr>
              <w:t>301 972</w:t>
            </w:r>
          </w:p>
        </w:tc>
        <w:tc>
          <w:tcPr>
            <w:tcW w:w="990" w:type="dxa"/>
            <w:tcBorders>
              <w:top w:val="nil"/>
              <w:left w:val="nil"/>
              <w:bottom w:val="nil"/>
              <w:right w:val="nil"/>
            </w:tcBorders>
            <w:shd w:val="clear" w:color="auto" w:fill="auto"/>
            <w:vAlign w:val="center"/>
          </w:tcPr>
          <w:p w14:paraId="1016A236" w14:textId="77777777" w:rsidR="004C3312" w:rsidRPr="00E27073"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41 061</w:t>
            </w:r>
          </w:p>
        </w:tc>
        <w:tc>
          <w:tcPr>
            <w:tcW w:w="1173" w:type="dxa"/>
            <w:tcBorders>
              <w:top w:val="nil"/>
              <w:left w:val="nil"/>
              <w:bottom w:val="nil"/>
              <w:right w:val="nil"/>
            </w:tcBorders>
            <w:shd w:val="clear" w:color="000000" w:fill="FFFFFF"/>
            <w:vAlign w:val="center"/>
          </w:tcPr>
          <w:p w14:paraId="4F5998F4"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-1 260 911</w:t>
            </w:r>
          </w:p>
        </w:tc>
        <w:tc>
          <w:tcPr>
            <w:tcW w:w="919" w:type="dxa"/>
            <w:tcBorders>
              <w:top w:val="nil"/>
              <w:left w:val="nil"/>
              <w:bottom w:val="nil"/>
              <w:right w:val="nil"/>
            </w:tcBorders>
            <w:shd w:val="clear" w:color="000000" w:fill="FFFFFF"/>
            <w:vAlign w:val="center"/>
          </w:tcPr>
          <w:p w14:paraId="3B4DB058" w14:textId="77777777" w:rsidR="004C3312" w:rsidRPr="00DB50F6" w:rsidRDefault="004C3312" w:rsidP="004C3312">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-96,8</w:t>
            </w:r>
          </w:p>
        </w:tc>
      </w:tr>
      <w:tr w:rsidR="004C3312" w:rsidRPr="001205D5" w14:paraId="5FDF76AF" w14:textId="77777777" w:rsidTr="00F82A99">
        <w:trPr>
          <w:trHeight w:val="288"/>
        </w:trPr>
        <w:tc>
          <w:tcPr>
            <w:tcW w:w="3402" w:type="dxa"/>
            <w:tcBorders>
              <w:top w:val="single" w:sz="4" w:space="0" w:color="auto"/>
              <w:left w:val="nil"/>
              <w:bottom w:val="single" w:sz="4" w:space="0" w:color="auto"/>
              <w:right w:val="nil"/>
            </w:tcBorders>
            <w:shd w:val="clear" w:color="000000" w:fill="FFFFFF"/>
            <w:noWrap/>
            <w:vAlign w:val="center"/>
            <w:hideMark/>
          </w:tcPr>
          <w:p w14:paraId="08657439" w14:textId="77777777" w:rsidR="004C3312" w:rsidRPr="00F82A99" w:rsidRDefault="004C3312" w:rsidP="004C3312">
            <w:pPr>
              <w:spacing w:after="0" w:line="240" w:lineRule="auto"/>
              <w:rPr>
                <w:rFonts w:eastAsia="Times New Roman" w:cs="Times New Roman"/>
                <w:b/>
                <w:bCs/>
                <w:color w:val="000000"/>
                <w:sz w:val="20"/>
                <w:szCs w:val="20"/>
                <w:lang w:eastAsia="sk-SK"/>
              </w:rPr>
            </w:pPr>
            <w:r w:rsidRPr="00F82A99">
              <w:rPr>
                <w:rFonts w:eastAsia="Times New Roman" w:cs="Times New Roman"/>
                <w:b/>
                <w:bCs/>
                <w:color w:val="000000"/>
                <w:sz w:val="20"/>
                <w:szCs w:val="20"/>
                <w:lang w:eastAsia="sk-SK"/>
              </w:rPr>
              <w:t>Spolu</w:t>
            </w:r>
          </w:p>
        </w:tc>
        <w:tc>
          <w:tcPr>
            <w:tcW w:w="990" w:type="dxa"/>
            <w:tcBorders>
              <w:top w:val="single" w:sz="4" w:space="0" w:color="auto"/>
              <w:left w:val="nil"/>
              <w:bottom w:val="single" w:sz="4" w:space="0" w:color="auto"/>
              <w:right w:val="nil"/>
            </w:tcBorders>
            <w:shd w:val="clear" w:color="000000" w:fill="FFFFFF"/>
            <w:noWrap/>
            <w:vAlign w:val="center"/>
            <w:hideMark/>
          </w:tcPr>
          <w:p w14:paraId="37287584" w14:textId="77777777" w:rsidR="004C3312" w:rsidRPr="00F82A99" w:rsidRDefault="004C3312" w:rsidP="004C3312">
            <w:pPr>
              <w:spacing w:after="0" w:line="240" w:lineRule="auto"/>
              <w:jc w:val="right"/>
              <w:rPr>
                <w:rFonts w:eastAsia="Times New Roman" w:cs="Times New Roman"/>
                <w:b/>
                <w:bCs/>
                <w:color w:val="000000"/>
                <w:sz w:val="20"/>
                <w:szCs w:val="20"/>
                <w:lang w:eastAsia="sk-SK"/>
              </w:rPr>
            </w:pPr>
            <w:r w:rsidRPr="00F82A99">
              <w:rPr>
                <w:rFonts w:eastAsia="Times New Roman" w:cs="Times New Roman"/>
                <w:b/>
                <w:bCs/>
                <w:color w:val="000000"/>
                <w:sz w:val="20"/>
                <w:szCs w:val="20"/>
                <w:lang w:eastAsia="sk-SK"/>
              </w:rPr>
              <w:t>2 588 586 </w:t>
            </w:r>
          </w:p>
        </w:tc>
        <w:tc>
          <w:tcPr>
            <w:tcW w:w="990" w:type="dxa"/>
            <w:tcBorders>
              <w:top w:val="single" w:sz="4" w:space="0" w:color="auto"/>
              <w:left w:val="nil"/>
              <w:bottom w:val="single" w:sz="4" w:space="0" w:color="auto"/>
              <w:right w:val="nil"/>
            </w:tcBorders>
            <w:shd w:val="clear" w:color="auto" w:fill="auto"/>
            <w:noWrap/>
            <w:vAlign w:val="center"/>
            <w:hideMark/>
          </w:tcPr>
          <w:p w14:paraId="26311562" w14:textId="77777777" w:rsidR="004C3312" w:rsidRPr="00F82A99" w:rsidRDefault="004C3312" w:rsidP="004C3312">
            <w:pPr>
              <w:spacing w:after="0" w:line="240" w:lineRule="auto"/>
              <w:jc w:val="right"/>
              <w:rPr>
                <w:rFonts w:eastAsia="Times New Roman" w:cs="Times New Roman"/>
                <w:b/>
                <w:bCs/>
                <w:color w:val="000000"/>
                <w:sz w:val="20"/>
                <w:szCs w:val="20"/>
                <w:lang w:eastAsia="sk-SK"/>
              </w:rPr>
            </w:pPr>
            <w:r w:rsidRPr="00F82A99">
              <w:rPr>
                <w:rFonts w:eastAsia="Times New Roman" w:cs="Times New Roman"/>
                <w:b/>
                <w:bCs/>
                <w:color w:val="000000"/>
                <w:sz w:val="20"/>
                <w:szCs w:val="20"/>
                <w:lang w:eastAsia="sk-SK"/>
              </w:rPr>
              <w:t>2 312 939 </w:t>
            </w:r>
          </w:p>
        </w:tc>
        <w:tc>
          <w:tcPr>
            <w:tcW w:w="990" w:type="dxa"/>
            <w:tcBorders>
              <w:top w:val="single" w:sz="4" w:space="0" w:color="auto"/>
              <w:left w:val="nil"/>
              <w:bottom w:val="single" w:sz="4" w:space="0" w:color="auto"/>
              <w:right w:val="nil"/>
            </w:tcBorders>
            <w:shd w:val="clear" w:color="000000" w:fill="FFFFFF"/>
            <w:noWrap/>
            <w:vAlign w:val="center"/>
            <w:hideMark/>
          </w:tcPr>
          <w:p w14:paraId="440E0E91" w14:textId="77777777" w:rsidR="004C3312" w:rsidRPr="00F82A99" w:rsidRDefault="004C3312" w:rsidP="004C3312">
            <w:pPr>
              <w:spacing w:after="0" w:line="240" w:lineRule="auto"/>
              <w:jc w:val="right"/>
              <w:rPr>
                <w:rFonts w:eastAsia="Times New Roman" w:cs="Times New Roman"/>
                <w:b/>
                <w:bCs/>
                <w:color w:val="000000"/>
                <w:sz w:val="20"/>
                <w:szCs w:val="20"/>
                <w:lang w:eastAsia="sk-SK"/>
              </w:rPr>
            </w:pPr>
            <w:r w:rsidRPr="00F82A99">
              <w:rPr>
                <w:rFonts w:eastAsia="Times New Roman" w:cs="Times New Roman"/>
                <w:b/>
                <w:bCs/>
                <w:color w:val="000000"/>
                <w:sz w:val="20"/>
                <w:szCs w:val="20"/>
                <w:lang w:eastAsia="sk-SK"/>
              </w:rPr>
              <w:t>4 491 227</w:t>
            </w:r>
          </w:p>
        </w:tc>
        <w:tc>
          <w:tcPr>
            <w:tcW w:w="990" w:type="dxa"/>
            <w:tcBorders>
              <w:top w:val="single" w:sz="4" w:space="0" w:color="auto"/>
              <w:left w:val="nil"/>
              <w:bottom w:val="single" w:sz="4" w:space="0" w:color="auto"/>
              <w:right w:val="nil"/>
            </w:tcBorders>
            <w:shd w:val="clear" w:color="auto" w:fill="auto"/>
            <w:noWrap/>
            <w:vAlign w:val="center"/>
            <w:hideMark/>
          </w:tcPr>
          <w:p w14:paraId="6A51B2D4" w14:textId="77777777" w:rsidR="004C3312" w:rsidRPr="00F82A99" w:rsidRDefault="004C3312" w:rsidP="004C3312">
            <w:pPr>
              <w:spacing w:after="0" w:line="240" w:lineRule="auto"/>
              <w:jc w:val="right"/>
              <w:rPr>
                <w:rFonts w:eastAsia="Times New Roman" w:cs="Times New Roman"/>
                <w:b/>
                <w:bCs/>
                <w:color w:val="000000"/>
                <w:sz w:val="20"/>
                <w:szCs w:val="20"/>
                <w:lang w:eastAsia="sk-SK"/>
              </w:rPr>
            </w:pPr>
            <w:r w:rsidRPr="00F82A99">
              <w:rPr>
                <w:rFonts w:eastAsia="Times New Roman" w:cs="Times New Roman"/>
                <w:b/>
                <w:bCs/>
                <w:color w:val="000000"/>
                <w:sz w:val="20"/>
                <w:szCs w:val="20"/>
                <w:lang w:eastAsia="sk-SK"/>
              </w:rPr>
              <w:t>2 227 577 </w:t>
            </w:r>
          </w:p>
        </w:tc>
        <w:tc>
          <w:tcPr>
            <w:tcW w:w="1173" w:type="dxa"/>
            <w:tcBorders>
              <w:top w:val="single" w:sz="4" w:space="0" w:color="auto"/>
              <w:left w:val="nil"/>
              <w:bottom w:val="single" w:sz="4" w:space="0" w:color="auto"/>
              <w:right w:val="nil"/>
            </w:tcBorders>
            <w:shd w:val="clear" w:color="000000" w:fill="FFFFFF"/>
            <w:noWrap/>
            <w:vAlign w:val="center"/>
            <w:hideMark/>
          </w:tcPr>
          <w:p w14:paraId="5B466D45" w14:textId="77777777" w:rsidR="004C3312" w:rsidRPr="00F82A99" w:rsidRDefault="004C3312" w:rsidP="004C3312">
            <w:pPr>
              <w:spacing w:after="0" w:line="240" w:lineRule="auto"/>
              <w:jc w:val="right"/>
              <w:rPr>
                <w:rFonts w:eastAsia="Times New Roman" w:cs="Times New Roman"/>
                <w:b/>
                <w:bCs/>
                <w:color w:val="000000"/>
                <w:sz w:val="20"/>
                <w:szCs w:val="20"/>
                <w:lang w:eastAsia="sk-SK"/>
              </w:rPr>
            </w:pPr>
            <w:r w:rsidRPr="00F82A99">
              <w:rPr>
                <w:rFonts w:eastAsia="Times New Roman" w:cs="Times New Roman"/>
                <w:b/>
                <w:bCs/>
                <w:color w:val="000000"/>
                <w:sz w:val="20"/>
                <w:szCs w:val="20"/>
                <w:lang w:eastAsia="sk-SK"/>
              </w:rPr>
              <w:t>-2 263 650</w:t>
            </w:r>
          </w:p>
        </w:tc>
        <w:tc>
          <w:tcPr>
            <w:tcW w:w="919" w:type="dxa"/>
            <w:tcBorders>
              <w:top w:val="single" w:sz="4" w:space="0" w:color="auto"/>
              <w:left w:val="nil"/>
              <w:bottom w:val="single" w:sz="4" w:space="0" w:color="auto"/>
              <w:right w:val="nil"/>
            </w:tcBorders>
            <w:shd w:val="clear" w:color="000000" w:fill="FFFFFF"/>
            <w:noWrap/>
            <w:vAlign w:val="center"/>
            <w:hideMark/>
          </w:tcPr>
          <w:p w14:paraId="37DACC61" w14:textId="77777777" w:rsidR="004C3312" w:rsidRPr="00F82A99" w:rsidRDefault="004C3312" w:rsidP="004C3312">
            <w:pPr>
              <w:spacing w:after="0" w:line="240" w:lineRule="auto"/>
              <w:jc w:val="right"/>
              <w:rPr>
                <w:rFonts w:eastAsia="Times New Roman" w:cs="Times New Roman"/>
                <w:b/>
                <w:bCs/>
                <w:color w:val="000000"/>
                <w:sz w:val="20"/>
                <w:szCs w:val="20"/>
                <w:lang w:eastAsia="sk-SK"/>
              </w:rPr>
            </w:pPr>
          </w:p>
        </w:tc>
      </w:tr>
    </w:tbl>
    <w:p w14:paraId="4520346A" w14:textId="77777777" w:rsidR="004C3312" w:rsidRPr="009E4259" w:rsidRDefault="004C3312" w:rsidP="004C3312">
      <w:pPr>
        <w:spacing w:line="240" w:lineRule="auto"/>
        <w:jc w:val="right"/>
        <w:rPr>
          <w:color w:val="000000" w:themeColor="text1"/>
          <w:sz w:val="20"/>
          <w:szCs w:val="20"/>
        </w:rPr>
      </w:pPr>
      <w:r w:rsidRPr="009E4259">
        <w:rPr>
          <w:color w:val="000000" w:themeColor="text1"/>
          <w:sz w:val="20"/>
          <w:szCs w:val="20"/>
        </w:rPr>
        <w:t>Zdroj: MF SR</w:t>
      </w:r>
    </w:p>
    <w:p w14:paraId="079CAAC4" w14:textId="77777777" w:rsidR="004C3312" w:rsidRPr="00382B84" w:rsidRDefault="004C3312" w:rsidP="004C3312">
      <w:pPr>
        <w:spacing w:line="240" w:lineRule="auto"/>
        <w:rPr>
          <w:sz w:val="24"/>
          <w:szCs w:val="24"/>
        </w:rPr>
      </w:pPr>
      <w:r w:rsidRPr="00382B84">
        <w:rPr>
          <w:sz w:val="24"/>
          <w:szCs w:val="24"/>
        </w:rPr>
        <w:lastRenderedPageBreak/>
        <w:t xml:space="preserve">Tuzemské granty a transfery svojim skutočným plnením v sume 39 874 tis. eur tvorili len 1,8 % z celkovo dosiahnutých grantov a transferov. </w:t>
      </w:r>
    </w:p>
    <w:p w14:paraId="204FC9BE" w14:textId="6F90963D" w:rsidR="004C3312" w:rsidRPr="00CF58A3" w:rsidRDefault="004C3312" w:rsidP="004C3312">
      <w:pPr>
        <w:spacing w:line="240" w:lineRule="auto"/>
        <w:rPr>
          <w:sz w:val="24"/>
          <w:szCs w:val="24"/>
          <w:highlight w:val="yellow"/>
        </w:rPr>
      </w:pPr>
      <w:r w:rsidRPr="00023364">
        <w:rPr>
          <w:sz w:val="24"/>
          <w:szCs w:val="24"/>
        </w:rPr>
        <w:t>Schválený rozpočet príjmov zo zahraničných transferov na rok 2022 bol vo výške 4 449 973 tis. </w:t>
      </w:r>
      <w:r>
        <w:rPr>
          <w:sz w:val="24"/>
          <w:szCs w:val="24"/>
        </w:rPr>
        <w:t xml:space="preserve">eur, </w:t>
      </w:r>
      <w:r w:rsidRPr="00B52DF9">
        <w:rPr>
          <w:sz w:val="24"/>
          <w:szCs w:val="24"/>
        </w:rPr>
        <w:t>z toho príjmy za prostriedky EÚ b</w:t>
      </w:r>
      <w:r>
        <w:rPr>
          <w:sz w:val="24"/>
          <w:szCs w:val="24"/>
        </w:rPr>
        <w:t>oli rozpočtované vo výške 3 148 </w:t>
      </w:r>
      <w:r w:rsidRPr="00B52DF9">
        <w:rPr>
          <w:sz w:val="24"/>
          <w:szCs w:val="24"/>
        </w:rPr>
        <w:t>001 tis. eur a príjmy za Plán obnov</w:t>
      </w:r>
      <w:r>
        <w:rPr>
          <w:sz w:val="24"/>
          <w:szCs w:val="24"/>
        </w:rPr>
        <w:t>y a odolnosti (POO) SR vo výške 1 301 </w:t>
      </w:r>
      <w:r w:rsidRPr="00B52DF9">
        <w:rPr>
          <w:sz w:val="24"/>
          <w:szCs w:val="24"/>
        </w:rPr>
        <w:t>972 tis. eur.</w:t>
      </w:r>
      <w:r w:rsidRPr="00B019A3">
        <w:rPr>
          <w:sz w:val="24"/>
          <w:szCs w:val="24"/>
        </w:rPr>
        <w:t xml:space="preserve"> Skutočné plnenie týchto</w:t>
      </w:r>
      <w:r w:rsidR="00E24084">
        <w:rPr>
          <w:sz w:val="24"/>
          <w:szCs w:val="24"/>
        </w:rPr>
        <w:t xml:space="preserve"> príjmov bolo vo výške 2 187 702</w:t>
      </w:r>
      <w:r>
        <w:rPr>
          <w:sz w:val="24"/>
          <w:szCs w:val="24"/>
        </w:rPr>
        <w:t> tis. </w:t>
      </w:r>
      <w:r w:rsidRPr="00B019A3">
        <w:rPr>
          <w:sz w:val="24"/>
          <w:szCs w:val="24"/>
        </w:rPr>
        <w:t>eur</w:t>
      </w:r>
      <w:r>
        <w:rPr>
          <w:sz w:val="24"/>
          <w:szCs w:val="24"/>
        </w:rPr>
        <w:t>, z toho za POO</w:t>
      </w:r>
      <w:r w:rsidRPr="00B019A3">
        <w:rPr>
          <w:sz w:val="24"/>
          <w:szCs w:val="24"/>
        </w:rPr>
        <w:t xml:space="preserve"> </w:t>
      </w:r>
      <w:r>
        <w:rPr>
          <w:sz w:val="24"/>
          <w:szCs w:val="24"/>
        </w:rPr>
        <w:t>41 061 tis. eur.</w:t>
      </w:r>
    </w:p>
    <w:p w14:paraId="2FFB3BC4" w14:textId="0F3B80FD" w:rsidR="004C3312" w:rsidRDefault="004C3312" w:rsidP="004C3312">
      <w:pPr>
        <w:spacing w:line="240" w:lineRule="auto"/>
        <w:rPr>
          <w:sz w:val="24"/>
          <w:szCs w:val="24"/>
          <w:u w:val="single"/>
        </w:rPr>
      </w:pPr>
      <w:r w:rsidRPr="00207990">
        <w:rPr>
          <w:sz w:val="24"/>
          <w:szCs w:val="24"/>
        </w:rPr>
        <w:t>Zahraničné transfery dos</w:t>
      </w:r>
      <w:r w:rsidR="00E24084">
        <w:rPr>
          <w:sz w:val="24"/>
          <w:szCs w:val="24"/>
        </w:rPr>
        <w:t>iahli 2 187 702</w:t>
      </w:r>
      <w:r w:rsidRPr="00207990">
        <w:rPr>
          <w:sz w:val="24"/>
          <w:szCs w:val="24"/>
        </w:rPr>
        <w:t> tis. eur, čo predstavuje oproti schválenému rozpočtu</w:t>
      </w:r>
      <w:r w:rsidRPr="00CF58A3">
        <w:rPr>
          <w:sz w:val="24"/>
          <w:szCs w:val="24"/>
          <w:highlight w:val="yellow"/>
        </w:rPr>
        <w:t xml:space="preserve"> </w:t>
      </w:r>
      <w:r w:rsidRPr="00207990">
        <w:rPr>
          <w:sz w:val="24"/>
          <w:szCs w:val="24"/>
        </w:rPr>
        <w:t>nižšie plnenie až o 2 262 271 tis. eur</w:t>
      </w:r>
      <w:r>
        <w:rPr>
          <w:sz w:val="24"/>
          <w:szCs w:val="24"/>
        </w:rPr>
        <w:t>, z toho prostriedky EŠIF sa nenaplnili o 1 001 360 tis. eur a prostriedky POO o 1 260 911 tis. eur</w:t>
      </w:r>
      <w:r w:rsidRPr="00207990">
        <w:rPr>
          <w:sz w:val="24"/>
          <w:szCs w:val="24"/>
        </w:rPr>
        <w:t xml:space="preserve">. </w:t>
      </w:r>
    </w:p>
    <w:p w14:paraId="54309B74" w14:textId="77777777" w:rsidR="004C3312" w:rsidRPr="00BD06F8" w:rsidRDefault="004C3312" w:rsidP="004C3312">
      <w:pPr>
        <w:spacing w:line="240" w:lineRule="auto"/>
        <w:rPr>
          <w:sz w:val="24"/>
          <w:szCs w:val="24"/>
        </w:rPr>
      </w:pPr>
      <w:r w:rsidRPr="00BD06F8">
        <w:rPr>
          <w:sz w:val="24"/>
          <w:szCs w:val="24"/>
        </w:rPr>
        <w:t xml:space="preserve">Jedným z hlavných dôvodov rozdielu medzi rozpočtovanými výdavkami a skutočným čerpaním bolo aplikovanie zásady rozpočtového krytia zo strany vykonávateľov plánu obnovy – teda rozpočtovania výdavkov už v čase vyhlasovania výziev a priamych vyzvaní, pričom samotné výdavky na základe týchto vyhlásených výziev a priamych vyzvaní môžu vzniknúť až v nasledujúcich rozpočtových rokoch. Existuje teda časový nesúlad medzi vyhlasovaním výziev/priamych vyzvaní a vzniku reálnych výdavkov v rámci implementovaných projektov. </w:t>
      </w:r>
    </w:p>
    <w:p w14:paraId="596579C0" w14:textId="1E08371F" w:rsidR="004C3312" w:rsidRDefault="004C3312" w:rsidP="004C3312">
      <w:pPr>
        <w:spacing w:line="240" w:lineRule="auto"/>
        <w:rPr>
          <w:sz w:val="24"/>
          <w:szCs w:val="24"/>
        </w:rPr>
      </w:pPr>
      <w:r w:rsidRPr="00257E78">
        <w:rPr>
          <w:sz w:val="24"/>
          <w:szCs w:val="24"/>
        </w:rPr>
        <w:t xml:space="preserve">Rozpočet príjmov za prostriedky EÚ bol v roku 2022 upravený na </w:t>
      </w:r>
      <w:r w:rsidRPr="00023364">
        <w:rPr>
          <w:sz w:val="24"/>
          <w:szCs w:val="24"/>
        </w:rPr>
        <w:t>úroveň 2 146 641</w:t>
      </w:r>
      <w:r w:rsidR="009A0768">
        <w:rPr>
          <w:sz w:val="24"/>
          <w:szCs w:val="24"/>
        </w:rPr>
        <w:t xml:space="preserve"> tis. </w:t>
      </w:r>
      <w:r w:rsidRPr="00257E78">
        <w:rPr>
          <w:sz w:val="24"/>
          <w:szCs w:val="24"/>
        </w:rPr>
        <w:t>eur.</w:t>
      </w:r>
      <w:r w:rsidR="009A0768">
        <w:rPr>
          <w:sz w:val="24"/>
          <w:szCs w:val="24"/>
        </w:rPr>
        <w:t xml:space="preserve"> K </w:t>
      </w:r>
      <w:r w:rsidRPr="00257E78">
        <w:rPr>
          <w:sz w:val="24"/>
          <w:szCs w:val="24"/>
        </w:rPr>
        <w:t>úpravám došlo v nadväznosti na vysporiadanie finančných prostriedkov za finančné opravy v zmysle § 15 zákona o rozpočtových pravidlách verejnej správy, v nadväznosti na prijaté oznámenia o výške prostriedkov, ktoré budú použité v nasledujúcich rokoch v zmysle § 8 zákona o rozpočtových pravidlách verejnej správy a v nadväznosti na ostatné viazania prostriedkov v zmysle § 18 zákona o rozpočtových pravidlách verejnej správy.</w:t>
      </w:r>
    </w:p>
    <w:p w14:paraId="24FC96B0" w14:textId="4003C395" w:rsidR="004C3312" w:rsidRPr="009F3474" w:rsidRDefault="004C3312" w:rsidP="004C3312">
      <w:pPr>
        <w:spacing w:line="240" w:lineRule="auto"/>
        <w:rPr>
          <w:sz w:val="24"/>
          <w:szCs w:val="24"/>
        </w:rPr>
      </w:pPr>
      <w:r w:rsidRPr="009F3474">
        <w:rPr>
          <w:b/>
          <w:sz w:val="24"/>
          <w:szCs w:val="24"/>
        </w:rPr>
        <w:t xml:space="preserve">Prostriedky z plánu obnovy a odolnosti </w:t>
      </w:r>
      <w:r w:rsidRPr="009F3474">
        <w:rPr>
          <w:sz w:val="24"/>
          <w:szCs w:val="24"/>
        </w:rPr>
        <w:t xml:space="preserve">boli rozpočtované v sume 1 301 972 tis. eur a skutočné plnenie dosiahlo sumu </w:t>
      </w:r>
      <w:r w:rsidR="003A4748">
        <w:rPr>
          <w:sz w:val="24"/>
          <w:szCs w:val="24"/>
        </w:rPr>
        <w:t>41 061</w:t>
      </w:r>
      <w:r w:rsidRPr="009F3474">
        <w:rPr>
          <w:sz w:val="24"/>
          <w:szCs w:val="24"/>
        </w:rPr>
        <w:t xml:space="preserve"> tis. eur. </w:t>
      </w:r>
      <w:r w:rsidR="009F3474" w:rsidRPr="009F3474">
        <w:rPr>
          <w:sz w:val="24"/>
          <w:szCs w:val="24"/>
        </w:rPr>
        <w:t>Prostriedky do príjmov štátneho rozpočtu boli prevedené v dvoch platbách, pričom sa vychádzalo z aktuálneho plnenia výdavkov na strane jednotlivých kapitol ŠR</w:t>
      </w:r>
      <w:r w:rsidR="009F3474">
        <w:rPr>
          <w:sz w:val="24"/>
          <w:szCs w:val="24"/>
        </w:rPr>
        <w:t xml:space="preserve"> </w:t>
      </w:r>
      <w:r w:rsidR="009F3474" w:rsidRPr="009F3474">
        <w:rPr>
          <w:i/>
          <w:sz w:val="24"/>
          <w:szCs w:val="24"/>
        </w:rPr>
        <w:t>(bližší popis rozpočtu výdavkov je uvedený v kapitole 3.2. Výdavky).</w:t>
      </w:r>
    </w:p>
    <w:p w14:paraId="092DB2E9" w14:textId="476FDAD8" w:rsidR="004C3312" w:rsidRPr="00B2278A" w:rsidRDefault="004C3312" w:rsidP="004C3312">
      <w:pPr>
        <w:spacing w:line="240" w:lineRule="auto"/>
        <w:rPr>
          <w:sz w:val="24"/>
          <w:szCs w:val="24"/>
        </w:rPr>
      </w:pPr>
      <w:r w:rsidRPr="00257E78">
        <w:rPr>
          <w:sz w:val="24"/>
          <w:szCs w:val="24"/>
        </w:rPr>
        <w:t xml:space="preserve">Skutočné plnenie príjmov za prostriedky EÚ vo výške </w:t>
      </w:r>
      <w:r w:rsidRPr="00B52DF9">
        <w:rPr>
          <w:sz w:val="24"/>
          <w:szCs w:val="24"/>
        </w:rPr>
        <w:t>2 146 641 tis</w:t>
      </w:r>
      <w:r w:rsidRPr="00257E78">
        <w:rPr>
          <w:sz w:val="24"/>
          <w:szCs w:val="24"/>
        </w:rPr>
        <w:t>. eur predstavuje plnenie na úrovni 100 % z upraveného rozpočtu</w:t>
      </w:r>
      <w:r w:rsidR="00D85083">
        <w:rPr>
          <w:sz w:val="24"/>
          <w:szCs w:val="24"/>
        </w:rPr>
        <w:t xml:space="preserve"> </w:t>
      </w:r>
      <w:r w:rsidR="00D85083" w:rsidRPr="009F3474">
        <w:rPr>
          <w:i/>
          <w:sz w:val="24"/>
          <w:szCs w:val="24"/>
        </w:rPr>
        <w:t>(bližší popis rozpočtu výdavkov je uvedený v kapitole 3.</w:t>
      </w:r>
      <w:r w:rsidR="00D85083">
        <w:rPr>
          <w:i/>
          <w:sz w:val="24"/>
          <w:szCs w:val="24"/>
        </w:rPr>
        <w:t>4</w:t>
      </w:r>
      <w:r w:rsidR="00D85083" w:rsidRPr="009F3474">
        <w:rPr>
          <w:i/>
          <w:sz w:val="24"/>
          <w:szCs w:val="24"/>
        </w:rPr>
        <w:t xml:space="preserve">. </w:t>
      </w:r>
      <w:r w:rsidR="00D85083">
        <w:rPr>
          <w:i/>
          <w:sz w:val="24"/>
          <w:szCs w:val="24"/>
        </w:rPr>
        <w:t>Vzťahy štátneho rozpočtu k Európskej únii</w:t>
      </w:r>
      <w:r w:rsidR="00D85083" w:rsidRPr="009F3474">
        <w:rPr>
          <w:i/>
          <w:sz w:val="24"/>
          <w:szCs w:val="24"/>
        </w:rPr>
        <w:t>)</w:t>
      </w:r>
      <w:r w:rsidR="00D85083">
        <w:rPr>
          <w:i/>
          <w:sz w:val="24"/>
          <w:szCs w:val="24"/>
        </w:rPr>
        <w:t>.</w:t>
      </w:r>
      <w:r w:rsidRPr="00257E78">
        <w:rPr>
          <w:sz w:val="24"/>
          <w:szCs w:val="24"/>
        </w:rPr>
        <w:t xml:space="preserve"> </w:t>
      </w:r>
    </w:p>
    <w:p w14:paraId="3935475F" w14:textId="73C86B6B" w:rsidR="004C3312" w:rsidRPr="0069175F" w:rsidRDefault="004C3312" w:rsidP="004C3312">
      <w:pPr>
        <w:spacing w:line="240" w:lineRule="auto"/>
        <w:rPr>
          <w:sz w:val="24"/>
          <w:szCs w:val="24"/>
        </w:rPr>
      </w:pPr>
      <w:r w:rsidRPr="00CE4046">
        <w:rPr>
          <w:sz w:val="24"/>
          <w:szCs w:val="24"/>
        </w:rPr>
        <w:t xml:space="preserve">Najvyšší príjem zo zahraničných transferov bol v kapitole </w:t>
      </w:r>
      <w:r w:rsidRPr="00CE4046">
        <w:rPr>
          <w:sz w:val="24"/>
          <w:szCs w:val="24"/>
          <w:u w:val="single"/>
        </w:rPr>
        <w:t>Ministerstva dopravy a výstavby SR</w:t>
      </w:r>
      <w:r w:rsidRPr="00CE4046">
        <w:rPr>
          <w:sz w:val="24"/>
          <w:szCs w:val="24"/>
        </w:rPr>
        <w:t xml:space="preserve"> v celkovej čiastke 4</w:t>
      </w:r>
      <w:r w:rsidR="009C4320">
        <w:rPr>
          <w:sz w:val="24"/>
          <w:szCs w:val="24"/>
        </w:rPr>
        <w:t>83 991</w:t>
      </w:r>
      <w:r w:rsidRPr="00CE4046">
        <w:rPr>
          <w:sz w:val="24"/>
          <w:szCs w:val="24"/>
        </w:rPr>
        <w:t xml:space="preserve"> tis. eur, </w:t>
      </w:r>
      <w:r w:rsidRPr="008F1CA4">
        <w:rPr>
          <w:sz w:val="24"/>
          <w:szCs w:val="24"/>
        </w:rPr>
        <w:t>z toho plnenie príjmov v rámci Operačného programu Integrovaná infraštruktúra,</w:t>
      </w:r>
      <w:r w:rsidR="009A0768">
        <w:rPr>
          <w:sz w:val="24"/>
          <w:szCs w:val="24"/>
        </w:rPr>
        <w:t xml:space="preserve"> </w:t>
      </w:r>
      <w:r w:rsidRPr="008F1CA4">
        <w:rPr>
          <w:sz w:val="24"/>
          <w:szCs w:val="24"/>
        </w:rPr>
        <w:t>programové obdobie</w:t>
      </w:r>
      <w:r>
        <w:rPr>
          <w:sz w:val="24"/>
          <w:szCs w:val="24"/>
        </w:rPr>
        <w:t xml:space="preserve"> 2014-2022 </w:t>
      </w:r>
      <w:r w:rsidR="009A0768">
        <w:rPr>
          <w:sz w:val="24"/>
          <w:szCs w:val="24"/>
        </w:rPr>
        <w:t>(</w:t>
      </w:r>
      <w:r w:rsidRPr="0069175F">
        <w:rPr>
          <w:sz w:val="24"/>
          <w:szCs w:val="24"/>
        </w:rPr>
        <w:t>z toho fond EFDF v sume 171</w:t>
      </w:r>
      <w:r>
        <w:rPr>
          <w:sz w:val="24"/>
          <w:szCs w:val="24"/>
        </w:rPr>
        <w:t> </w:t>
      </w:r>
      <w:r w:rsidRPr="0069175F">
        <w:rPr>
          <w:sz w:val="24"/>
          <w:szCs w:val="24"/>
        </w:rPr>
        <w:t>523 tis. eur a Kohézny fond v sume 312 467 tis. eur</w:t>
      </w:r>
      <w:r w:rsidR="009A0768">
        <w:rPr>
          <w:sz w:val="24"/>
          <w:szCs w:val="24"/>
        </w:rPr>
        <w:t>)</w:t>
      </w:r>
      <w:r w:rsidRPr="0069175F">
        <w:rPr>
          <w:sz w:val="24"/>
          <w:szCs w:val="24"/>
        </w:rPr>
        <w:t>.</w:t>
      </w:r>
    </w:p>
    <w:p w14:paraId="4BFFE03A" w14:textId="5EC4CA3F" w:rsidR="004C3312" w:rsidRDefault="004C3312" w:rsidP="004C3312">
      <w:pPr>
        <w:spacing w:line="240" w:lineRule="auto"/>
        <w:rPr>
          <w:sz w:val="24"/>
          <w:szCs w:val="24"/>
        </w:rPr>
      </w:pPr>
      <w:r w:rsidRPr="00CE4046">
        <w:rPr>
          <w:sz w:val="24"/>
          <w:szCs w:val="24"/>
          <w:u w:val="single"/>
        </w:rPr>
        <w:t>Ministerstvo pôdohospodárstva a rozvoja vidieka SR</w:t>
      </w:r>
      <w:r w:rsidRPr="00CE4046">
        <w:rPr>
          <w:sz w:val="24"/>
          <w:szCs w:val="24"/>
        </w:rPr>
        <w:t xml:space="preserve"> prijalo sumu</w:t>
      </w:r>
      <w:r>
        <w:rPr>
          <w:sz w:val="24"/>
          <w:szCs w:val="24"/>
        </w:rPr>
        <w:t xml:space="preserve"> 372</w:t>
      </w:r>
      <w:r w:rsidR="008E21DC">
        <w:rPr>
          <w:sz w:val="24"/>
          <w:szCs w:val="24"/>
        </w:rPr>
        <w:t> </w:t>
      </w:r>
      <w:r>
        <w:rPr>
          <w:sz w:val="24"/>
          <w:szCs w:val="24"/>
        </w:rPr>
        <w:t xml:space="preserve">156 tis. eur, ktorá bola rozdelená do oblasti pôdohospodárstva a do oblasti rozvoja vidieka. </w:t>
      </w:r>
      <w:r w:rsidRPr="000434CB">
        <w:rPr>
          <w:sz w:val="24"/>
          <w:szCs w:val="24"/>
        </w:rPr>
        <w:t xml:space="preserve">Za oblasť pôdohospodárstva išlo o príjmy z Európskeho poľnohospodárskeho záručného fondu v objeme 238 437 tis. eur a za trhovo </w:t>
      </w:r>
      <w:r w:rsidR="00C11A19">
        <w:rPr>
          <w:sz w:val="24"/>
          <w:szCs w:val="24"/>
        </w:rPr>
        <w:t>orientované výdavky v objeme 14 </w:t>
      </w:r>
      <w:r w:rsidRPr="000434CB">
        <w:rPr>
          <w:sz w:val="24"/>
          <w:szCs w:val="24"/>
        </w:rPr>
        <w:t>013 tis. eur. Príjmy z Európskeho poľnohospodárskeho fondu pre r</w:t>
      </w:r>
      <w:r w:rsidR="00C11A19">
        <w:rPr>
          <w:sz w:val="24"/>
          <w:szCs w:val="24"/>
        </w:rPr>
        <w:t>ozvoj vidieka boli vo výške 119 </w:t>
      </w:r>
      <w:r w:rsidRPr="000434CB">
        <w:rPr>
          <w:sz w:val="24"/>
          <w:szCs w:val="24"/>
        </w:rPr>
        <w:t>333 tis. eur. Príjmy boli upravené o realizované finančné opravy, pozastavenia a zníženia financovania. Príjmy z Európskeho námorného a rybárskeho fondu boli plnené v objeme 373 tis. eur, kde išlo o plnenie príjmov EÚ v rámci programového obdobia 2014-2022, respektíve prechodného obdobia 2014-2022. Príjmy za 4. programové obdobie 2021-2027 neboli k 31.12.2022 plnené.</w:t>
      </w:r>
    </w:p>
    <w:p w14:paraId="3249ED4F" w14:textId="5932749E" w:rsidR="004C3312" w:rsidRDefault="004C3312" w:rsidP="004C3312">
      <w:pPr>
        <w:spacing w:line="240" w:lineRule="auto"/>
        <w:rPr>
          <w:sz w:val="24"/>
          <w:szCs w:val="24"/>
        </w:rPr>
      </w:pPr>
      <w:r w:rsidRPr="00880F20">
        <w:rPr>
          <w:sz w:val="24"/>
          <w:szCs w:val="24"/>
          <w:u w:val="single"/>
        </w:rPr>
        <w:t>Ministerstvo investícií, regionálneho rozvoja a informatizácie SR</w:t>
      </w:r>
      <w:r w:rsidRPr="00880F20">
        <w:rPr>
          <w:sz w:val="24"/>
          <w:szCs w:val="24"/>
        </w:rPr>
        <w:t xml:space="preserve"> prijalo sumu 304 602 tis. eur, </w:t>
      </w:r>
      <w:r w:rsidRPr="00D40ADC">
        <w:rPr>
          <w:sz w:val="24"/>
          <w:szCs w:val="24"/>
        </w:rPr>
        <w:t xml:space="preserve">išlo o príjmy za EÚ časť zo súhrnných žiadostí o platbu ako Integrovaný regionálny operačný program v sume 224 971 tis. eur a INTERREG SK-CZ v </w:t>
      </w:r>
      <w:r w:rsidR="00063234">
        <w:rPr>
          <w:sz w:val="24"/>
          <w:szCs w:val="24"/>
        </w:rPr>
        <w:t>sume 15 083 tis. eur a INTERREG</w:t>
      </w:r>
      <w:r w:rsidR="00063234">
        <w:rPr>
          <w:sz w:val="24"/>
          <w:szCs w:val="24"/>
        </w:rPr>
        <w:br/>
      </w:r>
      <w:r w:rsidRPr="00D40ADC">
        <w:rPr>
          <w:sz w:val="24"/>
          <w:szCs w:val="24"/>
        </w:rPr>
        <w:t>SK-AT v sume 11 359 tis. eur. V rámci Operačného programu Technická pomoc sumu 18 513 tis. eur a v rámci Operačného programu integrovaná infraštruktúra sumu 31 890 tis. eur.</w:t>
      </w:r>
    </w:p>
    <w:p w14:paraId="5921BA2D" w14:textId="77777777" w:rsidR="004C3312" w:rsidRPr="00280C10" w:rsidRDefault="004C3312" w:rsidP="004C3312">
      <w:pPr>
        <w:spacing w:line="240" w:lineRule="auto"/>
        <w:rPr>
          <w:sz w:val="24"/>
          <w:szCs w:val="24"/>
        </w:rPr>
      </w:pPr>
      <w:r w:rsidRPr="001863AC">
        <w:rPr>
          <w:sz w:val="24"/>
          <w:szCs w:val="24"/>
          <w:u w:val="single"/>
        </w:rPr>
        <w:lastRenderedPageBreak/>
        <w:t>Ministerstvo životného prostredia SR</w:t>
      </w:r>
      <w:r w:rsidRPr="001863AC">
        <w:rPr>
          <w:sz w:val="24"/>
          <w:szCs w:val="24"/>
        </w:rPr>
        <w:t xml:space="preserve"> prijalo sumu 290 065 tis. eur</w:t>
      </w:r>
      <w:r w:rsidRPr="00280C10">
        <w:rPr>
          <w:sz w:val="24"/>
          <w:szCs w:val="24"/>
        </w:rPr>
        <w:t>. Išlo o príjmy z rozpočtu Európskej únie, ktoré boli určené na financovanie opatrení Operačného programu Kvalita životného prostredia.</w:t>
      </w:r>
    </w:p>
    <w:p w14:paraId="7DF03F50" w14:textId="30D0F31D" w:rsidR="004C3312" w:rsidRPr="00163464" w:rsidRDefault="004C3312" w:rsidP="004C3312">
      <w:pPr>
        <w:spacing w:line="240" w:lineRule="auto"/>
        <w:rPr>
          <w:sz w:val="24"/>
          <w:szCs w:val="24"/>
        </w:rPr>
      </w:pPr>
      <w:r w:rsidRPr="001863AC">
        <w:rPr>
          <w:sz w:val="24"/>
          <w:szCs w:val="24"/>
        </w:rPr>
        <w:t xml:space="preserve">V kapitole </w:t>
      </w:r>
      <w:r w:rsidRPr="001863AC">
        <w:rPr>
          <w:sz w:val="24"/>
          <w:szCs w:val="24"/>
          <w:u w:val="single"/>
        </w:rPr>
        <w:t xml:space="preserve">Ministerstva hospodárstva SR </w:t>
      </w:r>
      <w:r w:rsidR="005566FB">
        <w:rPr>
          <w:sz w:val="24"/>
          <w:szCs w:val="24"/>
        </w:rPr>
        <w:t>bolo prijatých 208 70</w:t>
      </w:r>
      <w:r w:rsidRPr="001863AC">
        <w:rPr>
          <w:sz w:val="24"/>
          <w:szCs w:val="24"/>
        </w:rPr>
        <w:t>0 tis. </w:t>
      </w:r>
      <w:r w:rsidRPr="00163464">
        <w:rPr>
          <w:sz w:val="24"/>
          <w:szCs w:val="24"/>
        </w:rPr>
        <w:t xml:space="preserve">eur na poskytnutie podpory z EŠIF zamerané na vytvorenie stabilného prostredia priaznivého pre inovácie pre všetky relevantné subjekty a podporu zvýšenia efektívnosti a výkonnosti systému výskumu, vývoja a inovácií, ako základného piliera pre zvyšovanie konkurencieschopnosti, udržateľného hospodárskeho rastu a zamestnanosti. </w:t>
      </w:r>
    </w:p>
    <w:p w14:paraId="04B9E0A5" w14:textId="77777777" w:rsidR="004C3312" w:rsidRPr="00163464" w:rsidRDefault="004C3312" w:rsidP="004C3312">
      <w:pPr>
        <w:spacing w:line="240" w:lineRule="auto"/>
        <w:rPr>
          <w:sz w:val="24"/>
          <w:szCs w:val="24"/>
        </w:rPr>
      </w:pPr>
      <w:r w:rsidRPr="001863AC">
        <w:rPr>
          <w:sz w:val="24"/>
          <w:szCs w:val="24"/>
          <w:u w:val="single"/>
        </w:rPr>
        <w:t>Ministerstvo práce, sociálnych vecí a rodiny SR</w:t>
      </w:r>
      <w:r w:rsidRPr="001863AC">
        <w:rPr>
          <w:sz w:val="24"/>
          <w:szCs w:val="24"/>
        </w:rPr>
        <w:t xml:space="preserve"> prijalo sumu 182 671 tis. eur</w:t>
      </w:r>
      <w:r w:rsidRPr="00163464">
        <w:rPr>
          <w:sz w:val="24"/>
          <w:szCs w:val="24"/>
        </w:rPr>
        <w:t xml:space="preserve">, z toho v rámci Operačného programu Ľudské zdroje čiastku 180 485 tis. eur a Operačného programu potravinovej a základnej materiálnej pomoci čiastku 2 186 tis. eur. </w:t>
      </w:r>
    </w:p>
    <w:p w14:paraId="69EBC1BA" w14:textId="77777777" w:rsidR="004C3312" w:rsidRPr="008F4EC8" w:rsidRDefault="004C3312" w:rsidP="004C3312">
      <w:pPr>
        <w:spacing w:line="240" w:lineRule="auto"/>
        <w:rPr>
          <w:sz w:val="24"/>
          <w:szCs w:val="24"/>
        </w:rPr>
      </w:pPr>
      <w:r w:rsidRPr="00B6619D">
        <w:rPr>
          <w:sz w:val="24"/>
          <w:szCs w:val="24"/>
          <w:u w:val="single"/>
        </w:rPr>
        <w:t xml:space="preserve">Ministerstvo </w:t>
      </w:r>
      <w:r>
        <w:rPr>
          <w:sz w:val="24"/>
          <w:szCs w:val="24"/>
          <w:u w:val="single"/>
        </w:rPr>
        <w:t>školstva, vedy, výskumu a športu SR</w:t>
      </w:r>
      <w:r w:rsidRPr="00B6619D">
        <w:rPr>
          <w:sz w:val="24"/>
          <w:szCs w:val="24"/>
        </w:rPr>
        <w:t xml:space="preserve"> prijalo sumu </w:t>
      </w:r>
      <w:r>
        <w:rPr>
          <w:sz w:val="24"/>
          <w:szCs w:val="24"/>
        </w:rPr>
        <w:t>173 509</w:t>
      </w:r>
      <w:r w:rsidRPr="00B6619D">
        <w:rPr>
          <w:sz w:val="24"/>
          <w:szCs w:val="24"/>
        </w:rPr>
        <w:t> tis. eur</w:t>
      </w:r>
      <w:r w:rsidRPr="008F4EC8">
        <w:rPr>
          <w:sz w:val="24"/>
          <w:szCs w:val="24"/>
        </w:rPr>
        <w:t>, z toho plnenie príjmov v rámci Operačného programu Integrovaná infraštruktúra (programo</w:t>
      </w:r>
      <w:r>
        <w:rPr>
          <w:sz w:val="24"/>
          <w:szCs w:val="24"/>
        </w:rPr>
        <w:t>vé obdobie 2014-2022</w:t>
      </w:r>
      <w:r w:rsidRPr="008F4EC8">
        <w:rPr>
          <w:sz w:val="24"/>
          <w:szCs w:val="24"/>
        </w:rPr>
        <w:t>) v sume 89 539 tis. eur a Operačného programu Ľudské zdroje v sume 83 970 tis. eur.</w:t>
      </w:r>
    </w:p>
    <w:p w14:paraId="1473E7B9" w14:textId="5C157A4B" w:rsidR="004C3312" w:rsidRPr="002C6537" w:rsidRDefault="004C3312" w:rsidP="004C3312">
      <w:pPr>
        <w:spacing w:line="240" w:lineRule="auto"/>
        <w:rPr>
          <w:sz w:val="24"/>
          <w:szCs w:val="24"/>
        </w:rPr>
      </w:pPr>
      <w:r w:rsidRPr="00B6619D">
        <w:rPr>
          <w:sz w:val="24"/>
          <w:szCs w:val="24"/>
          <w:u w:val="single"/>
        </w:rPr>
        <w:t>Ministerstvo vnútra SR</w:t>
      </w:r>
      <w:r w:rsidRPr="00B6619D">
        <w:rPr>
          <w:sz w:val="24"/>
          <w:szCs w:val="24"/>
        </w:rPr>
        <w:t xml:space="preserve"> prijalo zo zahraničných transferov sumu 130 947 tis. </w:t>
      </w:r>
      <w:r w:rsidRPr="002C6537">
        <w:rPr>
          <w:sz w:val="24"/>
          <w:szCs w:val="24"/>
        </w:rPr>
        <w:t xml:space="preserve">eur, v tom v rámci Operačného programu Ľudské zdroje sumu 49 742 tis. eur a v rámci Operačného programu Efektívna verejná správa sumu 81 205 tis. eur. </w:t>
      </w:r>
    </w:p>
    <w:p w14:paraId="3D8D4DF1" w14:textId="77777777" w:rsidR="004C3312" w:rsidRDefault="004C3312" w:rsidP="004C3312">
      <w:pPr>
        <w:spacing w:line="240" w:lineRule="auto"/>
        <w:rPr>
          <w:sz w:val="24"/>
          <w:szCs w:val="24"/>
        </w:rPr>
      </w:pPr>
      <w:r w:rsidRPr="00B6619D">
        <w:rPr>
          <w:sz w:val="24"/>
          <w:szCs w:val="24"/>
        </w:rPr>
        <w:t>Bližšie informácie o príjmoch z rozpočtu EÚ sú uvedené v samostatnej kapitole 3.4. Vzťahy štátneho rozpočtu k Európskej únii.</w:t>
      </w:r>
    </w:p>
    <w:p w14:paraId="5F869471" w14:textId="3B2E453F" w:rsidR="004C3312" w:rsidRPr="00697268" w:rsidRDefault="004C3312" w:rsidP="004C3312">
      <w:pPr>
        <w:spacing w:line="240" w:lineRule="auto"/>
        <w:rPr>
          <w:b/>
          <w:i/>
        </w:rPr>
      </w:pPr>
      <w:r w:rsidRPr="00BD7AC2">
        <w:rPr>
          <w:b/>
          <w:i/>
        </w:rPr>
        <w:t>Podrobné údaje o príjmoch štátneho rozpočtu podľa kapitol, kategórií rozpočtovej klasifik</w:t>
      </w:r>
      <w:r>
        <w:rPr>
          <w:b/>
          <w:i/>
        </w:rPr>
        <w:t>ácie a podľa zdrojov za rok 2022</w:t>
      </w:r>
      <w:r w:rsidRPr="00BD7AC2">
        <w:rPr>
          <w:b/>
          <w:i/>
        </w:rPr>
        <w:t xml:space="preserve"> sú uvedené v tab. č. 4 až 6 tabuľkovej pr</w:t>
      </w:r>
      <w:r>
        <w:rPr>
          <w:b/>
          <w:i/>
        </w:rPr>
        <w:t>ílohy štátneho záverečného účtu.</w:t>
      </w:r>
    </w:p>
    <w:p w14:paraId="67C0C2F0" w14:textId="77777777" w:rsidR="004C3312" w:rsidRPr="004C3312" w:rsidRDefault="004C3312" w:rsidP="004C3312"/>
    <w:p w14:paraId="3617EFC4" w14:textId="72936F25" w:rsidR="008254BE" w:rsidRDefault="008254BE" w:rsidP="0088066E">
      <w:pPr>
        <w:pStyle w:val="Nadpis2"/>
        <w:spacing w:before="0"/>
      </w:pPr>
      <w:bookmarkStart w:id="42" w:name="_Toc6415645"/>
      <w:bookmarkStart w:id="43" w:name="_Toc132929089"/>
      <w:r>
        <w:t>Výdavky štátneho rozpočtu</w:t>
      </w:r>
      <w:bookmarkEnd w:id="42"/>
      <w:bookmarkEnd w:id="43"/>
    </w:p>
    <w:p w14:paraId="47224392" w14:textId="77777777" w:rsidR="00697268" w:rsidRPr="001F108D" w:rsidRDefault="00697268" w:rsidP="00697268">
      <w:pPr>
        <w:spacing w:line="240" w:lineRule="auto"/>
        <w:rPr>
          <w:rFonts w:eastAsia="Calibri" w:cs="Times New Roman"/>
          <w:sz w:val="24"/>
          <w:szCs w:val="24"/>
        </w:rPr>
      </w:pPr>
      <w:r w:rsidRPr="001F108D">
        <w:rPr>
          <w:rFonts w:eastAsia="Calibri" w:cs="Times New Roman"/>
          <w:sz w:val="24"/>
          <w:szCs w:val="24"/>
        </w:rPr>
        <w:t>Pri rozpočtovaní hotovostných výdavkov štátneho rozpočtu na rok 2022 sa zohľadňovali zámery a ciele rozpočtovej politiky vlády SR ako aj legislatívne zmeny tak, aby sa dodržali pravidlá rozpočtového hospodárenia, najmä:</w:t>
      </w:r>
    </w:p>
    <w:p w14:paraId="08870B5D" w14:textId="77777777" w:rsidR="00697268" w:rsidRPr="001F108D" w:rsidRDefault="00697268" w:rsidP="00547C43">
      <w:pPr>
        <w:numPr>
          <w:ilvl w:val="1"/>
          <w:numId w:val="5"/>
        </w:numPr>
        <w:spacing w:line="240" w:lineRule="auto"/>
        <w:ind w:left="425" w:hanging="425"/>
        <w:rPr>
          <w:rFonts w:eastAsia="Calibri" w:cs="Times New Roman"/>
          <w:sz w:val="24"/>
          <w:szCs w:val="24"/>
        </w:rPr>
      </w:pPr>
      <w:r w:rsidRPr="001F108D">
        <w:rPr>
          <w:rFonts w:eastAsia="Calibri" w:cs="Times New Roman"/>
          <w:sz w:val="24"/>
          <w:szCs w:val="24"/>
        </w:rPr>
        <w:t>možnosť použitia kapitálových výdavkov na určený účel aj v nasledujúcich dvoch rozpočtových rokoch po rozpočtovom roku, na ktorý boli rozpočtované,</w:t>
      </w:r>
    </w:p>
    <w:p w14:paraId="3FCBA1A9" w14:textId="77777777" w:rsidR="00697268" w:rsidRPr="001F108D" w:rsidRDefault="00697268" w:rsidP="00547C43">
      <w:pPr>
        <w:numPr>
          <w:ilvl w:val="1"/>
          <w:numId w:val="5"/>
        </w:numPr>
        <w:spacing w:line="240" w:lineRule="auto"/>
        <w:ind w:left="425" w:hanging="425"/>
        <w:rPr>
          <w:rFonts w:eastAsia="Calibri" w:cs="Times New Roman"/>
          <w:sz w:val="24"/>
          <w:szCs w:val="24"/>
        </w:rPr>
      </w:pPr>
      <w:r w:rsidRPr="001F108D">
        <w:rPr>
          <w:rFonts w:eastAsia="Calibri" w:cs="Times New Roman"/>
          <w:sz w:val="24"/>
          <w:szCs w:val="24"/>
        </w:rPr>
        <w:t>možnosť použitia prostriedkov Európskej únie vrátane spolufinancovania zo štátneho rozpočtu aj v nasledujúcich rozpočtových rokoch až do ich vyčerpania na určený účel,</w:t>
      </w:r>
    </w:p>
    <w:p w14:paraId="0205B70D" w14:textId="77777777" w:rsidR="00697268" w:rsidRPr="001F108D" w:rsidRDefault="00697268" w:rsidP="00547C43">
      <w:pPr>
        <w:numPr>
          <w:ilvl w:val="1"/>
          <w:numId w:val="5"/>
        </w:numPr>
        <w:spacing w:line="240" w:lineRule="auto"/>
        <w:ind w:left="425" w:hanging="425"/>
        <w:rPr>
          <w:rFonts w:eastAsia="Calibri" w:cs="Times New Roman"/>
          <w:sz w:val="24"/>
          <w:szCs w:val="24"/>
        </w:rPr>
      </w:pPr>
      <w:r w:rsidRPr="001F108D">
        <w:rPr>
          <w:rFonts w:eastAsia="Calibri" w:cs="Times New Roman"/>
          <w:sz w:val="24"/>
          <w:szCs w:val="24"/>
        </w:rPr>
        <w:t>pri bežných transferoch s výnimkou miezd, poskytnutých príjemcom po 1. auguste rozpočtového roka, možnosť ich použitia do konca prvého štvrťroka nasledujúceho roka,</w:t>
      </w:r>
    </w:p>
    <w:p w14:paraId="304C1B5B" w14:textId="77777777" w:rsidR="00697268" w:rsidRPr="001F108D" w:rsidRDefault="00697268" w:rsidP="00547C43">
      <w:pPr>
        <w:numPr>
          <w:ilvl w:val="0"/>
          <w:numId w:val="4"/>
        </w:numPr>
        <w:tabs>
          <w:tab w:val="left" w:pos="426"/>
        </w:tabs>
        <w:spacing w:line="240" w:lineRule="auto"/>
        <w:ind w:hanging="720"/>
        <w:rPr>
          <w:rFonts w:eastAsia="Calibri" w:cs="Times New Roman"/>
          <w:sz w:val="24"/>
          <w:szCs w:val="24"/>
        </w:rPr>
      </w:pPr>
      <w:r w:rsidRPr="001F108D">
        <w:rPr>
          <w:rFonts w:eastAsia="Calibri" w:cs="Times New Roman"/>
          <w:sz w:val="24"/>
          <w:szCs w:val="24"/>
        </w:rPr>
        <w:t>viacročné rozpočtovanie na tri rozpočtové roky,</w:t>
      </w:r>
    </w:p>
    <w:p w14:paraId="72C23D49" w14:textId="77777777" w:rsidR="00697268" w:rsidRPr="001F108D" w:rsidRDefault="00697268" w:rsidP="00547C43">
      <w:pPr>
        <w:numPr>
          <w:ilvl w:val="0"/>
          <w:numId w:val="4"/>
        </w:numPr>
        <w:tabs>
          <w:tab w:val="left" w:pos="426"/>
        </w:tabs>
        <w:spacing w:line="240" w:lineRule="auto"/>
        <w:ind w:left="425" w:hanging="425"/>
        <w:rPr>
          <w:rFonts w:eastAsia="Calibri" w:cs="Times New Roman"/>
          <w:sz w:val="24"/>
          <w:szCs w:val="24"/>
        </w:rPr>
      </w:pPr>
      <w:r w:rsidRPr="001F108D">
        <w:rPr>
          <w:rFonts w:eastAsia="Calibri" w:cs="Times New Roman"/>
          <w:sz w:val="24"/>
          <w:szCs w:val="24"/>
        </w:rPr>
        <w:t>rozpočtovanie formou bežných a kapitálových výdavkov pri uplatňovaní rozpočtovej klasifikácie,</w:t>
      </w:r>
    </w:p>
    <w:p w14:paraId="20B61873" w14:textId="2595CAC8" w:rsidR="00697268" w:rsidRPr="001F108D" w:rsidRDefault="00697268" w:rsidP="00547C43">
      <w:pPr>
        <w:numPr>
          <w:ilvl w:val="1"/>
          <w:numId w:val="5"/>
        </w:numPr>
        <w:spacing w:line="240" w:lineRule="auto"/>
        <w:ind w:left="425" w:hanging="425"/>
        <w:rPr>
          <w:rFonts w:eastAsia="Calibri" w:cs="Times New Roman"/>
          <w:sz w:val="24"/>
          <w:szCs w:val="24"/>
        </w:rPr>
      </w:pPr>
      <w:r w:rsidRPr="001F108D">
        <w:rPr>
          <w:rFonts w:eastAsia="Calibri" w:cs="Times New Roman"/>
          <w:sz w:val="24"/>
          <w:szCs w:val="24"/>
        </w:rPr>
        <w:t>využívanie programového rozpočtovania, aby bolo možné transparentné hodnotenie formulovaných zámerov</w:t>
      </w:r>
      <w:r w:rsidR="00E258FF">
        <w:rPr>
          <w:rFonts w:eastAsia="Calibri" w:cs="Times New Roman"/>
          <w:sz w:val="24"/>
          <w:szCs w:val="24"/>
        </w:rPr>
        <w:t xml:space="preserve"> a cieľov programov vlády</w:t>
      </w:r>
      <w:r w:rsidRPr="001F108D">
        <w:rPr>
          <w:rFonts w:eastAsia="Calibri" w:cs="Times New Roman"/>
          <w:sz w:val="24"/>
          <w:szCs w:val="24"/>
        </w:rPr>
        <w:t>,</w:t>
      </w:r>
    </w:p>
    <w:p w14:paraId="04D4C23B" w14:textId="77777777" w:rsidR="00697268" w:rsidRDefault="00697268" w:rsidP="00547C43">
      <w:pPr>
        <w:numPr>
          <w:ilvl w:val="1"/>
          <w:numId w:val="5"/>
        </w:numPr>
        <w:spacing w:line="240" w:lineRule="auto"/>
        <w:ind w:left="426" w:hanging="426"/>
        <w:rPr>
          <w:rFonts w:eastAsia="Calibri" w:cs="Times New Roman"/>
          <w:sz w:val="24"/>
          <w:szCs w:val="24"/>
        </w:rPr>
      </w:pPr>
      <w:r w:rsidRPr="001F108D">
        <w:rPr>
          <w:rFonts w:eastAsia="Calibri" w:cs="Times New Roman"/>
          <w:sz w:val="24"/>
          <w:szCs w:val="24"/>
        </w:rPr>
        <w:t>poskytovanie dotácií v súlade so zákonom o štátnom rozpočte na príslušný rozpočtový rok v nadväznosti na zákon č. 67/2020 o niektorých mimoriadnych opatreniach vo finančnej oblasti v súvislosti so šírením nebezpečnej nákazlivej ľudskej choroby COVID-19, ktorý umožňuje používanie bežných a kapitálových výdavkov v predĺženej lehote.</w:t>
      </w:r>
    </w:p>
    <w:p w14:paraId="712C0BBA" w14:textId="77777777" w:rsidR="00697268" w:rsidRPr="00B51948" w:rsidRDefault="00697268" w:rsidP="00063234">
      <w:pPr>
        <w:spacing w:after="0" w:line="240" w:lineRule="auto"/>
        <w:ind w:left="425"/>
        <w:rPr>
          <w:rFonts w:eastAsia="Calibri" w:cs="Times New Roman"/>
          <w:sz w:val="24"/>
          <w:szCs w:val="24"/>
        </w:rPr>
      </w:pPr>
    </w:p>
    <w:p w14:paraId="1D1BC7F1" w14:textId="19DE65A6" w:rsidR="00697268" w:rsidRDefault="00697268" w:rsidP="00063234">
      <w:pPr>
        <w:spacing w:after="0" w:line="240" w:lineRule="auto"/>
        <w:rPr>
          <w:rFonts w:eastAsia="Calibri" w:cs="Times New Roman"/>
          <w:b/>
          <w:i/>
        </w:rPr>
      </w:pPr>
      <w:r w:rsidRPr="00B51948">
        <w:rPr>
          <w:rFonts w:eastAsia="Calibri" w:cs="Times New Roman"/>
          <w:b/>
          <w:i/>
        </w:rPr>
        <w:lastRenderedPageBreak/>
        <w:t xml:space="preserve">Podrobný prehľad o výdavkoch štátneho rozpočtu v roku 2022 podľa kategórií </w:t>
      </w:r>
      <w:r>
        <w:rPr>
          <w:rFonts w:eastAsia="Calibri" w:cs="Times New Roman"/>
          <w:b/>
          <w:i/>
        </w:rPr>
        <w:t>ekonomickej</w:t>
      </w:r>
      <w:r w:rsidRPr="00B51948">
        <w:rPr>
          <w:rFonts w:eastAsia="Calibri" w:cs="Times New Roman"/>
          <w:b/>
          <w:i/>
        </w:rPr>
        <w:t xml:space="preserve"> klasifikácie a kapitol štátneho rozpočtu, o bežných transferoch a kapitálových výdavkoch je uvedený v tab. 7 až 9 tabuľkovej prílohy štátneho záverečného účtu.</w:t>
      </w:r>
    </w:p>
    <w:p w14:paraId="03EE5E09" w14:textId="77777777" w:rsidR="00697268" w:rsidRPr="00697268" w:rsidRDefault="00697268" w:rsidP="00697268"/>
    <w:p w14:paraId="55640A05" w14:textId="202BE92E" w:rsidR="00697268" w:rsidRDefault="00D97CA6" w:rsidP="00697268">
      <w:pPr>
        <w:pStyle w:val="Nadpis3"/>
      </w:pPr>
      <w:bookmarkStart w:id="44" w:name="_Toc132929090"/>
      <w:r w:rsidRPr="003E7AC3">
        <w:t>Výdavky štátneho rozpočtu podľa ekonomickej klasifikácie</w:t>
      </w:r>
      <w:bookmarkEnd w:id="44"/>
    </w:p>
    <w:p w14:paraId="244E9050" w14:textId="77777777" w:rsidR="00697268" w:rsidRDefault="00697268" w:rsidP="00697268">
      <w:pPr>
        <w:spacing w:line="240" w:lineRule="auto"/>
        <w:rPr>
          <w:rFonts w:eastAsia="Calibri" w:cs="Times New Roman"/>
          <w:sz w:val="24"/>
          <w:szCs w:val="24"/>
        </w:rPr>
      </w:pPr>
      <w:r w:rsidRPr="00B51948">
        <w:rPr>
          <w:rFonts w:eastAsia="Calibri" w:cs="Times New Roman"/>
          <w:sz w:val="24"/>
          <w:szCs w:val="24"/>
        </w:rPr>
        <w:t>Výdavky štátneho rozpočtu v roku 2022 boli schválené vo výške</w:t>
      </w:r>
      <w:r w:rsidRPr="00B51948">
        <w:rPr>
          <w:rFonts w:eastAsia="Calibri" w:cs="Times New Roman"/>
          <w:color w:val="FF0000"/>
          <w:sz w:val="24"/>
          <w:szCs w:val="24"/>
        </w:rPr>
        <w:t xml:space="preserve"> </w:t>
      </w:r>
      <w:r w:rsidRPr="00FE1D70">
        <w:rPr>
          <w:rFonts w:eastAsia="Calibri" w:cs="Times New Roman"/>
          <w:sz w:val="24"/>
          <w:szCs w:val="24"/>
        </w:rPr>
        <w:t>26 945 417 tis. eur</w:t>
      </w:r>
      <w:r w:rsidRPr="00B51948">
        <w:rPr>
          <w:rFonts w:eastAsia="Calibri" w:cs="Times New Roman"/>
          <w:color w:val="FF0000"/>
          <w:sz w:val="24"/>
          <w:szCs w:val="24"/>
        </w:rPr>
        <w:t xml:space="preserve"> </w:t>
      </w:r>
      <w:r w:rsidRPr="00B51948">
        <w:rPr>
          <w:rFonts w:eastAsia="Calibri" w:cs="Times New Roman"/>
          <w:sz w:val="24"/>
          <w:szCs w:val="24"/>
        </w:rPr>
        <w:t xml:space="preserve">(2021: 27 603 808 tis. eur). Skutočne bolo vynaložených </w:t>
      </w:r>
      <w:r w:rsidRPr="00FE1D70">
        <w:rPr>
          <w:rFonts w:eastAsia="Calibri" w:cs="Times New Roman"/>
          <w:sz w:val="24"/>
          <w:szCs w:val="24"/>
        </w:rPr>
        <w:t xml:space="preserve">23 554 555 tis. eur, </w:t>
      </w:r>
      <w:r w:rsidRPr="00B51948">
        <w:rPr>
          <w:rFonts w:eastAsia="Calibri" w:cs="Times New Roman"/>
          <w:sz w:val="24"/>
          <w:szCs w:val="24"/>
        </w:rPr>
        <w:t>na čom sa bežné výdavky podieľali objemom 20 847 550 tis. eur</w:t>
      </w:r>
      <w:r w:rsidRPr="00B51948">
        <w:rPr>
          <w:rFonts w:eastAsia="Calibri" w:cs="Times New Roman"/>
          <w:color w:val="FF0000"/>
          <w:sz w:val="24"/>
          <w:szCs w:val="24"/>
        </w:rPr>
        <w:t xml:space="preserve"> </w:t>
      </w:r>
      <w:r w:rsidRPr="00B51948">
        <w:rPr>
          <w:rFonts w:eastAsia="Calibri" w:cs="Times New Roman"/>
          <w:sz w:val="24"/>
          <w:szCs w:val="24"/>
        </w:rPr>
        <w:t>a kapitálové výdavky objemom</w:t>
      </w:r>
      <w:r w:rsidRPr="00B51948">
        <w:rPr>
          <w:rFonts w:eastAsia="Calibri" w:cs="Times New Roman"/>
          <w:color w:val="FF0000"/>
          <w:sz w:val="24"/>
          <w:szCs w:val="24"/>
        </w:rPr>
        <w:t xml:space="preserve"> </w:t>
      </w:r>
      <w:r w:rsidRPr="00FE1D70">
        <w:rPr>
          <w:rFonts w:eastAsia="Calibri" w:cs="Times New Roman"/>
          <w:sz w:val="24"/>
          <w:szCs w:val="24"/>
        </w:rPr>
        <w:t>2 707 004 tis. eur.</w:t>
      </w:r>
      <w:r w:rsidRPr="00B51948">
        <w:rPr>
          <w:rFonts w:eastAsia="Calibri" w:cs="Times New Roman"/>
          <w:color w:val="FF0000"/>
          <w:sz w:val="24"/>
          <w:szCs w:val="24"/>
        </w:rPr>
        <w:t xml:space="preserve"> </w:t>
      </w:r>
      <w:r w:rsidRPr="00336830">
        <w:rPr>
          <w:rFonts w:eastAsia="Calibri" w:cs="Times New Roman"/>
          <w:sz w:val="24"/>
          <w:szCs w:val="24"/>
        </w:rPr>
        <w:t>O</w:t>
      </w:r>
      <w:r w:rsidRPr="00FE1D70">
        <w:rPr>
          <w:rFonts w:eastAsia="Calibri" w:cs="Times New Roman"/>
          <w:sz w:val="24"/>
          <w:szCs w:val="24"/>
        </w:rPr>
        <w:t xml:space="preserve">proti schválenému rozpočtu </w:t>
      </w:r>
      <w:r>
        <w:rPr>
          <w:rFonts w:eastAsia="Calibri" w:cs="Times New Roman"/>
          <w:sz w:val="24"/>
          <w:szCs w:val="24"/>
        </w:rPr>
        <w:t>boli skutočne r</w:t>
      </w:r>
      <w:r w:rsidRPr="00FE1D70">
        <w:rPr>
          <w:rFonts w:eastAsia="Calibri" w:cs="Times New Roman"/>
          <w:sz w:val="24"/>
          <w:szCs w:val="24"/>
        </w:rPr>
        <w:t>ealizované výdavky o 3 390 862 tis. eur nižšie</w:t>
      </w:r>
      <w:r w:rsidRPr="00B51948">
        <w:rPr>
          <w:rFonts w:eastAsia="Calibri" w:cs="Times New Roman"/>
          <w:color w:val="FF0000"/>
          <w:sz w:val="24"/>
          <w:szCs w:val="24"/>
        </w:rPr>
        <w:t xml:space="preserve"> </w:t>
      </w:r>
      <w:r w:rsidRPr="00FE1D70">
        <w:rPr>
          <w:rFonts w:eastAsia="Calibri" w:cs="Times New Roman"/>
          <w:sz w:val="24"/>
          <w:szCs w:val="24"/>
        </w:rPr>
        <w:t>a v medziročnom porovnaní</w:t>
      </w:r>
      <w:r w:rsidRPr="00B51948">
        <w:rPr>
          <w:rFonts w:eastAsia="Calibri" w:cs="Times New Roman"/>
          <w:color w:val="FF0000"/>
          <w:sz w:val="24"/>
          <w:szCs w:val="24"/>
        </w:rPr>
        <w:t xml:space="preserve"> </w:t>
      </w:r>
      <w:r w:rsidRPr="00D20785">
        <w:rPr>
          <w:rFonts w:eastAsia="Calibri" w:cs="Times New Roman"/>
          <w:sz w:val="24"/>
          <w:szCs w:val="24"/>
        </w:rPr>
        <w:t>klesli o 656 870 tis. eur.</w:t>
      </w:r>
    </w:p>
    <w:p w14:paraId="75032207" w14:textId="5B7B3CA5" w:rsidR="00697268" w:rsidRPr="00B51948" w:rsidRDefault="00697268" w:rsidP="00697268">
      <w:pPr>
        <w:spacing w:line="240" w:lineRule="auto"/>
        <w:rPr>
          <w:rFonts w:eastAsia="Calibri" w:cs="Times New Roman"/>
          <w:color w:val="FF0000"/>
          <w:sz w:val="24"/>
          <w:szCs w:val="24"/>
        </w:rPr>
      </w:pPr>
      <w:r>
        <w:rPr>
          <w:rFonts w:eastAsia="Calibri" w:cs="Times New Roman"/>
          <w:sz w:val="24"/>
          <w:szCs w:val="24"/>
        </w:rPr>
        <w:t>Na výšku rozpočtovaných výdavkov mal vplyv aj Plán obnovy a odolnosti (ďalej ako ,,POO“), ktorý bol schválený zo strany Európskej komisie</w:t>
      </w:r>
      <w:r w:rsidR="00696186">
        <w:rPr>
          <w:rFonts w:eastAsia="Calibri" w:cs="Times New Roman"/>
          <w:sz w:val="24"/>
          <w:szCs w:val="24"/>
        </w:rPr>
        <w:t xml:space="preserve"> v júli 2021.</w:t>
      </w:r>
      <w:r>
        <w:rPr>
          <w:rFonts w:eastAsia="Calibri" w:cs="Times New Roman"/>
          <w:sz w:val="24"/>
          <w:szCs w:val="24"/>
        </w:rPr>
        <w:t xml:space="preserve"> POO j</w:t>
      </w:r>
      <w:r w:rsidR="00696186">
        <w:rPr>
          <w:rFonts w:eastAsia="Calibri" w:cs="Times New Roman"/>
          <w:sz w:val="24"/>
          <w:szCs w:val="24"/>
        </w:rPr>
        <w:t>e nástrojom na odpoveď negatívneho</w:t>
      </w:r>
      <w:r>
        <w:rPr>
          <w:rFonts w:eastAsia="Calibri" w:cs="Times New Roman"/>
          <w:sz w:val="24"/>
          <w:szCs w:val="24"/>
        </w:rPr>
        <w:t xml:space="preserve"> </w:t>
      </w:r>
      <w:r w:rsidR="00696186">
        <w:rPr>
          <w:rFonts w:eastAsia="Calibri" w:cs="Times New Roman"/>
          <w:sz w:val="24"/>
          <w:szCs w:val="24"/>
        </w:rPr>
        <w:t>dopadu</w:t>
      </w:r>
      <w:r>
        <w:rPr>
          <w:rFonts w:eastAsia="Calibri" w:cs="Times New Roman"/>
          <w:sz w:val="24"/>
          <w:szCs w:val="24"/>
        </w:rPr>
        <w:t xml:space="preserve"> pandémie COVID-19</w:t>
      </w:r>
      <w:r w:rsidR="00696186">
        <w:rPr>
          <w:rFonts w:eastAsia="Calibri" w:cs="Times New Roman"/>
          <w:sz w:val="24"/>
          <w:szCs w:val="24"/>
        </w:rPr>
        <w:t xml:space="preserve"> na ekonomiku EÚ a členských krajín</w:t>
      </w:r>
      <w:r>
        <w:rPr>
          <w:rFonts w:eastAsia="Calibri" w:cs="Times New Roman"/>
          <w:sz w:val="24"/>
          <w:szCs w:val="24"/>
        </w:rPr>
        <w:t>, celková aloká</w:t>
      </w:r>
      <w:r w:rsidR="00696186">
        <w:rPr>
          <w:rFonts w:eastAsia="Calibri" w:cs="Times New Roman"/>
          <w:sz w:val="24"/>
          <w:szCs w:val="24"/>
        </w:rPr>
        <w:t>cia pre Slovensko bola schválená na úrovni 6 </w:t>
      </w:r>
      <w:r>
        <w:rPr>
          <w:rFonts w:eastAsia="Calibri" w:cs="Times New Roman"/>
          <w:sz w:val="24"/>
          <w:szCs w:val="24"/>
        </w:rPr>
        <w:t>3</w:t>
      </w:r>
      <w:r w:rsidR="00696186">
        <w:rPr>
          <w:rFonts w:eastAsia="Calibri" w:cs="Times New Roman"/>
          <w:sz w:val="24"/>
          <w:szCs w:val="24"/>
        </w:rPr>
        <w:t>28 586 tis. eur</w:t>
      </w:r>
      <w:r>
        <w:rPr>
          <w:rFonts w:eastAsia="Calibri" w:cs="Times New Roman"/>
          <w:sz w:val="24"/>
          <w:szCs w:val="24"/>
        </w:rPr>
        <w:t>.</w:t>
      </w:r>
      <w:r w:rsidR="00696186">
        <w:rPr>
          <w:rFonts w:eastAsia="Calibri" w:cs="Times New Roman"/>
          <w:sz w:val="24"/>
          <w:szCs w:val="24"/>
        </w:rPr>
        <w:t xml:space="preserve"> Slovensko nepožiadalo o žiadne pôžičky z Mechanizmu na podporu obnovy a odolnosti.</w:t>
      </w:r>
    </w:p>
    <w:p w14:paraId="143D6600" w14:textId="77777777" w:rsidR="00697268" w:rsidRDefault="00697268" w:rsidP="00EF14FA">
      <w:pPr>
        <w:spacing w:line="240" w:lineRule="auto"/>
        <w:rPr>
          <w:rFonts w:cs="Times New Roman"/>
          <w:sz w:val="24"/>
          <w:szCs w:val="24"/>
        </w:rPr>
      </w:pPr>
      <w:r w:rsidRPr="00AD659D">
        <w:rPr>
          <w:rFonts w:cs="Times New Roman"/>
          <w:sz w:val="24"/>
          <w:szCs w:val="24"/>
        </w:rPr>
        <w:t xml:space="preserve">V rozpočte na rok 2021 ešte neboli rozpočtované výdavky na POO, skutočné čerpanie dosiahlo 6 148 tis. eur.  Na rok 2022 boli </w:t>
      </w:r>
      <w:r w:rsidRPr="00E57404">
        <w:rPr>
          <w:rFonts w:cs="Times New Roman"/>
          <w:b/>
          <w:sz w:val="24"/>
          <w:szCs w:val="24"/>
        </w:rPr>
        <w:t>výdavky štátneho rozpočtu na plnenie POO</w:t>
      </w:r>
      <w:r w:rsidRPr="00AD659D">
        <w:rPr>
          <w:rFonts w:cs="Times New Roman"/>
          <w:sz w:val="24"/>
          <w:szCs w:val="24"/>
        </w:rPr>
        <w:t xml:space="preserve"> rozpočtované v trinástich kapitolách ŠR v celkovej výške 1 301 972 tis. eur. Podľa metodiky zaznamenávania prostriedkov POO sa vo výške plánovaných výdavkov rozpočtovali aj príjmy štátneho rozpočtu z POO. V roku 2022 </w:t>
      </w:r>
      <w:r w:rsidRPr="00A87B13">
        <w:rPr>
          <w:rFonts w:cs="Times New Roman"/>
          <w:sz w:val="24"/>
          <w:szCs w:val="24"/>
        </w:rPr>
        <w:t>sa rozpočtovali len prostriedky POO zo zdroja pre aktuálny rozpočtový rok. Zdroje z predchádzajúceho obdobia neboli alokované.</w:t>
      </w:r>
    </w:p>
    <w:p w14:paraId="127EC06E" w14:textId="7D5DB8DE" w:rsidR="00697268" w:rsidRDefault="00697268" w:rsidP="00EF14FA">
      <w:pPr>
        <w:spacing w:line="240" w:lineRule="auto"/>
        <w:rPr>
          <w:rFonts w:cs="Times New Roman"/>
          <w:sz w:val="24"/>
          <w:szCs w:val="24"/>
        </w:rPr>
      </w:pPr>
      <w:r>
        <w:rPr>
          <w:rFonts w:cs="Times New Roman"/>
          <w:sz w:val="24"/>
          <w:szCs w:val="24"/>
        </w:rPr>
        <w:t>Výdavky pre rok 2022 boli rozdelené na bežné, a kapitálové. Kapitálové výdavky sa rozpočtovali najmä na budovanie infraštruktúry, obnovu a výstavbu nových budov (napr. nemocníc), budovanie informačných systémov a podobne. Inves</w:t>
      </w:r>
      <w:r w:rsidR="006D2695">
        <w:rPr>
          <w:rFonts w:cs="Times New Roman"/>
          <w:sz w:val="24"/>
          <w:szCs w:val="24"/>
        </w:rPr>
        <w:t>tičné výdavky mali predstavovať</w:t>
      </w:r>
      <w:r w:rsidR="006D2695">
        <w:rPr>
          <w:rFonts w:cs="Times New Roman"/>
          <w:sz w:val="24"/>
          <w:szCs w:val="24"/>
        </w:rPr>
        <w:br/>
      </w:r>
      <w:r>
        <w:rPr>
          <w:rFonts w:cs="Times New Roman"/>
          <w:sz w:val="24"/>
          <w:szCs w:val="24"/>
        </w:rPr>
        <w:t>954 624 tis. eur a bežné výdavky 347 348 tis. eur. K výdavkom z prostriedkov POO sa rozpočtovala aj DPH, ktorú je nutné uhradiť dodávateľom tovarov, služieb a dlhodobého majetku. DPH k prostriedkom POO sa rozpočtuje z prostriedkov štátneho rozpočtu, v roku 2022 vo výške 197 861 tis. eur.</w:t>
      </w:r>
    </w:p>
    <w:p w14:paraId="23A8F8CE" w14:textId="285D7A76" w:rsidR="00697268" w:rsidRDefault="00D50C99" w:rsidP="003234A0">
      <w:pPr>
        <w:pStyle w:val="Graf"/>
      </w:pPr>
      <w:r>
        <w:t xml:space="preserve">Tabuľka </w:t>
      </w:r>
      <w:r w:rsidR="00240940">
        <w:t>3</w:t>
      </w:r>
      <w:r w:rsidR="008B3212">
        <w:t>1</w:t>
      </w:r>
      <w:r w:rsidR="00697268" w:rsidRPr="00667E7F">
        <w:t xml:space="preserve"> – Výdavky z Plánu obnovy a odolnosti*</w:t>
      </w:r>
    </w:p>
    <w:tbl>
      <w:tblPr>
        <w:tblW w:w="9640" w:type="dxa"/>
        <w:tblCellMar>
          <w:left w:w="70" w:type="dxa"/>
          <w:right w:w="70" w:type="dxa"/>
        </w:tblCellMar>
        <w:tblLook w:val="04A0" w:firstRow="1" w:lastRow="0" w:firstColumn="1" w:lastColumn="0" w:noHBand="0" w:noVBand="1"/>
      </w:tblPr>
      <w:tblGrid>
        <w:gridCol w:w="4240"/>
        <w:gridCol w:w="720"/>
        <w:gridCol w:w="820"/>
        <w:gridCol w:w="980"/>
        <w:gridCol w:w="960"/>
        <w:gridCol w:w="1040"/>
        <w:gridCol w:w="880"/>
      </w:tblGrid>
      <w:tr w:rsidR="00697268" w:rsidRPr="00343642" w14:paraId="18A1CE56" w14:textId="77777777" w:rsidTr="00EC5F2E">
        <w:trPr>
          <w:trHeight w:val="289"/>
        </w:trPr>
        <w:tc>
          <w:tcPr>
            <w:tcW w:w="4240" w:type="dxa"/>
            <w:vMerge w:val="restart"/>
            <w:tcBorders>
              <w:top w:val="single" w:sz="8" w:space="0" w:color="auto"/>
              <w:left w:val="nil"/>
              <w:bottom w:val="single" w:sz="8" w:space="0" w:color="000000"/>
              <w:right w:val="nil"/>
            </w:tcBorders>
            <w:shd w:val="clear" w:color="auto" w:fill="auto"/>
            <w:vAlign w:val="center"/>
            <w:hideMark/>
          </w:tcPr>
          <w:p w14:paraId="245DBD32" w14:textId="77777777" w:rsidR="00697268" w:rsidRPr="00343642" w:rsidRDefault="00697268" w:rsidP="00AB0350">
            <w:pPr>
              <w:spacing w:after="0" w:line="240" w:lineRule="auto"/>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v tis. eur</w:t>
            </w:r>
          </w:p>
        </w:tc>
        <w:tc>
          <w:tcPr>
            <w:tcW w:w="720" w:type="dxa"/>
            <w:tcBorders>
              <w:top w:val="single" w:sz="4" w:space="0" w:color="auto"/>
              <w:left w:val="nil"/>
              <w:bottom w:val="nil"/>
              <w:right w:val="nil"/>
            </w:tcBorders>
            <w:shd w:val="clear" w:color="auto" w:fill="auto"/>
            <w:vAlign w:val="center"/>
            <w:hideMark/>
          </w:tcPr>
          <w:p w14:paraId="3B2FF025"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2020 S</w:t>
            </w:r>
          </w:p>
        </w:tc>
        <w:tc>
          <w:tcPr>
            <w:tcW w:w="820" w:type="dxa"/>
            <w:tcBorders>
              <w:top w:val="single" w:sz="4" w:space="0" w:color="auto"/>
              <w:left w:val="nil"/>
              <w:bottom w:val="nil"/>
              <w:right w:val="nil"/>
            </w:tcBorders>
            <w:shd w:val="clear" w:color="auto" w:fill="auto"/>
            <w:vAlign w:val="center"/>
            <w:hideMark/>
          </w:tcPr>
          <w:p w14:paraId="391C9222"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2021 S</w:t>
            </w:r>
          </w:p>
        </w:tc>
        <w:tc>
          <w:tcPr>
            <w:tcW w:w="980" w:type="dxa"/>
            <w:tcBorders>
              <w:top w:val="single" w:sz="4" w:space="0" w:color="auto"/>
              <w:left w:val="nil"/>
              <w:bottom w:val="nil"/>
              <w:right w:val="nil"/>
            </w:tcBorders>
            <w:shd w:val="clear" w:color="auto" w:fill="auto"/>
            <w:vAlign w:val="center"/>
            <w:hideMark/>
          </w:tcPr>
          <w:p w14:paraId="181F0243"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2022 R</w:t>
            </w:r>
          </w:p>
        </w:tc>
        <w:tc>
          <w:tcPr>
            <w:tcW w:w="960" w:type="dxa"/>
            <w:tcBorders>
              <w:top w:val="single" w:sz="4" w:space="0" w:color="auto"/>
              <w:left w:val="nil"/>
              <w:bottom w:val="nil"/>
              <w:right w:val="nil"/>
            </w:tcBorders>
            <w:shd w:val="clear" w:color="auto" w:fill="auto"/>
            <w:vAlign w:val="center"/>
            <w:hideMark/>
          </w:tcPr>
          <w:p w14:paraId="78A68AFE"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2022 S</w:t>
            </w:r>
          </w:p>
        </w:tc>
        <w:tc>
          <w:tcPr>
            <w:tcW w:w="1040" w:type="dxa"/>
            <w:tcBorders>
              <w:top w:val="single" w:sz="4" w:space="0" w:color="auto"/>
              <w:left w:val="nil"/>
              <w:bottom w:val="nil"/>
              <w:right w:val="nil"/>
            </w:tcBorders>
            <w:shd w:val="clear" w:color="auto" w:fill="auto"/>
            <w:vAlign w:val="center"/>
            <w:hideMark/>
          </w:tcPr>
          <w:p w14:paraId="282F3D7E"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Rozdiel</w:t>
            </w:r>
          </w:p>
        </w:tc>
        <w:tc>
          <w:tcPr>
            <w:tcW w:w="880" w:type="dxa"/>
            <w:tcBorders>
              <w:top w:val="single" w:sz="4" w:space="0" w:color="auto"/>
              <w:left w:val="nil"/>
              <w:bottom w:val="nil"/>
              <w:right w:val="nil"/>
            </w:tcBorders>
            <w:shd w:val="clear" w:color="auto" w:fill="auto"/>
            <w:vAlign w:val="center"/>
            <w:hideMark/>
          </w:tcPr>
          <w:p w14:paraId="3756D122"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v %</w:t>
            </w:r>
          </w:p>
        </w:tc>
      </w:tr>
      <w:tr w:rsidR="00697268" w:rsidRPr="00343642" w14:paraId="1D8C81CE" w14:textId="77777777" w:rsidTr="00EC5F2E">
        <w:trPr>
          <w:trHeight w:val="289"/>
        </w:trPr>
        <w:tc>
          <w:tcPr>
            <w:tcW w:w="4240" w:type="dxa"/>
            <w:vMerge/>
            <w:tcBorders>
              <w:top w:val="single" w:sz="8" w:space="0" w:color="auto"/>
              <w:left w:val="nil"/>
              <w:bottom w:val="single" w:sz="8" w:space="0" w:color="000000"/>
              <w:right w:val="nil"/>
            </w:tcBorders>
            <w:vAlign w:val="center"/>
            <w:hideMark/>
          </w:tcPr>
          <w:p w14:paraId="12756993" w14:textId="77777777" w:rsidR="00697268" w:rsidRPr="00343642" w:rsidRDefault="00697268" w:rsidP="00AB0350">
            <w:pPr>
              <w:spacing w:after="0" w:line="240" w:lineRule="auto"/>
              <w:rPr>
                <w:rFonts w:eastAsia="Times New Roman" w:cs="Times New Roman"/>
                <w:b/>
                <w:bCs/>
                <w:color w:val="000000"/>
                <w:sz w:val="20"/>
                <w:szCs w:val="20"/>
                <w:lang w:eastAsia="sk-SK"/>
              </w:rPr>
            </w:pPr>
          </w:p>
        </w:tc>
        <w:tc>
          <w:tcPr>
            <w:tcW w:w="720" w:type="dxa"/>
            <w:tcBorders>
              <w:top w:val="nil"/>
              <w:left w:val="nil"/>
              <w:bottom w:val="single" w:sz="8" w:space="0" w:color="auto"/>
              <w:right w:val="nil"/>
            </w:tcBorders>
            <w:shd w:val="clear" w:color="auto" w:fill="auto"/>
            <w:vAlign w:val="center"/>
            <w:hideMark/>
          </w:tcPr>
          <w:p w14:paraId="3D5FE5F3"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1</w:t>
            </w:r>
          </w:p>
        </w:tc>
        <w:tc>
          <w:tcPr>
            <w:tcW w:w="820" w:type="dxa"/>
            <w:tcBorders>
              <w:top w:val="nil"/>
              <w:left w:val="nil"/>
              <w:bottom w:val="single" w:sz="8" w:space="0" w:color="auto"/>
              <w:right w:val="nil"/>
            </w:tcBorders>
            <w:shd w:val="clear" w:color="auto" w:fill="auto"/>
            <w:vAlign w:val="center"/>
            <w:hideMark/>
          </w:tcPr>
          <w:p w14:paraId="230561F0"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2</w:t>
            </w:r>
          </w:p>
        </w:tc>
        <w:tc>
          <w:tcPr>
            <w:tcW w:w="980" w:type="dxa"/>
            <w:tcBorders>
              <w:top w:val="nil"/>
              <w:left w:val="nil"/>
              <w:bottom w:val="single" w:sz="8" w:space="0" w:color="auto"/>
              <w:right w:val="nil"/>
            </w:tcBorders>
            <w:shd w:val="clear" w:color="auto" w:fill="auto"/>
            <w:vAlign w:val="center"/>
            <w:hideMark/>
          </w:tcPr>
          <w:p w14:paraId="208AF2AE"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3</w:t>
            </w:r>
          </w:p>
        </w:tc>
        <w:tc>
          <w:tcPr>
            <w:tcW w:w="960" w:type="dxa"/>
            <w:tcBorders>
              <w:top w:val="nil"/>
              <w:left w:val="nil"/>
              <w:bottom w:val="single" w:sz="8" w:space="0" w:color="auto"/>
              <w:right w:val="nil"/>
            </w:tcBorders>
            <w:shd w:val="clear" w:color="auto" w:fill="auto"/>
            <w:vAlign w:val="center"/>
            <w:hideMark/>
          </w:tcPr>
          <w:p w14:paraId="0D8CC36C"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4</w:t>
            </w:r>
          </w:p>
        </w:tc>
        <w:tc>
          <w:tcPr>
            <w:tcW w:w="1040" w:type="dxa"/>
            <w:tcBorders>
              <w:top w:val="nil"/>
              <w:left w:val="nil"/>
              <w:bottom w:val="single" w:sz="8" w:space="0" w:color="auto"/>
              <w:right w:val="nil"/>
            </w:tcBorders>
            <w:shd w:val="clear" w:color="auto" w:fill="auto"/>
            <w:vAlign w:val="center"/>
            <w:hideMark/>
          </w:tcPr>
          <w:p w14:paraId="6C31C147"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5=4-3</w:t>
            </w:r>
          </w:p>
        </w:tc>
        <w:tc>
          <w:tcPr>
            <w:tcW w:w="880" w:type="dxa"/>
            <w:tcBorders>
              <w:top w:val="nil"/>
              <w:left w:val="nil"/>
              <w:bottom w:val="single" w:sz="8" w:space="0" w:color="auto"/>
              <w:right w:val="nil"/>
            </w:tcBorders>
            <w:shd w:val="clear" w:color="auto" w:fill="auto"/>
            <w:vAlign w:val="center"/>
            <w:hideMark/>
          </w:tcPr>
          <w:p w14:paraId="4BD09FBA" w14:textId="77777777" w:rsidR="00697268" w:rsidRPr="00343642" w:rsidRDefault="00697268" w:rsidP="00AB0350">
            <w:pPr>
              <w:spacing w:after="0" w:line="240" w:lineRule="auto"/>
              <w:jc w:val="center"/>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6=4-3</w:t>
            </w:r>
          </w:p>
        </w:tc>
      </w:tr>
      <w:tr w:rsidR="00697268" w:rsidRPr="00343642" w14:paraId="5E021BC6" w14:textId="77777777" w:rsidTr="00EC5F2E">
        <w:trPr>
          <w:trHeight w:val="289"/>
        </w:trPr>
        <w:tc>
          <w:tcPr>
            <w:tcW w:w="4240" w:type="dxa"/>
            <w:tcBorders>
              <w:top w:val="nil"/>
              <w:left w:val="nil"/>
              <w:bottom w:val="nil"/>
              <w:right w:val="nil"/>
            </w:tcBorders>
            <w:shd w:val="clear" w:color="000000" w:fill="FFFFFF"/>
            <w:vAlign w:val="center"/>
            <w:hideMark/>
          </w:tcPr>
          <w:p w14:paraId="325C9082"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školstva, vedy, výskumu a športu SR</w:t>
            </w:r>
          </w:p>
        </w:tc>
        <w:tc>
          <w:tcPr>
            <w:tcW w:w="720" w:type="dxa"/>
            <w:tcBorders>
              <w:top w:val="nil"/>
              <w:left w:val="nil"/>
              <w:bottom w:val="nil"/>
              <w:right w:val="nil"/>
            </w:tcBorders>
            <w:shd w:val="clear" w:color="000000" w:fill="FFFFFF"/>
            <w:noWrap/>
            <w:vAlign w:val="center"/>
            <w:hideMark/>
          </w:tcPr>
          <w:p w14:paraId="24208872"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noWrap/>
            <w:vAlign w:val="center"/>
            <w:hideMark/>
          </w:tcPr>
          <w:p w14:paraId="0F1F4041"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2 214</w:t>
            </w:r>
          </w:p>
        </w:tc>
        <w:tc>
          <w:tcPr>
            <w:tcW w:w="980" w:type="dxa"/>
            <w:tcBorders>
              <w:top w:val="nil"/>
              <w:left w:val="nil"/>
              <w:bottom w:val="nil"/>
              <w:right w:val="nil"/>
            </w:tcBorders>
            <w:shd w:val="clear" w:color="000000" w:fill="FFFFFF"/>
            <w:noWrap/>
            <w:vAlign w:val="center"/>
            <w:hideMark/>
          </w:tcPr>
          <w:p w14:paraId="3CF0B1FD"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334 207</w:t>
            </w:r>
          </w:p>
        </w:tc>
        <w:tc>
          <w:tcPr>
            <w:tcW w:w="960" w:type="dxa"/>
            <w:tcBorders>
              <w:top w:val="nil"/>
              <w:left w:val="nil"/>
              <w:bottom w:val="nil"/>
              <w:right w:val="nil"/>
            </w:tcBorders>
            <w:shd w:val="clear" w:color="auto" w:fill="auto"/>
            <w:noWrap/>
            <w:vAlign w:val="center"/>
            <w:hideMark/>
          </w:tcPr>
          <w:p w14:paraId="78E90F7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25 800</w:t>
            </w:r>
          </w:p>
        </w:tc>
        <w:tc>
          <w:tcPr>
            <w:tcW w:w="1040" w:type="dxa"/>
            <w:tcBorders>
              <w:top w:val="nil"/>
              <w:left w:val="nil"/>
              <w:bottom w:val="nil"/>
              <w:right w:val="nil"/>
            </w:tcBorders>
            <w:shd w:val="clear" w:color="000000" w:fill="FFFFFF"/>
            <w:vAlign w:val="center"/>
            <w:hideMark/>
          </w:tcPr>
          <w:p w14:paraId="2003899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-308 407</w:t>
            </w:r>
          </w:p>
        </w:tc>
        <w:tc>
          <w:tcPr>
            <w:tcW w:w="880" w:type="dxa"/>
            <w:tcBorders>
              <w:top w:val="nil"/>
              <w:left w:val="nil"/>
              <w:bottom w:val="nil"/>
              <w:right w:val="nil"/>
            </w:tcBorders>
            <w:shd w:val="clear" w:color="000000" w:fill="FFFFFF"/>
            <w:vAlign w:val="center"/>
            <w:hideMark/>
          </w:tcPr>
          <w:p w14:paraId="42C36B8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-92,3</w:t>
            </w:r>
          </w:p>
        </w:tc>
      </w:tr>
      <w:tr w:rsidR="00697268" w:rsidRPr="00343642" w14:paraId="5301A52F" w14:textId="77777777" w:rsidTr="00EC5F2E">
        <w:trPr>
          <w:trHeight w:val="289"/>
        </w:trPr>
        <w:tc>
          <w:tcPr>
            <w:tcW w:w="4240" w:type="dxa"/>
            <w:tcBorders>
              <w:top w:val="nil"/>
              <w:left w:val="nil"/>
              <w:bottom w:val="nil"/>
              <w:right w:val="nil"/>
            </w:tcBorders>
            <w:shd w:val="clear" w:color="000000" w:fill="FFFFFF"/>
            <w:noWrap/>
            <w:vAlign w:val="center"/>
            <w:hideMark/>
          </w:tcPr>
          <w:p w14:paraId="11F05812"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vnútra SR</w:t>
            </w:r>
          </w:p>
        </w:tc>
        <w:tc>
          <w:tcPr>
            <w:tcW w:w="720" w:type="dxa"/>
            <w:tcBorders>
              <w:top w:val="nil"/>
              <w:left w:val="nil"/>
              <w:bottom w:val="nil"/>
              <w:right w:val="nil"/>
            </w:tcBorders>
            <w:shd w:val="clear" w:color="000000" w:fill="FFFFFF"/>
            <w:noWrap/>
            <w:vAlign w:val="center"/>
            <w:hideMark/>
          </w:tcPr>
          <w:p w14:paraId="4C6F558C"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noWrap/>
            <w:vAlign w:val="center"/>
            <w:hideMark/>
          </w:tcPr>
          <w:p w14:paraId="6631BFBD"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3 127</w:t>
            </w:r>
          </w:p>
        </w:tc>
        <w:tc>
          <w:tcPr>
            <w:tcW w:w="980" w:type="dxa"/>
            <w:tcBorders>
              <w:top w:val="nil"/>
              <w:left w:val="nil"/>
              <w:bottom w:val="nil"/>
              <w:right w:val="nil"/>
            </w:tcBorders>
            <w:shd w:val="clear" w:color="auto" w:fill="auto"/>
            <w:noWrap/>
            <w:vAlign w:val="center"/>
            <w:hideMark/>
          </w:tcPr>
          <w:p w14:paraId="1D95945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57 379</w:t>
            </w:r>
          </w:p>
        </w:tc>
        <w:tc>
          <w:tcPr>
            <w:tcW w:w="960" w:type="dxa"/>
            <w:tcBorders>
              <w:top w:val="nil"/>
              <w:left w:val="nil"/>
              <w:bottom w:val="nil"/>
              <w:right w:val="nil"/>
            </w:tcBorders>
            <w:shd w:val="clear" w:color="auto" w:fill="auto"/>
            <w:noWrap/>
            <w:vAlign w:val="center"/>
            <w:hideMark/>
          </w:tcPr>
          <w:p w14:paraId="0E69CAC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5 093</w:t>
            </w:r>
          </w:p>
        </w:tc>
        <w:tc>
          <w:tcPr>
            <w:tcW w:w="1040" w:type="dxa"/>
            <w:tcBorders>
              <w:top w:val="nil"/>
              <w:left w:val="nil"/>
              <w:bottom w:val="nil"/>
              <w:right w:val="nil"/>
            </w:tcBorders>
            <w:shd w:val="clear" w:color="000000" w:fill="FFFFFF"/>
            <w:vAlign w:val="center"/>
            <w:hideMark/>
          </w:tcPr>
          <w:p w14:paraId="0B949B4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-52 286</w:t>
            </w:r>
          </w:p>
        </w:tc>
        <w:tc>
          <w:tcPr>
            <w:tcW w:w="880" w:type="dxa"/>
            <w:tcBorders>
              <w:top w:val="nil"/>
              <w:left w:val="nil"/>
              <w:bottom w:val="nil"/>
              <w:right w:val="nil"/>
            </w:tcBorders>
            <w:shd w:val="clear" w:color="000000" w:fill="FFFFFF"/>
            <w:vAlign w:val="center"/>
            <w:hideMark/>
          </w:tcPr>
          <w:p w14:paraId="5F156647"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-91,1</w:t>
            </w:r>
          </w:p>
        </w:tc>
      </w:tr>
      <w:tr w:rsidR="00697268" w:rsidRPr="00343642" w14:paraId="030515D4" w14:textId="77777777" w:rsidTr="00EC5F2E">
        <w:trPr>
          <w:trHeight w:val="289"/>
        </w:trPr>
        <w:tc>
          <w:tcPr>
            <w:tcW w:w="4240" w:type="dxa"/>
            <w:tcBorders>
              <w:top w:val="nil"/>
              <w:left w:val="nil"/>
              <w:bottom w:val="nil"/>
              <w:right w:val="nil"/>
            </w:tcBorders>
            <w:shd w:val="clear" w:color="000000" w:fill="FFFFFF"/>
            <w:noWrap/>
            <w:vAlign w:val="center"/>
            <w:hideMark/>
          </w:tcPr>
          <w:p w14:paraId="012ACB6D"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Úrad vlády SR</w:t>
            </w:r>
          </w:p>
        </w:tc>
        <w:tc>
          <w:tcPr>
            <w:tcW w:w="720" w:type="dxa"/>
            <w:tcBorders>
              <w:top w:val="nil"/>
              <w:left w:val="nil"/>
              <w:bottom w:val="nil"/>
              <w:right w:val="nil"/>
            </w:tcBorders>
            <w:shd w:val="clear" w:color="000000" w:fill="FFFFFF"/>
            <w:noWrap/>
            <w:vAlign w:val="center"/>
            <w:hideMark/>
          </w:tcPr>
          <w:p w14:paraId="61CAD5C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noWrap/>
            <w:vAlign w:val="center"/>
            <w:hideMark/>
          </w:tcPr>
          <w:p w14:paraId="3D785AE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159</w:t>
            </w:r>
          </w:p>
        </w:tc>
        <w:tc>
          <w:tcPr>
            <w:tcW w:w="980" w:type="dxa"/>
            <w:tcBorders>
              <w:top w:val="nil"/>
              <w:left w:val="nil"/>
              <w:bottom w:val="nil"/>
              <w:right w:val="nil"/>
            </w:tcBorders>
            <w:shd w:val="clear" w:color="auto" w:fill="auto"/>
            <w:noWrap/>
            <w:vAlign w:val="center"/>
            <w:hideMark/>
          </w:tcPr>
          <w:p w14:paraId="4D44683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114 291</w:t>
            </w:r>
          </w:p>
        </w:tc>
        <w:tc>
          <w:tcPr>
            <w:tcW w:w="960" w:type="dxa"/>
            <w:tcBorders>
              <w:top w:val="nil"/>
              <w:left w:val="nil"/>
              <w:bottom w:val="nil"/>
              <w:right w:val="nil"/>
            </w:tcBorders>
            <w:shd w:val="clear" w:color="auto" w:fill="auto"/>
            <w:noWrap/>
            <w:vAlign w:val="center"/>
            <w:hideMark/>
          </w:tcPr>
          <w:p w14:paraId="54601D4A"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3 987</w:t>
            </w:r>
          </w:p>
        </w:tc>
        <w:tc>
          <w:tcPr>
            <w:tcW w:w="1040" w:type="dxa"/>
            <w:tcBorders>
              <w:top w:val="nil"/>
              <w:left w:val="nil"/>
              <w:bottom w:val="nil"/>
              <w:right w:val="nil"/>
            </w:tcBorders>
            <w:shd w:val="clear" w:color="000000" w:fill="FFFFFF"/>
            <w:vAlign w:val="center"/>
            <w:hideMark/>
          </w:tcPr>
          <w:p w14:paraId="06508903"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-110 304</w:t>
            </w:r>
          </w:p>
        </w:tc>
        <w:tc>
          <w:tcPr>
            <w:tcW w:w="880" w:type="dxa"/>
            <w:tcBorders>
              <w:top w:val="nil"/>
              <w:left w:val="nil"/>
              <w:bottom w:val="nil"/>
              <w:right w:val="nil"/>
            </w:tcBorders>
            <w:shd w:val="clear" w:color="000000" w:fill="FFFFFF"/>
            <w:vAlign w:val="center"/>
            <w:hideMark/>
          </w:tcPr>
          <w:p w14:paraId="5AA4E57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-96,5</w:t>
            </w:r>
          </w:p>
        </w:tc>
      </w:tr>
      <w:tr w:rsidR="00697268" w:rsidRPr="00343642" w14:paraId="59DB6623" w14:textId="77777777" w:rsidTr="00EC5F2E">
        <w:trPr>
          <w:trHeight w:val="289"/>
        </w:trPr>
        <w:tc>
          <w:tcPr>
            <w:tcW w:w="4240" w:type="dxa"/>
            <w:tcBorders>
              <w:top w:val="nil"/>
              <w:left w:val="nil"/>
              <w:bottom w:val="nil"/>
              <w:right w:val="nil"/>
            </w:tcBorders>
            <w:shd w:val="clear" w:color="000000" w:fill="FFFFFF"/>
            <w:noWrap/>
            <w:vAlign w:val="center"/>
            <w:hideMark/>
          </w:tcPr>
          <w:p w14:paraId="75230D93"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životného prostredia SR</w:t>
            </w:r>
          </w:p>
        </w:tc>
        <w:tc>
          <w:tcPr>
            <w:tcW w:w="720" w:type="dxa"/>
            <w:tcBorders>
              <w:top w:val="nil"/>
              <w:left w:val="nil"/>
              <w:bottom w:val="nil"/>
              <w:right w:val="nil"/>
            </w:tcBorders>
            <w:shd w:val="clear" w:color="000000" w:fill="FFFFFF"/>
            <w:noWrap/>
            <w:vAlign w:val="center"/>
            <w:hideMark/>
          </w:tcPr>
          <w:p w14:paraId="5CCCBD02"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noWrap/>
            <w:vAlign w:val="center"/>
            <w:hideMark/>
          </w:tcPr>
          <w:p w14:paraId="357BE931"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648</w:t>
            </w:r>
          </w:p>
        </w:tc>
        <w:tc>
          <w:tcPr>
            <w:tcW w:w="980" w:type="dxa"/>
            <w:tcBorders>
              <w:top w:val="nil"/>
              <w:left w:val="nil"/>
              <w:bottom w:val="nil"/>
              <w:right w:val="nil"/>
            </w:tcBorders>
            <w:shd w:val="clear" w:color="auto" w:fill="auto"/>
            <w:noWrap/>
            <w:vAlign w:val="center"/>
            <w:hideMark/>
          </w:tcPr>
          <w:p w14:paraId="6DADD31E"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181 324</w:t>
            </w:r>
          </w:p>
        </w:tc>
        <w:tc>
          <w:tcPr>
            <w:tcW w:w="960" w:type="dxa"/>
            <w:tcBorders>
              <w:top w:val="nil"/>
              <w:left w:val="nil"/>
              <w:bottom w:val="nil"/>
              <w:right w:val="nil"/>
            </w:tcBorders>
            <w:shd w:val="clear" w:color="auto" w:fill="auto"/>
            <w:noWrap/>
            <w:vAlign w:val="center"/>
            <w:hideMark/>
          </w:tcPr>
          <w:p w14:paraId="40890954"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3 850</w:t>
            </w:r>
          </w:p>
        </w:tc>
        <w:tc>
          <w:tcPr>
            <w:tcW w:w="1040" w:type="dxa"/>
            <w:tcBorders>
              <w:top w:val="nil"/>
              <w:left w:val="nil"/>
              <w:bottom w:val="nil"/>
              <w:right w:val="nil"/>
            </w:tcBorders>
            <w:shd w:val="clear" w:color="000000" w:fill="FFFFFF"/>
            <w:vAlign w:val="center"/>
            <w:hideMark/>
          </w:tcPr>
          <w:p w14:paraId="6437B6DA"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-177 474</w:t>
            </w:r>
          </w:p>
        </w:tc>
        <w:tc>
          <w:tcPr>
            <w:tcW w:w="880" w:type="dxa"/>
            <w:tcBorders>
              <w:top w:val="nil"/>
              <w:left w:val="nil"/>
              <w:bottom w:val="nil"/>
              <w:right w:val="nil"/>
            </w:tcBorders>
            <w:shd w:val="clear" w:color="000000" w:fill="FFFFFF"/>
            <w:vAlign w:val="center"/>
            <w:hideMark/>
          </w:tcPr>
          <w:p w14:paraId="486EB32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-97,9</w:t>
            </w:r>
          </w:p>
        </w:tc>
      </w:tr>
      <w:tr w:rsidR="00697268" w:rsidRPr="00343642" w14:paraId="23AD026F" w14:textId="77777777" w:rsidTr="00EC5F2E">
        <w:trPr>
          <w:trHeight w:val="289"/>
        </w:trPr>
        <w:tc>
          <w:tcPr>
            <w:tcW w:w="4240" w:type="dxa"/>
            <w:tcBorders>
              <w:top w:val="nil"/>
              <w:left w:val="nil"/>
              <w:bottom w:val="nil"/>
              <w:right w:val="nil"/>
            </w:tcBorders>
            <w:shd w:val="clear" w:color="000000" w:fill="FFFFFF"/>
            <w:noWrap/>
            <w:vAlign w:val="center"/>
            <w:hideMark/>
          </w:tcPr>
          <w:p w14:paraId="50EA226F"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zdravotníctva SR</w:t>
            </w:r>
          </w:p>
        </w:tc>
        <w:tc>
          <w:tcPr>
            <w:tcW w:w="720" w:type="dxa"/>
            <w:tcBorders>
              <w:top w:val="nil"/>
              <w:left w:val="nil"/>
              <w:bottom w:val="nil"/>
              <w:right w:val="nil"/>
            </w:tcBorders>
            <w:shd w:val="clear" w:color="000000" w:fill="FFFFFF"/>
            <w:noWrap/>
            <w:vAlign w:val="center"/>
            <w:hideMark/>
          </w:tcPr>
          <w:p w14:paraId="4137CE5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noWrap/>
            <w:vAlign w:val="center"/>
            <w:hideMark/>
          </w:tcPr>
          <w:p w14:paraId="14F4E862"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000000" w:fill="FFFFFF"/>
            <w:noWrap/>
            <w:vAlign w:val="center"/>
            <w:hideMark/>
          </w:tcPr>
          <w:p w14:paraId="1283B13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184 546</w:t>
            </w:r>
          </w:p>
        </w:tc>
        <w:tc>
          <w:tcPr>
            <w:tcW w:w="960" w:type="dxa"/>
            <w:tcBorders>
              <w:top w:val="nil"/>
              <w:left w:val="nil"/>
              <w:bottom w:val="nil"/>
              <w:right w:val="nil"/>
            </w:tcBorders>
            <w:shd w:val="clear" w:color="auto" w:fill="auto"/>
            <w:noWrap/>
            <w:vAlign w:val="center"/>
            <w:hideMark/>
          </w:tcPr>
          <w:p w14:paraId="6132A55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3 070</w:t>
            </w:r>
          </w:p>
        </w:tc>
        <w:tc>
          <w:tcPr>
            <w:tcW w:w="1040" w:type="dxa"/>
            <w:tcBorders>
              <w:top w:val="nil"/>
              <w:left w:val="nil"/>
              <w:bottom w:val="nil"/>
              <w:right w:val="nil"/>
            </w:tcBorders>
            <w:shd w:val="clear" w:color="000000" w:fill="FFFFFF"/>
            <w:vAlign w:val="center"/>
            <w:hideMark/>
          </w:tcPr>
          <w:p w14:paraId="6EFD8E9C"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-181 476</w:t>
            </w:r>
          </w:p>
        </w:tc>
        <w:tc>
          <w:tcPr>
            <w:tcW w:w="880" w:type="dxa"/>
            <w:tcBorders>
              <w:top w:val="nil"/>
              <w:left w:val="nil"/>
              <w:bottom w:val="nil"/>
              <w:right w:val="nil"/>
            </w:tcBorders>
            <w:shd w:val="clear" w:color="000000" w:fill="FFFFFF"/>
            <w:vAlign w:val="center"/>
            <w:hideMark/>
          </w:tcPr>
          <w:p w14:paraId="1054E39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-98,3</w:t>
            </w:r>
          </w:p>
        </w:tc>
      </w:tr>
      <w:tr w:rsidR="00697268" w:rsidRPr="00343642" w14:paraId="4B6E393F" w14:textId="77777777" w:rsidTr="00EC5F2E">
        <w:trPr>
          <w:trHeight w:val="289"/>
        </w:trPr>
        <w:tc>
          <w:tcPr>
            <w:tcW w:w="4240" w:type="dxa"/>
            <w:tcBorders>
              <w:top w:val="nil"/>
              <w:left w:val="nil"/>
              <w:bottom w:val="nil"/>
              <w:right w:val="nil"/>
            </w:tcBorders>
            <w:shd w:val="clear" w:color="000000" w:fill="FFFFFF"/>
            <w:vAlign w:val="center"/>
            <w:hideMark/>
          </w:tcPr>
          <w:p w14:paraId="3F433497"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investícií, regionálneho rozvoja a informatizácie SR</w:t>
            </w:r>
          </w:p>
        </w:tc>
        <w:tc>
          <w:tcPr>
            <w:tcW w:w="720" w:type="dxa"/>
            <w:tcBorders>
              <w:top w:val="nil"/>
              <w:left w:val="nil"/>
              <w:bottom w:val="nil"/>
              <w:right w:val="nil"/>
            </w:tcBorders>
            <w:shd w:val="clear" w:color="000000" w:fill="FFFFFF"/>
            <w:noWrap/>
            <w:vAlign w:val="center"/>
            <w:hideMark/>
          </w:tcPr>
          <w:p w14:paraId="10455DA6"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noWrap/>
            <w:vAlign w:val="center"/>
            <w:hideMark/>
          </w:tcPr>
          <w:p w14:paraId="5026662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auto" w:fill="auto"/>
            <w:noWrap/>
            <w:vAlign w:val="center"/>
            <w:hideMark/>
          </w:tcPr>
          <w:p w14:paraId="6C29862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66 261</w:t>
            </w:r>
          </w:p>
        </w:tc>
        <w:tc>
          <w:tcPr>
            <w:tcW w:w="960" w:type="dxa"/>
            <w:tcBorders>
              <w:top w:val="nil"/>
              <w:left w:val="nil"/>
              <w:bottom w:val="nil"/>
              <w:right w:val="nil"/>
            </w:tcBorders>
            <w:shd w:val="clear" w:color="auto" w:fill="auto"/>
            <w:noWrap/>
            <w:vAlign w:val="center"/>
            <w:hideMark/>
          </w:tcPr>
          <w:p w14:paraId="100CC23E"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2 529</w:t>
            </w:r>
          </w:p>
        </w:tc>
        <w:tc>
          <w:tcPr>
            <w:tcW w:w="1040" w:type="dxa"/>
            <w:tcBorders>
              <w:top w:val="nil"/>
              <w:left w:val="nil"/>
              <w:bottom w:val="nil"/>
              <w:right w:val="nil"/>
            </w:tcBorders>
            <w:shd w:val="clear" w:color="000000" w:fill="FFFFFF"/>
            <w:vAlign w:val="center"/>
            <w:hideMark/>
          </w:tcPr>
          <w:p w14:paraId="54847500"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-63 732</w:t>
            </w:r>
          </w:p>
        </w:tc>
        <w:tc>
          <w:tcPr>
            <w:tcW w:w="880" w:type="dxa"/>
            <w:tcBorders>
              <w:top w:val="nil"/>
              <w:left w:val="nil"/>
              <w:bottom w:val="nil"/>
              <w:right w:val="nil"/>
            </w:tcBorders>
            <w:shd w:val="clear" w:color="000000" w:fill="FFFFFF"/>
            <w:vAlign w:val="center"/>
            <w:hideMark/>
          </w:tcPr>
          <w:p w14:paraId="78896ED7"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-96,2</w:t>
            </w:r>
          </w:p>
        </w:tc>
      </w:tr>
      <w:tr w:rsidR="00697268" w:rsidRPr="00343642" w14:paraId="2FEA4784" w14:textId="77777777" w:rsidTr="00EC5F2E">
        <w:trPr>
          <w:trHeight w:val="289"/>
        </w:trPr>
        <w:tc>
          <w:tcPr>
            <w:tcW w:w="4240" w:type="dxa"/>
            <w:tcBorders>
              <w:top w:val="nil"/>
              <w:left w:val="nil"/>
              <w:bottom w:val="nil"/>
              <w:right w:val="nil"/>
            </w:tcBorders>
            <w:shd w:val="clear" w:color="000000" w:fill="FFFFFF"/>
            <w:noWrap/>
            <w:vAlign w:val="center"/>
            <w:hideMark/>
          </w:tcPr>
          <w:p w14:paraId="5E970B90"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Všeobecná pokladničná správa</w:t>
            </w:r>
          </w:p>
        </w:tc>
        <w:tc>
          <w:tcPr>
            <w:tcW w:w="720" w:type="dxa"/>
            <w:tcBorders>
              <w:top w:val="nil"/>
              <w:left w:val="nil"/>
              <w:bottom w:val="nil"/>
              <w:right w:val="nil"/>
            </w:tcBorders>
            <w:shd w:val="clear" w:color="000000" w:fill="FFFFFF"/>
            <w:vAlign w:val="center"/>
            <w:hideMark/>
          </w:tcPr>
          <w:p w14:paraId="63A37FC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vAlign w:val="center"/>
            <w:hideMark/>
          </w:tcPr>
          <w:p w14:paraId="126B02A4"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000000" w:fill="FFFFFF"/>
            <w:vAlign w:val="center"/>
            <w:hideMark/>
          </w:tcPr>
          <w:p w14:paraId="2E510A4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60" w:type="dxa"/>
            <w:tcBorders>
              <w:top w:val="nil"/>
              <w:left w:val="nil"/>
              <w:bottom w:val="nil"/>
              <w:right w:val="nil"/>
            </w:tcBorders>
            <w:shd w:val="clear" w:color="auto" w:fill="auto"/>
            <w:vAlign w:val="center"/>
            <w:hideMark/>
          </w:tcPr>
          <w:p w14:paraId="7603D7D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1 929</w:t>
            </w:r>
          </w:p>
        </w:tc>
        <w:tc>
          <w:tcPr>
            <w:tcW w:w="1040" w:type="dxa"/>
            <w:tcBorders>
              <w:top w:val="nil"/>
              <w:left w:val="nil"/>
              <w:bottom w:val="nil"/>
              <w:right w:val="nil"/>
            </w:tcBorders>
            <w:shd w:val="clear" w:color="000000" w:fill="FFFFFF"/>
            <w:vAlign w:val="center"/>
            <w:hideMark/>
          </w:tcPr>
          <w:p w14:paraId="0C7C976C"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1 929</w:t>
            </w:r>
          </w:p>
        </w:tc>
        <w:tc>
          <w:tcPr>
            <w:tcW w:w="880" w:type="dxa"/>
            <w:tcBorders>
              <w:top w:val="nil"/>
              <w:left w:val="nil"/>
              <w:bottom w:val="nil"/>
              <w:right w:val="nil"/>
            </w:tcBorders>
            <w:shd w:val="clear" w:color="000000" w:fill="FFFFFF"/>
            <w:vAlign w:val="center"/>
            <w:hideMark/>
          </w:tcPr>
          <w:p w14:paraId="22C9B9D1"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x</w:t>
            </w:r>
          </w:p>
        </w:tc>
      </w:tr>
      <w:tr w:rsidR="00697268" w:rsidRPr="00343642" w14:paraId="26891E3B" w14:textId="77777777" w:rsidTr="00EC5F2E">
        <w:trPr>
          <w:trHeight w:val="289"/>
        </w:trPr>
        <w:tc>
          <w:tcPr>
            <w:tcW w:w="4240" w:type="dxa"/>
            <w:tcBorders>
              <w:top w:val="nil"/>
              <w:left w:val="nil"/>
              <w:bottom w:val="nil"/>
              <w:right w:val="nil"/>
            </w:tcBorders>
            <w:shd w:val="clear" w:color="000000" w:fill="FFFFFF"/>
            <w:noWrap/>
            <w:vAlign w:val="center"/>
            <w:hideMark/>
          </w:tcPr>
          <w:p w14:paraId="49C65C75"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kultúry SR</w:t>
            </w:r>
          </w:p>
        </w:tc>
        <w:tc>
          <w:tcPr>
            <w:tcW w:w="720" w:type="dxa"/>
            <w:tcBorders>
              <w:top w:val="nil"/>
              <w:left w:val="nil"/>
              <w:bottom w:val="nil"/>
              <w:right w:val="nil"/>
            </w:tcBorders>
            <w:shd w:val="clear" w:color="000000" w:fill="FFFFFF"/>
            <w:vAlign w:val="center"/>
            <w:hideMark/>
          </w:tcPr>
          <w:p w14:paraId="59D5D59C"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vAlign w:val="center"/>
            <w:hideMark/>
          </w:tcPr>
          <w:p w14:paraId="7B70AB18"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000000" w:fill="FFFFFF"/>
            <w:vAlign w:val="center"/>
            <w:hideMark/>
          </w:tcPr>
          <w:p w14:paraId="2C60A75D"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3 493</w:t>
            </w:r>
          </w:p>
        </w:tc>
        <w:tc>
          <w:tcPr>
            <w:tcW w:w="960" w:type="dxa"/>
            <w:tcBorders>
              <w:top w:val="nil"/>
              <w:left w:val="nil"/>
              <w:bottom w:val="nil"/>
              <w:right w:val="nil"/>
            </w:tcBorders>
            <w:shd w:val="clear" w:color="auto" w:fill="auto"/>
            <w:vAlign w:val="center"/>
            <w:hideMark/>
          </w:tcPr>
          <w:p w14:paraId="13016724"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1 522</w:t>
            </w:r>
          </w:p>
        </w:tc>
        <w:tc>
          <w:tcPr>
            <w:tcW w:w="1040" w:type="dxa"/>
            <w:tcBorders>
              <w:top w:val="nil"/>
              <w:left w:val="nil"/>
              <w:bottom w:val="nil"/>
              <w:right w:val="nil"/>
            </w:tcBorders>
            <w:shd w:val="clear" w:color="000000" w:fill="FFFFFF"/>
            <w:vAlign w:val="center"/>
            <w:hideMark/>
          </w:tcPr>
          <w:p w14:paraId="37DE8714"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-1 971</w:t>
            </w:r>
          </w:p>
        </w:tc>
        <w:tc>
          <w:tcPr>
            <w:tcW w:w="880" w:type="dxa"/>
            <w:tcBorders>
              <w:top w:val="nil"/>
              <w:left w:val="nil"/>
              <w:bottom w:val="nil"/>
              <w:right w:val="nil"/>
            </w:tcBorders>
            <w:shd w:val="clear" w:color="000000" w:fill="FFFFFF"/>
            <w:vAlign w:val="center"/>
            <w:hideMark/>
          </w:tcPr>
          <w:p w14:paraId="6EF0CA2D"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-56,4</w:t>
            </w:r>
          </w:p>
        </w:tc>
      </w:tr>
      <w:tr w:rsidR="00697268" w:rsidRPr="00343642" w14:paraId="5F50E72E" w14:textId="77777777" w:rsidTr="00EC5F2E">
        <w:trPr>
          <w:trHeight w:val="289"/>
        </w:trPr>
        <w:tc>
          <w:tcPr>
            <w:tcW w:w="4240" w:type="dxa"/>
            <w:tcBorders>
              <w:top w:val="nil"/>
              <w:left w:val="nil"/>
              <w:bottom w:val="nil"/>
              <w:right w:val="nil"/>
            </w:tcBorders>
            <w:shd w:val="clear" w:color="000000" w:fill="FFFFFF"/>
            <w:noWrap/>
            <w:vAlign w:val="center"/>
            <w:hideMark/>
          </w:tcPr>
          <w:p w14:paraId="755976E7"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hospodárstva SR</w:t>
            </w:r>
          </w:p>
        </w:tc>
        <w:tc>
          <w:tcPr>
            <w:tcW w:w="720" w:type="dxa"/>
            <w:tcBorders>
              <w:top w:val="nil"/>
              <w:left w:val="nil"/>
              <w:bottom w:val="nil"/>
              <w:right w:val="nil"/>
            </w:tcBorders>
            <w:shd w:val="clear" w:color="000000" w:fill="FFFFFF"/>
            <w:noWrap/>
            <w:vAlign w:val="center"/>
            <w:hideMark/>
          </w:tcPr>
          <w:p w14:paraId="043361F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noWrap/>
            <w:vAlign w:val="center"/>
            <w:hideMark/>
          </w:tcPr>
          <w:p w14:paraId="42425038"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auto" w:fill="auto"/>
            <w:noWrap/>
            <w:vAlign w:val="center"/>
            <w:hideMark/>
          </w:tcPr>
          <w:p w14:paraId="050C481E"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119 944</w:t>
            </w:r>
          </w:p>
        </w:tc>
        <w:tc>
          <w:tcPr>
            <w:tcW w:w="960" w:type="dxa"/>
            <w:tcBorders>
              <w:top w:val="nil"/>
              <w:left w:val="nil"/>
              <w:bottom w:val="nil"/>
              <w:right w:val="nil"/>
            </w:tcBorders>
            <w:shd w:val="clear" w:color="auto" w:fill="auto"/>
            <w:noWrap/>
            <w:vAlign w:val="center"/>
            <w:hideMark/>
          </w:tcPr>
          <w:p w14:paraId="43375D3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538</w:t>
            </w:r>
          </w:p>
        </w:tc>
        <w:tc>
          <w:tcPr>
            <w:tcW w:w="1040" w:type="dxa"/>
            <w:tcBorders>
              <w:top w:val="nil"/>
              <w:left w:val="nil"/>
              <w:bottom w:val="nil"/>
              <w:right w:val="nil"/>
            </w:tcBorders>
            <w:shd w:val="clear" w:color="000000" w:fill="FFFFFF"/>
            <w:vAlign w:val="center"/>
            <w:hideMark/>
          </w:tcPr>
          <w:p w14:paraId="3E0021A2"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-119 406</w:t>
            </w:r>
          </w:p>
        </w:tc>
        <w:tc>
          <w:tcPr>
            <w:tcW w:w="880" w:type="dxa"/>
            <w:tcBorders>
              <w:top w:val="nil"/>
              <w:left w:val="nil"/>
              <w:bottom w:val="nil"/>
              <w:right w:val="nil"/>
            </w:tcBorders>
            <w:shd w:val="clear" w:color="000000" w:fill="FFFFFF"/>
            <w:vAlign w:val="center"/>
            <w:hideMark/>
          </w:tcPr>
          <w:p w14:paraId="26171A1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-99,6</w:t>
            </w:r>
          </w:p>
        </w:tc>
      </w:tr>
      <w:tr w:rsidR="00697268" w:rsidRPr="00343642" w14:paraId="42C635B0" w14:textId="77777777" w:rsidTr="00EC5F2E">
        <w:trPr>
          <w:trHeight w:val="289"/>
        </w:trPr>
        <w:tc>
          <w:tcPr>
            <w:tcW w:w="4240" w:type="dxa"/>
            <w:tcBorders>
              <w:top w:val="nil"/>
              <w:left w:val="nil"/>
              <w:bottom w:val="nil"/>
              <w:right w:val="nil"/>
            </w:tcBorders>
            <w:shd w:val="clear" w:color="000000" w:fill="FFFFFF"/>
            <w:noWrap/>
            <w:vAlign w:val="center"/>
            <w:hideMark/>
          </w:tcPr>
          <w:p w14:paraId="3DC1AF18"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spravodlivosti SR</w:t>
            </w:r>
          </w:p>
        </w:tc>
        <w:tc>
          <w:tcPr>
            <w:tcW w:w="720" w:type="dxa"/>
            <w:tcBorders>
              <w:top w:val="nil"/>
              <w:left w:val="nil"/>
              <w:bottom w:val="nil"/>
              <w:right w:val="nil"/>
            </w:tcBorders>
            <w:shd w:val="clear" w:color="000000" w:fill="FFFFFF"/>
            <w:noWrap/>
            <w:vAlign w:val="center"/>
            <w:hideMark/>
          </w:tcPr>
          <w:p w14:paraId="4A670E53"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noWrap/>
            <w:vAlign w:val="center"/>
            <w:hideMark/>
          </w:tcPr>
          <w:p w14:paraId="6E9D617D"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000000" w:fill="FFFFFF"/>
            <w:noWrap/>
            <w:vAlign w:val="center"/>
            <w:hideMark/>
          </w:tcPr>
          <w:p w14:paraId="26B1E25C"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55 809</w:t>
            </w:r>
          </w:p>
        </w:tc>
        <w:tc>
          <w:tcPr>
            <w:tcW w:w="960" w:type="dxa"/>
            <w:tcBorders>
              <w:top w:val="nil"/>
              <w:left w:val="nil"/>
              <w:bottom w:val="nil"/>
              <w:right w:val="nil"/>
            </w:tcBorders>
            <w:shd w:val="clear" w:color="auto" w:fill="auto"/>
            <w:noWrap/>
            <w:vAlign w:val="center"/>
            <w:hideMark/>
          </w:tcPr>
          <w:p w14:paraId="1145B74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536</w:t>
            </w:r>
          </w:p>
        </w:tc>
        <w:tc>
          <w:tcPr>
            <w:tcW w:w="1040" w:type="dxa"/>
            <w:tcBorders>
              <w:top w:val="nil"/>
              <w:left w:val="nil"/>
              <w:bottom w:val="nil"/>
              <w:right w:val="nil"/>
            </w:tcBorders>
            <w:shd w:val="clear" w:color="000000" w:fill="FFFFFF"/>
            <w:vAlign w:val="center"/>
            <w:hideMark/>
          </w:tcPr>
          <w:p w14:paraId="3A948F5C"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-55 273</w:t>
            </w:r>
          </w:p>
        </w:tc>
        <w:tc>
          <w:tcPr>
            <w:tcW w:w="880" w:type="dxa"/>
            <w:tcBorders>
              <w:top w:val="nil"/>
              <w:left w:val="nil"/>
              <w:bottom w:val="nil"/>
              <w:right w:val="nil"/>
            </w:tcBorders>
            <w:shd w:val="clear" w:color="000000" w:fill="FFFFFF"/>
            <w:vAlign w:val="center"/>
            <w:hideMark/>
          </w:tcPr>
          <w:p w14:paraId="704C863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-99,0</w:t>
            </w:r>
          </w:p>
        </w:tc>
      </w:tr>
      <w:tr w:rsidR="00697268" w:rsidRPr="00343642" w14:paraId="15254D66" w14:textId="77777777" w:rsidTr="00EC5F2E">
        <w:trPr>
          <w:trHeight w:val="289"/>
        </w:trPr>
        <w:tc>
          <w:tcPr>
            <w:tcW w:w="4240" w:type="dxa"/>
            <w:tcBorders>
              <w:top w:val="nil"/>
              <w:left w:val="nil"/>
              <w:bottom w:val="nil"/>
              <w:right w:val="nil"/>
            </w:tcBorders>
            <w:shd w:val="clear" w:color="000000" w:fill="FFFFFF"/>
            <w:vAlign w:val="center"/>
            <w:hideMark/>
          </w:tcPr>
          <w:p w14:paraId="490679E1"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práce, sociálnych vecí a rodiny SR</w:t>
            </w:r>
          </w:p>
        </w:tc>
        <w:tc>
          <w:tcPr>
            <w:tcW w:w="720" w:type="dxa"/>
            <w:tcBorders>
              <w:top w:val="nil"/>
              <w:left w:val="nil"/>
              <w:bottom w:val="nil"/>
              <w:right w:val="nil"/>
            </w:tcBorders>
            <w:shd w:val="clear" w:color="000000" w:fill="FFFFFF"/>
            <w:vAlign w:val="center"/>
            <w:hideMark/>
          </w:tcPr>
          <w:p w14:paraId="187E778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vAlign w:val="center"/>
            <w:hideMark/>
          </w:tcPr>
          <w:p w14:paraId="46BBE76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000000" w:fill="FFFFFF"/>
            <w:vAlign w:val="center"/>
            <w:hideMark/>
          </w:tcPr>
          <w:p w14:paraId="31AA570E"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33 114</w:t>
            </w:r>
          </w:p>
        </w:tc>
        <w:tc>
          <w:tcPr>
            <w:tcW w:w="960" w:type="dxa"/>
            <w:tcBorders>
              <w:top w:val="nil"/>
              <w:left w:val="nil"/>
              <w:bottom w:val="nil"/>
              <w:right w:val="nil"/>
            </w:tcBorders>
            <w:shd w:val="clear" w:color="auto" w:fill="auto"/>
            <w:vAlign w:val="center"/>
            <w:hideMark/>
          </w:tcPr>
          <w:p w14:paraId="6EDA83BB"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138</w:t>
            </w:r>
          </w:p>
        </w:tc>
        <w:tc>
          <w:tcPr>
            <w:tcW w:w="1040" w:type="dxa"/>
            <w:tcBorders>
              <w:top w:val="nil"/>
              <w:left w:val="nil"/>
              <w:bottom w:val="nil"/>
              <w:right w:val="nil"/>
            </w:tcBorders>
            <w:shd w:val="clear" w:color="000000" w:fill="FFFFFF"/>
            <w:vAlign w:val="center"/>
            <w:hideMark/>
          </w:tcPr>
          <w:p w14:paraId="4FFCA05B"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-32 976</w:t>
            </w:r>
          </w:p>
        </w:tc>
        <w:tc>
          <w:tcPr>
            <w:tcW w:w="880" w:type="dxa"/>
            <w:tcBorders>
              <w:top w:val="nil"/>
              <w:left w:val="nil"/>
              <w:bottom w:val="nil"/>
              <w:right w:val="nil"/>
            </w:tcBorders>
            <w:shd w:val="clear" w:color="000000" w:fill="FFFFFF"/>
            <w:vAlign w:val="center"/>
            <w:hideMark/>
          </w:tcPr>
          <w:p w14:paraId="29A0B3FA"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-99,6</w:t>
            </w:r>
          </w:p>
        </w:tc>
      </w:tr>
      <w:tr w:rsidR="00697268" w:rsidRPr="00343642" w14:paraId="11CDED4D" w14:textId="77777777" w:rsidTr="00EC5F2E">
        <w:trPr>
          <w:trHeight w:val="289"/>
        </w:trPr>
        <w:tc>
          <w:tcPr>
            <w:tcW w:w="4240" w:type="dxa"/>
            <w:tcBorders>
              <w:top w:val="nil"/>
              <w:left w:val="nil"/>
              <w:bottom w:val="nil"/>
              <w:right w:val="nil"/>
            </w:tcBorders>
            <w:shd w:val="clear" w:color="000000" w:fill="FFFFFF"/>
            <w:noWrap/>
            <w:vAlign w:val="center"/>
            <w:hideMark/>
          </w:tcPr>
          <w:p w14:paraId="5316F1C8"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Úrad pre verejné obstarávanie SR</w:t>
            </w:r>
          </w:p>
        </w:tc>
        <w:tc>
          <w:tcPr>
            <w:tcW w:w="720" w:type="dxa"/>
            <w:tcBorders>
              <w:top w:val="nil"/>
              <w:left w:val="nil"/>
              <w:bottom w:val="nil"/>
              <w:right w:val="nil"/>
            </w:tcBorders>
            <w:shd w:val="clear" w:color="000000" w:fill="FFFFFF"/>
            <w:vAlign w:val="center"/>
            <w:hideMark/>
          </w:tcPr>
          <w:p w14:paraId="32467A8C"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vAlign w:val="center"/>
            <w:hideMark/>
          </w:tcPr>
          <w:p w14:paraId="54D80E1F"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000000" w:fill="FFFFFF"/>
            <w:vAlign w:val="center"/>
            <w:hideMark/>
          </w:tcPr>
          <w:p w14:paraId="7FA29D1D"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515</w:t>
            </w:r>
          </w:p>
        </w:tc>
        <w:tc>
          <w:tcPr>
            <w:tcW w:w="960" w:type="dxa"/>
            <w:tcBorders>
              <w:top w:val="nil"/>
              <w:left w:val="nil"/>
              <w:bottom w:val="nil"/>
              <w:right w:val="nil"/>
            </w:tcBorders>
            <w:shd w:val="clear" w:color="auto" w:fill="auto"/>
            <w:vAlign w:val="center"/>
            <w:hideMark/>
          </w:tcPr>
          <w:p w14:paraId="1C726A48"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29</w:t>
            </w:r>
          </w:p>
        </w:tc>
        <w:tc>
          <w:tcPr>
            <w:tcW w:w="1040" w:type="dxa"/>
            <w:tcBorders>
              <w:top w:val="nil"/>
              <w:left w:val="nil"/>
              <w:bottom w:val="nil"/>
              <w:right w:val="nil"/>
            </w:tcBorders>
            <w:shd w:val="clear" w:color="000000" w:fill="FFFFFF"/>
            <w:vAlign w:val="center"/>
            <w:hideMark/>
          </w:tcPr>
          <w:p w14:paraId="6C6412A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-486</w:t>
            </w:r>
          </w:p>
        </w:tc>
        <w:tc>
          <w:tcPr>
            <w:tcW w:w="880" w:type="dxa"/>
            <w:tcBorders>
              <w:top w:val="nil"/>
              <w:left w:val="nil"/>
              <w:bottom w:val="nil"/>
              <w:right w:val="nil"/>
            </w:tcBorders>
            <w:shd w:val="clear" w:color="000000" w:fill="FFFFFF"/>
            <w:vAlign w:val="center"/>
            <w:hideMark/>
          </w:tcPr>
          <w:p w14:paraId="562CDAAC"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-94,4</w:t>
            </w:r>
          </w:p>
        </w:tc>
      </w:tr>
      <w:tr w:rsidR="00697268" w:rsidRPr="00343642" w14:paraId="387039D8" w14:textId="77777777" w:rsidTr="00EC5F2E">
        <w:trPr>
          <w:trHeight w:val="289"/>
        </w:trPr>
        <w:tc>
          <w:tcPr>
            <w:tcW w:w="4240" w:type="dxa"/>
            <w:tcBorders>
              <w:top w:val="nil"/>
              <w:left w:val="nil"/>
              <w:bottom w:val="nil"/>
              <w:right w:val="nil"/>
            </w:tcBorders>
            <w:shd w:val="clear" w:color="auto" w:fill="auto"/>
            <w:noWrap/>
            <w:vAlign w:val="center"/>
            <w:hideMark/>
          </w:tcPr>
          <w:p w14:paraId="24155D45"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dopravy a výstavby SR</w:t>
            </w:r>
          </w:p>
        </w:tc>
        <w:tc>
          <w:tcPr>
            <w:tcW w:w="720" w:type="dxa"/>
            <w:tcBorders>
              <w:top w:val="nil"/>
              <w:left w:val="nil"/>
              <w:bottom w:val="nil"/>
              <w:right w:val="nil"/>
            </w:tcBorders>
            <w:shd w:val="clear" w:color="000000" w:fill="FFFFFF"/>
            <w:noWrap/>
            <w:vAlign w:val="center"/>
            <w:hideMark/>
          </w:tcPr>
          <w:p w14:paraId="62A7DFAE"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noWrap/>
            <w:vAlign w:val="center"/>
            <w:hideMark/>
          </w:tcPr>
          <w:p w14:paraId="5D3CF837"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auto" w:fill="auto"/>
            <w:noWrap/>
            <w:vAlign w:val="center"/>
            <w:hideMark/>
          </w:tcPr>
          <w:p w14:paraId="070B464D"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150 554</w:t>
            </w:r>
          </w:p>
        </w:tc>
        <w:tc>
          <w:tcPr>
            <w:tcW w:w="960" w:type="dxa"/>
            <w:tcBorders>
              <w:top w:val="nil"/>
              <w:left w:val="nil"/>
              <w:bottom w:val="nil"/>
              <w:right w:val="nil"/>
            </w:tcBorders>
            <w:shd w:val="clear" w:color="auto" w:fill="auto"/>
            <w:noWrap/>
            <w:vAlign w:val="center"/>
            <w:hideMark/>
          </w:tcPr>
          <w:p w14:paraId="5694B629"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1040" w:type="dxa"/>
            <w:tcBorders>
              <w:top w:val="nil"/>
              <w:left w:val="nil"/>
              <w:bottom w:val="nil"/>
              <w:right w:val="nil"/>
            </w:tcBorders>
            <w:shd w:val="clear" w:color="000000" w:fill="FFFFFF"/>
            <w:vAlign w:val="center"/>
            <w:hideMark/>
          </w:tcPr>
          <w:p w14:paraId="221D39F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-150 554</w:t>
            </w:r>
          </w:p>
        </w:tc>
        <w:tc>
          <w:tcPr>
            <w:tcW w:w="880" w:type="dxa"/>
            <w:tcBorders>
              <w:top w:val="nil"/>
              <w:left w:val="nil"/>
              <w:bottom w:val="nil"/>
              <w:right w:val="nil"/>
            </w:tcBorders>
            <w:shd w:val="clear" w:color="000000" w:fill="FFFFFF"/>
            <w:vAlign w:val="center"/>
            <w:hideMark/>
          </w:tcPr>
          <w:p w14:paraId="56453788"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-100,0</w:t>
            </w:r>
          </w:p>
        </w:tc>
      </w:tr>
      <w:tr w:rsidR="00697268" w:rsidRPr="00343642" w14:paraId="28B70037" w14:textId="77777777" w:rsidTr="00EC5F2E">
        <w:trPr>
          <w:trHeight w:val="289"/>
        </w:trPr>
        <w:tc>
          <w:tcPr>
            <w:tcW w:w="4240" w:type="dxa"/>
            <w:tcBorders>
              <w:top w:val="nil"/>
              <w:left w:val="nil"/>
              <w:bottom w:val="nil"/>
              <w:right w:val="nil"/>
            </w:tcBorders>
            <w:shd w:val="clear" w:color="000000" w:fill="FFFFFF"/>
            <w:vAlign w:val="center"/>
            <w:hideMark/>
          </w:tcPr>
          <w:p w14:paraId="4467DA5A" w14:textId="77777777" w:rsidR="00697268" w:rsidRPr="00343642" w:rsidRDefault="00697268" w:rsidP="00AB0350">
            <w:pPr>
              <w:spacing w:after="0" w:line="240" w:lineRule="auto"/>
              <w:rPr>
                <w:rFonts w:eastAsia="Times New Roman" w:cs="Times New Roman"/>
                <w:color w:val="000000"/>
                <w:sz w:val="20"/>
                <w:szCs w:val="20"/>
                <w:lang w:eastAsia="sk-SK"/>
              </w:rPr>
            </w:pPr>
            <w:r w:rsidRPr="00343642">
              <w:rPr>
                <w:rFonts w:eastAsia="Times New Roman" w:cs="Times New Roman"/>
                <w:color w:val="000000"/>
                <w:sz w:val="20"/>
                <w:szCs w:val="20"/>
                <w:lang w:eastAsia="sk-SK"/>
              </w:rPr>
              <w:t>Ministerstvo zahraničných vecí a EÚ záležitostí SR</w:t>
            </w:r>
          </w:p>
        </w:tc>
        <w:tc>
          <w:tcPr>
            <w:tcW w:w="720" w:type="dxa"/>
            <w:tcBorders>
              <w:top w:val="nil"/>
              <w:left w:val="nil"/>
              <w:bottom w:val="nil"/>
              <w:right w:val="nil"/>
            </w:tcBorders>
            <w:shd w:val="clear" w:color="000000" w:fill="FFFFFF"/>
            <w:vAlign w:val="center"/>
            <w:hideMark/>
          </w:tcPr>
          <w:p w14:paraId="5F308217"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820" w:type="dxa"/>
            <w:tcBorders>
              <w:top w:val="nil"/>
              <w:left w:val="nil"/>
              <w:bottom w:val="nil"/>
              <w:right w:val="nil"/>
            </w:tcBorders>
            <w:shd w:val="clear" w:color="auto" w:fill="auto"/>
            <w:vAlign w:val="center"/>
            <w:hideMark/>
          </w:tcPr>
          <w:p w14:paraId="62FB8C90"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980" w:type="dxa"/>
            <w:tcBorders>
              <w:top w:val="nil"/>
              <w:left w:val="nil"/>
              <w:bottom w:val="nil"/>
              <w:right w:val="nil"/>
            </w:tcBorders>
            <w:shd w:val="clear" w:color="000000" w:fill="FFFFFF"/>
            <w:vAlign w:val="center"/>
            <w:hideMark/>
          </w:tcPr>
          <w:p w14:paraId="674C52D7"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535</w:t>
            </w:r>
          </w:p>
        </w:tc>
        <w:tc>
          <w:tcPr>
            <w:tcW w:w="960" w:type="dxa"/>
            <w:tcBorders>
              <w:top w:val="nil"/>
              <w:left w:val="nil"/>
              <w:bottom w:val="nil"/>
              <w:right w:val="nil"/>
            </w:tcBorders>
            <w:shd w:val="clear" w:color="auto" w:fill="auto"/>
            <w:vAlign w:val="center"/>
            <w:hideMark/>
          </w:tcPr>
          <w:p w14:paraId="7612FCD6"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0</w:t>
            </w:r>
          </w:p>
        </w:tc>
        <w:tc>
          <w:tcPr>
            <w:tcW w:w="1040" w:type="dxa"/>
            <w:tcBorders>
              <w:top w:val="nil"/>
              <w:left w:val="nil"/>
              <w:bottom w:val="nil"/>
              <w:right w:val="nil"/>
            </w:tcBorders>
            <w:shd w:val="clear" w:color="000000" w:fill="FFFFFF"/>
            <w:vAlign w:val="center"/>
            <w:hideMark/>
          </w:tcPr>
          <w:p w14:paraId="517A8BD0"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-535</w:t>
            </w:r>
          </w:p>
        </w:tc>
        <w:tc>
          <w:tcPr>
            <w:tcW w:w="880" w:type="dxa"/>
            <w:tcBorders>
              <w:top w:val="nil"/>
              <w:left w:val="nil"/>
              <w:bottom w:val="nil"/>
              <w:right w:val="nil"/>
            </w:tcBorders>
            <w:shd w:val="clear" w:color="000000" w:fill="FFFFFF"/>
            <w:vAlign w:val="center"/>
            <w:hideMark/>
          </w:tcPr>
          <w:p w14:paraId="65527DF5" w14:textId="77777777" w:rsidR="00697268" w:rsidRPr="00343642" w:rsidRDefault="00697268" w:rsidP="00AB0350">
            <w:pPr>
              <w:spacing w:after="0" w:line="240" w:lineRule="auto"/>
              <w:jc w:val="right"/>
              <w:rPr>
                <w:rFonts w:eastAsia="Times New Roman" w:cs="Times New Roman"/>
                <w:color w:val="000000"/>
                <w:sz w:val="20"/>
                <w:szCs w:val="20"/>
                <w:lang w:eastAsia="sk-SK"/>
              </w:rPr>
            </w:pPr>
            <w:r w:rsidRPr="00343642">
              <w:rPr>
                <w:rFonts w:eastAsia="Times New Roman" w:cs="Times New Roman"/>
                <w:color w:val="000000"/>
                <w:sz w:val="20"/>
                <w:szCs w:val="20"/>
                <w:lang w:eastAsia="sk-SK"/>
              </w:rPr>
              <w:t>-100,0</w:t>
            </w:r>
          </w:p>
        </w:tc>
      </w:tr>
      <w:tr w:rsidR="00697268" w:rsidRPr="00343642" w14:paraId="06DC7216" w14:textId="77777777" w:rsidTr="00EC5F2E">
        <w:trPr>
          <w:trHeight w:val="289"/>
        </w:trPr>
        <w:tc>
          <w:tcPr>
            <w:tcW w:w="4240" w:type="dxa"/>
            <w:tcBorders>
              <w:top w:val="single" w:sz="8" w:space="0" w:color="auto"/>
              <w:left w:val="nil"/>
              <w:bottom w:val="single" w:sz="8" w:space="0" w:color="auto"/>
              <w:right w:val="nil"/>
            </w:tcBorders>
            <w:shd w:val="clear" w:color="000000" w:fill="FFFFFF"/>
            <w:noWrap/>
            <w:vAlign w:val="center"/>
            <w:hideMark/>
          </w:tcPr>
          <w:p w14:paraId="0F8FFA27" w14:textId="77777777" w:rsidR="00697268" w:rsidRPr="00343642" w:rsidRDefault="00697268" w:rsidP="00AB0350">
            <w:pPr>
              <w:spacing w:after="0" w:line="240" w:lineRule="auto"/>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Spolu</w:t>
            </w:r>
          </w:p>
        </w:tc>
        <w:tc>
          <w:tcPr>
            <w:tcW w:w="720" w:type="dxa"/>
            <w:tcBorders>
              <w:top w:val="single" w:sz="8" w:space="0" w:color="auto"/>
              <w:left w:val="nil"/>
              <w:bottom w:val="single" w:sz="8" w:space="0" w:color="auto"/>
              <w:right w:val="nil"/>
            </w:tcBorders>
            <w:shd w:val="clear" w:color="000000" w:fill="FFFFFF"/>
            <w:noWrap/>
            <w:vAlign w:val="center"/>
            <w:hideMark/>
          </w:tcPr>
          <w:p w14:paraId="217C582D" w14:textId="77777777" w:rsidR="00697268" w:rsidRPr="00343642" w:rsidRDefault="00697268" w:rsidP="00AB0350">
            <w:pPr>
              <w:spacing w:after="0" w:line="240" w:lineRule="auto"/>
              <w:jc w:val="right"/>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0</w:t>
            </w:r>
          </w:p>
        </w:tc>
        <w:tc>
          <w:tcPr>
            <w:tcW w:w="820" w:type="dxa"/>
            <w:tcBorders>
              <w:top w:val="single" w:sz="8" w:space="0" w:color="auto"/>
              <w:left w:val="nil"/>
              <w:bottom w:val="single" w:sz="8" w:space="0" w:color="auto"/>
              <w:right w:val="nil"/>
            </w:tcBorders>
            <w:shd w:val="clear" w:color="auto" w:fill="auto"/>
            <w:noWrap/>
            <w:vAlign w:val="center"/>
            <w:hideMark/>
          </w:tcPr>
          <w:p w14:paraId="3A4F7E0E" w14:textId="77777777" w:rsidR="00697268" w:rsidRPr="00343642" w:rsidRDefault="00697268" w:rsidP="00AB0350">
            <w:pPr>
              <w:spacing w:after="0" w:line="240" w:lineRule="auto"/>
              <w:jc w:val="right"/>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6 148</w:t>
            </w:r>
          </w:p>
        </w:tc>
        <w:tc>
          <w:tcPr>
            <w:tcW w:w="980" w:type="dxa"/>
            <w:tcBorders>
              <w:top w:val="single" w:sz="8" w:space="0" w:color="auto"/>
              <w:left w:val="nil"/>
              <w:bottom w:val="single" w:sz="8" w:space="0" w:color="auto"/>
              <w:right w:val="nil"/>
            </w:tcBorders>
            <w:shd w:val="clear" w:color="000000" w:fill="FFFFFF"/>
            <w:noWrap/>
            <w:vAlign w:val="center"/>
            <w:hideMark/>
          </w:tcPr>
          <w:p w14:paraId="16A3B269" w14:textId="77777777" w:rsidR="00697268" w:rsidRPr="00343642" w:rsidRDefault="00697268" w:rsidP="00AB0350">
            <w:pPr>
              <w:spacing w:after="0" w:line="240" w:lineRule="auto"/>
              <w:jc w:val="right"/>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1 301 972</w:t>
            </w:r>
          </w:p>
        </w:tc>
        <w:tc>
          <w:tcPr>
            <w:tcW w:w="960" w:type="dxa"/>
            <w:tcBorders>
              <w:top w:val="single" w:sz="8" w:space="0" w:color="auto"/>
              <w:left w:val="nil"/>
              <w:bottom w:val="single" w:sz="8" w:space="0" w:color="auto"/>
              <w:right w:val="nil"/>
            </w:tcBorders>
            <w:shd w:val="clear" w:color="auto" w:fill="auto"/>
            <w:noWrap/>
            <w:vAlign w:val="center"/>
            <w:hideMark/>
          </w:tcPr>
          <w:p w14:paraId="21001906" w14:textId="77777777" w:rsidR="00697268" w:rsidRPr="00343642" w:rsidRDefault="00697268" w:rsidP="00AB0350">
            <w:pPr>
              <w:spacing w:after="0" w:line="240" w:lineRule="auto"/>
              <w:jc w:val="right"/>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49 021</w:t>
            </w:r>
          </w:p>
        </w:tc>
        <w:tc>
          <w:tcPr>
            <w:tcW w:w="1040" w:type="dxa"/>
            <w:tcBorders>
              <w:top w:val="single" w:sz="8" w:space="0" w:color="auto"/>
              <w:left w:val="nil"/>
              <w:bottom w:val="single" w:sz="8" w:space="0" w:color="auto"/>
              <w:right w:val="nil"/>
            </w:tcBorders>
            <w:shd w:val="clear" w:color="000000" w:fill="FFFFFF"/>
            <w:noWrap/>
            <w:vAlign w:val="center"/>
            <w:hideMark/>
          </w:tcPr>
          <w:p w14:paraId="1BCCBB78" w14:textId="77777777" w:rsidR="00697268" w:rsidRPr="00343642" w:rsidRDefault="00697268" w:rsidP="00AB0350">
            <w:pPr>
              <w:spacing w:after="0" w:line="240" w:lineRule="auto"/>
              <w:jc w:val="right"/>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-1 252 951</w:t>
            </w:r>
          </w:p>
        </w:tc>
        <w:tc>
          <w:tcPr>
            <w:tcW w:w="880" w:type="dxa"/>
            <w:tcBorders>
              <w:top w:val="single" w:sz="8" w:space="0" w:color="auto"/>
              <w:left w:val="nil"/>
              <w:bottom w:val="single" w:sz="8" w:space="0" w:color="auto"/>
              <w:right w:val="nil"/>
            </w:tcBorders>
            <w:shd w:val="clear" w:color="000000" w:fill="FFFFFF"/>
            <w:vAlign w:val="center"/>
            <w:hideMark/>
          </w:tcPr>
          <w:p w14:paraId="1840BE97" w14:textId="77777777" w:rsidR="00697268" w:rsidRPr="00343642" w:rsidRDefault="00697268" w:rsidP="00AB0350">
            <w:pPr>
              <w:spacing w:after="0" w:line="240" w:lineRule="auto"/>
              <w:jc w:val="right"/>
              <w:rPr>
                <w:rFonts w:eastAsia="Times New Roman" w:cs="Times New Roman"/>
                <w:b/>
                <w:bCs/>
                <w:color w:val="000000"/>
                <w:sz w:val="20"/>
                <w:szCs w:val="20"/>
                <w:lang w:eastAsia="sk-SK"/>
              </w:rPr>
            </w:pPr>
            <w:r w:rsidRPr="00343642">
              <w:rPr>
                <w:rFonts w:eastAsia="Times New Roman" w:cs="Times New Roman"/>
                <w:b/>
                <w:bCs/>
                <w:color w:val="000000"/>
                <w:sz w:val="20"/>
                <w:szCs w:val="20"/>
                <w:lang w:eastAsia="sk-SK"/>
              </w:rPr>
              <w:t>-96,2</w:t>
            </w:r>
          </w:p>
        </w:tc>
      </w:tr>
    </w:tbl>
    <w:p w14:paraId="5211778E" w14:textId="77777777" w:rsidR="00697268" w:rsidRPr="00667E7F" w:rsidRDefault="00697268" w:rsidP="00697268">
      <w:pPr>
        <w:rPr>
          <w:rFonts w:cs="Times New Roman"/>
          <w:sz w:val="18"/>
          <w:szCs w:val="18"/>
        </w:rPr>
      </w:pPr>
      <w:r w:rsidRPr="00343642">
        <w:rPr>
          <w:rFonts w:cs="Times New Roman"/>
          <w:sz w:val="18"/>
          <w:szCs w:val="18"/>
        </w:rPr>
        <w:lastRenderedPageBreak/>
        <w:t>*Bez výdavkov na DPH súvisiacej s výdavkami na plán obnovy a</w:t>
      </w:r>
      <w:r>
        <w:rPr>
          <w:rFonts w:cs="Times New Roman"/>
          <w:sz w:val="18"/>
          <w:szCs w:val="18"/>
        </w:rPr>
        <w:t> </w:t>
      </w:r>
      <w:r w:rsidRPr="00343642">
        <w:rPr>
          <w:rFonts w:cs="Times New Roman"/>
          <w:sz w:val="18"/>
          <w:szCs w:val="18"/>
        </w:rPr>
        <w:t>odolnosti</w:t>
      </w:r>
      <w:r>
        <w:rPr>
          <w:rFonts w:cs="Times New Roman"/>
          <w:sz w:val="18"/>
          <w:szCs w:val="18"/>
        </w:rPr>
        <w:t xml:space="preserve">                                                          Zdroj: MF SR</w:t>
      </w:r>
    </w:p>
    <w:p w14:paraId="032459F5" w14:textId="77777777" w:rsidR="00697268" w:rsidRPr="00A87B13" w:rsidRDefault="00697268" w:rsidP="00876587">
      <w:pPr>
        <w:spacing w:line="240" w:lineRule="auto"/>
        <w:rPr>
          <w:rFonts w:cs="Times New Roman"/>
          <w:sz w:val="24"/>
          <w:szCs w:val="24"/>
        </w:rPr>
      </w:pPr>
      <w:r w:rsidRPr="00A87B13">
        <w:rPr>
          <w:rFonts w:cs="Times New Roman"/>
          <w:sz w:val="24"/>
          <w:szCs w:val="24"/>
        </w:rPr>
        <w:t>Ministerstvo školstva, vedy, výskumu a športu malo najvyšší rozpočet prostriedkov POO, najmä na</w:t>
      </w:r>
      <w:r>
        <w:rPr>
          <w:rFonts w:cs="Times New Roman"/>
          <w:sz w:val="24"/>
          <w:szCs w:val="24"/>
        </w:rPr>
        <w:t> </w:t>
      </w:r>
      <w:r w:rsidRPr="00A87B13">
        <w:rPr>
          <w:rFonts w:cs="Times New Roman"/>
          <w:sz w:val="24"/>
          <w:szCs w:val="24"/>
        </w:rPr>
        <w:t>komponent Vzdelávanie pre</w:t>
      </w:r>
      <w:r>
        <w:rPr>
          <w:rFonts w:cs="Times New Roman"/>
          <w:sz w:val="24"/>
          <w:szCs w:val="24"/>
        </w:rPr>
        <w:t> </w:t>
      </w:r>
      <w:r w:rsidRPr="00A87B13">
        <w:rPr>
          <w:rFonts w:cs="Times New Roman"/>
          <w:sz w:val="24"/>
          <w:szCs w:val="24"/>
        </w:rPr>
        <w:t>21.</w:t>
      </w:r>
      <w:r>
        <w:rPr>
          <w:rFonts w:cs="Times New Roman"/>
          <w:sz w:val="24"/>
          <w:szCs w:val="24"/>
        </w:rPr>
        <w:t> </w:t>
      </w:r>
      <w:r w:rsidRPr="00A87B13">
        <w:rPr>
          <w:rFonts w:cs="Times New Roman"/>
          <w:sz w:val="24"/>
          <w:szCs w:val="24"/>
        </w:rPr>
        <w:t>storočie 197</w:t>
      </w:r>
      <w:r>
        <w:rPr>
          <w:rFonts w:cs="Times New Roman"/>
          <w:sz w:val="24"/>
          <w:szCs w:val="24"/>
        </w:rPr>
        <w:t> </w:t>
      </w:r>
      <w:r w:rsidRPr="00A87B13">
        <w:rPr>
          <w:rFonts w:cs="Times New Roman"/>
          <w:sz w:val="24"/>
          <w:szCs w:val="24"/>
        </w:rPr>
        <w:t>283</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 (hlavne na</w:t>
      </w:r>
      <w:r>
        <w:rPr>
          <w:rFonts w:cs="Times New Roman"/>
          <w:sz w:val="24"/>
          <w:szCs w:val="24"/>
        </w:rPr>
        <w:t> </w:t>
      </w:r>
      <w:r w:rsidRPr="00A87B13">
        <w:rPr>
          <w:rFonts w:cs="Times New Roman"/>
          <w:sz w:val="24"/>
          <w:szCs w:val="24"/>
        </w:rPr>
        <w:t>investície do</w:t>
      </w:r>
      <w:r>
        <w:rPr>
          <w:rFonts w:cs="Times New Roman"/>
          <w:sz w:val="24"/>
          <w:szCs w:val="24"/>
        </w:rPr>
        <w:t> </w:t>
      </w:r>
      <w:r w:rsidRPr="00A87B13">
        <w:rPr>
          <w:rFonts w:cs="Times New Roman"/>
          <w:sz w:val="24"/>
          <w:szCs w:val="24"/>
        </w:rPr>
        <w:t>digitálnej infraštruktúry v školách a dobudovanie školskej infraštruktúry, 166</w:t>
      </w:r>
      <w:r>
        <w:rPr>
          <w:rFonts w:cs="Times New Roman"/>
          <w:sz w:val="24"/>
          <w:szCs w:val="24"/>
        </w:rPr>
        <w:t> </w:t>
      </w:r>
      <w:r w:rsidRPr="00A87B13">
        <w:rPr>
          <w:rFonts w:cs="Times New Roman"/>
          <w:sz w:val="24"/>
          <w:szCs w:val="24"/>
        </w:rPr>
        <w:t>815</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 xml:space="preserve">eur) a komponent Dostupnosť, rozvoj a kvalita </w:t>
      </w:r>
      <w:proofErr w:type="spellStart"/>
      <w:r w:rsidRPr="00A87B13">
        <w:rPr>
          <w:rFonts w:cs="Times New Roman"/>
          <w:sz w:val="24"/>
          <w:szCs w:val="24"/>
        </w:rPr>
        <w:t>inkluzívneho</w:t>
      </w:r>
      <w:proofErr w:type="spellEnd"/>
      <w:r w:rsidRPr="00A87B13">
        <w:rPr>
          <w:rFonts w:cs="Times New Roman"/>
          <w:sz w:val="24"/>
          <w:szCs w:val="24"/>
        </w:rPr>
        <w:t xml:space="preserve"> vzdelávania, 105</w:t>
      </w:r>
      <w:r>
        <w:rPr>
          <w:rFonts w:cs="Times New Roman"/>
          <w:sz w:val="24"/>
          <w:szCs w:val="24"/>
        </w:rPr>
        <w:t> </w:t>
      </w:r>
      <w:r w:rsidRPr="00A87B13">
        <w:rPr>
          <w:rFonts w:cs="Times New Roman"/>
          <w:sz w:val="24"/>
          <w:szCs w:val="24"/>
        </w:rPr>
        <w:t>430</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 Ministerstvo zdravotníctva alokovalo výdavky najmä na komponent Moderná a dostupná zdravotná starostlivosť 148</w:t>
      </w:r>
      <w:r>
        <w:rPr>
          <w:rFonts w:cs="Times New Roman"/>
          <w:sz w:val="24"/>
          <w:szCs w:val="24"/>
        </w:rPr>
        <w:t> </w:t>
      </w:r>
      <w:r w:rsidRPr="00A87B13">
        <w:rPr>
          <w:rFonts w:cs="Times New Roman"/>
          <w:sz w:val="24"/>
          <w:szCs w:val="24"/>
        </w:rPr>
        <w:t>745</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 (najmä na investície do novej siete nemocníc: výstavba, rekonštrukcia a vybavenie 116</w:t>
      </w:r>
      <w:r>
        <w:rPr>
          <w:rFonts w:cs="Times New Roman"/>
          <w:sz w:val="24"/>
          <w:szCs w:val="24"/>
        </w:rPr>
        <w:t> </w:t>
      </w:r>
      <w:r w:rsidRPr="00A87B13">
        <w:rPr>
          <w:rFonts w:cs="Times New Roman"/>
          <w:sz w:val="24"/>
          <w:szCs w:val="24"/>
        </w:rPr>
        <w:t>219</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 a komponent Humánna, moderná a dostupná starostlivosť o duševné zdravie 25 576 tis. eur.</w:t>
      </w:r>
    </w:p>
    <w:p w14:paraId="249BB78A" w14:textId="6A3AFB00" w:rsidR="00697268" w:rsidRPr="00A87B13" w:rsidRDefault="00697268" w:rsidP="00876587">
      <w:pPr>
        <w:spacing w:line="240" w:lineRule="auto"/>
        <w:rPr>
          <w:rFonts w:cs="Times New Roman"/>
          <w:sz w:val="24"/>
          <w:szCs w:val="24"/>
        </w:rPr>
      </w:pPr>
      <w:r w:rsidRPr="00A87B13">
        <w:rPr>
          <w:rFonts w:cs="Times New Roman"/>
          <w:sz w:val="24"/>
          <w:szCs w:val="24"/>
        </w:rPr>
        <w:t>Ministerstvo životného prostredia SR rozpočtovalo výdavky na komponent Dekarbonizácia priemyslu 89 243 tis. eur, komponent Obnova budov 68</w:t>
      </w:r>
      <w:r>
        <w:rPr>
          <w:rFonts w:cs="Times New Roman"/>
          <w:sz w:val="24"/>
          <w:szCs w:val="24"/>
        </w:rPr>
        <w:t> </w:t>
      </w:r>
      <w:r w:rsidRPr="00A87B13">
        <w:rPr>
          <w:rFonts w:cs="Times New Roman"/>
          <w:sz w:val="24"/>
          <w:szCs w:val="24"/>
        </w:rPr>
        <w:t>720</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 a komponent Adaptácia na zmenu klímy 23</w:t>
      </w:r>
      <w:r>
        <w:rPr>
          <w:rFonts w:cs="Times New Roman"/>
          <w:sz w:val="24"/>
          <w:szCs w:val="24"/>
        </w:rPr>
        <w:t> </w:t>
      </w:r>
      <w:r w:rsidRPr="00A87B13">
        <w:rPr>
          <w:rFonts w:cs="Times New Roman"/>
          <w:sz w:val="24"/>
          <w:szCs w:val="24"/>
        </w:rPr>
        <w:t>359</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 Ministerstvo dopravy a výstavby SR je vo svojich plánovaných výdavkov z POO orientované najmä na investičné zámery, z celkovej alokácie je to 148</w:t>
      </w:r>
      <w:r>
        <w:rPr>
          <w:rFonts w:cs="Times New Roman"/>
          <w:sz w:val="24"/>
          <w:szCs w:val="24"/>
        </w:rPr>
        <w:t> </w:t>
      </w:r>
      <w:r w:rsidRPr="00A87B13">
        <w:rPr>
          <w:rFonts w:cs="Times New Roman"/>
          <w:sz w:val="24"/>
          <w:szCs w:val="24"/>
        </w:rPr>
        <w:t>317</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 z toho najviac na komponent Obnova budov 101</w:t>
      </w:r>
      <w:r>
        <w:rPr>
          <w:rFonts w:cs="Times New Roman"/>
          <w:sz w:val="24"/>
          <w:szCs w:val="24"/>
        </w:rPr>
        <w:t> </w:t>
      </w:r>
      <w:r w:rsidRPr="00A87B13">
        <w:rPr>
          <w:rFonts w:cs="Times New Roman"/>
          <w:sz w:val="24"/>
          <w:szCs w:val="24"/>
        </w:rPr>
        <w:t>565</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w:t>
      </w:r>
    </w:p>
    <w:p w14:paraId="04DCF112" w14:textId="77777777" w:rsidR="00697268" w:rsidRPr="00A87B13" w:rsidRDefault="00697268" w:rsidP="00876587">
      <w:pPr>
        <w:spacing w:line="240" w:lineRule="auto"/>
        <w:rPr>
          <w:rFonts w:cs="Times New Roman"/>
          <w:sz w:val="24"/>
          <w:szCs w:val="24"/>
        </w:rPr>
      </w:pPr>
      <w:r w:rsidRPr="00A87B13">
        <w:rPr>
          <w:rFonts w:cs="Times New Roman"/>
          <w:sz w:val="24"/>
          <w:szCs w:val="24"/>
        </w:rPr>
        <w:t>Obdobne aj kapitola Ministerstva hospodárstva SR plánovala výdavky najmä na investičné zámery, spolu 119</w:t>
      </w:r>
      <w:r>
        <w:rPr>
          <w:rFonts w:cs="Times New Roman"/>
          <w:sz w:val="24"/>
          <w:szCs w:val="24"/>
        </w:rPr>
        <w:t> </w:t>
      </w:r>
      <w:r w:rsidRPr="00A87B13">
        <w:rPr>
          <w:rFonts w:cs="Times New Roman"/>
          <w:sz w:val="24"/>
          <w:szCs w:val="24"/>
        </w:rPr>
        <w:t>256</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 z toho najviac na komponent Obnoviteľné zdroje energie a energetická infraštruktúra 117</w:t>
      </w:r>
      <w:r>
        <w:rPr>
          <w:rFonts w:cs="Times New Roman"/>
          <w:sz w:val="24"/>
          <w:szCs w:val="24"/>
        </w:rPr>
        <w:t> </w:t>
      </w:r>
      <w:r w:rsidRPr="00A87B13">
        <w:rPr>
          <w:rFonts w:cs="Times New Roman"/>
          <w:sz w:val="24"/>
          <w:szCs w:val="24"/>
        </w:rPr>
        <w:t>290</w:t>
      </w:r>
      <w:r>
        <w:rPr>
          <w:rFonts w:cs="Times New Roman"/>
          <w:sz w:val="24"/>
          <w:szCs w:val="24"/>
        </w:rPr>
        <w:t> </w:t>
      </w:r>
      <w:r w:rsidRPr="00A87B13">
        <w:rPr>
          <w:rFonts w:cs="Times New Roman"/>
          <w:sz w:val="24"/>
          <w:szCs w:val="24"/>
        </w:rPr>
        <w:t>tis.</w:t>
      </w:r>
      <w:r>
        <w:rPr>
          <w:rFonts w:cs="Times New Roman"/>
          <w:sz w:val="24"/>
          <w:szCs w:val="24"/>
        </w:rPr>
        <w:t> </w:t>
      </w:r>
      <w:r w:rsidRPr="00A87B13">
        <w:rPr>
          <w:rFonts w:cs="Times New Roman"/>
          <w:sz w:val="24"/>
          <w:szCs w:val="24"/>
        </w:rPr>
        <w:t>eur.</w:t>
      </w:r>
    </w:p>
    <w:p w14:paraId="7CF1080A" w14:textId="77777777" w:rsidR="00697268" w:rsidRDefault="00697268" w:rsidP="00697268">
      <w:pPr>
        <w:spacing w:line="240" w:lineRule="auto"/>
        <w:rPr>
          <w:rFonts w:eastAsia="Calibri" w:cs="Times New Roman"/>
          <w:sz w:val="24"/>
          <w:szCs w:val="24"/>
        </w:rPr>
      </w:pPr>
      <w:r w:rsidRPr="006005B8">
        <w:rPr>
          <w:rFonts w:eastAsia="Calibri" w:cs="Times New Roman"/>
          <w:sz w:val="24"/>
          <w:szCs w:val="24"/>
        </w:rPr>
        <w:t>Naopak</w:t>
      </w:r>
      <w:r>
        <w:rPr>
          <w:rFonts w:eastAsia="Calibri" w:cs="Times New Roman"/>
          <w:sz w:val="24"/>
          <w:szCs w:val="24"/>
        </w:rPr>
        <w:t xml:space="preserve">, výdavky, ktoré neboli v roku 2022 súčasťou rozpočtu, ale ktoré výrazne ovplyvnili celkové plnenie štátneho rozpočtu, boli </w:t>
      </w:r>
      <w:r w:rsidRPr="00E57404">
        <w:rPr>
          <w:rFonts w:eastAsia="Calibri" w:cs="Times New Roman"/>
          <w:b/>
          <w:sz w:val="24"/>
          <w:szCs w:val="24"/>
        </w:rPr>
        <w:t>výdavky súvisiace s vojnovým konfliktom na</w:t>
      </w:r>
      <w:r>
        <w:rPr>
          <w:rFonts w:eastAsia="Calibri" w:cs="Times New Roman"/>
          <w:b/>
          <w:sz w:val="24"/>
          <w:szCs w:val="24"/>
        </w:rPr>
        <w:t> </w:t>
      </w:r>
      <w:r w:rsidRPr="00E57404">
        <w:rPr>
          <w:rFonts w:eastAsia="Calibri" w:cs="Times New Roman"/>
          <w:b/>
          <w:sz w:val="24"/>
          <w:szCs w:val="24"/>
        </w:rPr>
        <w:t>Ukrajine</w:t>
      </w:r>
      <w:r>
        <w:rPr>
          <w:rFonts w:eastAsia="Calibri" w:cs="Times New Roman"/>
          <w:sz w:val="24"/>
          <w:szCs w:val="24"/>
        </w:rPr>
        <w:t xml:space="preserve">. Slovenská republika bola krátko po vypuknutí vojnového konfliktu na Ukrajine cieľom </w:t>
      </w:r>
      <w:proofErr w:type="spellStart"/>
      <w:r>
        <w:rPr>
          <w:rFonts w:eastAsia="Calibri" w:cs="Times New Roman"/>
          <w:sz w:val="24"/>
          <w:szCs w:val="24"/>
        </w:rPr>
        <w:t>desaťtisícov</w:t>
      </w:r>
      <w:proofErr w:type="spellEnd"/>
      <w:r>
        <w:rPr>
          <w:rFonts w:eastAsia="Calibri" w:cs="Times New Roman"/>
          <w:sz w:val="24"/>
          <w:szCs w:val="24"/>
        </w:rPr>
        <w:t xml:space="preserve"> odídencov, bolo nutné riešiť humanitárnu pomoc na hraniciach s Ukrajinou, posilniť bezpečnosť východnej hranice ako aj celkovú bezpečnosť v krajine. Ministerstvo financií SR pre sledovanie vzniknutých výdavkov na špecifický účel vytvorilo v klasifikácii zdrojov samostatné kódy zdrojov určené pre výdavky ,,súvisiace s Ukrajinou“.</w:t>
      </w:r>
    </w:p>
    <w:p w14:paraId="45CE612B" w14:textId="77777777" w:rsidR="00697268" w:rsidRDefault="00697268" w:rsidP="00697268">
      <w:pPr>
        <w:spacing w:line="240" w:lineRule="auto"/>
        <w:rPr>
          <w:rFonts w:eastAsia="Calibri" w:cs="Times New Roman"/>
          <w:sz w:val="24"/>
          <w:szCs w:val="24"/>
        </w:rPr>
      </w:pPr>
      <w:r>
        <w:rPr>
          <w:rFonts w:eastAsia="Calibri" w:cs="Times New Roman"/>
          <w:sz w:val="24"/>
          <w:szCs w:val="24"/>
        </w:rPr>
        <w:t xml:space="preserve">Na základe predložených finančných výkazov subjektov verejnej správy bolo vykázaných 266 257 tis. eur na hotovostnej báze (z toho 236 317 tis. eur ako bežné a 29 858 tis. eur ako kapitálové). Ide o nekonsolidovaný údaj, nakoľko niektoré transfery smerujúce zo štátneho rozpočtu tvorili príjem a následný výdavok v subjekte poskytujúcom pomoc. Štátne rozpočtové organizácie vykázali 193 698 tis. eur, obce 64 269 tis. eur, vyššie územné celky 3 802 tis. eur. </w:t>
      </w:r>
    </w:p>
    <w:tbl>
      <w:tblPr>
        <w:tblW w:w="9356" w:type="dxa"/>
        <w:tblCellMar>
          <w:left w:w="37" w:type="dxa"/>
          <w:right w:w="37" w:type="dxa"/>
        </w:tblCellMar>
        <w:tblLook w:val="04A0" w:firstRow="1" w:lastRow="0" w:firstColumn="1" w:lastColumn="0" w:noHBand="0" w:noVBand="1"/>
      </w:tblPr>
      <w:tblGrid>
        <w:gridCol w:w="4395"/>
        <w:gridCol w:w="757"/>
        <w:gridCol w:w="827"/>
        <w:gridCol w:w="827"/>
        <w:gridCol w:w="916"/>
        <w:gridCol w:w="925"/>
        <w:gridCol w:w="709"/>
      </w:tblGrid>
      <w:tr w:rsidR="00697268" w:rsidRPr="00DD55DA" w14:paraId="48BB6484" w14:textId="77777777" w:rsidTr="00F77FBE">
        <w:trPr>
          <w:trHeight w:val="190"/>
        </w:trPr>
        <w:tc>
          <w:tcPr>
            <w:tcW w:w="8647" w:type="dxa"/>
            <w:gridSpan w:val="6"/>
            <w:tcBorders>
              <w:top w:val="nil"/>
              <w:left w:val="nil"/>
              <w:bottom w:val="single" w:sz="4" w:space="0" w:color="auto"/>
              <w:right w:val="nil"/>
            </w:tcBorders>
            <w:shd w:val="clear" w:color="auto" w:fill="auto"/>
            <w:noWrap/>
            <w:vAlign w:val="center"/>
            <w:hideMark/>
          </w:tcPr>
          <w:p w14:paraId="19727A14" w14:textId="33D7D612" w:rsidR="00697268" w:rsidRPr="00DD55DA" w:rsidRDefault="00240940" w:rsidP="008B3212">
            <w:pPr>
              <w:spacing w:after="0" w:line="240" w:lineRule="auto"/>
              <w:rPr>
                <w:rFonts w:eastAsia="Times New Roman" w:cs="Times New Roman"/>
                <w:b/>
                <w:bCs/>
                <w:color w:val="5B9BD5"/>
                <w:sz w:val="20"/>
                <w:szCs w:val="20"/>
                <w:lang w:eastAsia="sk-SK"/>
              </w:rPr>
            </w:pPr>
            <w:r>
              <w:rPr>
                <w:rFonts w:eastAsia="Times New Roman" w:cs="Times New Roman"/>
                <w:b/>
                <w:bCs/>
                <w:color w:val="5B9BD5"/>
                <w:sz w:val="20"/>
                <w:szCs w:val="20"/>
                <w:lang w:eastAsia="sk-SK"/>
              </w:rPr>
              <w:t>Tabuľka 3</w:t>
            </w:r>
            <w:r w:rsidR="008B3212">
              <w:rPr>
                <w:rFonts w:eastAsia="Times New Roman" w:cs="Times New Roman"/>
                <w:b/>
                <w:bCs/>
                <w:color w:val="5B9BD5"/>
                <w:sz w:val="20"/>
                <w:szCs w:val="20"/>
                <w:lang w:eastAsia="sk-SK"/>
              </w:rPr>
              <w:t>2</w:t>
            </w:r>
            <w:r w:rsidR="00697268" w:rsidRPr="00DD55DA">
              <w:rPr>
                <w:rFonts w:eastAsia="Times New Roman" w:cs="Times New Roman"/>
                <w:b/>
                <w:bCs/>
                <w:color w:val="5B9BD5"/>
                <w:sz w:val="20"/>
                <w:szCs w:val="20"/>
                <w:lang w:eastAsia="sk-SK"/>
              </w:rPr>
              <w:t xml:space="preserve"> – Výdavky na Ukrajinu podľa kapitol</w:t>
            </w:r>
          </w:p>
        </w:tc>
        <w:tc>
          <w:tcPr>
            <w:tcW w:w="709" w:type="dxa"/>
            <w:tcBorders>
              <w:top w:val="nil"/>
              <w:left w:val="nil"/>
              <w:bottom w:val="single" w:sz="4" w:space="0" w:color="auto"/>
              <w:right w:val="nil"/>
            </w:tcBorders>
            <w:shd w:val="clear" w:color="auto" w:fill="auto"/>
            <w:noWrap/>
            <w:vAlign w:val="center"/>
            <w:hideMark/>
          </w:tcPr>
          <w:p w14:paraId="57C2015E" w14:textId="77777777" w:rsidR="00697268" w:rsidRPr="00DD55DA" w:rsidRDefault="00697268" w:rsidP="00AB0350">
            <w:pPr>
              <w:spacing w:after="0" w:line="240" w:lineRule="auto"/>
              <w:rPr>
                <w:rFonts w:eastAsia="Times New Roman" w:cs="Times New Roman"/>
                <w:b/>
                <w:bCs/>
                <w:color w:val="2F75B5"/>
                <w:sz w:val="20"/>
                <w:szCs w:val="20"/>
                <w:lang w:eastAsia="sk-SK"/>
              </w:rPr>
            </w:pPr>
            <w:r w:rsidRPr="00DD55DA">
              <w:rPr>
                <w:rFonts w:eastAsia="Times New Roman" w:cs="Times New Roman"/>
                <w:b/>
                <w:bCs/>
                <w:color w:val="2F75B5"/>
                <w:sz w:val="20"/>
                <w:szCs w:val="20"/>
                <w:lang w:eastAsia="sk-SK"/>
              </w:rPr>
              <w:t> </w:t>
            </w:r>
          </w:p>
        </w:tc>
      </w:tr>
      <w:tr w:rsidR="00697268" w:rsidRPr="00DD55DA" w14:paraId="00FED443" w14:textId="77777777" w:rsidTr="00EC5F2E">
        <w:trPr>
          <w:trHeight w:val="289"/>
        </w:trPr>
        <w:tc>
          <w:tcPr>
            <w:tcW w:w="4395" w:type="dxa"/>
            <w:vMerge w:val="restart"/>
            <w:tcBorders>
              <w:top w:val="nil"/>
              <w:left w:val="nil"/>
              <w:right w:val="nil"/>
            </w:tcBorders>
            <w:shd w:val="clear" w:color="000000" w:fill="FFFFFF"/>
            <w:vAlign w:val="center"/>
            <w:hideMark/>
          </w:tcPr>
          <w:p w14:paraId="580BEEF9" w14:textId="77777777" w:rsidR="00697268" w:rsidRPr="00DD55DA" w:rsidRDefault="00697268" w:rsidP="00AB0350">
            <w:pPr>
              <w:spacing w:after="0" w:line="240" w:lineRule="auto"/>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v tis. eur</w:t>
            </w:r>
          </w:p>
        </w:tc>
        <w:tc>
          <w:tcPr>
            <w:tcW w:w="757" w:type="dxa"/>
            <w:tcBorders>
              <w:top w:val="nil"/>
              <w:left w:val="nil"/>
              <w:bottom w:val="nil"/>
              <w:right w:val="nil"/>
            </w:tcBorders>
            <w:shd w:val="clear" w:color="000000" w:fill="FFFFFF"/>
            <w:noWrap/>
            <w:vAlign w:val="center"/>
            <w:hideMark/>
          </w:tcPr>
          <w:p w14:paraId="5CDBAA2F"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2020 S</w:t>
            </w:r>
          </w:p>
        </w:tc>
        <w:tc>
          <w:tcPr>
            <w:tcW w:w="827" w:type="dxa"/>
            <w:tcBorders>
              <w:top w:val="nil"/>
              <w:left w:val="nil"/>
              <w:bottom w:val="nil"/>
              <w:right w:val="nil"/>
            </w:tcBorders>
            <w:shd w:val="clear" w:color="000000" w:fill="FFFFFF"/>
            <w:noWrap/>
            <w:vAlign w:val="center"/>
            <w:hideMark/>
          </w:tcPr>
          <w:p w14:paraId="721CC435"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2021 S</w:t>
            </w:r>
          </w:p>
        </w:tc>
        <w:tc>
          <w:tcPr>
            <w:tcW w:w="827" w:type="dxa"/>
            <w:tcBorders>
              <w:top w:val="nil"/>
              <w:left w:val="nil"/>
              <w:bottom w:val="nil"/>
              <w:right w:val="nil"/>
            </w:tcBorders>
            <w:shd w:val="clear" w:color="000000" w:fill="FFFFFF"/>
            <w:noWrap/>
            <w:vAlign w:val="center"/>
            <w:hideMark/>
          </w:tcPr>
          <w:p w14:paraId="54A01E1D"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2022 R</w:t>
            </w:r>
          </w:p>
        </w:tc>
        <w:tc>
          <w:tcPr>
            <w:tcW w:w="916" w:type="dxa"/>
            <w:tcBorders>
              <w:top w:val="nil"/>
              <w:left w:val="nil"/>
              <w:bottom w:val="nil"/>
              <w:right w:val="nil"/>
            </w:tcBorders>
            <w:shd w:val="clear" w:color="000000" w:fill="FFFFFF"/>
            <w:noWrap/>
            <w:vAlign w:val="center"/>
            <w:hideMark/>
          </w:tcPr>
          <w:p w14:paraId="1DB017ED"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2022 S</w:t>
            </w:r>
          </w:p>
        </w:tc>
        <w:tc>
          <w:tcPr>
            <w:tcW w:w="925" w:type="dxa"/>
            <w:tcBorders>
              <w:top w:val="nil"/>
              <w:left w:val="nil"/>
              <w:bottom w:val="nil"/>
              <w:right w:val="nil"/>
            </w:tcBorders>
            <w:shd w:val="clear" w:color="000000" w:fill="FFFFFF"/>
            <w:noWrap/>
            <w:vAlign w:val="center"/>
            <w:hideMark/>
          </w:tcPr>
          <w:p w14:paraId="0792AD54"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Rozdiel</w:t>
            </w:r>
          </w:p>
        </w:tc>
        <w:tc>
          <w:tcPr>
            <w:tcW w:w="709" w:type="dxa"/>
            <w:tcBorders>
              <w:top w:val="nil"/>
              <w:left w:val="nil"/>
              <w:bottom w:val="nil"/>
              <w:right w:val="nil"/>
            </w:tcBorders>
            <w:shd w:val="clear" w:color="000000" w:fill="FFFFFF"/>
            <w:noWrap/>
            <w:vAlign w:val="center"/>
            <w:hideMark/>
          </w:tcPr>
          <w:p w14:paraId="211014E8"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v %</w:t>
            </w:r>
          </w:p>
        </w:tc>
      </w:tr>
      <w:tr w:rsidR="00697268" w:rsidRPr="00DD55DA" w14:paraId="1676C81B" w14:textId="77777777" w:rsidTr="00EC5F2E">
        <w:trPr>
          <w:trHeight w:val="289"/>
        </w:trPr>
        <w:tc>
          <w:tcPr>
            <w:tcW w:w="4395" w:type="dxa"/>
            <w:vMerge/>
            <w:tcBorders>
              <w:left w:val="nil"/>
              <w:bottom w:val="single" w:sz="4" w:space="0" w:color="auto"/>
              <w:right w:val="nil"/>
            </w:tcBorders>
            <w:shd w:val="clear" w:color="auto" w:fill="auto"/>
            <w:vAlign w:val="center"/>
            <w:hideMark/>
          </w:tcPr>
          <w:p w14:paraId="4B21C8DC" w14:textId="77777777" w:rsidR="00697268" w:rsidRPr="00DD55DA" w:rsidRDefault="00697268" w:rsidP="00AB0350">
            <w:pPr>
              <w:spacing w:after="0" w:line="240" w:lineRule="auto"/>
              <w:rPr>
                <w:rFonts w:eastAsia="Times New Roman" w:cs="Times New Roman"/>
                <w:b/>
                <w:bCs/>
                <w:color w:val="000000"/>
                <w:sz w:val="20"/>
                <w:szCs w:val="20"/>
                <w:lang w:eastAsia="sk-SK"/>
              </w:rPr>
            </w:pPr>
          </w:p>
        </w:tc>
        <w:tc>
          <w:tcPr>
            <w:tcW w:w="757" w:type="dxa"/>
            <w:tcBorders>
              <w:top w:val="nil"/>
              <w:left w:val="nil"/>
              <w:bottom w:val="single" w:sz="4" w:space="0" w:color="auto"/>
              <w:right w:val="nil"/>
            </w:tcBorders>
            <w:shd w:val="clear" w:color="000000" w:fill="FFFFFF"/>
            <w:noWrap/>
            <w:vAlign w:val="center"/>
            <w:hideMark/>
          </w:tcPr>
          <w:p w14:paraId="6A237471"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1</w:t>
            </w:r>
          </w:p>
        </w:tc>
        <w:tc>
          <w:tcPr>
            <w:tcW w:w="827" w:type="dxa"/>
            <w:tcBorders>
              <w:top w:val="nil"/>
              <w:left w:val="nil"/>
              <w:bottom w:val="single" w:sz="4" w:space="0" w:color="auto"/>
              <w:right w:val="nil"/>
            </w:tcBorders>
            <w:shd w:val="clear" w:color="000000" w:fill="FFFFFF"/>
            <w:noWrap/>
            <w:vAlign w:val="center"/>
            <w:hideMark/>
          </w:tcPr>
          <w:p w14:paraId="6D36F428"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2</w:t>
            </w:r>
          </w:p>
        </w:tc>
        <w:tc>
          <w:tcPr>
            <w:tcW w:w="827" w:type="dxa"/>
            <w:tcBorders>
              <w:top w:val="nil"/>
              <w:left w:val="nil"/>
              <w:bottom w:val="single" w:sz="4" w:space="0" w:color="auto"/>
              <w:right w:val="nil"/>
            </w:tcBorders>
            <w:shd w:val="clear" w:color="000000" w:fill="FFFFFF"/>
            <w:noWrap/>
            <w:vAlign w:val="center"/>
            <w:hideMark/>
          </w:tcPr>
          <w:p w14:paraId="70418BF4"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3</w:t>
            </w:r>
          </w:p>
        </w:tc>
        <w:tc>
          <w:tcPr>
            <w:tcW w:w="916" w:type="dxa"/>
            <w:tcBorders>
              <w:top w:val="nil"/>
              <w:left w:val="nil"/>
              <w:bottom w:val="single" w:sz="4" w:space="0" w:color="auto"/>
              <w:right w:val="nil"/>
            </w:tcBorders>
            <w:shd w:val="clear" w:color="000000" w:fill="FFFFFF"/>
            <w:noWrap/>
            <w:vAlign w:val="center"/>
            <w:hideMark/>
          </w:tcPr>
          <w:p w14:paraId="1DA2FF5C"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4</w:t>
            </w:r>
          </w:p>
        </w:tc>
        <w:tc>
          <w:tcPr>
            <w:tcW w:w="925" w:type="dxa"/>
            <w:tcBorders>
              <w:top w:val="nil"/>
              <w:left w:val="nil"/>
              <w:bottom w:val="single" w:sz="4" w:space="0" w:color="auto"/>
              <w:right w:val="nil"/>
            </w:tcBorders>
            <w:shd w:val="clear" w:color="000000" w:fill="FFFFFF"/>
            <w:noWrap/>
            <w:vAlign w:val="center"/>
            <w:hideMark/>
          </w:tcPr>
          <w:p w14:paraId="112B3FAC"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5=4-3</w:t>
            </w:r>
          </w:p>
        </w:tc>
        <w:tc>
          <w:tcPr>
            <w:tcW w:w="709" w:type="dxa"/>
            <w:tcBorders>
              <w:top w:val="nil"/>
              <w:left w:val="nil"/>
              <w:bottom w:val="single" w:sz="4" w:space="0" w:color="auto"/>
              <w:right w:val="nil"/>
            </w:tcBorders>
            <w:shd w:val="clear" w:color="000000" w:fill="FFFFFF"/>
            <w:noWrap/>
            <w:vAlign w:val="center"/>
            <w:hideMark/>
          </w:tcPr>
          <w:p w14:paraId="43365564" w14:textId="77777777" w:rsidR="00697268" w:rsidRPr="00DD55DA" w:rsidRDefault="00697268" w:rsidP="00AB0350">
            <w:pPr>
              <w:spacing w:after="0" w:line="240" w:lineRule="auto"/>
              <w:jc w:val="center"/>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6=4-3</w:t>
            </w:r>
          </w:p>
        </w:tc>
      </w:tr>
      <w:tr w:rsidR="00697268" w:rsidRPr="00DD55DA" w14:paraId="2EC41BB8" w14:textId="77777777" w:rsidTr="00EC5F2E">
        <w:trPr>
          <w:trHeight w:val="289"/>
        </w:trPr>
        <w:tc>
          <w:tcPr>
            <w:tcW w:w="4395" w:type="dxa"/>
            <w:tcBorders>
              <w:top w:val="nil"/>
              <w:left w:val="nil"/>
              <w:bottom w:val="nil"/>
              <w:right w:val="nil"/>
            </w:tcBorders>
            <w:shd w:val="clear" w:color="auto" w:fill="auto"/>
            <w:vAlign w:val="center"/>
            <w:hideMark/>
          </w:tcPr>
          <w:p w14:paraId="65E76110"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vnútra SR</w:t>
            </w:r>
          </w:p>
        </w:tc>
        <w:tc>
          <w:tcPr>
            <w:tcW w:w="757" w:type="dxa"/>
            <w:tcBorders>
              <w:top w:val="nil"/>
              <w:left w:val="nil"/>
              <w:bottom w:val="nil"/>
              <w:right w:val="nil"/>
            </w:tcBorders>
            <w:shd w:val="clear" w:color="auto" w:fill="auto"/>
            <w:vAlign w:val="center"/>
            <w:hideMark/>
          </w:tcPr>
          <w:p w14:paraId="788397EC"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6B683543"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17D04759"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2C4DEC7D"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101 525</w:t>
            </w:r>
          </w:p>
        </w:tc>
        <w:tc>
          <w:tcPr>
            <w:tcW w:w="925" w:type="dxa"/>
            <w:tcBorders>
              <w:top w:val="nil"/>
              <w:left w:val="nil"/>
              <w:bottom w:val="nil"/>
              <w:right w:val="nil"/>
            </w:tcBorders>
            <w:shd w:val="clear" w:color="auto" w:fill="auto"/>
            <w:vAlign w:val="center"/>
            <w:hideMark/>
          </w:tcPr>
          <w:p w14:paraId="44763201"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101 525</w:t>
            </w:r>
          </w:p>
        </w:tc>
        <w:tc>
          <w:tcPr>
            <w:tcW w:w="709" w:type="dxa"/>
            <w:tcBorders>
              <w:top w:val="nil"/>
              <w:left w:val="nil"/>
              <w:bottom w:val="nil"/>
              <w:right w:val="nil"/>
            </w:tcBorders>
            <w:shd w:val="clear" w:color="auto" w:fill="auto"/>
            <w:vAlign w:val="center"/>
            <w:hideMark/>
          </w:tcPr>
          <w:p w14:paraId="05692BD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63A66286" w14:textId="77777777" w:rsidTr="00EC5F2E">
        <w:trPr>
          <w:trHeight w:val="289"/>
        </w:trPr>
        <w:tc>
          <w:tcPr>
            <w:tcW w:w="4395" w:type="dxa"/>
            <w:tcBorders>
              <w:top w:val="nil"/>
              <w:left w:val="nil"/>
              <w:bottom w:val="nil"/>
              <w:right w:val="nil"/>
            </w:tcBorders>
            <w:shd w:val="clear" w:color="000000" w:fill="FFFFFF"/>
            <w:vAlign w:val="center"/>
            <w:hideMark/>
          </w:tcPr>
          <w:p w14:paraId="34682D4C"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obrany SR</w:t>
            </w:r>
          </w:p>
        </w:tc>
        <w:tc>
          <w:tcPr>
            <w:tcW w:w="757" w:type="dxa"/>
            <w:tcBorders>
              <w:top w:val="nil"/>
              <w:left w:val="nil"/>
              <w:bottom w:val="nil"/>
              <w:right w:val="nil"/>
            </w:tcBorders>
            <w:shd w:val="clear" w:color="auto" w:fill="auto"/>
            <w:vAlign w:val="center"/>
            <w:hideMark/>
          </w:tcPr>
          <w:p w14:paraId="1B9E9314"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2D7D3145"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36D7F716"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162EEABA"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20 745</w:t>
            </w:r>
          </w:p>
        </w:tc>
        <w:tc>
          <w:tcPr>
            <w:tcW w:w="925" w:type="dxa"/>
            <w:tcBorders>
              <w:top w:val="nil"/>
              <w:left w:val="nil"/>
              <w:bottom w:val="nil"/>
              <w:right w:val="nil"/>
            </w:tcBorders>
            <w:shd w:val="clear" w:color="auto" w:fill="auto"/>
            <w:vAlign w:val="center"/>
            <w:hideMark/>
          </w:tcPr>
          <w:p w14:paraId="20EF8BF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20 745</w:t>
            </w:r>
          </w:p>
        </w:tc>
        <w:tc>
          <w:tcPr>
            <w:tcW w:w="709" w:type="dxa"/>
            <w:tcBorders>
              <w:top w:val="nil"/>
              <w:left w:val="nil"/>
              <w:bottom w:val="nil"/>
              <w:right w:val="nil"/>
            </w:tcBorders>
            <w:shd w:val="clear" w:color="auto" w:fill="auto"/>
            <w:vAlign w:val="center"/>
            <w:hideMark/>
          </w:tcPr>
          <w:p w14:paraId="20D9EEAF"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1059CA01" w14:textId="77777777" w:rsidTr="00EC5F2E">
        <w:trPr>
          <w:trHeight w:val="289"/>
        </w:trPr>
        <w:tc>
          <w:tcPr>
            <w:tcW w:w="4395" w:type="dxa"/>
            <w:tcBorders>
              <w:top w:val="nil"/>
              <w:left w:val="nil"/>
              <w:bottom w:val="nil"/>
              <w:right w:val="nil"/>
            </w:tcBorders>
            <w:shd w:val="clear" w:color="000000" w:fill="FFFFFF"/>
            <w:vAlign w:val="center"/>
            <w:hideMark/>
          </w:tcPr>
          <w:p w14:paraId="011E9C4E"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školstva, vedy, výskumu a športu SR</w:t>
            </w:r>
          </w:p>
        </w:tc>
        <w:tc>
          <w:tcPr>
            <w:tcW w:w="757" w:type="dxa"/>
            <w:tcBorders>
              <w:top w:val="nil"/>
              <w:left w:val="nil"/>
              <w:bottom w:val="nil"/>
              <w:right w:val="nil"/>
            </w:tcBorders>
            <w:shd w:val="clear" w:color="auto" w:fill="auto"/>
            <w:vAlign w:val="center"/>
            <w:hideMark/>
          </w:tcPr>
          <w:p w14:paraId="0E5F05D9"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6E70216F"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5EBF8F3A"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75E69BE1"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19 983</w:t>
            </w:r>
          </w:p>
        </w:tc>
        <w:tc>
          <w:tcPr>
            <w:tcW w:w="925" w:type="dxa"/>
            <w:tcBorders>
              <w:top w:val="nil"/>
              <w:left w:val="nil"/>
              <w:bottom w:val="nil"/>
              <w:right w:val="nil"/>
            </w:tcBorders>
            <w:shd w:val="clear" w:color="auto" w:fill="auto"/>
            <w:vAlign w:val="center"/>
            <w:hideMark/>
          </w:tcPr>
          <w:p w14:paraId="2AF6F196"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19 983</w:t>
            </w:r>
          </w:p>
        </w:tc>
        <w:tc>
          <w:tcPr>
            <w:tcW w:w="709" w:type="dxa"/>
            <w:tcBorders>
              <w:top w:val="nil"/>
              <w:left w:val="nil"/>
              <w:bottom w:val="nil"/>
              <w:right w:val="nil"/>
            </w:tcBorders>
            <w:shd w:val="clear" w:color="auto" w:fill="auto"/>
            <w:vAlign w:val="center"/>
            <w:hideMark/>
          </w:tcPr>
          <w:p w14:paraId="5E9EE23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013168F7" w14:textId="77777777" w:rsidTr="00EC5F2E">
        <w:trPr>
          <w:trHeight w:val="289"/>
        </w:trPr>
        <w:tc>
          <w:tcPr>
            <w:tcW w:w="4395" w:type="dxa"/>
            <w:tcBorders>
              <w:top w:val="nil"/>
              <w:left w:val="nil"/>
              <w:bottom w:val="nil"/>
              <w:right w:val="nil"/>
            </w:tcBorders>
            <w:shd w:val="clear" w:color="000000" w:fill="FFFFFF"/>
            <w:vAlign w:val="center"/>
            <w:hideMark/>
          </w:tcPr>
          <w:p w14:paraId="5FA7304C"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dopravy a výstavby SR</w:t>
            </w:r>
          </w:p>
        </w:tc>
        <w:tc>
          <w:tcPr>
            <w:tcW w:w="757" w:type="dxa"/>
            <w:tcBorders>
              <w:top w:val="nil"/>
              <w:left w:val="nil"/>
              <w:bottom w:val="nil"/>
              <w:right w:val="nil"/>
            </w:tcBorders>
            <w:shd w:val="clear" w:color="auto" w:fill="auto"/>
            <w:vAlign w:val="center"/>
            <w:hideMark/>
          </w:tcPr>
          <w:p w14:paraId="2BF4CCB2"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695D9085"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457E1F93"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128E1B67"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18 455</w:t>
            </w:r>
          </w:p>
        </w:tc>
        <w:tc>
          <w:tcPr>
            <w:tcW w:w="925" w:type="dxa"/>
            <w:tcBorders>
              <w:top w:val="nil"/>
              <w:left w:val="nil"/>
              <w:bottom w:val="nil"/>
              <w:right w:val="nil"/>
            </w:tcBorders>
            <w:shd w:val="clear" w:color="auto" w:fill="auto"/>
            <w:vAlign w:val="center"/>
            <w:hideMark/>
          </w:tcPr>
          <w:p w14:paraId="70BDFF74"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18 455</w:t>
            </w:r>
          </w:p>
        </w:tc>
        <w:tc>
          <w:tcPr>
            <w:tcW w:w="709" w:type="dxa"/>
            <w:tcBorders>
              <w:top w:val="nil"/>
              <w:left w:val="nil"/>
              <w:bottom w:val="nil"/>
              <w:right w:val="nil"/>
            </w:tcBorders>
            <w:shd w:val="clear" w:color="auto" w:fill="auto"/>
            <w:vAlign w:val="center"/>
            <w:hideMark/>
          </w:tcPr>
          <w:p w14:paraId="43FDF875"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4EE8B15B" w14:textId="77777777" w:rsidTr="00EC5F2E">
        <w:trPr>
          <w:trHeight w:val="289"/>
        </w:trPr>
        <w:tc>
          <w:tcPr>
            <w:tcW w:w="4395" w:type="dxa"/>
            <w:tcBorders>
              <w:top w:val="nil"/>
              <w:left w:val="nil"/>
              <w:bottom w:val="nil"/>
              <w:right w:val="nil"/>
            </w:tcBorders>
            <w:shd w:val="clear" w:color="000000" w:fill="FFFFFF"/>
            <w:vAlign w:val="center"/>
            <w:hideMark/>
          </w:tcPr>
          <w:p w14:paraId="5F9471A5"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práce, sociálnych vecí a rodiny SR</w:t>
            </w:r>
          </w:p>
        </w:tc>
        <w:tc>
          <w:tcPr>
            <w:tcW w:w="757" w:type="dxa"/>
            <w:tcBorders>
              <w:top w:val="nil"/>
              <w:left w:val="nil"/>
              <w:bottom w:val="nil"/>
              <w:right w:val="nil"/>
            </w:tcBorders>
            <w:shd w:val="clear" w:color="auto" w:fill="auto"/>
            <w:vAlign w:val="center"/>
            <w:hideMark/>
          </w:tcPr>
          <w:p w14:paraId="5CD89D55"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7D18BBBD"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38E73726"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193B7F74"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13 885</w:t>
            </w:r>
          </w:p>
        </w:tc>
        <w:tc>
          <w:tcPr>
            <w:tcW w:w="925" w:type="dxa"/>
            <w:tcBorders>
              <w:top w:val="nil"/>
              <w:left w:val="nil"/>
              <w:bottom w:val="nil"/>
              <w:right w:val="nil"/>
            </w:tcBorders>
            <w:shd w:val="clear" w:color="auto" w:fill="auto"/>
            <w:vAlign w:val="center"/>
            <w:hideMark/>
          </w:tcPr>
          <w:p w14:paraId="1A954608"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13 885</w:t>
            </w:r>
          </w:p>
        </w:tc>
        <w:tc>
          <w:tcPr>
            <w:tcW w:w="709" w:type="dxa"/>
            <w:tcBorders>
              <w:top w:val="nil"/>
              <w:left w:val="nil"/>
              <w:bottom w:val="nil"/>
              <w:right w:val="nil"/>
            </w:tcBorders>
            <w:shd w:val="clear" w:color="auto" w:fill="auto"/>
            <w:vAlign w:val="center"/>
            <w:hideMark/>
          </w:tcPr>
          <w:p w14:paraId="6BAC5FE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614CB9BD" w14:textId="77777777" w:rsidTr="00EC5F2E">
        <w:trPr>
          <w:trHeight w:val="289"/>
        </w:trPr>
        <w:tc>
          <w:tcPr>
            <w:tcW w:w="4395" w:type="dxa"/>
            <w:tcBorders>
              <w:top w:val="nil"/>
              <w:left w:val="nil"/>
              <w:bottom w:val="nil"/>
              <w:right w:val="nil"/>
            </w:tcBorders>
            <w:shd w:val="clear" w:color="000000" w:fill="FFFFFF"/>
            <w:vAlign w:val="center"/>
            <w:hideMark/>
          </w:tcPr>
          <w:p w14:paraId="4FE8DAFB"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hospodárstva SR</w:t>
            </w:r>
          </w:p>
        </w:tc>
        <w:tc>
          <w:tcPr>
            <w:tcW w:w="757" w:type="dxa"/>
            <w:tcBorders>
              <w:top w:val="nil"/>
              <w:left w:val="nil"/>
              <w:bottom w:val="nil"/>
              <w:right w:val="nil"/>
            </w:tcBorders>
            <w:shd w:val="clear" w:color="auto" w:fill="auto"/>
            <w:vAlign w:val="center"/>
            <w:hideMark/>
          </w:tcPr>
          <w:p w14:paraId="3325B0BE"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47FA2F88"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63FE4B52"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2D9C7D9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10 862</w:t>
            </w:r>
          </w:p>
        </w:tc>
        <w:tc>
          <w:tcPr>
            <w:tcW w:w="925" w:type="dxa"/>
            <w:tcBorders>
              <w:top w:val="nil"/>
              <w:left w:val="nil"/>
              <w:bottom w:val="nil"/>
              <w:right w:val="nil"/>
            </w:tcBorders>
            <w:shd w:val="clear" w:color="auto" w:fill="auto"/>
            <w:vAlign w:val="center"/>
            <w:hideMark/>
          </w:tcPr>
          <w:p w14:paraId="678B5D9A"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10 862</w:t>
            </w:r>
          </w:p>
        </w:tc>
        <w:tc>
          <w:tcPr>
            <w:tcW w:w="709" w:type="dxa"/>
            <w:tcBorders>
              <w:top w:val="nil"/>
              <w:left w:val="nil"/>
              <w:bottom w:val="nil"/>
              <w:right w:val="nil"/>
            </w:tcBorders>
            <w:shd w:val="clear" w:color="auto" w:fill="auto"/>
            <w:vAlign w:val="center"/>
            <w:hideMark/>
          </w:tcPr>
          <w:p w14:paraId="6892C2EC"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4135CA22" w14:textId="77777777" w:rsidTr="00EC5F2E">
        <w:trPr>
          <w:trHeight w:val="289"/>
        </w:trPr>
        <w:tc>
          <w:tcPr>
            <w:tcW w:w="4395" w:type="dxa"/>
            <w:tcBorders>
              <w:top w:val="nil"/>
              <w:left w:val="nil"/>
              <w:bottom w:val="nil"/>
              <w:right w:val="nil"/>
            </w:tcBorders>
            <w:shd w:val="clear" w:color="auto" w:fill="auto"/>
            <w:vAlign w:val="center"/>
            <w:hideMark/>
          </w:tcPr>
          <w:p w14:paraId="577E77FA"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zdravotníctva SR</w:t>
            </w:r>
          </w:p>
        </w:tc>
        <w:tc>
          <w:tcPr>
            <w:tcW w:w="757" w:type="dxa"/>
            <w:tcBorders>
              <w:top w:val="nil"/>
              <w:left w:val="nil"/>
              <w:bottom w:val="nil"/>
              <w:right w:val="nil"/>
            </w:tcBorders>
            <w:shd w:val="clear" w:color="auto" w:fill="auto"/>
            <w:vAlign w:val="center"/>
            <w:hideMark/>
          </w:tcPr>
          <w:p w14:paraId="29CD9660"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4F0EB192"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01BF1FEF"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1C38CAE6"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4 855</w:t>
            </w:r>
          </w:p>
        </w:tc>
        <w:tc>
          <w:tcPr>
            <w:tcW w:w="925" w:type="dxa"/>
            <w:tcBorders>
              <w:top w:val="nil"/>
              <w:left w:val="nil"/>
              <w:bottom w:val="nil"/>
              <w:right w:val="nil"/>
            </w:tcBorders>
            <w:shd w:val="clear" w:color="auto" w:fill="auto"/>
            <w:vAlign w:val="center"/>
            <w:hideMark/>
          </w:tcPr>
          <w:p w14:paraId="49CCA070"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4 855</w:t>
            </w:r>
          </w:p>
        </w:tc>
        <w:tc>
          <w:tcPr>
            <w:tcW w:w="709" w:type="dxa"/>
            <w:tcBorders>
              <w:top w:val="nil"/>
              <w:left w:val="nil"/>
              <w:bottom w:val="nil"/>
              <w:right w:val="nil"/>
            </w:tcBorders>
            <w:shd w:val="clear" w:color="auto" w:fill="auto"/>
            <w:vAlign w:val="center"/>
            <w:hideMark/>
          </w:tcPr>
          <w:p w14:paraId="4A33D316"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6CFD4DDC" w14:textId="77777777" w:rsidTr="00EC5F2E">
        <w:trPr>
          <w:trHeight w:val="289"/>
        </w:trPr>
        <w:tc>
          <w:tcPr>
            <w:tcW w:w="4395" w:type="dxa"/>
            <w:tcBorders>
              <w:top w:val="nil"/>
              <w:left w:val="nil"/>
              <w:bottom w:val="nil"/>
              <w:right w:val="nil"/>
            </w:tcBorders>
            <w:shd w:val="clear" w:color="auto" w:fill="auto"/>
            <w:vAlign w:val="center"/>
            <w:hideMark/>
          </w:tcPr>
          <w:p w14:paraId="47985DB5"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financií SR</w:t>
            </w:r>
          </w:p>
        </w:tc>
        <w:tc>
          <w:tcPr>
            <w:tcW w:w="757" w:type="dxa"/>
            <w:tcBorders>
              <w:top w:val="nil"/>
              <w:left w:val="nil"/>
              <w:bottom w:val="nil"/>
              <w:right w:val="nil"/>
            </w:tcBorders>
            <w:shd w:val="clear" w:color="auto" w:fill="auto"/>
            <w:vAlign w:val="center"/>
            <w:hideMark/>
          </w:tcPr>
          <w:p w14:paraId="3B4FBD0D"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7D145C75"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112BF250"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5DFB99A3"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737</w:t>
            </w:r>
          </w:p>
        </w:tc>
        <w:tc>
          <w:tcPr>
            <w:tcW w:w="925" w:type="dxa"/>
            <w:tcBorders>
              <w:top w:val="nil"/>
              <w:left w:val="nil"/>
              <w:bottom w:val="nil"/>
              <w:right w:val="nil"/>
            </w:tcBorders>
            <w:shd w:val="clear" w:color="auto" w:fill="auto"/>
            <w:vAlign w:val="center"/>
            <w:hideMark/>
          </w:tcPr>
          <w:p w14:paraId="1841F35C"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737</w:t>
            </w:r>
          </w:p>
        </w:tc>
        <w:tc>
          <w:tcPr>
            <w:tcW w:w="709" w:type="dxa"/>
            <w:tcBorders>
              <w:top w:val="nil"/>
              <w:left w:val="nil"/>
              <w:bottom w:val="nil"/>
              <w:right w:val="nil"/>
            </w:tcBorders>
            <w:shd w:val="clear" w:color="auto" w:fill="auto"/>
            <w:vAlign w:val="center"/>
            <w:hideMark/>
          </w:tcPr>
          <w:p w14:paraId="3521CE8A"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184DB7A5" w14:textId="77777777" w:rsidTr="00EC5F2E">
        <w:trPr>
          <w:trHeight w:val="289"/>
        </w:trPr>
        <w:tc>
          <w:tcPr>
            <w:tcW w:w="4395" w:type="dxa"/>
            <w:tcBorders>
              <w:top w:val="nil"/>
              <w:left w:val="nil"/>
              <w:bottom w:val="nil"/>
              <w:right w:val="nil"/>
            </w:tcBorders>
            <w:shd w:val="clear" w:color="auto" w:fill="auto"/>
            <w:vAlign w:val="center"/>
            <w:hideMark/>
          </w:tcPr>
          <w:p w14:paraId="4CA0E6EF"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pôdohospodárstva a rozvoja vidieka SR</w:t>
            </w:r>
          </w:p>
        </w:tc>
        <w:tc>
          <w:tcPr>
            <w:tcW w:w="757" w:type="dxa"/>
            <w:tcBorders>
              <w:top w:val="nil"/>
              <w:left w:val="nil"/>
              <w:bottom w:val="nil"/>
              <w:right w:val="nil"/>
            </w:tcBorders>
            <w:shd w:val="clear" w:color="auto" w:fill="auto"/>
            <w:vAlign w:val="center"/>
            <w:hideMark/>
          </w:tcPr>
          <w:p w14:paraId="53C83BF6"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43B11DBD"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7CCEBF89"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2296EFD8"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642</w:t>
            </w:r>
          </w:p>
        </w:tc>
        <w:tc>
          <w:tcPr>
            <w:tcW w:w="925" w:type="dxa"/>
            <w:tcBorders>
              <w:top w:val="nil"/>
              <w:left w:val="nil"/>
              <w:bottom w:val="nil"/>
              <w:right w:val="nil"/>
            </w:tcBorders>
            <w:shd w:val="clear" w:color="auto" w:fill="auto"/>
            <w:vAlign w:val="center"/>
            <w:hideMark/>
          </w:tcPr>
          <w:p w14:paraId="137BFBBA"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642</w:t>
            </w:r>
          </w:p>
        </w:tc>
        <w:tc>
          <w:tcPr>
            <w:tcW w:w="709" w:type="dxa"/>
            <w:tcBorders>
              <w:top w:val="nil"/>
              <w:left w:val="nil"/>
              <w:bottom w:val="nil"/>
              <w:right w:val="nil"/>
            </w:tcBorders>
            <w:shd w:val="clear" w:color="auto" w:fill="auto"/>
            <w:vAlign w:val="center"/>
            <w:hideMark/>
          </w:tcPr>
          <w:p w14:paraId="1674C246"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3E743D04" w14:textId="77777777" w:rsidTr="00EC5F2E">
        <w:trPr>
          <w:trHeight w:val="289"/>
        </w:trPr>
        <w:tc>
          <w:tcPr>
            <w:tcW w:w="4395" w:type="dxa"/>
            <w:tcBorders>
              <w:top w:val="nil"/>
              <w:left w:val="nil"/>
              <w:bottom w:val="nil"/>
              <w:right w:val="nil"/>
            </w:tcBorders>
            <w:shd w:val="clear" w:color="000000" w:fill="FFFFFF"/>
            <w:vAlign w:val="center"/>
            <w:hideMark/>
          </w:tcPr>
          <w:p w14:paraId="788B01F7"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Slovenská informačná služba</w:t>
            </w:r>
          </w:p>
        </w:tc>
        <w:tc>
          <w:tcPr>
            <w:tcW w:w="757" w:type="dxa"/>
            <w:tcBorders>
              <w:top w:val="nil"/>
              <w:left w:val="nil"/>
              <w:bottom w:val="nil"/>
              <w:right w:val="nil"/>
            </w:tcBorders>
            <w:shd w:val="clear" w:color="auto" w:fill="auto"/>
            <w:vAlign w:val="center"/>
            <w:hideMark/>
          </w:tcPr>
          <w:p w14:paraId="07D75672"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6B1C14AD"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2F5212B5"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7AA465E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448</w:t>
            </w:r>
          </w:p>
        </w:tc>
        <w:tc>
          <w:tcPr>
            <w:tcW w:w="925" w:type="dxa"/>
            <w:tcBorders>
              <w:top w:val="nil"/>
              <w:left w:val="nil"/>
              <w:bottom w:val="nil"/>
              <w:right w:val="nil"/>
            </w:tcBorders>
            <w:shd w:val="clear" w:color="auto" w:fill="auto"/>
            <w:vAlign w:val="center"/>
            <w:hideMark/>
          </w:tcPr>
          <w:p w14:paraId="0FE6E31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448</w:t>
            </w:r>
          </w:p>
        </w:tc>
        <w:tc>
          <w:tcPr>
            <w:tcW w:w="709" w:type="dxa"/>
            <w:tcBorders>
              <w:top w:val="nil"/>
              <w:left w:val="nil"/>
              <w:bottom w:val="nil"/>
              <w:right w:val="nil"/>
            </w:tcBorders>
            <w:shd w:val="clear" w:color="auto" w:fill="auto"/>
            <w:vAlign w:val="center"/>
            <w:hideMark/>
          </w:tcPr>
          <w:p w14:paraId="27A34AA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5E101009" w14:textId="77777777" w:rsidTr="00EC5F2E">
        <w:trPr>
          <w:trHeight w:val="289"/>
        </w:trPr>
        <w:tc>
          <w:tcPr>
            <w:tcW w:w="4395" w:type="dxa"/>
            <w:tcBorders>
              <w:top w:val="nil"/>
              <w:left w:val="nil"/>
              <w:bottom w:val="nil"/>
              <w:right w:val="nil"/>
            </w:tcBorders>
            <w:shd w:val="clear" w:color="auto" w:fill="auto"/>
            <w:vAlign w:val="center"/>
            <w:hideMark/>
          </w:tcPr>
          <w:p w14:paraId="0C559374"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spravodlivosti SR</w:t>
            </w:r>
          </w:p>
        </w:tc>
        <w:tc>
          <w:tcPr>
            <w:tcW w:w="757" w:type="dxa"/>
            <w:tcBorders>
              <w:top w:val="nil"/>
              <w:left w:val="nil"/>
              <w:bottom w:val="nil"/>
              <w:right w:val="nil"/>
            </w:tcBorders>
            <w:shd w:val="clear" w:color="auto" w:fill="auto"/>
            <w:vAlign w:val="center"/>
            <w:hideMark/>
          </w:tcPr>
          <w:p w14:paraId="4A068A2E"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77EFD3A9"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4697E923"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4CD7CF89"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446</w:t>
            </w:r>
          </w:p>
        </w:tc>
        <w:tc>
          <w:tcPr>
            <w:tcW w:w="925" w:type="dxa"/>
            <w:tcBorders>
              <w:top w:val="nil"/>
              <w:left w:val="nil"/>
              <w:bottom w:val="nil"/>
              <w:right w:val="nil"/>
            </w:tcBorders>
            <w:shd w:val="clear" w:color="auto" w:fill="auto"/>
            <w:vAlign w:val="center"/>
            <w:hideMark/>
          </w:tcPr>
          <w:p w14:paraId="0E41A339"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446</w:t>
            </w:r>
          </w:p>
        </w:tc>
        <w:tc>
          <w:tcPr>
            <w:tcW w:w="709" w:type="dxa"/>
            <w:tcBorders>
              <w:top w:val="nil"/>
              <w:left w:val="nil"/>
              <w:bottom w:val="nil"/>
              <w:right w:val="nil"/>
            </w:tcBorders>
            <w:shd w:val="clear" w:color="auto" w:fill="auto"/>
            <w:vAlign w:val="center"/>
            <w:hideMark/>
          </w:tcPr>
          <w:p w14:paraId="071F7D21"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12561F06" w14:textId="77777777" w:rsidTr="00EC5F2E">
        <w:trPr>
          <w:trHeight w:val="289"/>
        </w:trPr>
        <w:tc>
          <w:tcPr>
            <w:tcW w:w="4395" w:type="dxa"/>
            <w:tcBorders>
              <w:top w:val="nil"/>
              <w:left w:val="nil"/>
              <w:bottom w:val="nil"/>
              <w:right w:val="nil"/>
            </w:tcBorders>
            <w:shd w:val="clear" w:color="000000" w:fill="FFFFFF"/>
            <w:vAlign w:val="center"/>
            <w:hideMark/>
          </w:tcPr>
          <w:p w14:paraId="29441A30"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 xml:space="preserve">Ministerstvo zahraničných vecí a </w:t>
            </w:r>
            <w:proofErr w:type="spellStart"/>
            <w:r w:rsidRPr="00DD55DA">
              <w:rPr>
                <w:rFonts w:eastAsia="Times New Roman" w:cs="Times New Roman"/>
                <w:color w:val="000000"/>
                <w:sz w:val="20"/>
                <w:szCs w:val="20"/>
                <w:lang w:eastAsia="sk-SK"/>
              </w:rPr>
              <w:t>eur.záležitostí</w:t>
            </w:r>
            <w:proofErr w:type="spellEnd"/>
            <w:r w:rsidRPr="00DD55DA">
              <w:rPr>
                <w:rFonts w:eastAsia="Times New Roman" w:cs="Times New Roman"/>
                <w:color w:val="000000"/>
                <w:sz w:val="20"/>
                <w:szCs w:val="20"/>
                <w:lang w:eastAsia="sk-SK"/>
              </w:rPr>
              <w:t xml:space="preserve"> SR</w:t>
            </w:r>
          </w:p>
        </w:tc>
        <w:tc>
          <w:tcPr>
            <w:tcW w:w="757" w:type="dxa"/>
            <w:tcBorders>
              <w:top w:val="nil"/>
              <w:left w:val="nil"/>
              <w:bottom w:val="nil"/>
              <w:right w:val="nil"/>
            </w:tcBorders>
            <w:shd w:val="clear" w:color="auto" w:fill="auto"/>
            <w:vAlign w:val="center"/>
            <w:hideMark/>
          </w:tcPr>
          <w:p w14:paraId="34AD7303"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7D22102E"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1ED3A99A"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391E3A35"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433</w:t>
            </w:r>
          </w:p>
        </w:tc>
        <w:tc>
          <w:tcPr>
            <w:tcW w:w="925" w:type="dxa"/>
            <w:tcBorders>
              <w:top w:val="nil"/>
              <w:left w:val="nil"/>
              <w:bottom w:val="nil"/>
              <w:right w:val="nil"/>
            </w:tcBorders>
            <w:shd w:val="clear" w:color="auto" w:fill="auto"/>
            <w:vAlign w:val="center"/>
            <w:hideMark/>
          </w:tcPr>
          <w:p w14:paraId="57ABE51C"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433</w:t>
            </w:r>
          </w:p>
        </w:tc>
        <w:tc>
          <w:tcPr>
            <w:tcW w:w="709" w:type="dxa"/>
            <w:tcBorders>
              <w:top w:val="nil"/>
              <w:left w:val="nil"/>
              <w:bottom w:val="nil"/>
              <w:right w:val="nil"/>
            </w:tcBorders>
            <w:shd w:val="clear" w:color="auto" w:fill="auto"/>
            <w:vAlign w:val="center"/>
            <w:hideMark/>
          </w:tcPr>
          <w:p w14:paraId="7881458D"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45B4F556" w14:textId="77777777" w:rsidTr="00EC5F2E">
        <w:trPr>
          <w:trHeight w:val="289"/>
        </w:trPr>
        <w:tc>
          <w:tcPr>
            <w:tcW w:w="4395" w:type="dxa"/>
            <w:tcBorders>
              <w:top w:val="nil"/>
              <w:left w:val="nil"/>
              <w:bottom w:val="nil"/>
              <w:right w:val="nil"/>
            </w:tcBorders>
            <w:shd w:val="clear" w:color="auto" w:fill="auto"/>
            <w:vAlign w:val="center"/>
            <w:hideMark/>
          </w:tcPr>
          <w:p w14:paraId="0CF0D2C5"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Kancelária Národnej rady SR</w:t>
            </w:r>
          </w:p>
        </w:tc>
        <w:tc>
          <w:tcPr>
            <w:tcW w:w="757" w:type="dxa"/>
            <w:tcBorders>
              <w:top w:val="nil"/>
              <w:left w:val="nil"/>
              <w:bottom w:val="nil"/>
              <w:right w:val="nil"/>
            </w:tcBorders>
            <w:shd w:val="clear" w:color="auto" w:fill="auto"/>
            <w:vAlign w:val="center"/>
            <w:hideMark/>
          </w:tcPr>
          <w:p w14:paraId="0DD27BC7"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5EE33B36"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4E63701E"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57D0FF25"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352</w:t>
            </w:r>
          </w:p>
        </w:tc>
        <w:tc>
          <w:tcPr>
            <w:tcW w:w="925" w:type="dxa"/>
            <w:tcBorders>
              <w:top w:val="nil"/>
              <w:left w:val="nil"/>
              <w:bottom w:val="nil"/>
              <w:right w:val="nil"/>
            </w:tcBorders>
            <w:shd w:val="clear" w:color="auto" w:fill="auto"/>
            <w:vAlign w:val="center"/>
            <w:hideMark/>
          </w:tcPr>
          <w:p w14:paraId="07D91CE4"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352</w:t>
            </w:r>
          </w:p>
        </w:tc>
        <w:tc>
          <w:tcPr>
            <w:tcW w:w="709" w:type="dxa"/>
            <w:tcBorders>
              <w:top w:val="nil"/>
              <w:left w:val="nil"/>
              <w:bottom w:val="nil"/>
              <w:right w:val="nil"/>
            </w:tcBorders>
            <w:shd w:val="clear" w:color="auto" w:fill="auto"/>
            <w:vAlign w:val="center"/>
            <w:hideMark/>
          </w:tcPr>
          <w:p w14:paraId="2F360044"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166CA50F" w14:textId="77777777" w:rsidTr="00EC5F2E">
        <w:trPr>
          <w:trHeight w:val="289"/>
        </w:trPr>
        <w:tc>
          <w:tcPr>
            <w:tcW w:w="4395" w:type="dxa"/>
            <w:tcBorders>
              <w:top w:val="nil"/>
              <w:left w:val="nil"/>
              <w:bottom w:val="nil"/>
              <w:right w:val="nil"/>
            </w:tcBorders>
            <w:shd w:val="clear" w:color="auto" w:fill="auto"/>
            <w:vAlign w:val="center"/>
            <w:hideMark/>
          </w:tcPr>
          <w:p w14:paraId="4A34CCC4"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Národný bezpečnostný úrad</w:t>
            </w:r>
          </w:p>
        </w:tc>
        <w:tc>
          <w:tcPr>
            <w:tcW w:w="757" w:type="dxa"/>
            <w:tcBorders>
              <w:top w:val="nil"/>
              <w:left w:val="nil"/>
              <w:bottom w:val="nil"/>
              <w:right w:val="nil"/>
            </w:tcBorders>
            <w:shd w:val="clear" w:color="auto" w:fill="auto"/>
            <w:vAlign w:val="center"/>
            <w:hideMark/>
          </w:tcPr>
          <w:p w14:paraId="66A063F3"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32275EEF"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2B71C1C1"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4622D52A"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162</w:t>
            </w:r>
          </w:p>
        </w:tc>
        <w:tc>
          <w:tcPr>
            <w:tcW w:w="925" w:type="dxa"/>
            <w:tcBorders>
              <w:top w:val="nil"/>
              <w:left w:val="nil"/>
              <w:bottom w:val="nil"/>
              <w:right w:val="nil"/>
            </w:tcBorders>
            <w:shd w:val="clear" w:color="auto" w:fill="auto"/>
            <w:vAlign w:val="center"/>
            <w:hideMark/>
          </w:tcPr>
          <w:p w14:paraId="4158941C"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162</w:t>
            </w:r>
          </w:p>
        </w:tc>
        <w:tc>
          <w:tcPr>
            <w:tcW w:w="709" w:type="dxa"/>
            <w:tcBorders>
              <w:top w:val="nil"/>
              <w:left w:val="nil"/>
              <w:bottom w:val="nil"/>
              <w:right w:val="nil"/>
            </w:tcBorders>
            <w:shd w:val="clear" w:color="auto" w:fill="auto"/>
            <w:vAlign w:val="center"/>
            <w:hideMark/>
          </w:tcPr>
          <w:p w14:paraId="7E36C691"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3FDC7421" w14:textId="77777777" w:rsidTr="00EC5F2E">
        <w:trPr>
          <w:trHeight w:val="289"/>
        </w:trPr>
        <w:tc>
          <w:tcPr>
            <w:tcW w:w="4395" w:type="dxa"/>
            <w:tcBorders>
              <w:top w:val="nil"/>
              <w:left w:val="nil"/>
              <w:bottom w:val="nil"/>
              <w:right w:val="nil"/>
            </w:tcBorders>
            <w:shd w:val="clear" w:color="000000" w:fill="FFFFFF"/>
            <w:vAlign w:val="center"/>
            <w:hideMark/>
          </w:tcPr>
          <w:p w14:paraId="6104F801"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Generálna prokuratúra SR</w:t>
            </w:r>
          </w:p>
        </w:tc>
        <w:tc>
          <w:tcPr>
            <w:tcW w:w="757" w:type="dxa"/>
            <w:tcBorders>
              <w:top w:val="nil"/>
              <w:left w:val="nil"/>
              <w:bottom w:val="nil"/>
              <w:right w:val="nil"/>
            </w:tcBorders>
            <w:shd w:val="clear" w:color="auto" w:fill="auto"/>
            <w:vAlign w:val="center"/>
            <w:hideMark/>
          </w:tcPr>
          <w:p w14:paraId="16AB2A1D"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3F7B55A7"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7991CD91"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69883513"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99</w:t>
            </w:r>
          </w:p>
        </w:tc>
        <w:tc>
          <w:tcPr>
            <w:tcW w:w="925" w:type="dxa"/>
            <w:tcBorders>
              <w:top w:val="nil"/>
              <w:left w:val="nil"/>
              <w:bottom w:val="nil"/>
              <w:right w:val="nil"/>
            </w:tcBorders>
            <w:shd w:val="clear" w:color="auto" w:fill="auto"/>
            <w:vAlign w:val="center"/>
            <w:hideMark/>
          </w:tcPr>
          <w:p w14:paraId="29690E6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99</w:t>
            </w:r>
          </w:p>
        </w:tc>
        <w:tc>
          <w:tcPr>
            <w:tcW w:w="709" w:type="dxa"/>
            <w:tcBorders>
              <w:top w:val="nil"/>
              <w:left w:val="nil"/>
              <w:bottom w:val="nil"/>
              <w:right w:val="nil"/>
            </w:tcBorders>
            <w:shd w:val="clear" w:color="auto" w:fill="auto"/>
            <w:vAlign w:val="center"/>
            <w:hideMark/>
          </w:tcPr>
          <w:p w14:paraId="3E5AE3A8"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064463F5" w14:textId="77777777" w:rsidTr="00EC5F2E">
        <w:trPr>
          <w:trHeight w:val="289"/>
        </w:trPr>
        <w:tc>
          <w:tcPr>
            <w:tcW w:w="4395" w:type="dxa"/>
            <w:tcBorders>
              <w:top w:val="nil"/>
              <w:left w:val="nil"/>
              <w:bottom w:val="nil"/>
              <w:right w:val="nil"/>
            </w:tcBorders>
            <w:shd w:val="clear" w:color="auto" w:fill="auto"/>
            <w:vAlign w:val="center"/>
            <w:hideMark/>
          </w:tcPr>
          <w:p w14:paraId="075FF680"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lastRenderedPageBreak/>
              <w:t>Úrad vlády SR</w:t>
            </w:r>
          </w:p>
        </w:tc>
        <w:tc>
          <w:tcPr>
            <w:tcW w:w="757" w:type="dxa"/>
            <w:tcBorders>
              <w:top w:val="nil"/>
              <w:left w:val="nil"/>
              <w:bottom w:val="nil"/>
              <w:right w:val="nil"/>
            </w:tcBorders>
            <w:shd w:val="clear" w:color="auto" w:fill="auto"/>
            <w:vAlign w:val="center"/>
            <w:hideMark/>
          </w:tcPr>
          <w:p w14:paraId="07803E2E"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5DDE2E98"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nil"/>
              <w:right w:val="nil"/>
            </w:tcBorders>
            <w:shd w:val="clear" w:color="auto" w:fill="auto"/>
            <w:vAlign w:val="center"/>
            <w:hideMark/>
          </w:tcPr>
          <w:p w14:paraId="2FAE6CCA"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nil"/>
              <w:right w:val="nil"/>
            </w:tcBorders>
            <w:shd w:val="clear" w:color="auto" w:fill="auto"/>
            <w:vAlign w:val="center"/>
            <w:hideMark/>
          </w:tcPr>
          <w:p w14:paraId="5190469E"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36</w:t>
            </w:r>
          </w:p>
        </w:tc>
        <w:tc>
          <w:tcPr>
            <w:tcW w:w="925" w:type="dxa"/>
            <w:tcBorders>
              <w:top w:val="nil"/>
              <w:left w:val="nil"/>
              <w:bottom w:val="nil"/>
              <w:right w:val="nil"/>
            </w:tcBorders>
            <w:shd w:val="clear" w:color="auto" w:fill="auto"/>
            <w:vAlign w:val="center"/>
            <w:hideMark/>
          </w:tcPr>
          <w:p w14:paraId="26F1EEF2"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36</w:t>
            </w:r>
          </w:p>
        </w:tc>
        <w:tc>
          <w:tcPr>
            <w:tcW w:w="709" w:type="dxa"/>
            <w:tcBorders>
              <w:top w:val="nil"/>
              <w:left w:val="nil"/>
              <w:bottom w:val="nil"/>
              <w:right w:val="nil"/>
            </w:tcBorders>
            <w:shd w:val="clear" w:color="auto" w:fill="auto"/>
            <w:vAlign w:val="center"/>
            <w:hideMark/>
          </w:tcPr>
          <w:p w14:paraId="2A6881B2"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5C0B7336" w14:textId="77777777" w:rsidTr="00EC5F2E">
        <w:trPr>
          <w:trHeight w:val="289"/>
        </w:trPr>
        <w:tc>
          <w:tcPr>
            <w:tcW w:w="4395" w:type="dxa"/>
            <w:tcBorders>
              <w:top w:val="nil"/>
              <w:left w:val="nil"/>
              <w:right w:val="nil"/>
            </w:tcBorders>
            <w:shd w:val="clear" w:color="auto" w:fill="auto"/>
            <w:vAlign w:val="center"/>
            <w:hideMark/>
          </w:tcPr>
          <w:p w14:paraId="08BB5CC3"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kultúry SR</w:t>
            </w:r>
          </w:p>
        </w:tc>
        <w:tc>
          <w:tcPr>
            <w:tcW w:w="757" w:type="dxa"/>
            <w:tcBorders>
              <w:top w:val="nil"/>
              <w:left w:val="nil"/>
              <w:right w:val="nil"/>
            </w:tcBorders>
            <w:shd w:val="clear" w:color="auto" w:fill="auto"/>
            <w:vAlign w:val="center"/>
            <w:hideMark/>
          </w:tcPr>
          <w:p w14:paraId="16E26581"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right w:val="nil"/>
            </w:tcBorders>
            <w:shd w:val="clear" w:color="auto" w:fill="auto"/>
            <w:vAlign w:val="center"/>
            <w:hideMark/>
          </w:tcPr>
          <w:p w14:paraId="065CD657"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right w:val="nil"/>
            </w:tcBorders>
            <w:shd w:val="clear" w:color="auto" w:fill="auto"/>
            <w:vAlign w:val="center"/>
            <w:hideMark/>
          </w:tcPr>
          <w:p w14:paraId="32977E3B"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right w:val="nil"/>
            </w:tcBorders>
            <w:shd w:val="clear" w:color="auto" w:fill="auto"/>
            <w:vAlign w:val="center"/>
            <w:hideMark/>
          </w:tcPr>
          <w:p w14:paraId="78D260DE"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28</w:t>
            </w:r>
          </w:p>
        </w:tc>
        <w:tc>
          <w:tcPr>
            <w:tcW w:w="925" w:type="dxa"/>
            <w:tcBorders>
              <w:top w:val="nil"/>
              <w:left w:val="nil"/>
              <w:right w:val="nil"/>
            </w:tcBorders>
            <w:shd w:val="clear" w:color="auto" w:fill="auto"/>
            <w:vAlign w:val="center"/>
            <w:hideMark/>
          </w:tcPr>
          <w:p w14:paraId="39DB10C5"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28</w:t>
            </w:r>
          </w:p>
        </w:tc>
        <w:tc>
          <w:tcPr>
            <w:tcW w:w="709" w:type="dxa"/>
            <w:tcBorders>
              <w:top w:val="nil"/>
              <w:left w:val="nil"/>
              <w:right w:val="nil"/>
            </w:tcBorders>
            <w:shd w:val="clear" w:color="auto" w:fill="auto"/>
            <w:vAlign w:val="center"/>
            <w:hideMark/>
          </w:tcPr>
          <w:p w14:paraId="241F339A"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73A95539" w14:textId="77777777" w:rsidTr="00EC5F2E">
        <w:trPr>
          <w:trHeight w:val="289"/>
        </w:trPr>
        <w:tc>
          <w:tcPr>
            <w:tcW w:w="4395" w:type="dxa"/>
            <w:tcBorders>
              <w:top w:val="nil"/>
              <w:left w:val="nil"/>
              <w:bottom w:val="single" w:sz="4" w:space="0" w:color="auto"/>
              <w:right w:val="nil"/>
            </w:tcBorders>
            <w:shd w:val="clear" w:color="000000" w:fill="FFFFFF"/>
            <w:vAlign w:val="center"/>
            <w:hideMark/>
          </w:tcPr>
          <w:p w14:paraId="3E4FB768" w14:textId="77777777" w:rsidR="00697268" w:rsidRPr="00DD55DA" w:rsidRDefault="00697268" w:rsidP="00AB0350">
            <w:pPr>
              <w:spacing w:after="0" w:line="240" w:lineRule="auto"/>
              <w:rPr>
                <w:rFonts w:eastAsia="Times New Roman" w:cs="Times New Roman"/>
                <w:color w:val="000000"/>
                <w:sz w:val="20"/>
                <w:szCs w:val="20"/>
                <w:lang w:eastAsia="sk-SK"/>
              </w:rPr>
            </w:pPr>
            <w:r w:rsidRPr="00DD55DA">
              <w:rPr>
                <w:rFonts w:eastAsia="Times New Roman" w:cs="Times New Roman"/>
                <w:color w:val="000000"/>
                <w:sz w:val="20"/>
                <w:szCs w:val="20"/>
                <w:lang w:eastAsia="sk-SK"/>
              </w:rPr>
              <w:t>Ministerstvo životného prostredia SR</w:t>
            </w:r>
          </w:p>
        </w:tc>
        <w:tc>
          <w:tcPr>
            <w:tcW w:w="757" w:type="dxa"/>
            <w:tcBorders>
              <w:top w:val="nil"/>
              <w:left w:val="nil"/>
              <w:bottom w:val="single" w:sz="4" w:space="0" w:color="auto"/>
              <w:right w:val="nil"/>
            </w:tcBorders>
            <w:shd w:val="clear" w:color="auto" w:fill="auto"/>
            <w:vAlign w:val="center"/>
            <w:hideMark/>
          </w:tcPr>
          <w:p w14:paraId="133BF3FD"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single" w:sz="4" w:space="0" w:color="auto"/>
              <w:right w:val="nil"/>
            </w:tcBorders>
            <w:shd w:val="clear" w:color="auto" w:fill="auto"/>
            <w:vAlign w:val="center"/>
            <w:hideMark/>
          </w:tcPr>
          <w:p w14:paraId="7E0BF744"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827" w:type="dxa"/>
            <w:tcBorders>
              <w:top w:val="nil"/>
              <w:left w:val="nil"/>
              <w:bottom w:val="single" w:sz="4" w:space="0" w:color="auto"/>
              <w:right w:val="nil"/>
            </w:tcBorders>
            <w:shd w:val="clear" w:color="auto" w:fill="auto"/>
            <w:vAlign w:val="center"/>
            <w:hideMark/>
          </w:tcPr>
          <w:p w14:paraId="2C19DB0C"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0</w:t>
            </w:r>
          </w:p>
        </w:tc>
        <w:tc>
          <w:tcPr>
            <w:tcW w:w="916" w:type="dxa"/>
            <w:tcBorders>
              <w:top w:val="nil"/>
              <w:left w:val="nil"/>
              <w:bottom w:val="single" w:sz="4" w:space="0" w:color="auto"/>
              <w:right w:val="nil"/>
            </w:tcBorders>
            <w:shd w:val="clear" w:color="auto" w:fill="auto"/>
            <w:vAlign w:val="center"/>
            <w:hideMark/>
          </w:tcPr>
          <w:p w14:paraId="76F53233"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5</w:t>
            </w:r>
          </w:p>
        </w:tc>
        <w:tc>
          <w:tcPr>
            <w:tcW w:w="925" w:type="dxa"/>
            <w:tcBorders>
              <w:top w:val="nil"/>
              <w:left w:val="nil"/>
              <w:bottom w:val="single" w:sz="4" w:space="0" w:color="auto"/>
              <w:right w:val="nil"/>
            </w:tcBorders>
            <w:shd w:val="clear" w:color="auto" w:fill="auto"/>
            <w:vAlign w:val="center"/>
            <w:hideMark/>
          </w:tcPr>
          <w:p w14:paraId="3793BC60"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5</w:t>
            </w:r>
          </w:p>
        </w:tc>
        <w:tc>
          <w:tcPr>
            <w:tcW w:w="709" w:type="dxa"/>
            <w:tcBorders>
              <w:top w:val="nil"/>
              <w:left w:val="nil"/>
              <w:bottom w:val="single" w:sz="4" w:space="0" w:color="auto"/>
              <w:right w:val="nil"/>
            </w:tcBorders>
            <w:shd w:val="clear" w:color="auto" w:fill="auto"/>
            <w:vAlign w:val="center"/>
            <w:hideMark/>
          </w:tcPr>
          <w:p w14:paraId="39AE6D71" w14:textId="77777777" w:rsidR="00697268" w:rsidRPr="00DD55DA" w:rsidRDefault="00697268" w:rsidP="00AB0350">
            <w:pPr>
              <w:spacing w:after="0" w:line="240" w:lineRule="auto"/>
              <w:jc w:val="right"/>
              <w:rPr>
                <w:rFonts w:eastAsia="Times New Roman" w:cs="Times New Roman"/>
                <w:color w:val="000000"/>
                <w:lang w:eastAsia="sk-SK"/>
              </w:rPr>
            </w:pPr>
            <w:r w:rsidRPr="00DD55DA">
              <w:rPr>
                <w:rFonts w:eastAsia="Times New Roman" w:cs="Times New Roman"/>
                <w:color w:val="000000"/>
                <w:lang w:eastAsia="sk-SK"/>
              </w:rPr>
              <w:t>x</w:t>
            </w:r>
          </w:p>
        </w:tc>
      </w:tr>
      <w:tr w:rsidR="00697268" w:rsidRPr="00DD55DA" w14:paraId="2031A102" w14:textId="77777777" w:rsidTr="00EC5F2E">
        <w:trPr>
          <w:trHeight w:val="289"/>
        </w:trPr>
        <w:tc>
          <w:tcPr>
            <w:tcW w:w="4395" w:type="dxa"/>
            <w:tcBorders>
              <w:top w:val="single" w:sz="4" w:space="0" w:color="auto"/>
              <w:left w:val="nil"/>
              <w:bottom w:val="single" w:sz="4" w:space="0" w:color="auto"/>
              <w:right w:val="nil"/>
            </w:tcBorders>
            <w:shd w:val="clear" w:color="auto" w:fill="auto"/>
            <w:noWrap/>
            <w:vAlign w:val="center"/>
            <w:hideMark/>
          </w:tcPr>
          <w:p w14:paraId="42376F5B" w14:textId="77777777" w:rsidR="00697268" w:rsidRPr="00DD55DA" w:rsidRDefault="00697268" w:rsidP="00AB0350">
            <w:pPr>
              <w:spacing w:after="0" w:line="240" w:lineRule="auto"/>
              <w:rPr>
                <w:rFonts w:eastAsia="Times New Roman" w:cs="Times New Roman"/>
                <w:b/>
                <w:bCs/>
                <w:color w:val="000000"/>
                <w:sz w:val="20"/>
                <w:szCs w:val="20"/>
                <w:lang w:eastAsia="sk-SK"/>
              </w:rPr>
            </w:pPr>
            <w:r w:rsidRPr="00DD55DA">
              <w:rPr>
                <w:rFonts w:eastAsia="Times New Roman" w:cs="Times New Roman"/>
                <w:b/>
                <w:bCs/>
                <w:color w:val="000000"/>
                <w:sz w:val="20"/>
                <w:szCs w:val="20"/>
                <w:lang w:eastAsia="sk-SK"/>
              </w:rPr>
              <w:t>Spolu</w:t>
            </w:r>
          </w:p>
        </w:tc>
        <w:tc>
          <w:tcPr>
            <w:tcW w:w="757" w:type="dxa"/>
            <w:tcBorders>
              <w:top w:val="single" w:sz="4" w:space="0" w:color="auto"/>
              <w:left w:val="nil"/>
              <w:bottom w:val="single" w:sz="4" w:space="0" w:color="auto"/>
              <w:right w:val="nil"/>
            </w:tcBorders>
            <w:shd w:val="clear" w:color="auto" w:fill="auto"/>
            <w:noWrap/>
            <w:vAlign w:val="bottom"/>
            <w:hideMark/>
          </w:tcPr>
          <w:p w14:paraId="63B7D571" w14:textId="77777777" w:rsidR="00697268" w:rsidRPr="00DD55DA" w:rsidRDefault="00697268" w:rsidP="00AB0350">
            <w:pPr>
              <w:spacing w:after="0" w:line="240" w:lineRule="auto"/>
              <w:jc w:val="right"/>
              <w:rPr>
                <w:rFonts w:eastAsia="Times New Roman" w:cs="Times New Roman"/>
                <w:b/>
                <w:bCs/>
                <w:color w:val="000000"/>
                <w:lang w:eastAsia="sk-SK"/>
              </w:rPr>
            </w:pPr>
            <w:r w:rsidRPr="00DD55DA">
              <w:rPr>
                <w:rFonts w:eastAsia="Times New Roman" w:cs="Times New Roman"/>
                <w:b/>
                <w:bCs/>
                <w:color w:val="000000"/>
                <w:lang w:eastAsia="sk-SK"/>
              </w:rPr>
              <w:t>0</w:t>
            </w:r>
          </w:p>
        </w:tc>
        <w:tc>
          <w:tcPr>
            <w:tcW w:w="827" w:type="dxa"/>
            <w:tcBorders>
              <w:top w:val="single" w:sz="4" w:space="0" w:color="auto"/>
              <w:left w:val="nil"/>
              <w:bottom w:val="single" w:sz="4" w:space="0" w:color="auto"/>
              <w:right w:val="nil"/>
            </w:tcBorders>
            <w:shd w:val="clear" w:color="auto" w:fill="auto"/>
            <w:noWrap/>
            <w:vAlign w:val="bottom"/>
            <w:hideMark/>
          </w:tcPr>
          <w:p w14:paraId="1E8432A9" w14:textId="77777777" w:rsidR="00697268" w:rsidRPr="00DD55DA" w:rsidRDefault="00697268" w:rsidP="00AB0350">
            <w:pPr>
              <w:spacing w:after="0" w:line="240" w:lineRule="auto"/>
              <w:jc w:val="right"/>
              <w:rPr>
                <w:rFonts w:eastAsia="Times New Roman" w:cs="Times New Roman"/>
                <w:b/>
                <w:bCs/>
                <w:color w:val="000000"/>
                <w:lang w:eastAsia="sk-SK"/>
              </w:rPr>
            </w:pPr>
            <w:r w:rsidRPr="00DD55DA">
              <w:rPr>
                <w:rFonts w:eastAsia="Times New Roman" w:cs="Times New Roman"/>
                <w:b/>
                <w:bCs/>
                <w:color w:val="000000"/>
                <w:lang w:eastAsia="sk-SK"/>
              </w:rPr>
              <w:t>0</w:t>
            </w:r>
          </w:p>
        </w:tc>
        <w:tc>
          <w:tcPr>
            <w:tcW w:w="827" w:type="dxa"/>
            <w:tcBorders>
              <w:top w:val="single" w:sz="4" w:space="0" w:color="auto"/>
              <w:left w:val="nil"/>
              <w:bottom w:val="single" w:sz="4" w:space="0" w:color="auto"/>
              <w:right w:val="nil"/>
            </w:tcBorders>
            <w:shd w:val="clear" w:color="auto" w:fill="auto"/>
            <w:noWrap/>
            <w:vAlign w:val="bottom"/>
            <w:hideMark/>
          </w:tcPr>
          <w:p w14:paraId="5098325E" w14:textId="77777777" w:rsidR="00697268" w:rsidRPr="00DD55DA" w:rsidRDefault="00697268" w:rsidP="00AB0350">
            <w:pPr>
              <w:spacing w:after="0" w:line="240" w:lineRule="auto"/>
              <w:jc w:val="right"/>
              <w:rPr>
                <w:rFonts w:eastAsia="Times New Roman" w:cs="Times New Roman"/>
                <w:b/>
                <w:bCs/>
                <w:color w:val="000000"/>
                <w:lang w:eastAsia="sk-SK"/>
              </w:rPr>
            </w:pPr>
            <w:r w:rsidRPr="00DD55DA">
              <w:rPr>
                <w:rFonts w:eastAsia="Times New Roman" w:cs="Times New Roman"/>
                <w:b/>
                <w:bCs/>
                <w:color w:val="000000"/>
                <w:lang w:eastAsia="sk-SK"/>
              </w:rPr>
              <w:t>0</w:t>
            </w:r>
          </w:p>
        </w:tc>
        <w:tc>
          <w:tcPr>
            <w:tcW w:w="916" w:type="dxa"/>
            <w:tcBorders>
              <w:top w:val="single" w:sz="4" w:space="0" w:color="auto"/>
              <w:left w:val="nil"/>
              <w:bottom w:val="single" w:sz="4" w:space="0" w:color="auto"/>
              <w:right w:val="nil"/>
            </w:tcBorders>
            <w:shd w:val="clear" w:color="auto" w:fill="auto"/>
            <w:noWrap/>
            <w:vAlign w:val="bottom"/>
            <w:hideMark/>
          </w:tcPr>
          <w:p w14:paraId="79D12A18" w14:textId="77777777" w:rsidR="00697268" w:rsidRPr="00DD55DA" w:rsidRDefault="00697268" w:rsidP="00AB0350">
            <w:pPr>
              <w:spacing w:after="0" w:line="240" w:lineRule="auto"/>
              <w:jc w:val="right"/>
              <w:rPr>
                <w:rFonts w:eastAsia="Times New Roman" w:cs="Times New Roman"/>
                <w:b/>
                <w:bCs/>
                <w:color w:val="000000"/>
                <w:lang w:eastAsia="sk-SK"/>
              </w:rPr>
            </w:pPr>
            <w:r w:rsidRPr="00DD55DA">
              <w:rPr>
                <w:rFonts w:eastAsia="Times New Roman" w:cs="Times New Roman"/>
                <w:b/>
                <w:bCs/>
                <w:color w:val="000000"/>
                <w:lang w:eastAsia="sk-SK"/>
              </w:rPr>
              <w:t>193 698</w:t>
            </w:r>
          </w:p>
        </w:tc>
        <w:tc>
          <w:tcPr>
            <w:tcW w:w="925" w:type="dxa"/>
            <w:tcBorders>
              <w:top w:val="single" w:sz="4" w:space="0" w:color="auto"/>
              <w:left w:val="nil"/>
              <w:bottom w:val="single" w:sz="4" w:space="0" w:color="auto"/>
              <w:right w:val="nil"/>
            </w:tcBorders>
            <w:shd w:val="clear" w:color="auto" w:fill="auto"/>
            <w:vAlign w:val="bottom"/>
            <w:hideMark/>
          </w:tcPr>
          <w:p w14:paraId="6848D4C6" w14:textId="77777777" w:rsidR="00697268" w:rsidRPr="00DD55DA" w:rsidRDefault="00697268" w:rsidP="00AB0350">
            <w:pPr>
              <w:spacing w:after="0" w:line="240" w:lineRule="auto"/>
              <w:jc w:val="right"/>
              <w:rPr>
                <w:rFonts w:eastAsia="Times New Roman" w:cs="Times New Roman"/>
                <w:b/>
                <w:bCs/>
                <w:color w:val="000000"/>
                <w:lang w:eastAsia="sk-SK"/>
              </w:rPr>
            </w:pPr>
            <w:r w:rsidRPr="00DD55DA">
              <w:rPr>
                <w:rFonts w:eastAsia="Times New Roman" w:cs="Times New Roman"/>
                <w:b/>
                <w:bCs/>
                <w:color w:val="000000"/>
                <w:lang w:eastAsia="sk-SK"/>
              </w:rPr>
              <w:t>193 698</w:t>
            </w:r>
          </w:p>
        </w:tc>
        <w:tc>
          <w:tcPr>
            <w:tcW w:w="709" w:type="dxa"/>
            <w:tcBorders>
              <w:top w:val="single" w:sz="4" w:space="0" w:color="auto"/>
              <w:left w:val="nil"/>
              <w:bottom w:val="single" w:sz="4" w:space="0" w:color="auto"/>
              <w:right w:val="nil"/>
            </w:tcBorders>
            <w:shd w:val="clear" w:color="auto" w:fill="auto"/>
            <w:noWrap/>
            <w:vAlign w:val="bottom"/>
            <w:hideMark/>
          </w:tcPr>
          <w:p w14:paraId="4D17AC16" w14:textId="77777777" w:rsidR="00697268" w:rsidRPr="00DD55DA" w:rsidRDefault="00697268" w:rsidP="00AB0350">
            <w:pPr>
              <w:spacing w:after="0" w:line="240" w:lineRule="auto"/>
              <w:jc w:val="right"/>
              <w:rPr>
                <w:rFonts w:eastAsia="Times New Roman" w:cs="Times New Roman"/>
                <w:b/>
                <w:bCs/>
                <w:color w:val="000000"/>
                <w:lang w:eastAsia="sk-SK"/>
              </w:rPr>
            </w:pPr>
            <w:r w:rsidRPr="00DD55DA">
              <w:rPr>
                <w:rFonts w:eastAsia="Times New Roman" w:cs="Times New Roman"/>
                <w:b/>
                <w:bCs/>
                <w:color w:val="000000"/>
                <w:lang w:eastAsia="sk-SK"/>
              </w:rPr>
              <w:t>x</w:t>
            </w:r>
          </w:p>
        </w:tc>
      </w:tr>
    </w:tbl>
    <w:p w14:paraId="2AFA9B7A" w14:textId="77777777" w:rsidR="00697268" w:rsidRDefault="00697268" w:rsidP="00697268">
      <w:pPr>
        <w:spacing w:line="240" w:lineRule="auto"/>
        <w:rPr>
          <w:rFonts w:eastAsia="Calibri" w:cs="Times New Roman"/>
          <w:sz w:val="24"/>
          <w:szCs w:val="24"/>
        </w:rPr>
      </w:pPr>
    </w:p>
    <w:p w14:paraId="6B2B5150" w14:textId="77777777" w:rsidR="00697268" w:rsidRPr="006D2695" w:rsidRDefault="00697268" w:rsidP="00697268">
      <w:pPr>
        <w:spacing w:line="240" w:lineRule="auto"/>
        <w:rPr>
          <w:rFonts w:eastAsia="Calibri" w:cs="Times New Roman"/>
          <w:sz w:val="24"/>
          <w:szCs w:val="24"/>
        </w:rPr>
      </w:pPr>
      <w:r>
        <w:rPr>
          <w:rFonts w:eastAsia="Calibri" w:cs="Times New Roman"/>
          <w:sz w:val="24"/>
          <w:szCs w:val="24"/>
        </w:rPr>
        <w:t xml:space="preserve">Štátne rozpočtové organizácie použili 163 894 tis. eur bežných výdavkov, z toho najmä na bežné transfery 113 254 tis. eur a v rámci nich na transfery obci okrem preneseného výkonu 53 024 tis. eur a tovary a služby 42 999 tis. eur. Kapitálové výdavky tvorili 29 797 tis. eur, </w:t>
      </w:r>
      <w:r w:rsidRPr="006D2695">
        <w:rPr>
          <w:rFonts w:eastAsia="Calibri" w:cs="Times New Roman"/>
          <w:sz w:val="24"/>
          <w:szCs w:val="24"/>
        </w:rPr>
        <w:t>z toho na nákup dopravných vozidiel 12 905 tis. eur a realizáciu nových stavieb 8 310 tis. eur.</w:t>
      </w:r>
    </w:p>
    <w:p w14:paraId="5EDFBC76" w14:textId="77777777" w:rsidR="006D2695" w:rsidRPr="006D2695" w:rsidRDefault="00697268" w:rsidP="00AB0350">
      <w:pPr>
        <w:spacing w:line="240" w:lineRule="auto"/>
        <w:rPr>
          <w:rFonts w:eastAsia="Calibri" w:cs="Times New Roman"/>
          <w:sz w:val="24"/>
          <w:szCs w:val="24"/>
        </w:rPr>
      </w:pPr>
      <w:r w:rsidRPr="006D2695">
        <w:rPr>
          <w:rFonts w:eastAsia="Calibri" w:cs="Times New Roman"/>
          <w:sz w:val="24"/>
          <w:szCs w:val="24"/>
        </w:rPr>
        <w:t xml:space="preserve">Z pohľadu kapitol ŠR tvorili rozhodujúcu časť výdavky </w:t>
      </w:r>
      <w:r w:rsidRPr="006D2695">
        <w:rPr>
          <w:rFonts w:eastAsia="Calibri" w:cs="Times New Roman"/>
          <w:sz w:val="24"/>
          <w:szCs w:val="24"/>
          <w:u w:val="single"/>
        </w:rPr>
        <w:t>Ministerstva vnútra SR</w:t>
      </w:r>
      <w:r w:rsidRPr="006D2695">
        <w:rPr>
          <w:rFonts w:eastAsia="Calibri" w:cs="Times New Roman"/>
          <w:sz w:val="24"/>
          <w:szCs w:val="24"/>
        </w:rPr>
        <w:t xml:space="preserve"> v sume 101 525 tis. eur, ktoré čerpalo finančné prostriedky najmä na financovanie úloh spojených s prílevom množstva </w:t>
      </w:r>
      <w:r w:rsidR="006D2695" w:rsidRPr="006D2695">
        <w:rPr>
          <w:rFonts w:eastAsia="Calibri" w:cs="Times New Roman"/>
          <w:sz w:val="24"/>
          <w:szCs w:val="24"/>
        </w:rPr>
        <w:t>odídencov</w:t>
      </w:r>
      <w:r w:rsidRPr="006D2695">
        <w:rPr>
          <w:rFonts w:eastAsia="Calibri" w:cs="Times New Roman"/>
          <w:sz w:val="24"/>
          <w:szCs w:val="24"/>
        </w:rPr>
        <w:t xml:space="preserve"> z Ukrajiny, na príspevky za ubytovanie odídencov, na nákup vrtuľníkov pre Letecký útvar </w:t>
      </w:r>
      <w:r w:rsidRPr="006D2695">
        <w:rPr>
          <w:rFonts w:eastAsia="Calibri" w:cs="Times New Roman"/>
          <w:sz w:val="24"/>
          <w:szCs w:val="24"/>
          <w:u w:val="single"/>
        </w:rPr>
        <w:t>Ministerstva vnútra SR</w:t>
      </w:r>
      <w:r w:rsidR="006D2695" w:rsidRPr="006D2695">
        <w:rPr>
          <w:rFonts w:eastAsia="Calibri" w:cs="Times New Roman"/>
          <w:sz w:val="24"/>
          <w:szCs w:val="24"/>
        </w:rPr>
        <w:t xml:space="preserve"> za účelom posilnenia monitorovania štátnej hranice</w:t>
      </w:r>
      <w:r w:rsidRPr="006D2695">
        <w:rPr>
          <w:rFonts w:eastAsia="Calibri" w:cs="Times New Roman"/>
          <w:sz w:val="24"/>
          <w:szCs w:val="24"/>
        </w:rPr>
        <w:t>, na výdavky spojené so zabezpečením civilnej ochrany a záchranárskych prác v dôsled</w:t>
      </w:r>
      <w:r w:rsidR="006D2695" w:rsidRPr="006D2695">
        <w:rPr>
          <w:rFonts w:eastAsia="Calibri" w:cs="Times New Roman"/>
          <w:sz w:val="24"/>
          <w:szCs w:val="24"/>
        </w:rPr>
        <w:t xml:space="preserve">ku mimoriadnej situácie a iné. </w:t>
      </w:r>
    </w:p>
    <w:p w14:paraId="49FF8284" w14:textId="513D60C8" w:rsidR="00043553" w:rsidRDefault="00697268" w:rsidP="00AB0350">
      <w:pPr>
        <w:spacing w:line="240" w:lineRule="auto"/>
        <w:rPr>
          <w:rFonts w:eastAsia="Calibri" w:cs="Times New Roman"/>
          <w:sz w:val="24"/>
          <w:szCs w:val="24"/>
        </w:rPr>
      </w:pPr>
      <w:r w:rsidRPr="006D2695">
        <w:rPr>
          <w:rFonts w:eastAsia="Calibri" w:cs="Times New Roman"/>
          <w:sz w:val="24"/>
          <w:szCs w:val="24"/>
        </w:rPr>
        <w:t xml:space="preserve">Ďalšie výdavky na Ukrajinu čerpalo </w:t>
      </w:r>
      <w:r w:rsidRPr="006D2695">
        <w:rPr>
          <w:rFonts w:eastAsia="Calibri" w:cs="Times New Roman"/>
          <w:sz w:val="24"/>
          <w:szCs w:val="24"/>
          <w:u w:val="single"/>
        </w:rPr>
        <w:t>Ministerstvo obrany SR</w:t>
      </w:r>
      <w:r w:rsidRPr="006D2695">
        <w:rPr>
          <w:rFonts w:eastAsia="Calibri" w:cs="Times New Roman"/>
          <w:sz w:val="24"/>
          <w:szCs w:val="24"/>
        </w:rPr>
        <w:t xml:space="preserve"> v sume 20 744 tis. eur, najmä na vybavenie kontajnerového mestečka a stanového kempu pre ozbrojené sily členských krajín NATO. </w:t>
      </w:r>
      <w:r w:rsidRPr="006D2695">
        <w:rPr>
          <w:rFonts w:eastAsia="Calibri" w:cs="Times New Roman"/>
          <w:sz w:val="24"/>
          <w:szCs w:val="24"/>
          <w:u w:val="single"/>
        </w:rPr>
        <w:t>Ministerstvo školstva, vedy, výskumu a športu SR</w:t>
      </w:r>
      <w:r w:rsidRPr="006D2695">
        <w:rPr>
          <w:rFonts w:eastAsia="Calibri" w:cs="Times New Roman"/>
          <w:sz w:val="24"/>
          <w:szCs w:val="24"/>
        </w:rPr>
        <w:t xml:space="preserve"> čerpalo 18 455 tis. eur najmä na podporu začlenenia detí, žiakov a študentov Ukrajiny do škôl v Slovenskej republike a na príspevky na špecifiká (napr. na školské potreby, na cestovné lístky a na jazykové kurzy pre deti odídencov). </w:t>
      </w:r>
      <w:r w:rsidRPr="006D2695">
        <w:rPr>
          <w:rFonts w:eastAsia="Calibri" w:cs="Times New Roman"/>
          <w:sz w:val="24"/>
          <w:szCs w:val="24"/>
          <w:u w:val="single"/>
        </w:rPr>
        <w:t>Ministerstvo práce, sociálnych vecí a rodiny SR</w:t>
      </w:r>
      <w:r w:rsidRPr="006D2695">
        <w:rPr>
          <w:rFonts w:eastAsia="Calibri" w:cs="Times New Roman"/>
          <w:sz w:val="24"/>
          <w:szCs w:val="24"/>
        </w:rPr>
        <w:t xml:space="preserve"> čerpalo 13 885 tis. eur na financovanie Projektov „Pomáhame utečencom“ a „Pomáhame utečencom-poradenstvo“.</w:t>
      </w:r>
    </w:p>
    <w:p w14:paraId="3AB6C035" w14:textId="77777777" w:rsidR="00043553" w:rsidRDefault="00043553">
      <w:pPr>
        <w:spacing w:after="160" w:line="259" w:lineRule="auto"/>
        <w:jc w:val="left"/>
        <w:rPr>
          <w:rFonts w:eastAsia="Calibri" w:cs="Times New Roman"/>
          <w:sz w:val="24"/>
          <w:szCs w:val="24"/>
        </w:rPr>
      </w:pPr>
      <w:r>
        <w:rPr>
          <w:rFonts w:eastAsia="Calibri" w:cs="Times New Roman"/>
          <w:sz w:val="24"/>
          <w:szCs w:val="24"/>
        </w:rPr>
        <w:br w:type="page"/>
      </w:r>
    </w:p>
    <w:p w14:paraId="78B14DF1" w14:textId="27CF3EF5" w:rsidR="00D97CA6" w:rsidRDefault="00D97CA6" w:rsidP="005053E6">
      <w:pPr>
        <w:pStyle w:val="Nadpis4"/>
      </w:pPr>
      <w:bookmarkStart w:id="45" w:name="_Toc132929091"/>
      <w:r w:rsidRPr="003E7AC3">
        <w:lastRenderedPageBreak/>
        <w:t>Bežné výdavky</w:t>
      </w:r>
      <w:bookmarkEnd w:id="45"/>
    </w:p>
    <w:p w14:paraId="353C98BA" w14:textId="77777777" w:rsidR="00697268" w:rsidRPr="00B51948" w:rsidRDefault="00697268" w:rsidP="00697268">
      <w:pPr>
        <w:spacing w:line="240" w:lineRule="auto"/>
        <w:rPr>
          <w:rFonts w:cs="Times New Roman"/>
          <w:color w:val="FF0000"/>
          <w:sz w:val="24"/>
          <w:szCs w:val="24"/>
        </w:rPr>
      </w:pPr>
      <w:r w:rsidRPr="00FE1D70">
        <w:rPr>
          <w:rFonts w:cs="Times New Roman"/>
          <w:sz w:val="24"/>
          <w:szCs w:val="24"/>
        </w:rPr>
        <w:t xml:space="preserve">Bežné výdavky boli rozpočtované v sume 22 831 612 tis. eur a ich skutočné čerpanie predstavovalo sumu 20 847 550 tis. eur. </w:t>
      </w:r>
      <w:r w:rsidRPr="009F029A">
        <w:rPr>
          <w:rFonts w:cs="Times New Roman"/>
          <w:sz w:val="24"/>
          <w:szCs w:val="24"/>
        </w:rPr>
        <w:t xml:space="preserve">Rozdiel skutočnosti oproti </w:t>
      </w:r>
      <w:r>
        <w:rPr>
          <w:rFonts w:cs="Times New Roman"/>
          <w:sz w:val="24"/>
          <w:szCs w:val="24"/>
        </w:rPr>
        <w:t xml:space="preserve">schválenému </w:t>
      </w:r>
      <w:r w:rsidRPr="009F029A">
        <w:rPr>
          <w:rFonts w:cs="Times New Roman"/>
          <w:sz w:val="24"/>
          <w:szCs w:val="24"/>
        </w:rPr>
        <w:t>rozpočtu znamenalo nižšie čerpanie o 1 984 062 tis. eur, a to najmä v kategórii tovarov a služieb, kde sa rozpočtovali mimoriadne výda</w:t>
      </w:r>
      <w:r>
        <w:rPr>
          <w:rFonts w:cs="Times New Roman"/>
          <w:sz w:val="24"/>
          <w:szCs w:val="24"/>
        </w:rPr>
        <w:t xml:space="preserve">vky na boj s pandémiou COVID-19, ktorej ,,koniec“ sa ešte záverom roka 2021 predpokladal až za horizontom roka 2022. </w:t>
      </w:r>
    </w:p>
    <w:p w14:paraId="70BBF71A" w14:textId="162155E6" w:rsidR="00697268" w:rsidRDefault="00697268" w:rsidP="00697268">
      <w:pPr>
        <w:spacing w:line="240" w:lineRule="auto"/>
        <w:rPr>
          <w:rFonts w:cs="Times New Roman"/>
          <w:sz w:val="24"/>
          <w:szCs w:val="24"/>
        </w:rPr>
      </w:pPr>
      <w:r w:rsidRPr="009F029A">
        <w:rPr>
          <w:rFonts w:cs="Times New Roman"/>
          <w:sz w:val="24"/>
          <w:szCs w:val="24"/>
        </w:rPr>
        <w:t>Prehľad bežných výdavkov v štruktúre ekonomickej klasifikácie je uvedený v nasledovnej tabuľke:</w:t>
      </w:r>
    </w:p>
    <w:tbl>
      <w:tblPr>
        <w:tblW w:w="9214" w:type="dxa"/>
        <w:tblLayout w:type="fixed"/>
        <w:tblCellMar>
          <w:left w:w="70" w:type="dxa"/>
          <w:right w:w="70" w:type="dxa"/>
        </w:tblCellMar>
        <w:tblLook w:val="04A0" w:firstRow="1" w:lastRow="0" w:firstColumn="1" w:lastColumn="0" w:noHBand="0" w:noVBand="1"/>
      </w:tblPr>
      <w:tblGrid>
        <w:gridCol w:w="3524"/>
        <w:gridCol w:w="1020"/>
        <w:gridCol w:w="1020"/>
        <w:gridCol w:w="1020"/>
        <w:gridCol w:w="1020"/>
        <w:gridCol w:w="983"/>
        <w:gridCol w:w="627"/>
      </w:tblGrid>
      <w:tr w:rsidR="00EC5F2E" w:rsidRPr="00694760" w14:paraId="58CA9819" w14:textId="77777777" w:rsidTr="006D2695">
        <w:trPr>
          <w:trHeight w:val="458"/>
        </w:trPr>
        <w:tc>
          <w:tcPr>
            <w:tcW w:w="9214" w:type="dxa"/>
            <w:gridSpan w:val="7"/>
            <w:tcBorders>
              <w:top w:val="nil"/>
              <w:left w:val="nil"/>
              <w:bottom w:val="nil"/>
              <w:right w:val="nil"/>
            </w:tcBorders>
            <w:shd w:val="clear" w:color="000000" w:fill="FFFFFF"/>
            <w:vAlign w:val="center"/>
            <w:hideMark/>
          </w:tcPr>
          <w:p w14:paraId="5303EDE7" w14:textId="70483777" w:rsidR="00EC5F2E" w:rsidRPr="00694760" w:rsidRDefault="00240940" w:rsidP="008B3212">
            <w:pPr>
              <w:spacing w:after="0" w:line="240" w:lineRule="auto"/>
              <w:jc w:val="left"/>
              <w:rPr>
                <w:rFonts w:eastAsia="Times New Roman" w:cs="Times New Roman"/>
                <w:b/>
                <w:bCs/>
                <w:color w:val="FFFFFF"/>
                <w:sz w:val="20"/>
                <w:szCs w:val="20"/>
                <w:lang w:eastAsia="sk-SK"/>
              </w:rPr>
            </w:pPr>
            <w:r>
              <w:rPr>
                <w:rFonts w:eastAsia="Times New Roman" w:cs="Times New Roman"/>
                <w:b/>
                <w:bCs/>
                <w:color w:val="5B9BD5" w:themeColor="accent1"/>
                <w:sz w:val="20"/>
                <w:szCs w:val="20"/>
                <w:lang w:eastAsia="sk-SK"/>
              </w:rPr>
              <w:t>Tabuľka 3</w:t>
            </w:r>
            <w:r w:rsidR="008B3212">
              <w:rPr>
                <w:rFonts w:eastAsia="Times New Roman" w:cs="Times New Roman"/>
                <w:b/>
                <w:bCs/>
                <w:color w:val="5B9BD5" w:themeColor="accent1"/>
                <w:sz w:val="20"/>
                <w:szCs w:val="20"/>
                <w:lang w:eastAsia="sk-SK"/>
              </w:rPr>
              <w:t>3</w:t>
            </w:r>
            <w:r w:rsidR="00EC5F2E">
              <w:rPr>
                <w:rFonts w:eastAsia="Times New Roman" w:cs="Times New Roman"/>
                <w:b/>
                <w:bCs/>
                <w:color w:val="5B9BD5" w:themeColor="accent1"/>
                <w:sz w:val="20"/>
                <w:szCs w:val="20"/>
                <w:lang w:eastAsia="sk-SK"/>
              </w:rPr>
              <w:t xml:space="preserve"> - </w:t>
            </w:r>
            <w:r w:rsidR="00EC5F2E" w:rsidRPr="00694760">
              <w:rPr>
                <w:rFonts w:eastAsia="Times New Roman" w:cs="Times New Roman"/>
                <w:b/>
                <w:color w:val="5B9BD5" w:themeColor="accent1"/>
                <w:sz w:val="20"/>
                <w:szCs w:val="20"/>
                <w:lang w:eastAsia="sk-SK"/>
              </w:rPr>
              <w:t>Bežné výdavky</w:t>
            </w:r>
            <w:r w:rsidR="00EC5F2E">
              <w:rPr>
                <w:rFonts w:eastAsia="Times New Roman" w:cs="Times New Roman"/>
                <w:b/>
                <w:color w:val="5B9BD5" w:themeColor="accent1"/>
                <w:sz w:val="20"/>
                <w:szCs w:val="20"/>
                <w:lang w:eastAsia="sk-SK"/>
              </w:rPr>
              <w:t xml:space="preserve"> podľa ekonomickej klasifikácie</w:t>
            </w:r>
          </w:p>
        </w:tc>
      </w:tr>
      <w:tr w:rsidR="00EC5F2E" w:rsidRPr="00D97CA6" w14:paraId="239459EF" w14:textId="77777777" w:rsidTr="006D2695">
        <w:trPr>
          <w:trHeight w:val="289"/>
        </w:trPr>
        <w:tc>
          <w:tcPr>
            <w:tcW w:w="3524" w:type="dxa"/>
            <w:vMerge w:val="restart"/>
            <w:tcBorders>
              <w:top w:val="single" w:sz="4" w:space="0" w:color="auto"/>
              <w:left w:val="nil"/>
              <w:right w:val="nil"/>
            </w:tcBorders>
            <w:shd w:val="clear" w:color="000000" w:fill="FFFFFF"/>
            <w:vAlign w:val="center"/>
            <w:hideMark/>
          </w:tcPr>
          <w:p w14:paraId="6F39E779" w14:textId="77777777" w:rsidR="00EC5F2E" w:rsidRPr="00D97CA6" w:rsidRDefault="00EC5F2E" w:rsidP="00CE362A">
            <w:pPr>
              <w:spacing w:after="0" w:line="240" w:lineRule="auto"/>
              <w:jc w:val="left"/>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 v tis. eur</w:t>
            </w:r>
          </w:p>
        </w:tc>
        <w:tc>
          <w:tcPr>
            <w:tcW w:w="1020" w:type="dxa"/>
            <w:tcBorders>
              <w:top w:val="single" w:sz="4" w:space="0" w:color="auto"/>
              <w:left w:val="nil"/>
              <w:bottom w:val="nil"/>
              <w:right w:val="nil"/>
            </w:tcBorders>
            <w:shd w:val="clear" w:color="000000" w:fill="FFFFFF"/>
            <w:noWrap/>
            <w:vAlign w:val="center"/>
            <w:hideMark/>
          </w:tcPr>
          <w:p w14:paraId="1B71F87B" w14:textId="5C6BCD46" w:rsidR="00EC5F2E" w:rsidRPr="00D97CA6" w:rsidRDefault="00EC5F2E" w:rsidP="00EC5F2E">
            <w:pPr>
              <w:spacing w:after="0" w:line="240" w:lineRule="auto"/>
              <w:jc w:val="center"/>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20</w:t>
            </w:r>
            <w:r>
              <w:rPr>
                <w:rFonts w:eastAsia="Times New Roman" w:cs="Times New Roman"/>
                <w:b/>
                <w:bCs/>
                <w:color w:val="000000"/>
                <w:sz w:val="18"/>
                <w:szCs w:val="18"/>
                <w:lang w:eastAsia="sk-SK"/>
              </w:rPr>
              <w:t>20</w:t>
            </w:r>
            <w:r w:rsidRPr="00D97CA6">
              <w:rPr>
                <w:rFonts w:eastAsia="Times New Roman" w:cs="Times New Roman"/>
                <w:b/>
                <w:bCs/>
                <w:color w:val="000000"/>
                <w:sz w:val="18"/>
                <w:szCs w:val="18"/>
                <w:lang w:eastAsia="sk-SK"/>
              </w:rPr>
              <w:t xml:space="preserve"> S</w:t>
            </w:r>
          </w:p>
        </w:tc>
        <w:tc>
          <w:tcPr>
            <w:tcW w:w="1020" w:type="dxa"/>
            <w:tcBorders>
              <w:top w:val="single" w:sz="4" w:space="0" w:color="auto"/>
              <w:left w:val="nil"/>
              <w:bottom w:val="nil"/>
              <w:right w:val="nil"/>
            </w:tcBorders>
            <w:shd w:val="clear" w:color="000000" w:fill="FFFFFF"/>
            <w:noWrap/>
            <w:vAlign w:val="center"/>
            <w:hideMark/>
          </w:tcPr>
          <w:p w14:paraId="7E565355" w14:textId="021C39A2" w:rsidR="00EC5F2E" w:rsidRPr="00D97CA6" w:rsidRDefault="00EC5F2E" w:rsidP="00EC5F2E">
            <w:pPr>
              <w:spacing w:after="0" w:line="240" w:lineRule="auto"/>
              <w:jc w:val="center"/>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202</w:t>
            </w:r>
            <w:r>
              <w:rPr>
                <w:rFonts w:eastAsia="Times New Roman" w:cs="Times New Roman"/>
                <w:b/>
                <w:bCs/>
                <w:color w:val="000000"/>
                <w:sz w:val="18"/>
                <w:szCs w:val="18"/>
                <w:lang w:eastAsia="sk-SK"/>
              </w:rPr>
              <w:t>1</w:t>
            </w:r>
            <w:r w:rsidRPr="00D97CA6">
              <w:rPr>
                <w:rFonts w:eastAsia="Times New Roman" w:cs="Times New Roman"/>
                <w:b/>
                <w:bCs/>
                <w:color w:val="000000"/>
                <w:sz w:val="18"/>
                <w:szCs w:val="18"/>
                <w:lang w:eastAsia="sk-SK"/>
              </w:rPr>
              <w:t xml:space="preserve"> S</w:t>
            </w:r>
          </w:p>
        </w:tc>
        <w:tc>
          <w:tcPr>
            <w:tcW w:w="1020" w:type="dxa"/>
            <w:tcBorders>
              <w:top w:val="single" w:sz="4" w:space="0" w:color="auto"/>
              <w:left w:val="nil"/>
              <w:bottom w:val="nil"/>
              <w:right w:val="nil"/>
            </w:tcBorders>
            <w:shd w:val="clear" w:color="000000" w:fill="FFFFFF"/>
            <w:noWrap/>
            <w:vAlign w:val="center"/>
            <w:hideMark/>
          </w:tcPr>
          <w:p w14:paraId="50C7DD1D" w14:textId="7642642C" w:rsidR="00EC5F2E" w:rsidRPr="00D97CA6" w:rsidRDefault="00EC5F2E" w:rsidP="00CE362A">
            <w:pPr>
              <w:spacing w:after="0" w:line="240" w:lineRule="auto"/>
              <w:jc w:val="center"/>
              <w:rPr>
                <w:rFonts w:eastAsia="Times New Roman" w:cs="Times New Roman"/>
                <w:b/>
                <w:bCs/>
                <w:color w:val="000000"/>
                <w:sz w:val="18"/>
                <w:szCs w:val="18"/>
                <w:lang w:eastAsia="sk-SK"/>
              </w:rPr>
            </w:pPr>
            <w:r>
              <w:rPr>
                <w:rFonts w:eastAsia="Times New Roman" w:cs="Times New Roman"/>
                <w:b/>
                <w:bCs/>
                <w:color w:val="000000"/>
                <w:sz w:val="18"/>
                <w:szCs w:val="18"/>
                <w:lang w:eastAsia="sk-SK"/>
              </w:rPr>
              <w:t>2022</w:t>
            </w:r>
            <w:r w:rsidRPr="00D97CA6">
              <w:rPr>
                <w:rFonts w:eastAsia="Times New Roman" w:cs="Times New Roman"/>
                <w:b/>
                <w:bCs/>
                <w:color w:val="000000"/>
                <w:sz w:val="18"/>
                <w:szCs w:val="18"/>
                <w:lang w:eastAsia="sk-SK"/>
              </w:rPr>
              <w:t xml:space="preserve"> R</w:t>
            </w:r>
          </w:p>
        </w:tc>
        <w:tc>
          <w:tcPr>
            <w:tcW w:w="1020" w:type="dxa"/>
            <w:tcBorders>
              <w:top w:val="single" w:sz="4" w:space="0" w:color="auto"/>
              <w:left w:val="nil"/>
              <w:bottom w:val="nil"/>
              <w:right w:val="nil"/>
            </w:tcBorders>
            <w:shd w:val="clear" w:color="000000" w:fill="FFFFFF"/>
            <w:noWrap/>
            <w:vAlign w:val="center"/>
            <w:hideMark/>
          </w:tcPr>
          <w:p w14:paraId="1E7A777B" w14:textId="519C56AA" w:rsidR="00EC5F2E" w:rsidRPr="00D97CA6" w:rsidRDefault="00EC5F2E" w:rsidP="00CE362A">
            <w:pPr>
              <w:spacing w:after="0" w:line="240" w:lineRule="auto"/>
              <w:jc w:val="center"/>
              <w:rPr>
                <w:rFonts w:eastAsia="Times New Roman" w:cs="Times New Roman"/>
                <w:b/>
                <w:bCs/>
                <w:color w:val="000000"/>
                <w:sz w:val="18"/>
                <w:szCs w:val="18"/>
                <w:lang w:eastAsia="sk-SK"/>
              </w:rPr>
            </w:pPr>
            <w:r>
              <w:rPr>
                <w:rFonts w:eastAsia="Times New Roman" w:cs="Times New Roman"/>
                <w:b/>
                <w:bCs/>
                <w:color w:val="000000"/>
                <w:sz w:val="18"/>
                <w:szCs w:val="18"/>
                <w:lang w:eastAsia="sk-SK"/>
              </w:rPr>
              <w:t>2022</w:t>
            </w:r>
            <w:r w:rsidRPr="00D97CA6">
              <w:rPr>
                <w:rFonts w:eastAsia="Times New Roman" w:cs="Times New Roman"/>
                <w:b/>
                <w:bCs/>
                <w:color w:val="000000"/>
                <w:sz w:val="18"/>
                <w:szCs w:val="18"/>
                <w:lang w:eastAsia="sk-SK"/>
              </w:rPr>
              <w:t xml:space="preserve"> S</w:t>
            </w:r>
          </w:p>
        </w:tc>
        <w:tc>
          <w:tcPr>
            <w:tcW w:w="983" w:type="dxa"/>
            <w:tcBorders>
              <w:top w:val="single" w:sz="4" w:space="0" w:color="auto"/>
              <w:left w:val="nil"/>
              <w:bottom w:val="nil"/>
              <w:right w:val="nil"/>
            </w:tcBorders>
            <w:shd w:val="clear" w:color="000000" w:fill="FFFFFF"/>
            <w:noWrap/>
            <w:vAlign w:val="center"/>
            <w:hideMark/>
          </w:tcPr>
          <w:p w14:paraId="5B466A45" w14:textId="77777777" w:rsidR="00EC5F2E" w:rsidRPr="00D97CA6" w:rsidRDefault="00EC5F2E" w:rsidP="00CE362A">
            <w:pPr>
              <w:spacing w:after="0" w:line="240" w:lineRule="auto"/>
              <w:jc w:val="center"/>
              <w:rPr>
                <w:rFonts w:eastAsia="Times New Roman" w:cs="Times New Roman"/>
                <w:b/>
                <w:bCs/>
                <w:color w:val="000000"/>
                <w:sz w:val="18"/>
                <w:szCs w:val="18"/>
                <w:lang w:eastAsia="sk-SK"/>
              </w:rPr>
            </w:pPr>
            <w:r>
              <w:rPr>
                <w:rFonts w:eastAsia="Times New Roman" w:cs="Times New Roman"/>
                <w:b/>
                <w:bCs/>
                <w:color w:val="000000"/>
                <w:sz w:val="18"/>
                <w:szCs w:val="18"/>
                <w:lang w:eastAsia="sk-SK"/>
              </w:rPr>
              <w:t>Rozdiel</w:t>
            </w:r>
          </w:p>
        </w:tc>
        <w:tc>
          <w:tcPr>
            <w:tcW w:w="627" w:type="dxa"/>
            <w:tcBorders>
              <w:top w:val="single" w:sz="4" w:space="0" w:color="auto"/>
              <w:left w:val="nil"/>
              <w:bottom w:val="nil"/>
              <w:right w:val="nil"/>
            </w:tcBorders>
            <w:shd w:val="clear" w:color="000000" w:fill="FFFFFF"/>
            <w:noWrap/>
            <w:vAlign w:val="center"/>
            <w:hideMark/>
          </w:tcPr>
          <w:p w14:paraId="3767C8EF" w14:textId="77777777" w:rsidR="00EC5F2E" w:rsidRPr="00D97CA6" w:rsidRDefault="00EC5F2E" w:rsidP="00CE362A">
            <w:pPr>
              <w:spacing w:after="0" w:line="240" w:lineRule="auto"/>
              <w:jc w:val="center"/>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v %</w:t>
            </w:r>
          </w:p>
        </w:tc>
      </w:tr>
      <w:tr w:rsidR="00EC5F2E" w:rsidRPr="00D97CA6" w14:paraId="70A5C49E" w14:textId="77777777" w:rsidTr="006D2695">
        <w:trPr>
          <w:trHeight w:val="289"/>
        </w:trPr>
        <w:tc>
          <w:tcPr>
            <w:tcW w:w="3524" w:type="dxa"/>
            <w:vMerge/>
            <w:tcBorders>
              <w:left w:val="nil"/>
              <w:bottom w:val="single" w:sz="4" w:space="0" w:color="auto"/>
              <w:right w:val="nil"/>
            </w:tcBorders>
            <w:shd w:val="clear" w:color="000000" w:fill="FFFFFF"/>
            <w:vAlign w:val="center"/>
            <w:hideMark/>
          </w:tcPr>
          <w:p w14:paraId="0D4AE8E3" w14:textId="77777777" w:rsidR="00EC5F2E" w:rsidRPr="00D97CA6" w:rsidRDefault="00EC5F2E" w:rsidP="00CE362A">
            <w:pPr>
              <w:spacing w:after="0" w:line="240" w:lineRule="auto"/>
              <w:jc w:val="left"/>
              <w:rPr>
                <w:rFonts w:eastAsia="Times New Roman" w:cs="Times New Roman"/>
                <w:b/>
                <w:bCs/>
                <w:color w:val="000000"/>
                <w:sz w:val="18"/>
                <w:szCs w:val="18"/>
                <w:lang w:eastAsia="sk-SK"/>
              </w:rPr>
            </w:pPr>
          </w:p>
        </w:tc>
        <w:tc>
          <w:tcPr>
            <w:tcW w:w="1020" w:type="dxa"/>
            <w:tcBorders>
              <w:top w:val="nil"/>
              <w:left w:val="nil"/>
              <w:bottom w:val="single" w:sz="4" w:space="0" w:color="auto"/>
              <w:right w:val="nil"/>
            </w:tcBorders>
            <w:shd w:val="clear" w:color="000000" w:fill="FFFFFF"/>
            <w:noWrap/>
            <w:vAlign w:val="center"/>
            <w:hideMark/>
          </w:tcPr>
          <w:p w14:paraId="0DD515C0" w14:textId="77777777" w:rsidR="00EC5F2E" w:rsidRPr="00D97CA6" w:rsidRDefault="00EC5F2E" w:rsidP="00CE362A">
            <w:pPr>
              <w:spacing w:after="0" w:line="240" w:lineRule="auto"/>
              <w:jc w:val="center"/>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1</w:t>
            </w:r>
          </w:p>
        </w:tc>
        <w:tc>
          <w:tcPr>
            <w:tcW w:w="1020" w:type="dxa"/>
            <w:tcBorders>
              <w:top w:val="nil"/>
              <w:left w:val="nil"/>
              <w:bottom w:val="single" w:sz="4" w:space="0" w:color="auto"/>
              <w:right w:val="nil"/>
            </w:tcBorders>
            <w:shd w:val="clear" w:color="000000" w:fill="FFFFFF"/>
            <w:noWrap/>
            <w:vAlign w:val="center"/>
            <w:hideMark/>
          </w:tcPr>
          <w:p w14:paraId="42B00C97" w14:textId="77777777" w:rsidR="00EC5F2E" w:rsidRPr="00D97CA6" w:rsidRDefault="00EC5F2E" w:rsidP="00CE362A">
            <w:pPr>
              <w:spacing w:after="0" w:line="240" w:lineRule="auto"/>
              <w:jc w:val="center"/>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2</w:t>
            </w:r>
          </w:p>
        </w:tc>
        <w:tc>
          <w:tcPr>
            <w:tcW w:w="1020" w:type="dxa"/>
            <w:tcBorders>
              <w:top w:val="nil"/>
              <w:left w:val="nil"/>
              <w:bottom w:val="single" w:sz="4" w:space="0" w:color="auto"/>
              <w:right w:val="nil"/>
            </w:tcBorders>
            <w:shd w:val="clear" w:color="000000" w:fill="FFFFFF"/>
            <w:noWrap/>
            <w:vAlign w:val="center"/>
            <w:hideMark/>
          </w:tcPr>
          <w:p w14:paraId="76DFCC47" w14:textId="77777777" w:rsidR="00EC5F2E" w:rsidRPr="00D97CA6" w:rsidRDefault="00EC5F2E" w:rsidP="00CE362A">
            <w:pPr>
              <w:spacing w:after="0" w:line="240" w:lineRule="auto"/>
              <w:jc w:val="center"/>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3</w:t>
            </w:r>
          </w:p>
        </w:tc>
        <w:tc>
          <w:tcPr>
            <w:tcW w:w="1020" w:type="dxa"/>
            <w:tcBorders>
              <w:top w:val="nil"/>
              <w:left w:val="nil"/>
              <w:bottom w:val="single" w:sz="4" w:space="0" w:color="auto"/>
              <w:right w:val="nil"/>
            </w:tcBorders>
            <w:shd w:val="clear" w:color="000000" w:fill="FFFFFF"/>
            <w:noWrap/>
            <w:vAlign w:val="center"/>
            <w:hideMark/>
          </w:tcPr>
          <w:p w14:paraId="02ACAE51" w14:textId="77777777" w:rsidR="00EC5F2E" w:rsidRPr="00D97CA6" w:rsidRDefault="00EC5F2E" w:rsidP="00CE362A">
            <w:pPr>
              <w:spacing w:after="0" w:line="240" w:lineRule="auto"/>
              <w:jc w:val="center"/>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4</w:t>
            </w:r>
          </w:p>
        </w:tc>
        <w:tc>
          <w:tcPr>
            <w:tcW w:w="983" w:type="dxa"/>
            <w:tcBorders>
              <w:top w:val="nil"/>
              <w:left w:val="nil"/>
              <w:bottom w:val="single" w:sz="4" w:space="0" w:color="auto"/>
              <w:right w:val="nil"/>
            </w:tcBorders>
            <w:shd w:val="clear" w:color="000000" w:fill="FFFFFF"/>
            <w:noWrap/>
            <w:vAlign w:val="center"/>
            <w:hideMark/>
          </w:tcPr>
          <w:p w14:paraId="35A809E8" w14:textId="77777777" w:rsidR="00EC5F2E" w:rsidRPr="00D97CA6" w:rsidRDefault="00EC5F2E" w:rsidP="00CE362A">
            <w:pPr>
              <w:spacing w:after="0" w:line="240" w:lineRule="auto"/>
              <w:jc w:val="center"/>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5=4-3</w:t>
            </w:r>
          </w:p>
        </w:tc>
        <w:tc>
          <w:tcPr>
            <w:tcW w:w="627" w:type="dxa"/>
            <w:tcBorders>
              <w:top w:val="nil"/>
              <w:left w:val="nil"/>
              <w:bottom w:val="single" w:sz="4" w:space="0" w:color="auto"/>
              <w:right w:val="nil"/>
            </w:tcBorders>
            <w:shd w:val="clear" w:color="000000" w:fill="FFFFFF"/>
            <w:noWrap/>
            <w:vAlign w:val="center"/>
            <w:hideMark/>
          </w:tcPr>
          <w:p w14:paraId="0A90D0C5" w14:textId="77777777" w:rsidR="00EC5F2E" w:rsidRPr="00D97CA6" w:rsidRDefault="00EC5F2E" w:rsidP="00CE362A">
            <w:pPr>
              <w:spacing w:after="0" w:line="240" w:lineRule="auto"/>
              <w:jc w:val="center"/>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6=4-3</w:t>
            </w:r>
          </w:p>
        </w:tc>
      </w:tr>
      <w:tr w:rsidR="00EC5F2E" w:rsidRPr="00D97CA6" w14:paraId="4CAFF52A" w14:textId="77777777" w:rsidTr="006D2695">
        <w:trPr>
          <w:trHeight w:val="289"/>
        </w:trPr>
        <w:tc>
          <w:tcPr>
            <w:tcW w:w="3524" w:type="dxa"/>
            <w:tcBorders>
              <w:top w:val="nil"/>
              <w:left w:val="nil"/>
              <w:bottom w:val="nil"/>
              <w:right w:val="nil"/>
            </w:tcBorders>
            <w:shd w:val="clear" w:color="auto" w:fill="auto"/>
            <w:vAlign w:val="center"/>
            <w:hideMark/>
          </w:tcPr>
          <w:p w14:paraId="2274E44D" w14:textId="77777777" w:rsidR="00EC5F2E" w:rsidRPr="00D97CA6" w:rsidRDefault="00EC5F2E" w:rsidP="00CE362A">
            <w:pPr>
              <w:spacing w:after="0" w:line="240" w:lineRule="auto"/>
              <w:jc w:val="left"/>
              <w:rPr>
                <w:rFonts w:eastAsia="Times New Roman" w:cs="Times New Roman"/>
                <w:color w:val="000000"/>
                <w:sz w:val="18"/>
                <w:szCs w:val="18"/>
                <w:lang w:eastAsia="sk-SK"/>
              </w:rPr>
            </w:pPr>
            <w:r w:rsidRPr="00D97CA6">
              <w:rPr>
                <w:rFonts w:eastAsia="Times New Roman" w:cs="Times New Roman"/>
                <w:color w:val="000000"/>
                <w:sz w:val="18"/>
                <w:szCs w:val="18"/>
                <w:lang w:eastAsia="sk-SK"/>
              </w:rPr>
              <w:t>Mzdy, platy, služobné príjmy a ostatné osobné vyrovnania</w:t>
            </w:r>
          </w:p>
        </w:tc>
        <w:tc>
          <w:tcPr>
            <w:tcW w:w="1020" w:type="dxa"/>
            <w:tcBorders>
              <w:top w:val="nil"/>
              <w:left w:val="nil"/>
              <w:bottom w:val="nil"/>
              <w:right w:val="nil"/>
            </w:tcBorders>
            <w:shd w:val="clear" w:color="auto" w:fill="auto"/>
            <w:noWrap/>
            <w:vAlign w:val="center"/>
            <w:hideMark/>
          </w:tcPr>
          <w:p w14:paraId="79671E08"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2 573 842</w:t>
            </w:r>
          </w:p>
        </w:tc>
        <w:tc>
          <w:tcPr>
            <w:tcW w:w="1020" w:type="dxa"/>
            <w:tcBorders>
              <w:top w:val="nil"/>
              <w:left w:val="nil"/>
              <w:bottom w:val="nil"/>
              <w:right w:val="nil"/>
            </w:tcBorders>
            <w:shd w:val="clear" w:color="000000" w:fill="FFFFFF"/>
            <w:noWrap/>
            <w:vAlign w:val="center"/>
            <w:hideMark/>
          </w:tcPr>
          <w:p w14:paraId="03F824BA"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2 624 189</w:t>
            </w:r>
          </w:p>
        </w:tc>
        <w:tc>
          <w:tcPr>
            <w:tcW w:w="1020" w:type="dxa"/>
            <w:tcBorders>
              <w:top w:val="nil"/>
              <w:left w:val="nil"/>
              <w:bottom w:val="nil"/>
              <w:right w:val="nil"/>
            </w:tcBorders>
            <w:shd w:val="clear" w:color="auto" w:fill="auto"/>
            <w:noWrap/>
            <w:vAlign w:val="center"/>
            <w:hideMark/>
          </w:tcPr>
          <w:p w14:paraId="61A5A4F2"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2 632 891</w:t>
            </w:r>
          </w:p>
        </w:tc>
        <w:tc>
          <w:tcPr>
            <w:tcW w:w="1020" w:type="dxa"/>
            <w:tcBorders>
              <w:top w:val="nil"/>
              <w:left w:val="nil"/>
              <w:bottom w:val="nil"/>
              <w:right w:val="nil"/>
            </w:tcBorders>
            <w:shd w:val="clear" w:color="000000" w:fill="FFFFFF"/>
            <w:noWrap/>
            <w:vAlign w:val="center"/>
            <w:hideMark/>
          </w:tcPr>
          <w:p w14:paraId="2AB5CCA7"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D97CA6">
              <w:rPr>
                <w:rFonts w:eastAsia="Times New Roman" w:cs="Times New Roman"/>
                <w:color w:val="000000"/>
                <w:sz w:val="18"/>
                <w:szCs w:val="18"/>
                <w:lang w:eastAsia="sk-SK"/>
              </w:rPr>
              <w:t>2 624 189</w:t>
            </w:r>
          </w:p>
        </w:tc>
        <w:tc>
          <w:tcPr>
            <w:tcW w:w="983" w:type="dxa"/>
            <w:tcBorders>
              <w:top w:val="nil"/>
              <w:left w:val="nil"/>
              <w:bottom w:val="nil"/>
              <w:right w:val="nil"/>
            </w:tcBorders>
            <w:shd w:val="clear" w:color="auto" w:fill="auto"/>
            <w:noWrap/>
            <w:vAlign w:val="center"/>
            <w:hideMark/>
          </w:tcPr>
          <w:p w14:paraId="1B78FC5C"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68 553</w:t>
            </w:r>
          </w:p>
        </w:tc>
        <w:tc>
          <w:tcPr>
            <w:tcW w:w="627" w:type="dxa"/>
            <w:tcBorders>
              <w:top w:val="nil"/>
              <w:left w:val="nil"/>
              <w:bottom w:val="nil"/>
              <w:right w:val="nil"/>
            </w:tcBorders>
            <w:shd w:val="clear" w:color="auto" w:fill="auto"/>
            <w:noWrap/>
            <w:vAlign w:val="center"/>
            <w:hideMark/>
          </w:tcPr>
          <w:p w14:paraId="0B761929"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2,6</w:t>
            </w:r>
          </w:p>
        </w:tc>
      </w:tr>
      <w:tr w:rsidR="00EC5F2E" w:rsidRPr="00D97CA6" w14:paraId="624B43CB" w14:textId="77777777" w:rsidTr="006D2695">
        <w:trPr>
          <w:trHeight w:val="289"/>
        </w:trPr>
        <w:tc>
          <w:tcPr>
            <w:tcW w:w="3524" w:type="dxa"/>
            <w:tcBorders>
              <w:top w:val="nil"/>
              <w:left w:val="nil"/>
              <w:bottom w:val="nil"/>
              <w:right w:val="nil"/>
            </w:tcBorders>
            <w:shd w:val="clear" w:color="auto" w:fill="auto"/>
            <w:vAlign w:val="center"/>
            <w:hideMark/>
          </w:tcPr>
          <w:p w14:paraId="155D19BD" w14:textId="77777777" w:rsidR="00EC5F2E" w:rsidRPr="00D97CA6" w:rsidRDefault="00EC5F2E" w:rsidP="00CE362A">
            <w:pPr>
              <w:spacing w:after="0" w:line="240" w:lineRule="auto"/>
              <w:jc w:val="left"/>
              <w:rPr>
                <w:rFonts w:eastAsia="Times New Roman" w:cs="Times New Roman"/>
                <w:color w:val="000000"/>
                <w:sz w:val="18"/>
                <w:szCs w:val="18"/>
                <w:lang w:eastAsia="sk-SK"/>
              </w:rPr>
            </w:pPr>
            <w:r w:rsidRPr="00D97CA6">
              <w:rPr>
                <w:rFonts w:eastAsia="Times New Roman" w:cs="Times New Roman"/>
                <w:color w:val="000000"/>
                <w:sz w:val="18"/>
                <w:szCs w:val="18"/>
                <w:lang w:eastAsia="sk-SK"/>
              </w:rPr>
              <w:t>Poistné a príspevok do poisťovní</w:t>
            </w:r>
          </w:p>
        </w:tc>
        <w:tc>
          <w:tcPr>
            <w:tcW w:w="1020" w:type="dxa"/>
            <w:tcBorders>
              <w:top w:val="nil"/>
              <w:left w:val="nil"/>
              <w:bottom w:val="nil"/>
              <w:right w:val="nil"/>
            </w:tcBorders>
            <w:shd w:val="clear" w:color="auto" w:fill="auto"/>
            <w:noWrap/>
            <w:vAlign w:val="center"/>
            <w:hideMark/>
          </w:tcPr>
          <w:p w14:paraId="2FB11418"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928 542</w:t>
            </w:r>
          </w:p>
        </w:tc>
        <w:tc>
          <w:tcPr>
            <w:tcW w:w="1020" w:type="dxa"/>
            <w:tcBorders>
              <w:top w:val="nil"/>
              <w:left w:val="nil"/>
              <w:bottom w:val="nil"/>
              <w:right w:val="nil"/>
            </w:tcBorders>
            <w:shd w:val="clear" w:color="000000" w:fill="FFFFFF"/>
            <w:noWrap/>
            <w:vAlign w:val="center"/>
            <w:hideMark/>
          </w:tcPr>
          <w:p w14:paraId="375CAB8B"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953 726</w:t>
            </w:r>
          </w:p>
        </w:tc>
        <w:tc>
          <w:tcPr>
            <w:tcW w:w="1020" w:type="dxa"/>
            <w:tcBorders>
              <w:top w:val="nil"/>
              <w:left w:val="nil"/>
              <w:bottom w:val="nil"/>
              <w:right w:val="nil"/>
            </w:tcBorders>
            <w:shd w:val="clear" w:color="auto" w:fill="auto"/>
            <w:noWrap/>
            <w:vAlign w:val="center"/>
            <w:hideMark/>
          </w:tcPr>
          <w:p w14:paraId="792DD0A1"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930 989</w:t>
            </w:r>
          </w:p>
        </w:tc>
        <w:tc>
          <w:tcPr>
            <w:tcW w:w="1020" w:type="dxa"/>
            <w:tcBorders>
              <w:top w:val="nil"/>
              <w:left w:val="nil"/>
              <w:bottom w:val="nil"/>
              <w:right w:val="nil"/>
            </w:tcBorders>
            <w:shd w:val="clear" w:color="000000" w:fill="FFFFFF"/>
            <w:noWrap/>
            <w:vAlign w:val="center"/>
            <w:hideMark/>
          </w:tcPr>
          <w:p w14:paraId="6DA9A839"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D97CA6">
              <w:rPr>
                <w:rFonts w:eastAsia="Times New Roman" w:cs="Times New Roman"/>
                <w:color w:val="000000"/>
                <w:sz w:val="18"/>
                <w:szCs w:val="18"/>
                <w:lang w:eastAsia="sk-SK"/>
              </w:rPr>
              <w:t>953 726</w:t>
            </w:r>
          </w:p>
        </w:tc>
        <w:tc>
          <w:tcPr>
            <w:tcW w:w="983" w:type="dxa"/>
            <w:tcBorders>
              <w:top w:val="nil"/>
              <w:left w:val="nil"/>
              <w:bottom w:val="nil"/>
              <w:right w:val="nil"/>
            </w:tcBorders>
            <w:shd w:val="clear" w:color="auto" w:fill="auto"/>
            <w:noWrap/>
            <w:vAlign w:val="center"/>
            <w:hideMark/>
          </w:tcPr>
          <w:p w14:paraId="20A776BD"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51 405</w:t>
            </w:r>
          </w:p>
        </w:tc>
        <w:tc>
          <w:tcPr>
            <w:tcW w:w="627" w:type="dxa"/>
            <w:tcBorders>
              <w:top w:val="nil"/>
              <w:left w:val="nil"/>
              <w:bottom w:val="nil"/>
              <w:right w:val="nil"/>
            </w:tcBorders>
            <w:shd w:val="clear" w:color="auto" w:fill="auto"/>
            <w:noWrap/>
            <w:vAlign w:val="center"/>
            <w:hideMark/>
          </w:tcPr>
          <w:p w14:paraId="5382F704"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5,5</w:t>
            </w:r>
          </w:p>
        </w:tc>
      </w:tr>
      <w:tr w:rsidR="00EC5F2E" w:rsidRPr="00D97CA6" w14:paraId="2B9AC992" w14:textId="77777777" w:rsidTr="006D2695">
        <w:trPr>
          <w:trHeight w:val="289"/>
        </w:trPr>
        <w:tc>
          <w:tcPr>
            <w:tcW w:w="3524" w:type="dxa"/>
            <w:tcBorders>
              <w:top w:val="nil"/>
              <w:left w:val="nil"/>
              <w:bottom w:val="nil"/>
              <w:right w:val="nil"/>
            </w:tcBorders>
            <w:shd w:val="clear" w:color="auto" w:fill="auto"/>
            <w:vAlign w:val="center"/>
            <w:hideMark/>
          </w:tcPr>
          <w:p w14:paraId="7C74BFCC" w14:textId="77777777" w:rsidR="00EC5F2E" w:rsidRPr="00D97CA6" w:rsidRDefault="00EC5F2E" w:rsidP="00CE362A">
            <w:pPr>
              <w:spacing w:after="0" w:line="240" w:lineRule="auto"/>
              <w:jc w:val="left"/>
              <w:rPr>
                <w:rFonts w:eastAsia="Times New Roman" w:cs="Times New Roman"/>
                <w:color w:val="000000"/>
                <w:sz w:val="18"/>
                <w:szCs w:val="18"/>
                <w:lang w:eastAsia="sk-SK"/>
              </w:rPr>
            </w:pPr>
            <w:r w:rsidRPr="00D97CA6">
              <w:rPr>
                <w:rFonts w:eastAsia="Times New Roman" w:cs="Times New Roman"/>
                <w:color w:val="000000"/>
                <w:sz w:val="18"/>
                <w:szCs w:val="18"/>
                <w:lang w:eastAsia="sk-SK"/>
              </w:rPr>
              <w:t>Tovary a služby</w:t>
            </w:r>
          </w:p>
        </w:tc>
        <w:tc>
          <w:tcPr>
            <w:tcW w:w="1020" w:type="dxa"/>
            <w:tcBorders>
              <w:top w:val="nil"/>
              <w:left w:val="nil"/>
              <w:bottom w:val="nil"/>
              <w:right w:val="nil"/>
            </w:tcBorders>
            <w:shd w:val="clear" w:color="auto" w:fill="auto"/>
            <w:noWrap/>
            <w:vAlign w:val="center"/>
            <w:hideMark/>
          </w:tcPr>
          <w:p w14:paraId="25EEFB62"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2 267 098</w:t>
            </w:r>
          </w:p>
        </w:tc>
        <w:tc>
          <w:tcPr>
            <w:tcW w:w="1020" w:type="dxa"/>
            <w:tcBorders>
              <w:top w:val="nil"/>
              <w:left w:val="nil"/>
              <w:bottom w:val="nil"/>
              <w:right w:val="nil"/>
            </w:tcBorders>
            <w:shd w:val="clear" w:color="000000" w:fill="FFFFFF"/>
            <w:noWrap/>
            <w:vAlign w:val="center"/>
            <w:hideMark/>
          </w:tcPr>
          <w:p w14:paraId="5C2EA542"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2 358 055</w:t>
            </w:r>
          </w:p>
        </w:tc>
        <w:tc>
          <w:tcPr>
            <w:tcW w:w="1020" w:type="dxa"/>
            <w:tcBorders>
              <w:top w:val="nil"/>
              <w:left w:val="nil"/>
              <w:bottom w:val="nil"/>
              <w:right w:val="nil"/>
            </w:tcBorders>
            <w:shd w:val="clear" w:color="auto" w:fill="auto"/>
            <w:noWrap/>
            <w:vAlign w:val="center"/>
            <w:hideMark/>
          </w:tcPr>
          <w:p w14:paraId="0486B9D6"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5 899 854</w:t>
            </w:r>
          </w:p>
        </w:tc>
        <w:tc>
          <w:tcPr>
            <w:tcW w:w="1020" w:type="dxa"/>
            <w:tcBorders>
              <w:top w:val="nil"/>
              <w:left w:val="nil"/>
              <w:bottom w:val="nil"/>
              <w:right w:val="nil"/>
            </w:tcBorders>
            <w:shd w:val="clear" w:color="000000" w:fill="FFFFFF"/>
            <w:noWrap/>
            <w:vAlign w:val="center"/>
            <w:hideMark/>
          </w:tcPr>
          <w:p w14:paraId="3F93E696"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D97CA6">
              <w:rPr>
                <w:rFonts w:eastAsia="Times New Roman" w:cs="Times New Roman"/>
                <w:color w:val="000000"/>
                <w:sz w:val="18"/>
                <w:szCs w:val="18"/>
                <w:lang w:eastAsia="sk-SK"/>
              </w:rPr>
              <w:t>2 358 055</w:t>
            </w:r>
          </w:p>
        </w:tc>
        <w:tc>
          <w:tcPr>
            <w:tcW w:w="983" w:type="dxa"/>
            <w:tcBorders>
              <w:top w:val="nil"/>
              <w:left w:val="nil"/>
              <w:bottom w:val="nil"/>
              <w:right w:val="nil"/>
            </w:tcBorders>
            <w:shd w:val="clear" w:color="auto" w:fill="auto"/>
            <w:noWrap/>
            <w:vAlign w:val="center"/>
            <w:hideMark/>
          </w:tcPr>
          <w:p w14:paraId="2801E9E7"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-3 559 199</w:t>
            </w:r>
          </w:p>
        </w:tc>
        <w:tc>
          <w:tcPr>
            <w:tcW w:w="627" w:type="dxa"/>
            <w:tcBorders>
              <w:top w:val="nil"/>
              <w:left w:val="nil"/>
              <w:bottom w:val="nil"/>
              <w:right w:val="nil"/>
            </w:tcBorders>
            <w:shd w:val="clear" w:color="auto" w:fill="auto"/>
            <w:noWrap/>
            <w:vAlign w:val="center"/>
            <w:hideMark/>
          </w:tcPr>
          <w:p w14:paraId="6C76FB7D"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-60,3</w:t>
            </w:r>
          </w:p>
        </w:tc>
      </w:tr>
      <w:tr w:rsidR="00EC5F2E" w:rsidRPr="00D97CA6" w14:paraId="52E5CBFA" w14:textId="77777777" w:rsidTr="006D2695">
        <w:trPr>
          <w:trHeight w:val="289"/>
        </w:trPr>
        <w:tc>
          <w:tcPr>
            <w:tcW w:w="3524" w:type="dxa"/>
            <w:tcBorders>
              <w:top w:val="nil"/>
              <w:left w:val="nil"/>
              <w:bottom w:val="nil"/>
              <w:right w:val="nil"/>
            </w:tcBorders>
            <w:shd w:val="clear" w:color="auto" w:fill="auto"/>
            <w:vAlign w:val="center"/>
            <w:hideMark/>
          </w:tcPr>
          <w:p w14:paraId="6C33B3E3" w14:textId="77777777" w:rsidR="00EC5F2E" w:rsidRPr="00D97CA6" w:rsidRDefault="00EC5F2E" w:rsidP="00CE362A">
            <w:pPr>
              <w:spacing w:after="0" w:line="240" w:lineRule="auto"/>
              <w:jc w:val="left"/>
              <w:rPr>
                <w:rFonts w:eastAsia="Times New Roman" w:cs="Times New Roman"/>
                <w:color w:val="000000"/>
                <w:sz w:val="18"/>
                <w:szCs w:val="18"/>
                <w:lang w:eastAsia="sk-SK"/>
              </w:rPr>
            </w:pPr>
            <w:r w:rsidRPr="00D97CA6">
              <w:rPr>
                <w:rFonts w:eastAsia="Times New Roman" w:cs="Times New Roman"/>
                <w:color w:val="000000"/>
                <w:sz w:val="18"/>
                <w:szCs w:val="18"/>
                <w:lang w:eastAsia="sk-SK"/>
              </w:rPr>
              <w:t>Bežné transfery</w:t>
            </w:r>
          </w:p>
        </w:tc>
        <w:tc>
          <w:tcPr>
            <w:tcW w:w="1020" w:type="dxa"/>
            <w:tcBorders>
              <w:top w:val="nil"/>
              <w:left w:val="nil"/>
              <w:bottom w:val="nil"/>
              <w:right w:val="nil"/>
            </w:tcBorders>
            <w:shd w:val="clear" w:color="000000" w:fill="FFFFFF"/>
            <w:noWrap/>
            <w:vAlign w:val="center"/>
            <w:hideMark/>
          </w:tcPr>
          <w:p w14:paraId="1689011B"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15 076 858</w:t>
            </w:r>
          </w:p>
        </w:tc>
        <w:tc>
          <w:tcPr>
            <w:tcW w:w="1020" w:type="dxa"/>
            <w:tcBorders>
              <w:top w:val="nil"/>
              <w:left w:val="nil"/>
              <w:bottom w:val="nil"/>
              <w:right w:val="nil"/>
            </w:tcBorders>
            <w:shd w:val="clear" w:color="000000" w:fill="FFFFFF"/>
            <w:noWrap/>
            <w:vAlign w:val="center"/>
            <w:hideMark/>
          </w:tcPr>
          <w:p w14:paraId="20FC232E"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15 835 023</w:t>
            </w:r>
          </w:p>
        </w:tc>
        <w:tc>
          <w:tcPr>
            <w:tcW w:w="1020" w:type="dxa"/>
            <w:tcBorders>
              <w:top w:val="nil"/>
              <w:left w:val="nil"/>
              <w:bottom w:val="nil"/>
              <w:right w:val="nil"/>
            </w:tcBorders>
            <w:shd w:val="clear" w:color="auto" w:fill="auto"/>
            <w:noWrap/>
            <w:vAlign w:val="center"/>
            <w:hideMark/>
          </w:tcPr>
          <w:p w14:paraId="03DE624C"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13 367 608</w:t>
            </w:r>
          </w:p>
        </w:tc>
        <w:tc>
          <w:tcPr>
            <w:tcW w:w="1020" w:type="dxa"/>
            <w:tcBorders>
              <w:top w:val="nil"/>
              <w:left w:val="nil"/>
              <w:bottom w:val="nil"/>
              <w:right w:val="nil"/>
            </w:tcBorders>
            <w:shd w:val="clear" w:color="000000" w:fill="FFFFFF"/>
            <w:noWrap/>
            <w:vAlign w:val="center"/>
            <w:hideMark/>
          </w:tcPr>
          <w:p w14:paraId="056DB523"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D97CA6">
              <w:rPr>
                <w:rFonts w:eastAsia="Times New Roman" w:cs="Times New Roman"/>
                <w:color w:val="000000"/>
                <w:sz w:val="18"/>
                <w:szCs w:val="18"/>
                <w:lang w:eastAsia="sk-SK"/>
              </w:rPr>
              <w:t>15 835 023</w:t>
            </w:r>
          </w:p>
        </w:tc>
        <w:tc>
          <w:tcPr>
            <w:tcW w:w="983" w:type="dxa"/>
            <w:tcBorders>
              <w:top w:val="nil"/>
              <w:left w:val="nil"/>
              <w:bottom w:val="nil"/>
              <w:right w:val="nil"/>
            </w:tcBorders>
            <w:shd w:val="clear" w:color="auto" w:fill="auto"/>
            <w:noWrap/>
            <w:vAlign w:val="center"/>
            <w:hideMark/>
          </w:tcPr>
          <w:p w14:paraId="5CCAA3AE"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1 455 179</w:t>
            </w:r>
          </w:p>
        </w:tc>
        <w:tc>
          <w:tcPr>
            <w:tcW w:w="627" w:type="dxa"/>
            <w:tcBorders>
              <w:top w:val="nil"/>
              <w:left w:val="nil"/>
              <w:bottom w:val="nil"/>
              <w:right w:val="nil"/>
            </w:tcBorders>
            <w:shd w:val="clear" w:color="auto" w:fill="auto"/>
            <w:noWrap/>
            <w:vAlign w:val="center"/>
            <w:hideMark/>
          </w:tcPr>
          <w:p w14:paraId="64F62B3E"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10,9</w:t>
            </w:r>
          </w:p>
        </w:tc>
      </w:tr>
      <w:tr w:rsidR="00EC5F2E" w:rsidRPr="00D97CA6" w14:paraId="0D7154AB" w14:textId="77777777" w:rsidTr="006D2695">
        <w:trPr>
          <w:trHeight w:val="289"/>
        </w:trPr>
        <w:tc>
          <w:tcPr>
            <w:tcW w:w="3524" w:type="dxa"/>
            <w:tcBorders>
              <w:top w:val="nil"/>
              <w:left w:val="nil"/>
              <w:bottom w:val="nil"/>
              <w:right w:val="nil"/>
            </w:tcBorders>
            <w:shd w:val="clear" w:color="auto" w:fill="auto"/>
            <w:vAlign w:val="center"/>
            <w:hideMark/>
          </w:tcPr>
          <w:p w14:paraId="54CF2995" w14:textId="77777777" w:rsidR="00EC5F2E" w:rsidRPr="00D97CA6" w:rsidRDefault="00EC5F2E" w:rsidP="00CE362A">
            <w:pPr>
              <w:spacing w:after="0" w:line="240" w:lineRule="auto"/>
              <w:jc w:val="lef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 xml:space="preserve">v tom: </w:t>
            </w:r>
          </w:p>
        </w:tc>
        <w:tc>
          <w:tcPr>
            <w:tcW w:w="1020" w:type="dxa"/>
            <w:tcBorders>
              <w:top w:val="nil"/>
              <w:left w:val="nil"/>
              <w:bottom w:val="nil"/>
              <w:right w:val="nil"/>
            </w:tcBorders>
            <w:shd w:val="clear" w:color="auto" w:fill="auto"/>
            <w:noWrap/>
            <w:vAlign w:val="center"/>
            <w:hideMark/>
          </w:tcPr>
          <w:p w14:paraId="2A7B2B52" w14:textId="77777777" w:rsidR="00EC5F2E" w:rsidRPr="00D97CA6" w:rsidRDefault="00EC5F2E" w:rsidP="00CE362A">
            <w:pPr>
              <w:spacing w:after="0" w:line="240" w:lineRule="auto"/>
              <w:jc w:val="left"/>
              <w:rPr>
                <w:rFonts w:eastAsia="Times New Roman" w:cs="Times New Roman"/>
                <w:i/>
                <w:iCs/>
                <w:color w:val="000000"/>
                <w:sz w:val="18"/>
                <w:szCs w:val="18"/>
                <w:lang w:eastAsia="sk-SK"/>
              </w:rPr>
            </w:pPr>
          </w:p>
        </w:tc>
        <w:tc>
          <w:tcPr>
            <w:tcW w:w="1020" w:type="dxa"/>
            <w:tcBorders>
              <w:top w:val="nil"/>
              <w:left w:val="nil"/>
              <w:bottom w:val="nil"/>
              <w:right w:val="nil"/>
            </w:tcBorders>
            <w:shd w:val="clear" w:color="000000" w:fill="FFFFFF"/>
            <w:noWrap/>
            <w:vAlign w:val="center"/>
            <w:hideMark/>
          </w:tcPr>
          <w:p w14:paraId="5239BBBC" w14:textId="77777777" w:rsidR="00EC5F2E" w:rsidRPr="00D97CA6" w:rsidRDefault="00EC5F2E" w:rsidP="00CE362A">
            <w:pPr>
              <w:spacing w:after="0" w:line="240" w:lineRule="auto"/>
              <w:jc w:val="right"/>
              <w:rPr>
                <w:rFonts w:eastAsia="Times New Roman" w:cs="Times New Roman"/>
                <w:sz w:val="20"/>
                <w:szCs w:val="20"/>
                <w:lang w:eastAsia="sk-SK"/>
              </w:rPr>
            </w:pPr>
            <w:r w:rsidRPr="0006119C">
              <w:rPr>
                <w:rFonts w:eastAsia="Times New Roman" w:cs="Times New Roman"/>
                <w:i/>
                <w:iCs/>
                <w:color w:val="000000"/>
                <w:sz w:val="18"/>
                <w:szCs w:val="18"/>
                <w:lang w:eastAsia="sk-SK"/>
              </w:rPr>
              <w:t xml:space="preserve"> </w:t>
            </w:r>
          </w:p>
        </w:tc>
        <w:tc>
          <w:tcPr>
            <w:tcW w:w="1020" w:type="dxa"/>
            <w:tcBorders>
              <w:top w:val="nil"/>
              <w:left w:val="nil"/>
              <w:bottom w:val="nil"/>
              <w:right w:val="nil"/>
            </w:tcBorders>
            <w:shd w:val="clear" w:color="auto" w:fill="auto"/>
            <w:noWrap/>
            <w:vAlign w:val="center"/>
            <w:hideMark/>
          </w:tcPr>
          <w:p w14:paraId="0BE3F810" w14:textId="77777777" w:rsidR="00EC5F2E" w:rsidRPr="00D97CA6" w:rsidRDefault="00EC5F2E" w:rsidP="00CE362A">
            <w:pPr>
              <w:spacing w:after="0" w:line="240" w:lineRule="auto"/>
              <w:jc w:val="left"/>
              <w:rPr>
                <w:rFonts w:eastAsia="Times New Roman" w:cs="Times New Roman"/>
                <w:color w:val="000000"/>
                <w:sz w:val="20"/>
                <w:szCs w:val="20"/>
                <w:lang w:eastAsia="sk-SK"/>
              </w:rPr>
            </w:pPr>
          </w:p>
        </w:tc>
        <w:tc>
          <w:tcPr>
            <w:tcW w:w="1020" w:type="dxa"/>
            <w:tcBorders>
              <w:top w:val="nil"/>
              <w:left w:val="nil"/>
              <w:bottom w:val="nil"/>
              <w:right w:val="nil"/>
            </w:tcBorders>
            <w:shd w:val="clear" w:color="000000" w:fill="FFFFFF"/>
            <w:noWrap/>
            <w:vAlign w:val="center"/>
            <w:hideMark/>
          </w:tcPr>
          <w:p w14:paraId="43B02C58"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 xml:space="preserve"> </w:t>
            </w:r>
          </w:p>
        </w:tc>
        <w:tc>
          <w:tcPr>
            <w:tcW w:w="983" w:type="dxa"/>
            <w:tcBorders>
              <w:top w:val="nil"/>
              <w:left w:val="nil"/>
              <w:bottom w:val="nil"/>
              <w:right w:val="nil"/>
            </w:tcBorders>
            <w:shd w:val="clear" w:color="auto" w:fill="auto"/>
            <w:noWrap/>
            <w:vAlign w:val="center"/>
            <w:hideMark/>
          </w:tcPr>
          <w:p w14:paraId="58A1FE17"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p>
        </w:tc>
        <w:tc>
          <w:tcPr>
            <w:tcW w:w="627" w:type="dxa"/>
            <w:tcBorders>
              <w:top w:val="nil"/>
              <w:left w:val="nil"/>
              <w:bottom w:val="nil"/>
              <w:right w:val="nil"/>
            </w:tcBorders>
            <w:shd w:val="clear" w:color="auto" w:fill="auto"/>
            <w:noWrap/>
            <w:vAlign w:val="center"/>
            <w:hideMark/>
          </w:tcPr>
          <w:p w14:paraId="599D9531" w14:textId="77777777" w:rsidR="00EC5F2E" w:rsidRPr="00D97CA6" w:rsidRDefault="00EC5F2E" w:rsidP="00CE362A">
            <w:pPr>
              <w:spacing w:after="0" w:line="240" w:lineRule="auto"/>
              <w:jc w:val="right"/>
              <w:rPr>
                <w:rFonts w:eastAsia="Times New Roman" w:cs="Times New Roman"/>
                <w:sz w:val="20"/>
                <w:szCs w:val="20"/>
                <w:lang w:eastAsia="sk-SK"/>
              </w:rPr>
            </w:pPr>
          </w:p>
        </w:tc>
      </w:tr>
      <w:tr w:rsidR="00EC5F2E" w:rsidRPr="00D97CA6" w14:paraId="1723A3DF" w14:textId="77777777" w:rsidTr="006D2695">
        <w:trPr>
          <w:trHeight w:val="289"/>
        </w:trPr>
        <w:tc>
          <w:tcPr>
            <w:tcW w:w="3524" w:type="dxa"/>
            <w:tcBorders>
              <w:top w:val="nil"/>
              <w:left w:val="nil"/>
              <w:bottom w:val="nil"/>
              <w:right w:val="nil"/>
            </w:tcBorders>
            <w:shd w:val="clear" w:color="auto" w:fill="auto"/>
            <w:vAlign w:val="center"/>
            <w:hideMark/>
          </w:tcPr>
          <w:p w14:paraId="4FC9CBC2" w14:textId="77777777" w:rsidR="00EC5F2E" w:rsidRPr="00D97CA6" w:rsidRDefault="00EC5F2E" w:rsidP="00CE362A">
            <w:pPr>
              <w:spacing w:after="0" w:line="240" w:lineRule="auto"/>
              <w:jc w:val="lef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v rámci verejnej správy</w:t>
            </w:r>
          </w:p>
        </w:tc>
        <w:tc>
          <w:tcPr>
            <w:tcW w:w="1020" w:type="dxa"/>
            <w:tcBorders>
              <w:top w:val="nil"/>
              <w:left w:val="nil"/>
              <w:bottom w:val="nil"/>
              <w:right w:val="nil"/>
            </w:tcBorders>
            <w:shd w:val="clear" w:color="auto" w:fill="auto"/>
            <w:noWrap/>
            <w:vAlign w:val="center"/>
            <w:hideMark/>
          </w:tcPr>
          <w:p w14:paraId="0B9AAEB1"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7 534 939</w:t>
            </w:r>
          </w:p>
        </w:tc>
        <w:tc>
          <w:tcPr>
            <w:tcW w:w="1020" w:type="dxa"/>
            <w:tcBorders>
              <w:top w:val="nil"/>
              <w:left w:val="nil"/>
              <w:bottom w:val="nil"/>
              <w:right w:val="nil"/>
            </w:tcBorders>
            <w:shd w:val="clear" w:color="000000" w:fill="FFFFFF"/>
            <w:noWrap/>
            <w:vAlign w:val="center"/>
            <w:hideMark/>
          </w:tcPr>
          <w:p w14:paraId="482C6E47"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6 415 861</w:t>
            </w:r>
          </w:p>
        </w:tc>
        <w:tc>
          <w:tcPr>
            <w:tcW w:w="1020" w:type="dxa"/>
            <w:tcBorders>
              <w:top w:val="nil"/>
              <w:left w:val="nil"/>
              <w:bottom w:val="nil"/>
              <w:right w:val="nil"/>
            </w:tcBorders>
            <w:shd w:val="clear" w:color="auto" w:fill="auto"/>
            <w:noWrap/>
            <w:vAlign w:val="center"/>
            <w:hideMark/>
          </w:tcPr>
          <w:p w14:paraId="6B8F798D"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5 305 822</w:t>
            </w:r>
          </w:p>
        </w:tc>
        <w:tc>
          <w:tcPr>
            <w:tcW w:w="1020" w:type="dxa"/>
            <w:tcBorders>
              <w:top w:val="nil"/>
              <w:left w:val="nil"/>
              <w:bottom w:val="nil"/>
              <w:right w:val="nil"/>
            </w:tcBorders>
            <w:shd w:val="clear" w:color="000000" w:fill="FFFFFF"/>
            <w:noWrap/>
            <w:vAlign w:val="center"/>
            <w:hideMark/>
          </w:tcPr>
          <w:p w14:paraId="7A36F54E"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6 415 861</w:t>
            </w:r>
          </w:p>
        </w:tc>
        <w:tc>
          <w:tcPr>
            <w:tcW w:w="983" w:type="dxa"/>
            <w:tcBorders>
              <w:top w:val="nil"/>
              <w:left w:val="nil"/>
              <w:bottom w:val="nil"/>
              <w:right w:val="nil"/>
            </w:tcBorders>
            <w:shd w:val="clear" w:color="auto" w:fill="auto"/>
            <w:noWrap/>
            <w:vAlign w:val="center"/>
            <w:hideMark/>
          </w:tcPr>
          <w:p w14:paraId="296D9E82"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1 636 274</w:t>
            </w:r>
          </w:p>
        </w:tc>
        <w:tc>
          <w:tcPr>
            <w:tcW w:w="627" w:type="dxa"/>
            <w:tcBorders>
              <w:top w:val="nil"/>
              <w:left w:val="nil"/>
              <w:bottom w:val="nil"/>
              <w:right w:val="nil"/>
            </w:tcBorders>
            <w:shd w:val="clear" w:color="auto" w:fill="auto"/>
            <w:noWrap/>
            <w:vAlign w:val="center"/>
            <w:hideMark/>
          </w:tcPr>
          <w:p w14:paraId="6D66ADBA"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30,8</w:t>
            </w:r>
          </w:p>
        </w:tc>
      </w:tr>
      <w:tr w:rsidR="00EC5F2E" w:rsidRPr="00D97CA6" w14:paraId="4FA44E98" w14:textId="77777777" w:rsidTr="006D2695">
        <w:trPr>
          <w:trHeight w:val="289"/>
        </w:trPr>
        <w:tc>
          <w:tcPr>
            <w:tcW w:w="3524" w:type="dxa"/>
            <w:tcBorders>
              <w:top w:val="nil"/>
              <w:left w:val="nil"/>
              <w:bottom w:val="nil"/>
              <w:right w:val="nil"/>
            </w:tcBorders>
            <w:shd w:val="clear" w:color="auto" w:fill="auto"/>
            <w:vAlign w:val="center"/>
            <w:hideMark/>
          </w:tcPr>
          <w:p w14:paraId="4D5259AF" w14:textId="77777777" w:rsidR="00EC5F2E" w:rsidRPr="00D97CA6" w:rsidRDefault="00EC5F2E" w:rsidP="00CE362A">
            <w:pPr>
              <w:spacing w:after="0" w:line="240" w:lineRule="auto"/>
              <w:jc w:val="lef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jednotlivcom a neziskovým právnickým osobám</w:t>
            </w:r>
          </w:p>
        </w:tc>
        <w:tc>
          <w:tcPr>
            <w:tcW w:w="1020" w:type="dxa"/>
            <w:tcBorders>
              <w:top w:val="nil"/>
              <w:left w:val="nil"/>
              <w:bottom w:val="nil"/>
              <w:right w:val="nil"/>
            </w:tcBorders>
            <w:shd w:val="clear" w:color="auto" w:fill="auto"/>
            <w:noWrap/>
            <w:vAlign w:val="center"/>
            <w:hideMark/>
          </w:tcPr>
          <w:p w14:paraId="6B4766D6"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5 400 185</w:t>
            </w:r>
          </w:p>
        </w:tc>
        <w:tc>
          <w:tcPr>
            <w:tcW w:w="1020" w:type="dxa"/>
            <w:tcBorders>
              <w:top w:val="nil"/>
              <w:left w:val="nil"/>
              <w:bottom w:val="nil"/>
              <w:right w:val="nil"/>
            </w:tcBorders>
            <w:shd w:val="clear" w:color="000000" w:fill="FFFFFF"/>
            <w:noWrap/>
            <w:vAlign w:val="center"/>
            <w:hideMark/>
          </w:tcPr>
          <w:p w14:paraId="2D411EE6"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7 005 182</w:t>
            </w:r>
          </w:p>
        </w:tc>
        <w:tc>
          <w:tcPr>
            <w:tcW w:w="1020" w:type="dxa"/>
            <w:tcBorders>
              <w:top w:val="nil"/>
              <w:left w:val="nil"/>
              <w:bottom w:val="nil"/>
              <w:right w:val="nil"/>
            </w:tcBorders>
            <w:shd w:val="clear" w:color="auto" w:fill="auto"/>
            <w:noWrap/>
            <w:vAlign w:val="center"/>
            <w:hideMark/>
          </w:tcPr>
          <w:p w14:paraId="364B1A79"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5 492 459</w:t>
            </w:r>
          </w:p>
        </w:tc>
        <w:tc>
          <w:tcPr>
            <w:tcW w:w="1020" w:type="dxa"/>
            <w:tcBorders>
              <w:top w:val="nil"/>
              <w:left w:val="nil"/>
              <w:bottom w:val="nil"/>
              <w:right w:val="nil"/>
            </w:tcBorders>
            <w:shd w:val="clear" w:color="000000" w:fill="FFFFFF"/>
            <w:noWrap/>
            <w:vAlign w:val="center"/>
            <w:hideMark/>
          </w:tcPr>
          <w:p w14:paraId="7A436148"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7 005 182</w:t>
            </w:r>
          </w:p>
        </w:tc>
        <w:tc>
          <w:tcPr>
            <w:tcW w:w="983" w:type="dxa"/>
            <w:tcBorders>
              <w:top w:val="nil"/>
              <w:left w:val="nil"/>
              <w:bottom w:val="nil"/>
              <w:right w:val="nil"/>
            </w:tcBorders>
            <w:shd w:val="clear" w:color="auto" w:fill="auto"/>
            <w:noWrap/>
            <w:vAlign w:val="center"/>
            <w:hideMark/>
          </w:tcPr>
          <w:p w14:paraId="05F7F262"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194 965</w:t>
            </w:r>
          </w:p>
        </w:tc>
        <w:tc>
          <w:tcPr>
            <w:tcW w:w="627" w:type="dxa"/>
            <w:tcBorders>
              <w:top w:val="nil"/>
              <w:left w:val="nil"/>
              <w:bottom w:val="nil"/>
              <w:right w:val="nil"/>
            </w:tcBorders>
            <w:shd w:val="clear" w:color="auto" w:fill="auto"/>
            <w:noWrap/>
            <w:vAlign w:val="center"/>
            <w:hideMark/>
          </w:tcPr>
          <w:p w14:paraId="141A4A62"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3,5</w:t>
            </w:r>
          </w:p>
        </w:tc>
      </w:tr>
      <w:tr w:rsidR="00EC5F2E" w:rsidRPr="00D97CA6" w14:paraId="24AD1654" w14:textId="77777777" w:rsidTr="006D2695">
        <w:trPr>
          <w:trHeight w:val="289"/>
        </w:trPr>
        <w:tc>
          <w:tcPr>
            <w:tcW w:w="3524" w:type="dxa"/>
            <w:tcBorders>
              <w:top w:val="nil"/>
              <w:left w:val="nil"/>
              <w:bottom w:val="nil"/>
              <w:right w:val="nil"/>
            </w:tcBorders>
            <w:shd w:val="clear" w:color="auto" w:fill="auto"/>
            <w:vAlign w:val="center"/>
            <w:hideMark/>
          </w:tcPr>
          <w:p w14:paraId="6D67F183" w14:textId="77777777" w:rsidR="00EC5F2E" w:rsidRPr="00D97CA6" w:rsidRDefault="00EC5F2E" w:rsidP="00CE362A">
            <w:pPr>
              <w:spacing w:after="0" w:line="240" w:lineRule="auto"/>
              <w:jc w:val="left"/>
              <w:rPr>
                <w:rFonts w:eastAsia="Times New Roman" w:cs="Times New Roman"/>
                <w:i/>
                <w:iCs/>
                <w:color w:val="000000"/>
                <w:sz w:val="18"/>
                <w:szCs w:val="18"/>
                <w:lang w:eastAsia="sk-SK"/>
              </w:rPr>
            </w:pPr>
            <w:proofErr w:type="spellStart"/>
            <w:r w:rsidRPr="00D97CA6">
              <w:rPr>
                <w:rFonts w:eastAsia="Times New Roman" w:cs="Times New Roman"/>
                <w:i/>
                <w:iCs/>
                <w:color w:val="000000"/>
                <w:sz w:val="18"/>
                <w:szCs w:val="18"/>
                <w:lang w:eastAsia="sk-SK"/>
              </w:rPr>
              <w:t>nefin</w:t>
            </w:r>
            <w:proofErr w:type="spellEnd"/>
            <w:r w:rsidRPr="00D97CA6">
              <w:rPr>
                <w:rFonts w:eastAsia="Times New Roman" w:cs="Times New Roman"/>
                <w:i/>
                <w:iCs/>
                <w:color w:val="000000"/>
                <w:sz w:val="18"/>
                <w:szCs w:val="18"/>
                <w:lang w:eastAsia="sk-SK"/>
              </w:rPr>
              <w:t>. subjektom a transfery PO nezaradeným vo verejnej správe</w:t>
            </w:r>
          </w:p>
        </w:tc>
        <w:tc>
          <w:tcPr>
            <w:tcW w:w="1020" w:type="dxa"/>
            <w:tcBorders>
              <w:top w:val="nil"/>
              <w:left w:val="nil"/>
              <w:bottom w:val="nil"/>
              <w:right w:val="nil"/>
            </w:tcBorders>
            <w:shd w:val="clear" w:color="auto" w:fill="auto"/>
            <w:noWrap/>
            <w:vAlign w:val="center"/>
            <w:hideMark/>
          </w:tcPr>
          <w:p w14:paraId="47A915B1"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1 163 129</w:t>
            </w:r>
          </w:p>
        </w:tc>
        <w:tc>
          <w:tcPr>
            <w:tcW w:w="1020" w:type="dxa"/>
            <w:tcBorders>
              <w:top w:val="nil"/>
              <w:left w:val="nil"/>
              <w:bottom w:val="nil"/>
              <w:right w:val="nil"/>
            </w:tcBorders>
            <w:shd w:val="clear" w:color="000000" w:fill="FFFFFF"/>
            <w:noWrap/>
            <w:vAlign w:val="center"/>
            <w:hideMark/>
          </w:tcPr>
          <w:p w14:paraId="3CB1FEBE"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1 344 028</w:t>
            </w:r>
          </w:p>
        </w:tc>
        <w:tc>
          <w:tcPr>
            <w:tcW w:w="1020" w:type="dxa"/>
            <w:tcBorders>
              <w:top w:val="nil"/>
              <w:left w:val="nil"/>
              <w:bottom w:val="nil"/>
              <w:right w:val="nil"/>
            </w:tcBorders>
            <w:shd w:val="clear" w:color="auto" w:fill="auto"/>
            <w:noWrap/>
            <w:vAlign w:val="center"/>
            <w:hideMark/>
          </w:tcPr>
          <w:p w14:paraId="138697E4"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1 446 110</w:t>
            </w:r>
          </w:p>
        </w:tc>
        <w:tc>
          <w:tcPr>
            <w:tcW w:w="1020" w:type="dxa"/>
            <w:tcBorders>
              <w:top w:val="nil"/>
              <w:left w:val="nil"/>
              <w:bottom w:val="nil"/>
              <w:right w:val="nil"/>
            </w:tcBorders>
            <w:shd w:val="clear" w:color="000000" w:fill="FFFFFF"/>
            <w:noWrap/>
            <w:vAlign w:val="center"/>
            <w:hideMark/>
          </w:tcPr>
          <w:p w14:paraId="2D7DC9A4"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1 344 028</w:t>
            </w:r>
          </w:p>
        </w:tc>
        <w:tc>
          <w:tcPr>
            <w:tcW w:w="983" w:type="dxa"/>
            <w:tcBorders>
              <w:top w:val="nil"/>
              <w:left w:val="nil"/>
              <w:bottom w:val="nil"/>
              <w:right w:val="nil"/>
            </w:tcBorders>
            <w:shd w:val="clear" w:color="auto" w:fill="auto"/>
            <w:noWrap/>
            <w:vAlign w:val="center"/>
            <w:hideMark/>
          </w:tcPr>
          <w:p w14:paraId="4DAD5AD0"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-298 260</w:t>
            </w:r>
          </w:p>
        </w:tc>
        <w:tc>
          <w:tcPr>
            <w:tcW w:w="627" w:type="dxa"/>
            <w:tcBorders>
              <w:top w:val="nil"/>
              <w:left w:val="nil"/>
              <w:bottom w:val="nil"/>
              <w:right w:val="nil"/>
            </w:tcBorders>
            <w:shd w:val="clear" w:color="auto" w:fill="auto"/>
            <w:noWrap/>
            <w:vAlign w:val="center"/>
            <w:hideMark/>
          </w:tcPr>
          <w:p w14:paraId="0E81CD49"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-20,6</w:t>
            </w:r>
          </w:p>
        </w:tc>
      </w:tr>
      <w:tr w:rsidR="00EC5F2E" w:rsidRPr="00D97CA6" w14:paraId="515E61D7" w14:textId="77777777" w:rsidTr="006D2695">
        <w:trPr>
          <w:trHeight w:val="289"/>
        </w:trPr>
        <w:tc>
          <w:tcPr>
            <w:tcW w:w="3524" w:type="dxa"/>
            <w:tcBorders>
              <w:top w:val="nil"/>
              <w:left w:val="nil"/>
              <w:bottom w:val="nil"/>
              <w:right w:val="nil"/>
            </w:tcBorders>
            <w:shd w:val="clear" w:color="auto" w:fill="auto"/>
            <w:vAlign w:val="center"/>
            <w:hideMark/>
          </w:tcPr>
          <w:p w14:paraId="1F3E5FD2" w14:textId="77777777" w:rsidR="00EC5F2E" w:rsidRPr="00D97CA6" w:rsidRDefault="00EC5F2E" w:rsidP="00CE362A">
            <w:pPr>
              <w:spacing w:after="0" w:line="240" w:lineRule="auto"/>
              <w:jc w:val="lef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do tuzemských finančných inštitúcií</w:t>
            </w:r>
          </w:p>
        </w:tc>
        <w:tc>
          <w:tcPr>
            <w:tcW w:w="1020" w:type="dxa"/>
            <w:tcBorders>
              <w:top w:val="nil"/>
              <w:left w:val="nil"/>
              <w:bottom w:val="nil"/>
              <w:right w:val="nil"/>
            </w:tcBorders>
            <w:shd w:val="clear" w:color="auto" w:fill="auto"/>
            <w:noWrap/>
            <w:vAlign w:val="center"/>
            <w:hideMark/>
          </w:tcPr>
          <w:p w14:paraId="36EEC3D2"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1 629</w:t>
            </w:r>
          </w:p>
        </w:tc>
        <w:tc>
          <w:tcPr>
            <w:tcW w:w="1020" w:type="dxa"/>
            <w:tcBorders>
              <w:top w:val="nil"/>
              <w:left w:val="nil"/>
              <w:bottom w:val="nil"/>
              <w:right w:val="nil"/>
            </w:tcBorders>
            <w:shd w:val="clear" w:color="000000" w:fill="FFFFFF"/>
            <w:noWrap/>
            <w:vAlign w:val="center"/>
            <w:hideMark/>
          </w:tcPr>
          <w:p w14:paraId="00DB228A"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3 434</w:t>
            </w:r>
          </w:p>
        </w:tc>
        <w:tc>
          <w:tcPr>
            <w:tcW w:w="1020" w:type="dxa"/>
            <w:tcBorders>
              <w:top w:val="nil"/>
              <w:left w:val="nil"/>
              <w:bottom w:val="nil"/>
              <w:right w:val="nil"/>
            </w:tcBorders>
            <w:shd w:val="clear" w:color="auto" w:fill="auto"/>
            <w:noWrap/>
            <w:vAlign w:val="center"/>
            <w:hideMark/>
          </w:tcPr>
          <w:p w14:paraId="71C8B40A"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5 950</w:t>
            </w:r>
          </w:p>
        </w:tc>
        <w:tc>
          <w:tcPr>
            <w:tcW w:w="1020" w:type="dxa"/>
            <w:tcBorders>
              <w:top w:val="nil"/>
              <w:left w:val="nil"/>
              <w:bottom w:val="nil"/>
              <w:right w:val="nil"/>
            </w:tcBorders>
            <w:shd w:val="clear" w:color="000000" w:fill="FFFFFF"/>
            <w:noWrap/>
            <w:vAlign w:val="center"/>
            <w:hideMark/>
          </w:tcPr>
          <w:p w14:paraId="3BAFCE68"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3 434</w:t>
            </w:r>
          </w:p>
        </w:tc>
        <w:tc>
          <w:tcPr>
            <w:tcW w:w="983" w:type="dxa"/>
            <w:tcBorders>
              <w:top w:val="nil"/>
              <w:left w:val="nil"/>
              <w:bottom w:val="nil"/>
              <w:right w:val="nil"/>
            </w:tcBorders>
            <w:shd w:val="clear" w:color="auto" w:fill="auto"/>
            <w:noWrap/>
            <w:vAlign w:val="center"/>
            <w:hideMark/>
          </w:tcPr>
          <w:p w14:paraId="628E4B03"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10 524</w:t>
            </w:r>
          </w:p>
        </w:tc>
        <w:tc>
          <w:tcPr>
            <w:tcW w:w="627" w:type="dxa"/>
            <w:tcBorders>
              <w:top w:val="nil"/>
              <w:left w:val="nil"/>
              <w:bottom w:val="nil"/>
              <w:right w:val="nil"/>
            </w:tcBorders>
            <w:shd w:val="clear" w:color="auto" w:fill="auto"/>
            <w:noWrap/>
            <w:vAlign w:val="center"/>
            <w:hideMark/>
          </w:tcPr>
          <w:p w14:paraId="07E0AD20"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176,9</w:t>
            </w:r>
          </w:p>
        </w:tc>
      </w:tr>
      <w:tr w:rsidR="00EC5F2E" w:rsidRPr="00D97CA6" w14:paraId="5AECCE7E" w14:textId="77777777" w:rsidTr="006D2695">
        <w:trPr>
          <w:trHeight w:val="289"/>
        </w:trPr>
        <w:tc>
          <w:tcPr>
            <w:tcW w:w="3524" w:type="dxa"/>
            <w:tcBorders>
              <w:top w:val="nil"/>
              <w:left w:val="nil"/>
              <w:bottom w:val="nil"/>
              <w:right w:val="nil"/>
            </w:tcBorders>
            <w:shd w:val="clear" w:color="auto" w:fill="auto"/>
            <w:vAlign w:val="center"/>
            <w:hideMark/>
          </w:tcPr>
          <w:p w14:paraId="2CDC5E4E" w14:textId="77777777" w:rsidR="00EC5F2E" w:rsidRPr="00D97CA6" w:rsidRDefault="00EC5F2E" w:rsidP="00CE362A">
            <w:pPr>
              <w:spacing w:after="0" w:line="240" w:lineRule="auto"/>
              <w:jc w:val="lef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do zahraničia</w:t>
            </w:r>
          </w:p>
        </w:tc>
        <w:tc>
          <w:tcPr>
            <w:tcW w:w="1020" w:type="dxa"/>
            <w:tcBorders>
              <w:top w:val="nil"/>
              <w:left w:val="nil"/>
              <w:bottom w:val="nil"/>
              <w:right w:val="nil"/>
            </w:tcBorders>
            <w:shd w:val="clear" w:color="auto" w:fill="auto"/>
            <w:noWrap/>
            <w:vAlign w:val="center"/>
            <w:hideMark/>
          </w:tcPr>
          <w:p w14:paraId="1D1AB114"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976 976</w:t>
            </w:r>
          </w:p>
        </w:tc>
        <w:tc>
          <w:tcPr>
            <w:tcW w:w="1020" w:type="dxa"/>
            <w:tcBorders>
              <w:top w:val="nil"/>
              <w:left w:val="nil"/>
              <w:bottom w:val="nil"/>
              <w:right w:val="nil"/>
            </w:tcBorders>
            <w:shd w:val="clear" w:color="000000" w:fill="FFFFFF"/>
            <w:noWrap/>
            <w:vAlign w:val="center"/>
            <w:hideMark/>
          </w:tcPr>
          <w:p w14:paraId="2407FE78"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1 066 518</w:t>
            </w:r>
          </w:p>
        </w:tc>
        <w:tc>
          <w:tcPr>
            <w:tcW w:w="1020" w:type="dxa"/>
            <w:tcBorders>
              <w:top w:val="nil"/>
              <w:left w:val="nil"/>
              <w:bottom w:val="nil"/>
              <w:right w:val="nil"/>
            </w:tcBorders>
            <w:shd w:val="clear" w:color="auto" w:fill="auto"/>
            <w:noWrap/>
            <w:vAlign w:val="center"/>
            <w:hideMark/>
          </w:tcPr>
          <w:p w14:paraId="61BA0FE4"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06119C">
              <w:rPr>
                <w:rFonts w:eastAsia="Times New Roman" w:cs="Times New Roman"/>
                <w:i/>
                <w:iCs/>
                <w:color w:val="000000"/>
                <w:sz w:val="18"/>
                <w:szCs w:val="18"/>
                <w:lang w:eastAsia="sk-SK"/>
              </w:rPr>
              <w:t>1 117 267</w:t>
            </w:r>
          </w:p>
        </w:tc>
        <w:tc>
          <w:tcPr>
            <w:tcW w:w="1020" w:type="dxa"/>
            <w:tcBorders>
              <w:top w:val="nil"/>
              <w:left w:val="nil"/>
              <w:bottom w:val="nil"/>
              <w:right w:val="nil"/>
            </w:tcBorders>
            <w:shd w:val="clear" w:color="000000" w:fill="FFFFFF"/>
            <w:noWrap/>
            <w:vAlign w:val="center"/>
            <w:hideMark/>
          </w:tcPr>
          <w:p w14:paraId="3A0096EA" w14:textId="77777777" w:rsidR="00EC5F2E" w:rsidRPr="00D97CA6" w:rsidRDefault="00EC5F2E" w:rsidP="00CE362A">
            <w:pPr>
              <w:spacing w:after="0" w:line="240" w:lineRule="auto"/>
              <w:jc w:val="right"/>
              <w:rPr>
                <w:rFonts w:eastAsia="Times New Roman" w:cs="Times New Roman"/>
                <w:i/>
                <w:iCs/>
                <w:color w:val="000000"/>
                <w:sz w:val="18"/>
                <w:szCs w:val="18"/>
                <w:lang w:eastAsia="sk-SK"/>
              </w:rPr>
            </w:pPr>
            <w:r w:rsidRPr="00D97CA6">
              <w:rPr>
                <w:rFonts w:eastAsia="Times New Roman" w:cs="Times New Roman"/>
                <w:i/>
                <w:iCs/>
                <w:color w:val="000000"/>
                <w:sz w:val="18"/>
                <w:szCs w:val="18"/>
                <w:lang w:eastAsia="sk-SK"/>
              </w:rPr>
              <w:t>1 066 518</w:t>
            </w:r>
          </w:p>
        </w:tc>
        <w:tc>
          <w:tcPr>
            <w:tcW w:w="983" w:type="dxa"/>
            <w:tcBorders>
              <w:top w:val="nil"/>
              <w:left w:val="nil"/>
              <w:bottom w:val="nil"/>
              <w:right w:val="nil"/>
            </w:tcBorders>
            <w:shd w:val="clear" w:color="auto" w:fill="auto"/>
            <w:noWrap/>
            <w:vAlign w:val="center"/>
            <w:hideMark/>
          </w:tcPr>
          <w:p w14:paraId="43AA56DD"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-88 324</w:t>
            </w:r>
          </w:p>
        </w:tc>
        <w:tc>
          <w:tcPr>
            <w:tcW w:w="627" w:type="dxa"/>
            <w:tcBorders>
              <w:top w:val="nil"/>
              <w:left w:val="nil"/>
              <w:bottom w:val="nil"/>
              <w:right w:val="nil"/>
            </w:tcBorders>
            <w:shd w:val="clear" w:color="auto" w:fill="auto"/>
            <w:noWrap/>
            <w:vAlign w:val="center"/>
            <w:hideMark/>
          </w:tcPr>
          <w:p w14:paraId="78D33D8A"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-7,9</w:t>
            </w:r>
          </w:p>
        </w:tc>
      </w:tr>
      <w:tr w:rsidR="00EC5F2E" w:rsidRPr="00D97CA6" w14:paraId="49D2825D" w14:textId="77777777" w:rsidTr="006D2695">
        <w:trPr>
          <w:trHeight w:val="289"/>
        </w:trPr>
        <w:tc>
          <w:tcPr>
            <w:tcW w:w="3524" w:type="dxa"/>
            <w:tcBorders>
              <w:top w:val="nil"/>
              <w:left w:val="nil"/>
              <w:bottom w:val="nil"/>
              <w:right w:val="nil"/>
            </w:tcBorders>
            <w:shd w:val="clear" w:color="auto" w:fill="auto"/>
            <w:vAlign w:val="center"/>
            <w:hideMark/>
          </w:tcPr>
          <w:p w14:paraId="49BA9F40" w14:textId="77777777" w:rsidR="00EC5F2E" w:rsidRPr="00D97CA6" w:rsidRDefault="00EC5F2E" w:rsidP="00CE362A">
            <w:pPr>
              <w:spacing w:after="0" w:line="240" w:lineRule="auto"/>
              <w:jc w:val="left"/>
              <w:rPr>
                <w:rFonts w:eastAsia="Times New Roman" w:cs="Times New Roman"/>
                <w:color w:val="000000"/>
                <w:sz w:val="18"/>
                <w:szCs w:val="18"/>
                <w:lang w:eastAsia="sk-SK"/>
              </w:rPr>
            </w:pPr>
            <w:r w:rsidRPr="00D97CA6">
              <w:rPr>
                <w:rFonts w:eastAsia="Times New Roman" w:cs="Times New Roman"/>
                <w:color w:val="000000"/>
                <w:sz w:val="18"/>
                <w:szCs w:val="18"/>
                <w:lang w:eastAsia="sk-SK"/>
              </w:rPr>
              <w:t>Splácanie úrokov a platby súvisiace s úverom</w:t>
            </w:r>
          </w:p>
        </w:tc>
        <w:tc>
          <w:tcPr>
            <w:tcW w:w="1020" w:type="dxa"/>
            <w:tcBorders>
              <w:top w:val="nil"/>
              <w:left w:val="nil"/>
              <w:bottom w:val="nil"/>
              <w:right w:val="nil"/>
            </w:tcBorders>
            <w:shd w:val="clear" w:color="auto" w:fill="auto"/>
            <w:noWrap/>
            <w:vAlign w:val="center"/>
            <w:hideMark/>
          </w:tcPr>
          <w:p w14:paraId="177C2E2C"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270</w:t>
            </w:r>
          </w:p>
        </w:tc>
        <w:tc>
          <w:tcPr>
            <w:tcW w:w="1020" w:type="dxa"/>
            <w:tcBorders>
              <w:top w:val="nil"/>
              <w:left w:val="nil"/>
              <w:bottom w:val="nil"/>
              <w:right w:val="nil"/>
            </w:tcBorders>
            <w:shd w:val="clear" w:color="000000" w:fill="FFFFFF"/>
            <w:noWrap/>
            <w:vAlign w:val="center"/>
            <w:hideMark/>
          </w:tcPr>
          <w:p w14:paraId="1204123F"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270</w:t>
            </w:r>
          </w:p>
        </w:tc>
        <w:tc>
          <w:tcPr>
            <w:tcW w:w="1020" w:type="dxa"/>
            <w:tcBorders>
              <w:top w:val="nil"/>
              <w:left w:val="nil"/>
              <w:bottom w:val="nil"/>
              <w:right w:val="nil"/>
            </w:tcBorders>
            <w:shd w:val="clear" w:color="auto" w:fill="auto"/>
            <w:noWrap/>
            <w:vAlign w:val="center"/>
            <w:hideMark/>
          </w:tcPr>
          <w:p w14:paraId="413CC092"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270</w:t>
            </w:r>
          </w:p>
        </w:tc>
        <w:tc>
          <w:tcPr>
            <w:tcW w:w="1020" w:type="dxa"/>
            <w:tcBorders>
              <w:top w:val="nil"/>
              <w:left w:val="nil"/>
              <w:bottom w:val="nil"/>
              <w:right w:val="nil"/>
            </w:tcBorders>
            <w:shd w:val="clear" w:color="000000" w:fill="FFFFFF"/>
            <w:noWrap/>
            <w:vAlign w:val="center"/>
            <w:hideMark/>
          </w:tcPr>
          <w:p w14:paraId="52B47808"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D97CA6">
              <w:rPr>
                <w:rFonts w:eastAsia="Times New Roman" w:cs="Times New Roman"/>
                <w:color w:val="000000"/>
                <w:sz w:val="18"/>
                <w:szCs w:val="18"/>
                <w:lang w:eastAsia="sk-SK"/>
              </w:rPr>
              <w:t>270</w:t>
            </w:r>
          </w:p>
        </w:tc>
        <w:tc>
          <w:tcPr>
            <w:tcW w:w="983" w:type="dxa"/>
            <w:tcBorders>
              <w:top w:val="nil"/>
              <w:left w:val="nil"/>
              <w:bottom w:val="nil"/>
              <w:right w:val="nil"/>
            </w:tcBorders>
            <w:shd w:val="clear" w:color="auto" w:fill="auto"/>
            <w:noWrap/>
            <w:vAlign w:val="center"/>
            <w:hideMark/>
          </w:tcPr>
          <w:p w14:paraId="706DA052"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0</w:t>
            </w:r>
          </w:p>
        </w:tc>
        <w:tc>
          <w:tcPr>
            <w:tcW w:w="627" w:type="dxa"/>
            <w:tcBorders>
              <w:top w:val="nil"/>
              <w:left w:val="nil"/>
              <w:bottom w:val="nil"/>
              <w:right w:val="nil"/>
            </w:tcBorders>
            <w:shd w:val="clear" w:color="auto" w:fill="auto"/>
            <w:noWrap/>
            <w:vAlign w:val="center"/>
            <w:hideMark/>
          </w:tcPr>
          <w:p w14:paraId="38AC6CB1" w14:textId="77777777" w:rsidR="00EC5F2E" w:rsidRPr="00D97CA6" w:rsidRDefault="00EC5F2E" w:rsidP="00CE362A">
            <w:pPr>
              <w:spacing w:after="0" w:line="240" w:lineRule="auto"/>
              <w:jc w:val="right"/>
              <w:rPr>
                <w:rFonts w:eastAsia="Times New Roman" w:cs="Times New Roman"/>
                <w:color w:val="000000"/>
                <w:sz w:val="18"/>
                <w:szCs w:val="18"/>
                <w:lang w:eastAsia="sk-SK"/>
              </w:rPr>
            </w:pPr>
            <w:r w:rsidRPr="0006119C">
              <w:rPr>
                <w:rFonts w:eastAsia="Times New Roman" w:cs="Times New Roman"/>
                <w:color w:val="000000"/>
                <w:sz w:val="18"/>
                <w:szCs w:val="18"/>
                <w:lang w:eastAsia="sk-SK"/>
              </w:rPr>
              <w:t>0,0</w:t>
            </w:r>
          </w:p>
        </w:tc>
      </w:tr>
      <w:tr w:rsidR="00EC5F2E" w:rsidRPr="00D97CA6" w14:paraId="76EC8C9C" w14:textId="77777777" w:rsidTr="006D2695">
        <w:trPr>
          <w:trHeight w:val="289"/>
        </w:trPr>
        <w:tc>
          <w:tcPr>
            <w:tcW w:w="3524" w:type="dxa"/>
            <w:tcBorders>
              <w:top w:val="single" w:sz="4" w:space="0" w:color="auto"/>
              <w:left w:val="nil"/>
              <w:bottom w:val="single" w:sz="4" w:space="0" w:color="auto"/>
              <w:right w:val="nil"/>
            </w:tcBorders>
            <w:shd w:val="clear" w:color="auto" w:fill="auto"/>
            <w:vAlign w:val="center"/>
            <w:hideMark/>
          </w:tcPr>
          <w:p w14:paraId="2BE00F3D" w14:textId="77777777" w:rsidR="00EC5F2E" w:rsidRPr="00D97CA6" w:rsidRDefault="00EC5F2E" w:rsidP="00CE362A">
            <w:pPr>
              <w:spacing w:after="0" w:line="240" w:lineRule="auto"/>
              <w:jc w:val="left"/>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Spolu</w:t>
            </w:r>
          </w:p>
        </w:tc>
        <w:tc>
          <w:tcPr>
            <w:tcW w:w="1020" w:type="dxa"/>
            <w:tcBorders>
              <w:top w:val="single" w:sz="4" w:space="0" w:color="auto"/>
              <w:left w:val="nil"/>
              <w:bottom w:val="single" w:sz="4" w:space="0" w:color="auto"/>
              <w:right w:val="nil"/>
            </w:tcBorders>
            <w:shd w:val="clear" w:color="auto" w:fill="auto"/>
            <w:noWrap/>
            <w:vAlign w:val="center"/>
            <w:hideMark/>
          </w:tcPr>
          <w:p w14:paraId="4DB56EC0" w14:textId="77777777" w:rsidR="00EC5F2E" w:rsidRPr="00D97CA6" w:rsidRDefault="00EC5F2E" w:rsidP="00CE362A">
            <w:pPr>
              <w:spacing w:after="0" w:line="240" w:lineRule="auto"/>
              <w:jc w:val="right"/>
              <w:rPr>
                <w:rFonts w:eastAsia="Times New Roman" w:cs="Times New Roman"/>
                <w:b/>
                <w:bCs/>
                <w:color w:val="000000"/>
                <w:sz w:val="18"/>
                <w:szCs w:val="18"/>
                <w:lang w:eastAsia="sk-SK"/>
              </w:rPr>
            </w:pPr>
            <w:r w:rsidRPr="0006119C">
              <w:rPr>
                <w:rFonts w:eastAsia="Times New Roman" w:cs="Times New Roman"/>
                <w:b/>
                <w:bCs/>
                <w:color w:val="000000"/>
                <w:sz w:val="18"/>
                <w:szCs w:val="18"/>
                <w:lang w:eastAsia="sk-SK"/>
              </w:rPr>
              <w:t>20 846 610</w:t>
            </w:r>
          </w:p>
        </w:tc>
        <w:tc>
          <w:tcPr>
            <w:tcW w:w="1020" w:type="dxa"/>
            <w:tcBorders>
              <w:top w:val="single" w:sz="4" w:space="0" w:color="auto"/>
              <w:left w:val="nil"/>
              <w:bottom w:val="single" w:sz="4" w:space="0" w:color="auto"/>
              <w:right w:val="nil"/>
            </w:tcBorders>
            <w:shd w:val="clear" w:color="000000" w:fill="FFFFFF"/>
            <w:noWrap/>
            <w:vAlign w:val="center"/>
            <w:hideMark/>
          </w:tcPr>
          <w:p w14:paraId="4466A28D" w14:textId="77777777" w:rsidR="00EC5F2E" w:rsidRPr="00D97CA6" w:rsidRDefault="00EC5F2E" w:rsidP="00CE362A">
            <w:pPr>
              <w:spacing w:after="0" w:line="240" w:lineRule="auto"/>
              <w:jc w:val="right"/>
              <w:rPr>
                <w:rFonts w:eastAsia="Times New Roman" w:cs="Times New Roman"/>
                <w:b/>
                <w:bCs/>
                <w:color w:val="000000"/>
                <w:sz w:val="18"/>
                <w:szCs w:val="18"/>
                <w:lang w:eastAsia="sk-SK"/>
              </w:rPr>
            </w:pPr>
            <w:r w:rsidRPr="0006119C">
              <w:rPr>
                <w:rFonts w:eastAsia="Times New Roman" w:cs="Times New Roman"/>
                <w:b/>
                <w:bCs/>
                <w:color w:val="000000"/>
                <w:sz w:val="18"/>
                <w:szCs w:val="18"/>
                <w:lang w:eastAsia="sk-SK"/>
              </w:rPr>
              <w:t>21 771 263</w:t>
            </w:r>
          </w:p>
        </w:tc>
        <w:tc>
          <w:tcPr>
            <w:tcW w:w="1020" w:type="dxa"/>
            <w:tcBorders>
              <w:top w:val="single" w:sz="4" w:space="0" w:color="auto"/>
              <w:left w:val="nil"/>
              <w:bottom w:val="single" w:sz="4" w:space="0" w:color="auto"/>
              <w:right w:val="nil"/>
            </w:tcBorders>
            <w:shd w:val="clear" w:color="auto" w:fill="auto"/>
            <w:noWrap/>
            <w:vAlign w:val="center"/>
            <w:hideMark/>
          </w:tcPr>
          <w:p w14:paraId="3076DD28" w14:textId="77777777" w:rsidR="00EC5F2E" w:rsidRPr="00D97CA6" w:rsidRDefault="00EC5F2E" w:rsidP="00CE362A">
            <w:pPr>
              <w:spacing w:after="0" w:line="240" w:lineRule="auto"/>
              <w:jc w:val="right"/>
              <w:rPr>
                <w:rFonts w:eastAsia="Times New Roman" w:cs="Times New Roman"/>
                <w:b/>
                <w:bCs/>
                <w:color w:val="000000"/>
                <w:sz w:val="18"/>
                <w:szCs w:val="18"/>
                <w:lang w:eastAsia="sk-SK"/>
              </w:rPr>
            </w:pPr>
            <w:r w:rsidRPr="0006119C">
              <w:rPr>
                <w:rFonts w:eastAsia="Times New Roman" w:cs="Times New Roman"/>
                <w:b/>
                <w:bCs/>
                <w:color w:val="000000"/>
                <w:sz w:val="18"/>
                <w:szCs w:val="18"/>
                <w:lang w:eastAsia="sk-SK"/>
              </w:rPr>
              <w:t>22 831 612</w:t>
            </w:r>
          </w:p>
        </w:tc>
        <w:tc>
          <w:tcPr>
            <w:tcW w:w="1020" w:type="dxa"/>
            <w:tcBorders>
              <w:top w:val="single" w:sz="4" w:space="0" w:color="auto"/>
              <w:left w:val="nil"/>
              <w:bottom w:val="single" w:sz="4" w:space="0" w:color="auto"/>
              <w:right w:val="nil"/>
            </w:tcBorders>
            <w:shd w:val="clear" w:color="auto" w:fill="auto"/>
            <w:noWrap/>
            <w:vAlign w:val="center"/>
            <w:hideMark/>
          </w:tcPr>
          <w:p w14:paraId="5B0F0A84" w14:textId="77777777" w:rsidR="00EC5F2E" w:rsidRPr="00D97CA6" w:rsidRDefault="00EC5F2E" w:rsidP="00CE362A">
            <w:pPr>
              <w:spacing w:after="0" w:line="240" w:lineRule="auto"/>
              <w:jc w:val="right"/>
              <w:rPr>
                <w:rFonts w:eastAsia="Times New Roman" w:cs="Times New Roman"/>
                <w:b/>
                <w:bCs/>
                <w:color w:val="000000"/>
                <w:sz w:val="18"/>
                <w:szCs w:val="18"/>
                <w:lang w:eastAsia="sk-SK"/>
              </w:rPr>
            </w:pPr>
            <w:r w:rsidRPr="00D97CA6">
              <w:rPr>
                <w:rFonts w:eastAsia="Times New Roman" w:cs="Times New Roman"/>
                <w:b/>
                <w:bCs/>
                <w:color w:val="000000"/>
                <w:sz w:val="18"/>
                <w:szCs w:val="18"/>
                <w:lang w:eastAsia="sk-SK"/>
              </w:rPr>
              <w:t>21 771 263</w:t>
            </w:r>
          </w:p>
        </w:tc>
        <w:tc>
          <w:tcPr>
            <w:tcW w:w="983" w:type="dxa"/>
            <w:tcBorders>
              <w:top w:val="single" w:sz="4" w:space="0" w:color="auto"/>
              <w:left w:val="nil"/>
              <w:bottom w:val="single" w:sz="4" w:space="0" w:color="auto"/>
              <w:right w:val="nil"/>
            </w:tcBorders>
            <w:shd w:val="clear" w:color="auto" w:fill="auto"/>
            <w:noWrap/>
            <w:vAlign w:val="center"/>
            <w:hideMark/>
          </w:tcPr>
          <w:p w14:paraId="6B1352A0" w14:textId="77777777" w:rsidR="00EC5F2E" w:rsidRPr="00D97CA6" w:rsidRDefault="00EC5F2E" w:rsidP="00CE362A">
            <w:pPr>
              <w:spacing w:after="0" w:line="240" w:lineRule="auto"/>
              <w:jc w:val="right"/>
              <w:rPr>
                <w:rFonts w:eastAsia="Times New Roman" w:cs="Times New Roman"/>
                <w:b/>
                <w:bCs/>
                <w:color w:val="000000"/>
                <w:sz w:val="18"/>
                <w:szCs w:val="18"/>
                <w:lang w:eastAsia="sk-SK"/>
              </w:rPr>
            </w:pPr>
            <w:r w:rsidRPr="0006119C">
              <w:rPr>
                <w:rFonts w:eastAsia="Times New Roman" w:cs="Times New Roman"/>
                <w:b/>
                <w:bCs/>
                <w:color w:val="000000"/>
                <w:sz w:val="18"/>
                <w:szCs w:val="18"/>
                <w:lang w:eastAsia="sk-SK"/>
              </w:rPr>
              <w:t>-1 984 062</w:t>
            </w:r>
          </w:p>
        </w:tc>
        <w:tc>
          <w:tcPr>
            <w:tcW w:w="627" w:type="dxa"/>
            <w:tcBorders>
              <w:top w:val="single" w:sz="4" w:space="0" w:color="auto"/>
              <w:left w:val="nil"/>
              <w:bottom w:val="single" w:sz="4" w:space="0" w:color="auto"/>
              <w:right w:val="nil"/>
            </w:tcBorders>
            <w:shd w:val="clear" w:color="auto" w:fill="auto"/>
            <w:noWrap/>
            <w:vAlign w:val="center"/>
            <w:hideMark/>
          </w:tcPr>
          <w:p w14:paraId="5F55BACF" w14:textId="77777777" w:rsidR="00EC5F2E" w:rsidRPr="00D97CA6" w:rsidRDefault="00EC5F2E" w:rsidP="00CE362A">
            <w:pPr>
              <w:spacing w:after="0" w:line="240" w:lineRule="auto"/>
              <w:jc w:val="right"/>
              <w:rPr>
                <w:rFonts w:eastAsia="Times New Roman" w:cs="Times New Roman"/>
                <w:b/>
                <w:bCs/>
                <w:color w:val="000000"/>
                <w:sz w:val="18"/>
                <w:szCs w:val="18"/>
                <w:lang w:eastAsia="sk-SK"/>
              </w:rPr>
            </w:pPr>
            <w:r w:rsidRPr="0006119C">
              <w:rPr>
                <w:rFonts w:eastAsia="Times New Roman" w:cs="Times New Roman"/>
                <w:b/>
                <w:bCs/>
                <w:color w:val="000000"/>
                <w:sz w:val="18"/>
                <w:szCs w:val="18"/>
                <w:lang w:eastAsia="sk-SK"/>
              </w:rPr>
              <w:t>-8,7</w:t>
            </w:r>
          </w:p>
        </w:tc>
      </w:tr>
    </w:tbl>
    <w:p w14:paraId="54AEF98C" w14:textId="6154A720" w:rsidR="00697268" w:rsidRPr="00697268" w:rsidRDefault="00697268" w:rsidP="00954D2B">
      <w:pPr>
        <w:jc w:val="right"/>
      </w:pPr>
      <w:r w:rsidRPr="0006119C">
        <w:rPr>
          <w:rFonts w:eastAsia="Times New Roman" w:cs="Times New Roman"/>
          <w:sz w:val="18"/>
          <w:szCs w:val="18"/>
          <w:lang w:eastAsia="sk-SK"/>
        </w:rPr>
        <w:t>Zdroj: MF SR</w:t>
      </w:r>
    </w:p>
    <w:p w14:paraId="16419283" w14:textId="758478E3" w:rsidR="00D97CA6" w:rsidRDefault="002600B5" w:rsidP="005F16E5">
      <w:pPr>
        <w:spacing w:after="160" w:line="360" w:lineRule="auto"/>
        <w:contextualSpacing/>
        <w:jc w:val="left"/>
        <w:rPr>
          <w:rFonts w:eastAsia="Times New Roman" w:cs="Times New Roman"/>
          <w:b/>
          <w:color w:val="5B9BD5" w:themeColor="accent1"/>
          <w:sz w:val="24"/>
          <w:szCs w:val="24"/>
          <w:lang w:eastAsia="sk-SK"/>
        </w:rPr>
      </w:pPr>
      <w:r w:rsidRPr="005F16E5">
        <w:rPr>
          <w:rFonts w:eastAsia="Times New Roman" w:cs="Times New Roman"/>
          <w:b/>
          <w:color w:val="5B9BD5" w:themeColor="accent1"/>
          <w:sz w:val="24"/>
          <w:szCs w:val="24"/>
          <w:lang w:eastAsia="sk-SK"/>
        </w:rPr>
        <w:t>V</w:t>
      </w:r>
      <w:r w:rsidR="00D97CA6" w:rsidRPr="005F16E5">
        <w:rPr>
          <w:rFonts w:eastAsia="Times New Roman" w:cs="Times New Roman"/>
          <w:b/>
          <w:color w:val="5B9BD5" w:themeColor="accent1"/>
          <w:sz w:val="24"/>
          <w:szCs w:val="24"/>
          <w:lang w:eastAsia="sk-SK"/>
        </w:rPr>
        <w:t>ýdavky na mzdy, platy, služobné príjmy a ostatné osobné vyrovnania</w:t>
      </w:r>
    </w:p>
    <w:p w14:paraId="743F4CA4" w14:textId="02A70166"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Zákon č. 534/2021 Z. z. o štátnom rozpočte na rok 2022 v znení zákona č. 357/2022 Z. z. stanovil pre zamestnancov rozpočtových organizácií kapitol štátneho rozpočtu limit výdavkov na mzdy, platy, služobné príjmy a ostatné osobné vyrovnania (OOV) ako záväzný ukazovateľ z kódu 111 (zdroj štátneho rozpočtu) a 11H (transfery od ostatných subjektov verejnej správy) v úhrnnej sume 2 606 671 tis. eur. Súčasne boli v súlade s § 17 ods. 4 zákona o rozpočtových pravidlách verejnej správy rozpočtované finančné prostriedky v sume 5 tis. eur, čím bol schválený rozpočet výdavkov na mzdy a platy pre rok 2022 na úrovni 2 606 676 tis. eur. V priebehu roka bol rozpočet výdavkov na mzdy, platy, služobné príjmy a OOV na zdroji 111 rozpočtovými opatreniami upravený na 2 574 063 tis. eur (znížený o 32 608 tis. eur).</w:t>
      </w:r>
    </w:p>
    <w:p w14:paraId="3B6C1DCC" w14:textId="7777777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 xml:space="preserve">V dôsledku vypuknutia vojnového konfliktu na Ukrajine bol v priebehu roka 2022 vytvorený nový kód zdroja (v rámci zdroja štátneho rozpočtu) 11UA, určený pre klasifikovanie prostriedkov vynaložených na pomoc pre občanov Ukrajiny. Na tomto zdroji boli postupne alokované výdavky na mzdy, platy, služobné príjmy a OOV v sume 5 986 tis. eur ako súčasť upraveného rozpočtu na rok 2022 (zdroje 111, 11H a 11UA). Výdavky na mzdy, platy, služobné príjmy a OOV zo všetkých zdrojov boli v priebehu roka upravené na sumu 2 713 906 tis. eur, v tom zo zdroja 72h na sumu 54 tis. eur, zo zdrojov EÚ a prostriedkov na spolufinancovanie zo štátneho rozpočtu na sumu 128 276 tis. eur a z prostriedkov Plánu obnovy a odolnosti SR (zdroj 1P01 a 3P01) na sumu 5 527 tis. eur. </w:t>
      </w:r>
    </w:p>
    <w:p w14:paraId="3DBFFC71" w14:textId="7777777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b/>
          <w:sz w:val="24"/>
          <w:szCs w:val="24"/>
          <w:lang w:eastAsia="sk-SK"/>
        </w:rPr>
        <w:lastRenderedPageBreak/>
        <w:t>V skutočnosti boli výdavky na</w:t>
      </w:r>
      <w:r w:rsidRPr="00697268">
        <w:rPr>
          <w:rFonts w:eastAsia="Times New Roman" w:cs="Times New Roman"/>
          <w:sz w:val="24"/>
          <w:szCs w:val="24"/>
          <w:lang w:eastAsia="sk-SK"/>
        </w:rPr>
        <w:t xml:space="preserve"> </w:t>
      </w:r>
      <w:r w:rsidRPr="00697268">
        <w:rPr>
          <w:rFonts w:eastAsia="Times New Roman" w:cs="Times New Roman"/>
          <w:b/>
          <w:sz w:val="24"/>
          <w:szCs w:val="24"/>
          <w:lang w:eastAsia="sk-SK"/>
        </w:rPr>
        <w:t>mzdy, platy, služobné príjmy a OOV zamestnancov rozpočtových organizácií kapitol štátneho rozpočtu za všetky zdroje čerpané na úrovni 2 701 444 tis. eur, čo je o 77 255 tis. eur (2,9 %) viac ako v roku 2021. Na vyššom medziročnom čerpaní sa podieľalo hlavne čerpanie z prostriedkov štátneho rozpočtu zo zdroja 111 v sume 47 079 tis. eur (60,9 %), zo zdroja EÚ a spolufinancovania zo štátneho rozpočtu v sume 19 573 tis. eur (25,3 %) a čerpanie z prostriedkov Plánu obnovy a odolnosti SR v sume 5 067 tis. eur (6,6 %). Naopak čerpanie zo zdroja 72h medziročne kleslo o 7 tis. eur.</w:t>
      </w:r>
    </w:p>
    <w:p w14:paraId="09445305" w14:textId="0DA62594"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Z prostriedkov štátneho rozpočtu zo zdroja 111 boli na mzdy, platy, služobné príjmy a OOV  zamestnancov čerpané finančné prostriedky v sume 2 562 131 tis. eur. Z prostriedkov EÚ a prostriedkov na spolufinancovanie zo štátneho rozpočtu boli vyplatené mzdy v sume 128 190 tis. eur, zo zdroja 11UA v sume 5 543 tis. eur, z prostriedkov Plánu obnovy a odolnosti SR v sume 5 527 tis. eur a na zdroji 72h v sume 53,8 tis. eur.</w:t>
      </w:r>
    </w:p>
    <w:p w14:paraId="1D31A3BC" w14:textId="7777777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 xml:space="preserve">Limit výdavkov na mzdy, platy, služobné príjmy a OOV bol ako záväzný ukazovateľ na zdroji 111, 11H a 11UA vo všetkých kapitolách štátneho rozpočtu dodržaný. </w:t>
      </w:r>
    </w:p>
    <w:p w14:paraId="146330A0" w14:textId="7777777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Medziročný nárast výdavkov na mzdy, platy, služobné príjmy a OOV zamestnancov rozpočtových organizácií kapitol štátneho rozpočtu najvýraznejšie ovplyvnila realizácia rozpočtových opatrení z dôvodu plnenia Dodatku č. 1 ku Kolektívnej zmluve vyššieho stupňa v štátnej službe na rok 2022 a Dodatku č. 1 ku Kolektívnej zmluve vyššieho stupňa pre zamestnávateľov, ktorí pri odmeňovaní postupujú podľa zákona č. 553/2003 Z. z. o odmeňovaní niektorých zamestnancov pri výkone práce vo verejnom záujme na rok 2022, v ktorých sa za podmienok ustanovených v predmetných dodatkoch dohodlo vyplatenie odmeny na úrovni 500 eur pre zamestnanca. Zamestnancom rozpočtových organizácií štátneho rozpočtu boli vyplatené 500 eurové odmeny v celkovej výške 47 989 tis. eur.</w:t>
      </w:r>
    </w:p>
    <w:p w14:paraId="3C4D2EFC" w14:textId="26E25A1D"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 xml:space="preserve">Na úpravách rozpočtu mzdových výdavkov, ktoré súviseli aj s ich čerpaním, sa podieľali najmä žiadosti jednotlivých kapitol štátneho rozpočtu o personálne posilnenie na zabezpečenie ich činností. Z tohto dôvodu boli kapitolám štátneho rozpočtu zvýšené limity mzdových výdavkov o sumu 28 587 tis. eur, z toho napríklad na zvýšenie systemizácie profesionálnych vojakov v kapitole Ministerstva obrany SR v sume 18 778 tis. eur a na zlepšenie odmeňovania zamestnancov kapitoly Ministerstva práce, sociálnych vecí a rodiny SR v sume 4 027 tis. eur. Ďalšími významnými úpravami boli dofinancovanie administratívnych kapacít v sume 11 915 tis. eur (dotýka sa kapitol Ministerstva hospodárstva SR, </w:t>
      </w:r>
      <w:r w:rsidRPr="00C06501">
        <w:rPr>
          <w:rFonts w:eastAsia="Times New Roman" w:cs="Times New Roman"/>
          <w:sz w:val="24"/>
          <w:szCs w:val="24"/>
          <w:lang w:eastAsia="sk-SK"/>
        </w:rPr>
        <w:t>Ministerstva</w:t>
      </w:r>
      <w:r w:rsidR="00C06501" w:rsidRPr="00C06501">
        <w:rPr>
          <w:rFonts w:eastAsia="Times New Roman" w:cs="Times New Roman"/>
          <w:sz w:val="24"/>
          <w:szCs w:val="24"/>
          <w:lang w:eastAsia="sk-SK"/>
        </w:rPr>
        <w:t xml:space="preserve"> investícií, </w:t>
      </w:r>
      <w:r w:rsidRPr="00C06501">
        <w:rPr>
          <w:rFonts w:eastAsia="Times New Roman" w:cs="Times New Roman"/>
          <w:sz w:val="24"/>
          <w:szCs w:val="24"/>
          <w:lang w:eastAsia="sk-SK"/>
        </w:rPr>
        <w:t xml:space="preserve"> regionálneho rozvoja a in</w:t>
      </w:r>
      <w:r w:rsidR="00C06501">
        <w:rPr>
          <w:rFonts w:eastAsia="Times New Roman" w:cs="Times New Roman"/>
          <w:sz w:val="24"/>
          <w:szCs w:val="24"/>
          <w:lang w:eastAsia="sk-SK"/>
        </w:rPr>
        <w:t>formatizácie</w:t>
      </w:r>
      <w:r w:rsidRPr="00697268">
        <w:rPr>
          <w:rFonts w:eastAsia="Times New Roman" w:cs="Times New Roman"/>
          <w:sz w:val="24"/>
          <w:szCs w:val="24"/>
          <w:lang w:eastAsia="sk-SK"/>
        </w:rPr>
        <w:t xml:space="preserve"> SR, Ministerstva pôdohospodárstva a rozvoja vidieka SR, Ministerstva vnútra SR, Ministerstva financií SR, Ministerstva zdravotníctva SR, Úradu vlády SR, Úradu pre verejné obstarávanie), čiastočne vrátené viazané mzdové výdavky súvisiace s Revíziou výdavkov zamestnanosti a odmeňovania vo verejnej správe v sume 9 345 tis. eur pre Ministerstvo práce, sociálnych vecí a rodiny SR a Ministerstvo vnútra SR. V súvislosti s medziročným rastom priemernej mesačnej nominálnej mzdy zamestnanca v národnom hospodárstve boli kapitolám štátneho rozpočtu zvýšené limity mzdových výdavkov na zabezpečenie platov zamestnancov naviazaných na plat poslanca, respektíve na rast priemernej mzdy v sume 6 011 tis. eur.</w:t>
      </w:r>
      <w:r w:rsidR="00876587">
        <w:rPr>
          <w:rFonts w:eastAsia="Times New Roman" w:cs="Times New Roman"/>
          <w:sz w:val="24"/>
          <w:szCs w:val="24"/>
          <w:lang w:eastAsia="sk-SK"/>
        </w:rPr>
        <w:t xml:space="preserve"> </w:t>
      </w:r>
      <w:r w:rsidRPr="00697268">
        <w:rPr>
          <w:rFonts w:eastAsia="Times New Roman" w:cs="Times New Roman"/>
          <w:sz w:val="24"/>
          <w:szCs w:val="24"/>
          <w:lang w:eastAsia="sk-SK"/>
        </w:rPr>
        <w:t xml:space="preserve">Z dôvodu zabezpečenia pomoci občanom Ukrajiny utekajúcim pred vypuknutým vojnovým konfliktom na ich území boli zvýšené limity mzdových výdavkov o 6 719 tis. eur (napr. na Ministerstve vnútra SR a Ministerstve práce, sociálnych vecí a rodiny SR). </w:t>
      </w:r>
    </w:p>
    <w:p w14:paraId="7810509C" w14:textId="77777777" w:rsidR="00697268" w:rsidRPr="00697268" w:rsidRDefault="00697268" w:rsidP="00697268">
      <w:pPr>
        <w:spacing w:line="240" w:lineRule="auto"/>
        <w:rPr>
          <w:rFonts w:eastAsia="Times New Roman" w:cs="Times New Roman"/>
          <w:strike/>
          <w:sz w:val="24"/>
          <w:szCs w:val="24"/>
          <w:lang w:eastAsia="sk-SK"/>
        </w:rPr>
      </w:pPr>
      <w:r w:rsidRPr="00697268">
        <w:rPr>
          <w:rFonts w:eastAsia="Times New Roman" w:cs="Times New Roman"/>
          <w:sz w:val="24"/>
          <w:szCs w:val="24"/>
          <w:lang w:eastAsia="sk-SK"/>
        </w:rPr>
        <w:t xml:space="preserve">Úroveň čerpania rozpočtovaných mzdových výdavkov bola v niektorých kapitolách (napr. na Ministerstve školstva, vedy, výskumu a športu SR a Slovenskej akadémii vied) znížená z dôvodu zmeny formy hospodárenia z rozpočtovej organizácie na príspevkovú organizáciu alebo na verejnú výskumnú inštitúciu v sume 14 764 tis. eur. </w:t>
      </w:r>
    </w:p>
    <w:p w14:paraId="24F1736C" w14:textId="72117D2B" w:rsid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lastRenderedPageBreak/>
        <w:t>V priebehu roka 2022 sa pristúpilo k účelovému určeniu niektorých výdavkov, napríklad analytická jednotka Ministerstva hospodárstva SR bola posilnená o 3 osoby, na ktoré boli účelovo určené mzdové výdavky v sume 62 tis. eur. Mzdové výdavky na činnosť analytických jednotiek, boli celkovo čerpané vo výške 7 016 tis. eur.</w:t>
      </w:r>
    </w:p>
    <w:p w14:paraId="705AA5B6" w14:textId="18099624" w:rsidR="00697268" w:rsidRPr="00697268" w:rsidRDefault="00697268" w:rsidP="00697268">
      <w:pPr>
        <w:spacing w:line="240" w:lineRule="auto"/>
        <w:rPr>
          <w:rFonts w:eastAsia="Times New Roman" w:cs="Times New Roman"/>
          <w:sz w:val="24"/>
          <w:szCs w:val="24"/>
          <w:lang w:eastAsia="sk-SK"/>
        </w:rPr>
      </w:pPr>
      <w:r w:rsidRPr="009F029A">
        <w:rPr>
          <w:rFonts w:eastAsia="Times New Roman" w:cs="Times New Roman"/>
          <w:sz w:val="24"/>
          <w:szCs w:val="24"/>
          <w:lang w:eastAsia="sk-SK"/>
        </w:rPr>
        <w:t>V rámci skutočne čerpaných výdavkov na mzdy a platy v rozpočtových organizáciách kapitol štátneho rozpočtu bola vyplatená odmena pri príležitosti letnej dovolenky v sume 1</w:t>
      </w:r>
      <w:r>
        <w:rPr>
          <w:rFonts w:eastAsia="Times New Roman" w:cs="Times New Roman"/>
          <w:sz w:val="24"/>
          <w:szCs w:val="24"/>
          <w:lang w:eastAsia="sk-SK"/>
        </w:rPr>
        <w:t> </w:t>
      </w:r>
      <w:r w:rsidRPr="009F029A">
        <w:rPr>
          <w:rFonts w:eastAsia="Times New Roman" w:cs="Times New Roman"/>
          <w:sz w:val="24"/>
          <w:szCs w:val="24"/>
          <w:lang w:eastAsia="sk-SK"/>
        </w:rPr>
        <w:t>125</w:t>
      </w:r>
      <w:r>
        <w:rPr>
          <w:rFonts w:eastAsia="Times New Roman" w:cs="Times New Roman"/>
          <w:sz w:val="24"/>
          <w:szCs w:val="24"/>
          <w:lang w:eastAsia="sk-SK"/>
        </w:rPr>
        <w:t> </w:t>
      </w:r>
      <w:r w:rsidRPr="009F029A">
        <w:rPr>
          <w:rFonts w:eastAsia="Times New Roman" w:cs="Times New Roman"/>
          <w:sz w:val="24"/>
          <w:szCs w:val="24"/>
          <w:lang w:eastAsia="sk-SK"/>
        </w:rPr>
        <w:t>tis.</w:t>
      </w:r>
      <w:r>
        <w:rPr>
          <w:rFonts w:eastAsia="Times New Roman" w:cs="Times New Roman"/>
          <w:sz w:val="24"/>
          <w:szCs w:val="24"/>
          <w:lang w:eastAsia="sk-SK"/>
        </w:rPr>
        <w:t> </w:t>
      </w:r>
      <w:r w:rsidRPr="009F029A">
        <w:rPr>
          <w:rFonts w:eastAsia="Times New Roman" w:cs="Times New Roman"/>
          <w:sz w:val="24"/>
          <w:szCs w:val="24"/>
          <w:lang w:eastAsia="sk-SK"/>
        </w:rPr>
        <w:t>eur (medziročne nárast o</w:t>
      </w:r>
      <w:r>
        <w:rPr>
          <w:rFonts w:eastAsia="Times New Roman" w:cs="Times New Roman"/>
          <w:sz w:val="24"/>
          <w:szCs w:val="24"/>
          <w:lang w:eastAsia="sk-SK"/>
        </w:rPr>
        <w:t> </w:t>
      </w:r>
      <w:r w:rsidRPr="009F029A">
        <w:rPr>
          <w:rFonts w:eastAsia="Times New Roman" w:cs="Times New Roman"/>
          <w:sz w:val="24"/>
          <w:szCs w:val="24"/>
          <w:lang w:eastAsia="sk-SK"/>
        </w:rPr>
        <w:t>401</w:t>
      </w:r>
      <w:r>
        <w:rPr>
          <w:rFonts w:eastAsia="Times New Roman" w:cs="Times New Roman"/>
          <w:sz w:val="24"/>
          <w:szCs w:val="24"/>
          <w:lang w:eastAsia="sk-SK"/>
        </w:rPr>
        <w:t> </w:t>
      </w:r>
      <w:r w:rsidRPr="009F029A">
        <w:rPr>
          <w:rFonts w:eastAsia="Times New Roman" w:cs="Times New Roman"/>
          <w:sz w:val="24"/>
          <w:szCs w:val="24"/>
          <w:lang w:eastAsia="sk-SK"/>
        </w:rPr>
        <w:t>tis.</w:t>
      </w:r>
      <w:r>
        <w:rPr>
          <w:rFonts w:eastAsia="Times New Roman" w:cs="Times New Roman"/>
          <w:sz w:val="24"/>
          <w:szCs w:val="24"/>
          <w:lang w:eastAsia="sk-SK"/>
        </w:rPr>
        <w:t> </w:t>
      </w:r>
      <w:r w:rsidRPr="009F029A">
        <w:rPr>
          <w:rFonts w:eastAsia="Times New Roman" w:cs="Times New Roman"/>
          <w:sz w:val="24"/>
          <w:szCs w:val="24"/>
          <w:lang w:eastAsia="sk-SK"/>
        </w:rPr>
        <w:t>eur) pre 1</w:t>
      </w:r>
      <w:r>
        <w:rPr>
          <w:rFonts w:eastAsia="Times New Roman" w:cs="Times New Roman"/>
          <w:sz w:val="24"/>
          <w:szCs w:val="24"/>
          <w:lang w:eastAsia="sk-SK"/>
        </w:rPr>
        <w:t> </w:t>
      </w:r>
      <w:r w:rsidRPr="009F029A">
        <w:rPr>
          <w:rFonts w:eastAsia="Times New Roman" w:cs="Times New Roman"/>
          <w:sz w:val="24"/>
          <w:szCs w:val="24"/>
          <w:lang w:eastAsia="sk-SK"/>
        </w:rPr>
        <w:t>215 zamestnancov (1</w:t>
      </w:r>
      <w:r>
        <w:rPr>
          <w:rFonts w:eastAsia="Times New Roman" w:cs="Times New Roman"/>
          <w:sz w:val="24"/>
          <w:szCs w:val="24"/>
          <w:lang w:eastAsia="sk-SK"/>
        </w:rPr>
        <w:t> </w:t>
      </w:r>
      <w:r w:rsidRPr="009F029A">
        <w:rPr>
          <w:rFonts w:eastAsia="Times New Roman" w:cs="Times New Roman"/>
          <w:sz w:val="24"/>
          <w:szCs w:val="24"/>
          <w:lang w:eastAsia="sk-SK"/>
        </w:rPr>
        <w:t>% zo skutočného počtu zamestnancov za rok 2022) a odmena pri príležitosti vianočných sviatkov v sume 1</w:t>
      </w:r>
      <w:r>
        <w:rPr>
          <w:rFonts w:eastAsia="Times New Roman" w:cs="Times New Roman"/>
          <w:sz w:val="24"/>
          <w:szCs w:val="24"/>
          <w:lang w:eastAsia="sk-SK"/>
        </w:rPr>
        <w:t> </w:t>
      </w:r>
      <w:r w:rsidRPr="009F029A">
        <w:rPr>
          <w:rFonts w:eastAsia="Times New Roman" w:cs="Times New Roman"/>
          <w:sz w:val="24"/>
          <w:szCs w:val="24"/>
          <w:lang w:eastAsia="sk-SK"/>
        </w:rPr>
        <w:t>454</w:t>
      </w:r>
      <w:r>
        <w:rPr>
          <w:rFonts w:eastAsia="Times New Roman" w:cs="Times New Roman"/>
          <w:sz w:val="24"/>
          <w:szCs w:val="24"/>
          <w:lang w:eastAsia="sk-SK"/>
        </w:rPr>
        <w:t> </w:t>
      </w:r>
      <w:r w:rsidRPr="009F029A">
        <w:rPr>
          <w:rFonts w:eastAsia="Times New Roman" w:cs="Times New Roman"/>
          <w:sz w:val="24"/>
          <w:szCs w:val="24"/>
          <w:lang w:eastAsia="sk-SK"/>
        </w:rPr>
        <w:t>tis.</w:t>
      </w:r>
      <w:r>
        <w:rPr>
          <w:rFonts w:eastAsia="Times New Roman" w:cs="Times New Roman"/>
          <w:sz w:val="24"/>
          <w:szCs w:val="24"/>
          <w:lang w:eastAsia="sk-SK"/>
        </w:rPr>
        <w:t> </w:t>
      </w:r>
      <w:r w:rsidRPr="009F029A">
        <w:rPr>
          <w:rFonts w:eastAsia="Times New Roman" w:cs="Times New Roman"/>
          <w:sz w:val="24"/>
          <w:szCs w:val="24"/>
          <w:lang w:eastAsia="sk-SK"/>
        </w:rPr>
        <w:t>eur (medziročný pokles o</w:t>
      </w:r>
      <w:r>
        <w:rPr>
          <w:rFonts w:eastAsia="Times New Roman" w:cs="Times New Roman"/>
          <w:sz w:val="24"/>
          <w:szCs w:val="24"/>
          <w:lang w:eastAsia="sk-SK"/>
        </w:rPr>
        <w:t> </w:t>
      </w:r>
      <w:r w:rsidRPr="009F029A">
        <w:rPr>
          <w:rFonts w:eastAsia="Times New Roman" w:cs="Times New Roman"/>
          <w:sz w:val="24"/>
          <w:szCs w:val="24"/>
          <w:lang w:eastAsia="sk-SK"/>
        </w:rPr>
        <w:t>157</w:t>
      </w:r>
      <w:r>
        <w:rPr>
          <w:rFonts w:eastAsia="Times New Roman" w:cs="Times New Roman"/>
          <w:sz w:val="24"/>
          <w:szCs w:val="24"/>
          <w:lang w:eastAsia="sk-SK"/>
        </w:rPr>
        <w:t> </w:t>
      </w:r>
      <w:r w:rsidRPr="009F029A">
        <w:rPr>
          <w:rFonts w:eastAsia="Times New Roman" w:cs="Times New Roman"/>
          <w:sz w:val="24"/>
          <w:szCs w:val="24"/>
          <w:lang w:eastAsia="sk-SK"/>
        </w:rPr>
        <w:t>tis.</w:t>
      </w:r>
      <w:r>
        <w:rPr>
          <w:rFonts w:eastAsia="Times New Roman" w:cs="Times New Roman"/>
          <w:sz w:val="24"/>
          <w:szCs w:val="24"/>
          <w:lang w:eastAsia="sk-SK"/>
        </w:rPr>
        <w:t> </w:t>
      </w:r>
      <w:r w:rsidRPr="009F029A">
        <w:rPr>
          <w:rFonts w:eastAsia="Times New Roman" w:cs="Times New Roman"/>
          <w:sz w:val="24"/>
          <w:szCs w:val="24"/>
          <w:lang w:eastAsia="sk-SK"/>
        </w:rPr>
        <w:t>eur) pre 1</w:t>
      </w:r>
      <w:r>
        <w:rPr>
          <w:rFonts w:eastAsia="Times New Roman" w:cs="Times New Roman"/>
          <w:sz w:val="24"/>
          <w:szCs w:val="24"/>
          <w:lang w:eastAsia="sk-SK"/>
        </w:rPr>
        <w:t> </w:t>
      </w:r>
      <w:r w:rsidRPr="009F029A">
        <w:rPr>
          <w:rFonts w:eastAsia="Times New Roman" w:cs="Times New Roman"/>
          <w:sz w:val="24"/>
          <w:szCs w:val="24"/>
          <w:lang w:eastAsia="sk-SK"/>
        </w:rPr>
        <w:t>663</w:t>
      </w:r>
      <w:r>
        <w:rPr>
          <w:rFonts w:eastAsia="Times New Roman" w:cs="Times New Roman"/>
          <w:sz w:val="24"/>
          <w:szCs w:val="24"/>
          <w:lang w:eastAsia="sk-SK"/>
        </w:rPr>
        <w:t> </w:t>
      </w:r>
      <w:r w:rsidRPr="009F029A">
        <w:rPr>
          <w:rFonts w:eastAsia="Times New Roman" w:cs="Times New Roman"/>
          <w:sz w:val="24"/>
          <w:szCs w:val="24"/>
          <w:lang w:eastAsia="sk-SK"/>
        </w:rPr>
        <w:t>osôb (1,4</w:t>
      </w:r>
      <w:r>
        <w:rPr>
          <w:rFonts w:eastAsia="Times New Roman" w:cs="Times New Roman"/>
          <w:sz w:val="24"/>
          <w:szCs w:val="24"/>
          <w:lang w:eastAsia="sk-SK"/>
        </w:rPr>
        <w:t> </w:t>
      </w:r>
      <w:r w:rsidRPr="009F029A">
        <w:rPr>
          <w:rFonts w:eastAsia="Times New Roman" w:cs="Times New Roman"/>
          <w:sz w:val="24"/>
          <w:szCs w:val="24"/>
          <w:lang w:eastAsia="sk-SK"/>
        </w:rPr>
        <w:t>% zo</w:t>
      </w:r>
      <w:r>
        <w:rPr>
          <w:rFonts w:eastAsia="Times New Roman" w:cs="Times New Roman"/>
          <w:sz w:val="24"/>
          <w:szCs w:val="24"/>
          <w:lang w:eastAsia="sk-SK"/>
        </w:rPr>
        <w:t> </w:t>
      </w:r>
      <w:r w:rsidRPr="009F029A">
        <w:rPr>
          <w:rFonts w:eastAsia="Times New Roman" w:cs="Times New Roman"/>
          <w:sz w:val="24"/>
          <w:szCs w:val="24"/>
          <w:lang w:eastAsia="sk-SK"/>
        </w:rPr>
        <w:t>s</w:t>
      </w:r>
      <w:r>
        <w:rPr>
          <w:rFonts w:eastAsia="Times New Roman" w:cs="Times New Roman"/>
          <w:sz w:val="24"/>
          <w:szCs w:val="24"/>
          <w:lang w:eastAsia="sk-SK"/>
        </w:rPr>
        <w:t>kutočného počtu zamestnancov za </w:t>
      </w:r>
      <w:r w:rsidRPr="009F029A">
        <w:rPr>
          <w:rFonts w:eastAsia="Times New Roman" w:cs="Times New Roman"/>
          <w:sz w:val="24"/>
          <w:szCs w:val="24"/>
          <w:lang w:eastAsia="sk-SK"/>
        </w:rPr>
        <w:t>rok 2022).</w:t>
      </w:r>
    </w:p>
    <w:p w14:paraId="0AA520E6" w14:textId="53A72859" w:rsidR="005F16E5" w:rsidRDefault="005F16E5" w:rsidP="00D97CA6">
      <w:pPr>
        <w:spacing w:line="240" w:lineRule="auto"/>
        <w:rPr>
          <w:rFonts w:eastAsia="Times New Roman" w:cs="Times New Roman"/>
          <w:b/>
          <w:color w:val="5B9BD5" w:themeColor="accent1"/>
          <w:sz w:val="24"/>
          <w:szCs w:val="24"/>
          <w:lang w:eastAsia="sk-SK"/>
        </w:rPr>
      </w:pPr>
      <w:r>
        <w:rPr>
          <w:rFonts w:eastAsia="Times New Roman" w:cs="Times New Roman"/>
          <w:b/>
          <w:color w:val="5B9BD5" w:themeColor="accent1"/>
          <w:sz w:val="24"/>
          <w:szCs w:val="24"/>
          <w:lang w:eastAsia="sk-SK"/>
        </w:rPr>
        <w:t>Zamestnanosť v rozpočtových organizáciách ústrednej správy</w:t>
      </w:r>
    </w:p>
    <w:p w14:paraId="38CF23B1" w14:textId="0F05CA8B"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b/>
          <w:sz w:val="24"/>
          <w:szCs w:val="24"/>
          <w:lang w:eastAsia="sk-SK"/>
        </w:rPr>
        <w:t>Limit počtu zamestnancov</w:t>
      </w:r>
      <w:r w:rsidRPr="00697268">
        <w:rPr>
          <w:rFonts w:eastAsia="Times New Roman" w:cs="Times New Roman"/>
          <w:sz w:val="24"/>
          <w:szCs w:val="24"/>
          <w:lang w:eastAsia="sk-SK"/>
        </w:rPr>
        <w:t xml:space="preserve"> pre rozpočtové organizácie kapitol štátneho rozpočtu na rok 2022 bol schválený uznesením vlády SR č. 577/2021 k Návrhu rozpočtu verejnej správy na roky 2022 a</w:t>
      </w:r>
      <w:r w:rsidR="00876587">
        <w:rPr>
          <w:rFonts w:eastAsia="Times New Roman" w:cs="Times New Roman"/>
          <w:sz w:val="24"/>
          <w:szCs w:val="24"/>
          <w:lang w:eastAsia="sk-SK"/>
        </w:rPr>
        <w:t>ž 2024 v počte 127 536 osôb (</w:t>
      </w:r>
      <w:r w:rsidRPr="00697268">
        <w:rPr>
          <w:rFonts w:eastAsia="Times New Roman" w:cs="Times New Roman"/>
          <w:sz w:val="24"/>
          <w:szCs w:val="24"/>
          <w:lang w:eastAsia="sk-SK"/>
        </w:rPr>
        <w:t>2021: 125 716). Schválený limit počtu zamestnancov rozpočtových organizácií medziročne stúpol o 1 820 osôb, z toho na implementáciu Plánu obnovy a odolnosti SR o 876 osôb (najviac v kapitole Ministerstva školstva, vedy, výskumu a športu SR v počte 269 osôb). Na ďalšom medziročnom zvýšení schváleného limitu počtu zamestnancov kapitol štátneho rozpočtu mali najvýraznejší podiel kapitoly Ministerstvo spravodlivosti SR (zvýšenie o 402 osôb z dôvodu vrátenia 10 % viazania a</w:t>
      </w:r>
      <w:r w:rsidR="00876587">
        <w:rPr>
          <w:rFonts w:eastAsia="Times New Roman" w:cs="Times New Roman"/>
          <w:sz w:val="24"/>
          <w:szCs w:val="24"/>
          <w:lang w:eastAsia="sk-SK"/>
        </w:rPr>
        <w:t xml:space="preserve"> </w:t>
      </w:r>
      <w:r w:rsidRPr="00697268">
        <w:rPr>
          <w:rFonts w:eastAsia="Times New Roman" w:cs="Times New Roman"/>
          <w:sz w:val="24"/>
          <w:szCs w:val="24"/>
          <w:lang w:eastAsia="sk-SK"/>
        </w:rPr>
        <w:t xml:space="preserve">30 osôb na personálne posilnenie CPP), Ministerstvo zdravotníctva SR (253 osôb na personálne posilnenie ÚVZ, RÚVZ a ŠÚKL), Ministerstvo financií SR (najmä personálne posilnenie Finančného riaditeľstva SR 137 osôb a vrátenie 10 % viazania 68 osôb), Ministerstvo dopravy a výstavby SR (101 osôb na zriadenie rozpočtovej organizácie Slovakia </w:t>
      </w:r>
      <w:proofErr w:type="spellStart"/>
      <w:r w:rsidRPr="00697268">
        <w:rPr>
          <w:rFonts w:eastAsia="Times New Roman" w:cs="Times New Roman"/>
          <w:sz w:val="24"/>
          <w:szCs w:val="24"/>
          <w:lang w:eastAsia="sk-SK"/>
        </w:rPr>
        <w:t>Travel</w:t>
      </w:r>
      <w:proofErr w:type="spellEnd"/>
      <w:r w:rsidRPr="00697268">
        <w:rPr>
          <w:rFonts w:eastAsia="Times New Roman" w:cs="Times New Roman"/>
          <w:sz w:val="24"/>
          <w:szCs w:val="24"/>
          <w:lang w:eastAsia="sk-SK"/>
        </w:rPr>
        <w:t xml:space="preserve">), Kancelária Najvyššieho správneho súdu SR (100 osôb z dôvodu vzniku novej kapitoly štátneho rozpočtu), Ministerstvo práce, sociálnych vecí a rodiny SR (rôzne zákonné vplyvy 60 osôb, napríklad </w:t>
      </w:r>
      <w:proofErr w:type="spellStart"/>
      <w:r w:rsidRPr="00697268">
        <w:rPr>
          <w:rFonts w:eastAsia="Times New Roman" w:cs="Times New Roman"/>
          <w:sz w:val="24"/>
          <w:szCs w:val="24"/>
          <w:lang w:eastAsia="sk-SK"/>
        </w:rPr>
        <w:t>Kurtzarbeit</w:t>
      </w:r>
      <w:proofErr w:type="spellEnd"/>
      <w:r w:rsidRPr="00697268">
        <w:rPr>
          <w:rFonts w:eastAsia="Times New Roman" w:cs="Times New Roman"/>
          <w:sz w:val="24"/>
          <w:szCs w:val="24"/>
          <w:lang w:eastAsia="sk-SK"/>
        </w:rPr>
        <w:t xml:space="preserve"> a projekt 1. pomoc), Úrad vlády SR (zriadenie Sekcie plánu obnovy 54 osôb) a Ministerstvo pôdohospodárstva a rozvoja vidieka SR (50 osôb pre PPA). V rámci revízie výdavkov vo verejnej správe bolo v kapitole Ministerstva vnútra SR zapracované medziročné zníženie počtu príslušníkov PZ v počte 623 osôb.</w:t>
      </w:r>
    </w:p>
    <w:p w14:paraId="7D9907A0" w14:textId="01952E13"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 xml:space="preserve">V rámci schváleného limitu počtu zamestnancov rozpočtových organizácií kapitol štátneho rozpočtu boli uznesením vlády Slovenskej republiky č. 577/2021 schválené aj administratívne kapacity osobitne sledované v počte 1 602 osôb </w:t>
      </w:r>
      <w:r w:rsidR="00876587">
        <w:rPr>
          <w:rFonts w:eastAsia="Times New Roman" w:cs="Times New Roman"/>
          <w:sz w:val="24"/>
          <w:szCs w:val="24"/>
          <w:lang w:eastAsia="sk-SK"/>
        </w:rPr>
        <w:t>(</w:t>
      </w:r>
      <w:r w:rsidRPr="00697268">
        <w:rPr>
          <w:rFonts w:eastAsia="Times New Roman" w:cs="Times New Roman"/>
          <w:sz w:val="24"/>
          <w:szCs w:val="24"/>
          <w:lang w:eastAsia="sk-SK"/>
        </w:rPr>
        <w:t>2021: 1 590). V nadväznosti na rozhodnutie Ministerstva investícií, regionálneho rozvoja a informatizácie SR č. 015889/2022/</w:t>
      </w:r>
      <w:proofErr w:type="spellStart"/>
      <w:r w:rsidRPr="00697268">
        <w:rPr>
          <w:rFonts w:eastAsia="Times New Roman" w:cs="Times New Roman"/>
          <w:sz w:val="24"/>
          <w:szCs w:val="24"/>
          <w:lang w:eastAsia="sk-SK"/>
        </w:rPr>
        <w:t>oHAAK</w:t>
      </w:r>
      <w:proofErr w:type="spellEnd"/>
      <w:r w:rsidRPr="00697268">
        <w:rPr>
          <w:rFonts w:eastAsia="Times New Roman" w:cs="Times New Roman"/>
          <w:sz w:val="24"/>
          <w:szCs w:val="24"/>
          <w:lang w:eastAsia="sk-SK"/>
        </w:rPr>
        <w:t xml:space="preserve"> z 1. júla 2022 boli administratívne kapacity osobitne sledované upravené o 60 osôb na počet 1 662 osôb. K zvýšeniu administratívnych kapacít osobitne sledovaných došlo v kapitolách Ministerstva práce sociálnych vecí a rodiny SR (25 osôb), Ministerstva investícií, regionálneho rozvoja a informatizácie SR (20 osôb), na Úrade pre verejné obstarávanie (13 osôb), na Úrade vlády SR (10 osôb), Ministerstve hospodárstva SR (5 osôb) a Ministerstve kultúry SR (2 osoby). Naopak</w:t>
      </w:r>
      <w:r w:rsidR="00876587">
        <w:rPr>
          <w:rFonts w:eastAsia="Times New Roman" w:cs="Times New Roman"/>
          <w:sz w:val="24"/>
          <w:szCs w:val="24"/>
          <w:lang w:eastAsia="sk-SK"/>
        </w:rPr>
        <w:t>,</w:t>
      </w:r>
      <w:r w:rsidRPr="00697268">
        <w:rPr>
          <w:rFonts w:eastAsia="Times New Roman" w:cs="Times New Roman"/>
          <w:sz w:val="24"/>
          <w:szCs w:val="24"/>
          <w:lang w:eastAsia="sk-SK"/>
        </w:rPr>
        <w:t xml:space="preserve"> k zníženiu administratívnych kapacít osobitne sledovaných došlo v kapitolách Ministerstva školstva, vedy, výskumu a športu SR (-10 osôb), Ministerstva vnútra SR (-3 osoby), Ministerstva životného prostredia SR (-1 osoba) a Ministerstva zdravotníctva SR (-1 osoba). Skutočný počet administratívnych kapacít osobitne sledovaných v roku 2022 dosiahol počet 1 362 osôb, čo je medziročne menej o 13 osôb (1</w:t>
      </w:r>
      <w:r w:rsidRPr="00697268">
        <w:rPr>
          <w:rFonts w:ascii="Calibri" w:eastAsia="Calibri" w:hAnsi="Calibri" w:cs="Times New Roman"/>
        </w:rPr>
        <w:t> </w:t>
      </w:r>
      <w:r w:rsidRPr="00697268">
        <w:rPr>
          <w:rFonts w:eastAsia="Times New Roman" w:cs="Times New Roman"/>
          <w:sz w:val="24"/>
          <w:szCs w:val="24"/>
          <w:lang w:eastAsia="sk-SK"/>
        </w:rPr>
        <w:t xml:space="preserve">%). </w:t>
      </w:r>
    </w:p>
    <w:p w14:paraId="72C68C85" w14:textId="7777777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V priebehu roka 2022 bol limit počtu zamestnancov rozpočtových organizácií zvýšený rozpočtovými opatreniami na 130 603 osôb (o 3 067 osôb).</w:t>
      </w:r>
    </w:p>
    <w:p w14:paraId="4609ACD9" w14:textId="7777777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 xml:space="preserve">V nadväznosti na realizované 10 % viazanie osobných výdavkov a limitu počtu vybraných skupín zamestnancov predložili niektoré kapitoly štátneho rozpočtu v priebehu roka 2022 požiadavku na vrátenie viazaného počtu zamestnancov, resp. osobných výdavkov. Na základe </w:t>
      </w:r>
      <w:r w:rsidRPr="00697268">
        <w:rPr>
          <w:rFonts w:eastAsia="Times New Roman" w:cs="Times New Roman"/>
          <w:sz w:val="24"/>
          <w:szCs w:val="24"/>
          <w:lang w:eastAsia="sk-SK"/>
        </w:rPr>
        <w:lastRenderedPageBreak/>
        <w:t>týchto žiadostí bolo do rozpočtových organizácií kapitol štátneho rozpočtu premietnuté vrátenie viazania na úrovni 1 028 osôb, z toho napr. 510 osôb do kapitoly Ministerstva vnútra SR a 479 osôb do kapitoly Ministerstva práce, sociálnych vecí a rodiny SR.</w:t>
      </w:r>
    </w:p>
    <w:p w14:paraId="7C38D546" w14:textId="7777777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 xml:space="preserve">Z dôvodu zamestnávania projektových zamestnancov, ktorých mzdové výdavky sú hradené zo zdrojov Európskej únie bolo realizované zvýšenie limitov počtov zamestnancov o 1 412 osôb, a to najmä v kapitole Ministerstva práce, sociálnych vecí a rodiny SR o 1 125 osôb. Ďalšie výrazné zvýšenie limitu počtu zamestnancov bolo realizované v kapitole Ministerstva obrany SR, kde bola zvýšená systemizácia profesionálnych vojakov o 880 osôb. Na realizáciu schválenej legislatívy sa v priebehu roka upravil limit počtu zamestnancov rozpočtových organizácií o 72 osôb (napríklad v kapitole Ministerstva dopravy a výstavby SR v počte 18 osôb pre Úrad pre reguláciu elektronických komunikačných a poštových služieb, v kapitole Ministerstva práce, sociálnych vecí a rodiny SR o 17 osôb na tzv. inflačnú pomoc a v kapitole Úrad pre územné plánovanie a výstavbu SR o 15 osôb v súvislosti so vznikom úradu). Z dôvodu zabezpečenia pomoci občanom Ukrajiny utekajúcim pred vypuknutým vojnovým konfliktom na ich území boli zvýšené limity počtu zamestnancov o 278 osôb (v kapitole Ministerstva práce, sociálnych vecí a rodiny SR 266 osôb). </w:t>
      </w:r>
    </w:p>
    <w:p w14:paraId="2B5AD378" w14:textId="541D334A"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b/>
          <w:sz w:val="24"/>
          <w:szCs w:val="24"/>
          <w:lang w:eastAsia="sk-SK"/>
        </w:rPr>
        <w:t xml:space="preserve">Skutočné plnenie počtu zamestnancov rozpočtových organizácií kapitol štátneho rozpočtu dosiahlo úroveň 122 982 osôb, čo je v porovnaní s ich skutočným plnením v roku 2021 o 1 279 osôb menej. </w:t>
      </w:r>
      <w:r w:rsidRPr="00697268">
        <w:rPr>
          <w:rFonts w:eastAsia="Times New Roman" w:cs="Times New Roman"/>
          <w:sz w:val="24"/>
          <w:szCs w:val="24"/>
          <w:lang w:eastAsia="sk-SK"/>
        </w:rPr>
        <w:t>V porovnaní s pôvodne schváleným limitom počtu zamestnancov je skutočnosť nižšia o 4 554 osôb (3,6 %) a s upraveným limitom o 7 621 osôb (5,8 %). Upravený limit počtu zamestnancov neprekročila ani jedna kapitola štátneho rozpočtu a ani žiadna zo 4 organizácií rozpočtovaných v kapitole Všeobecná pokladničná správa. V absolútnom vyjadrení je možné konštatovať dlhodobé výrazné neplnenie limitu počtu zamestnancov v kapitolách Ministerstva vnútra</w:t>
      </w:r>
      <w:r w:rsidR="00876587">
        <w:rPr>
          <w:rFonts w:eastAsia="Times New Roman" w:cs="Times New Roman"/>
          <w:sz w:val="24"/>
          <w:szCs w:val="24"/>
          <w:lang w:eastAsia="sk-SK"/>
        </w:rPr>
        <w:t xml:space="preserve"> SR</w:t>
      </w:r>
      <w:r w:rsidRPr="00697268">
        <w:rPr>
          <w:rFonts w:eastAsia="Times New Roman" w:cs="Times New Roman"/>
          <w:sz w:val="24"/>
          <w:szCs w:val="24"/>
          <w:lang w:eastAsia="sk-SK"/>
        </w:rPr>
        <w:t xml:space="preserve"> (3 008 osôb, z toho systemizovaného počtu policajtov v štátnej službe v počte 2 281 osôb), Ministerstva obrany SR (778 osôb, z toho 706 profesionálnych vojakov), Ministerstva financií SR (776 osôb, z toho 608 príslušníci finančnej správy), Ministerstva školstva, vedy, výskumu a športu SR (774 osôb) a Ministerstva spravodlivosti SR (500 osôb, z toho 335 príslušníkov ZVJS).</w:t>
      </w:r>
    </w:p>
    <w:p w14:paraId="566F71F1" w14:textId="4342155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 xml:space="preserve">Pre zamestnancov </w:t>
      </w:r>
      <w:r w:rsidRPr="00697268">
        <w:rPr>
          <w:rFonts w:eastAsia="Times New Roman" w:cs="Times New Roman"/>
          <w:b/>
          <w:sz w:val="24"/>
          <w:szCs w:val="24"/>
          <w:lang w:eastAsia="sk-SK"/>
        </w:rPr>
        <w:t>aparátov ústredných orgánov</w:t>
      </w:r>
      <w:r w:rsidRPr="00697268">
        <w:rPr>
          <w:rFonts w:eastAsia="Times New Roman" w:cs="Times New Roman"/>
          <w:sz w:val="24"/>
          <w:szCs w:val="24"/>
          <w:lang w:eastAsia="sk-SK"/>
        </w:rPr>
        <w:t xml:space="preserve"> boli schválené výdavky na mzdy, platy, služobné príjmy a OOV v sume 307 210 tis. eur ako záväzný ukazovateľ </w:t>
      </w:r>
      <w:r w:rsidRPr="00697268">
        <w:rPr>
          <w:rFonts w:eastAsia="Times New Roman" w:cs="Times New Roman"/>
          <w:b/>
          <w:sz w:val="24"/>
          <w:szCs w:val="24"/>
          <w:lang w:eastAsia="sk-SK"/>
        </w:rPr>
        <w:t xml:space="preserve">z kódu zdroja 111 </w:t>
      </w:r>
      <w:r w:rsidRPr="00697268">
        <w:rPr>
          <w:rFonts w:eastAsia="Times New Roman" w:cs="Times New Roman"/>
          <w:sz w:val="24"/>
          <w:szCs w:val="24"/>
          <w:lang w:eastAsia="sk-SK"/>
        </w:rPr>
        <w:t>a </w:t>
      </w:r>
      <w:r w:rsidRPr="00697268">
        <w:rPr>
          <w:rFonts w:eastAsia="Times New Roman" w:cs="Times New Roman"/>
          <w:b/>
          <w:sz w:val="24"/>
          <w:szCs w:val="24"/>
          <w:lang w:eastAsia="sk-SK"/>
        </w:rPr>
        <w:t>11H</w:t>
      </w:r>
      <w:r w:rsidRPr="00697268">
        <w:rPr>
          <w:rFonts w:eastAsia="Times New Roman" w:cs="Times New Roman"/>
          <w:sz w:val="24"/>
          <w:szCs w:val="24"/>
          <w:lang w:eastAsia="sk-SK"/>
        </w:rPr>
        <w:t>. V priebehu roka bol tento limit rozpočtovými opatreniami zvýšený na 337 492 tis. eur. Zo zdroja 11UA bol záväzný ukaz</w:t>
      </w:r>
      <w:r w:rsidR="00954D2B">
        <w:rPr>
          <w:rFonts w:eastAsia="Times New Roman" w:cs="Times New Roman"/>
          <w:sz w:val="24"/>
          <w:szCs w:val="24"/>
          <w:lang w:eastAsia="sk-SK"/>
        </w:rPr>
        <w:t>ovateľ zvýšený o sumu 264 tis. </w:t>
      </w:r>
      <w:r w:rsidRPr="00697268">
        <w:rPr>
          <w:rFonts w:eastAsia="Times New Roman" w:cs="Times New Roman"/>
          <w:sz w:val="24"/>
          <w:szCs w:val="24"/>
          <w:lang w:eastAsia="sk-SK"/>
        </w:rPr>
        <w:t>eur. Na základe vykonaných rozpočtových opatrení vyššie čerpanie mzdových výdavkov v aparátoch ústredných orgánov súviselo najmä s plnením dodatkov ku kolektívnym zmluvám vyššieho stupňa v sume 6 278 tis. eur, dofinancovaním administratívnych kapacít v sume 8 744 tis. eur. Na zabezpečenie personálneho posilnenia niektorých aparátov ústredných orgánov sa zvýšili mzdové výdavky v celkovej sume 4 314 tis. eur (najvýraznejšie v kapitole Ministerstva pôdohospodárstva a rozvoja vidieka SR v súvislosti so zmenou financovania Výskumného ústavu ekonomiky poľnohospodárstva a Národného poľnohospodárskeho a potravinárskeho centra v sume 812 tis. eur a</w:t>
      </w:r>
      <w:r w:rsidR="008F38B0">
        <w:rPr>
          <w:rFonts w:eastAsia="Times New Roman" w:cs="Times New Roman"/>
          <w:sz w:val="24"/>
          <w:szCs w:val="24"/>
          <w:lang w:eastAsia="sk-SK"/>
        </w:rPr>
        <w:t xml:space="preserve"> </w:t>
      </w:r>
      <w:r w:rsidRPr="00697268">
        <w:rPr>
          <w:rFonts w:eastAsia="Times New Roman" w:cs="Times New Roman"/>
          <w:sz w:val="24"/>
          <w:szCs w:val="24"/>
          <w:lang w:eastAsia="sk-SK"/>
        </w:rPr>
        <w:t>v kapitole Kancelárii Najvyššieho súdu SR v súvislosti so zriadením zjednocovacích senátov v sume 523 tis. eur). Vyššie čerpanie mzdových výdavkov súviselo aj so zabezpečením novej legislatívy v aparátoch ústredných orgánov (987 tis. eur), so zvýšením platových náležitostí ústavných činiteľov, ústavných sudcov, sudcov, prokurátorov od 1. januára 2022, a zamestnancov naviazaných na plat poslanca v sume 496 tis. eur, ako aj s hmotnou stimuláciou zamestnancov v sume 957 tis. eur (najmä na Ministerstve školstva, vedy, výskumu a športu SR v sume 677 tis. eur).</w:t>
      </w:r>
    </w:p>
    <w:p w14:paraId="0C73121B" w14:textId="2B2DADB4"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Zamestnancom aparátov ústredných orgánov boli za všetky zdroje spolu vyplatené mzdy a</w:t>
      </w:r>
      <w:r w:rsidR="008F38B0">
        <w:rPr>
          <w:rFonts w:eastAsia="Times New Roman" w:cs="Times New Roman"/>
          <w:sz w:val="24"/>
          <w:szCs w:val="24"/>
          <w:lang w:eastAsia="sk-SK"/>
        </w:rPr>
        <w:t xml:space="preserve"> </w:t>
      </w:r>
      <w:r w:rsidRPr="00697268">
        <w:rPr>
          <w:rFonts w:eastAsia="Times New Roman" w:cs="Times New Roman"/>
          <w:sz w:val="24"/>
          <w:szCs w:val="24"/>
          <w:lang w:eastAsia="sk-SK"/>
        </w:rPr>
        <w:t>platy v sume 391 561 tis.</w:t>
      </w:r>
      <w:r w:rsidR="008F38B0">
        <w:rPr>
          <w:rFonts w:eastAsia="Times New Roman" w:cs="Times New Roman"/>
          <w:sz w:val="24"/>
          <w:szCs w:val="24"/>
          <w:lang w:eastAsia="sk-SK"/>
        </w:rPr>
        <w:t xml:space="preserve"> eur. Skutočné výdavky na mzdy, platy, služobné príjmy a </w:t>
      </w:r>
      <w:r w:rsidRPr="00697268">
        <w:rPr>
          <w:rFonts w:eastAsia="Times New Roman" w:cs="Times New Roman"/>
          <w:sz w:val="24"/>
          <w:szCs w:val="24"/>
          <w:lang w:eastAsia="sk-SK"/>
        </w:rPr>
        <w:t xml:space="preserve">OOV </w:t>
      </w:r>
      <w:r w:rsidRPr="00697268">
        <w:rPr>
          <w:rFonts w:eastAsia="Times New Roman" w:cs="Times New Roman"/>
          <w:sz w:val="24"/>
          <w:szCs w:val="24"/>
          <w:lang w:eastAsia="sk-SK"/>
        </w:rPr>
        <w:lastRenderedPageBreak/>
        <w:t>zamestnancov aparátu ústredného orgánu za všetky zdroje spolu medziročne vzrástli o 34 666 tis. eur. Záväzný limit miezd, platov, služobných príjmov a OOV aparátov ústredných orgánov (zdroje 111, 11H a 11UA) bol vo všetkých kapitolách štátneho rozpočtu dodržaný.</w:t>
      </w:r>
    </w:p>
    <w:p w14:paraId="358A4A56" w14:textId="2FC0BD51"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V rámci skutočne čerpaných výdavkov na mzdy a platy boli v aparátoch ústredných orgánov vyplatené odmeny pri príležitosti letnej dovolenky v sume 650 tis. eur pre 527 zamestnancov (4,1 % zo skutočného počtu zamestnancov za rok 2022) a</w:t>
      </w:r>
      <w:r w:rsidR="008F38B0">
        <w:rPr>
          <w:rFonts w:eastAsia="Times New Roman" w:cs="Times New Roman"/>
          <w:sz w:val="24"/>
          <w:szCs w:val="24"/>
          <w:lang w:eastAsia="sk-SK"/>
        </w:rPr>
        <w:t xml:space="preserve"> </w:t>
      </w:r>
      <w:r w:rsidRPr="00697268">
        <w:rPr>
          <w:rFonts w:eastAsia="Times New Roman" w:cs="Times New Roman"/>
          <w:sz w:val="24"/>
          <w:szCs w:val="24"/>
          <w:lang w:eastAsia="sk-SK"/>
        </w:rPr>
        <w:t xml:space="preserve">odmena pri príležitosti vianočných sviatkov v sume 733 tis. eur pre 682 osôb (5,3 % zo skutočného počtu zamestnancov za rok 2022). </w:t>
      </w:r>
    </w:p>
    <w:p w14:paraId="15528562" w14:textId="79508C2A"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Na plnenie Dodatkov č. 1 ku KZVS týkajúce sa vyplatenia odmeny vo výške 500 eur bolo vyčerpaných 6 278 tis. eur pre 12 592 zamestnancov. Sudcom a p</w:t>
      </w:r>
      <w:r w:rsidR="008F38B0">
        <w:rPr>
          <w:rFonts w:eastAsia="Times New Roman" w:cs="Times New Roman"/>
          <w:sz w:val="24"/>
          <w:szCs w:val="24"/>
          <w:lang w:eastAsia="sk-SK"/>
        </w:rPr>
        <w:t xml:space="preserve">rokurátorom bol vyplatený 13. a </w:t>
      </w:r>
      <w:r w:rsidRPr="00697268">
        <w:rPr>
          <w:rFonts w:eastAsia="Times New Roman" w:cs="Times New Roman"/>
          <w:sz w:val="24"/>
          <w:szCs w:val="24"/>
          <w:lang w:eastAsia="sk-SK"/>
        </w:rPr>
        <w:t>14. plat v úhrne 2 100 tis. eur (pre 193 sudcov a prokurátorov).</w:t>
      </w:r>
    </w:p>
    <w:p w14:paraId="19D3C6AA" w14:textId="7777777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 xml:space="preserve">Pre </w:t>
      </w:r>
      <w:r w:rsidRPr="00697268">
        <w:rPr>
          <w:rFonts w:eastAsia="Times New Roman" w:cs="Times New Roman"/>
          <w:b/>
          <w:sz w:val="24"/>
          <w:szCs w:val="24"/>
          <w:lang w:eastAsia="sk-SK"/>
        </w:rPr>
        <w:t>aparáty ústredných orgánov</w:t>
      </w:r>
      <w:r w:rsidRPr="00697268">
        <w:rPr>
          <w:rFonts w:eastAsia="Times New Roman" w:cs="Times New Roman"/>
          <w:sz w:val="24"/>
          <w:szCs w:val="24"/>
          <w:lang w:eastAsia="sk-SK"/>
        </w:rPr>
        <w:t xml:space="preserve"> bol na rok 2022 schválený záväzný </w:t>
      </w:r>
      <w:r w:rsidRPr="00697268">
        <w:rPr>
          <w:rFonts w:eastAsia="Times New Roman" w:cs="Times New Roman"/>
          <w:b/>
          <w:sz w:val="24"/>
          <w:szCs w:val="24"/>
          <w:lang w:eastAsia="sk-SK"/>
        </w:rPr>
        <w:t>limit počtu zamestnancov</w:t>
      </w:r>
      <w:r w:rsidRPr="00697268">
        <w:rPr>
          <w:rFonts w:eastAsia="Times New Roman" w:cs="Times New Roman"/>
          <w:sz w:val="24"/>
          <w:szCs w:val="24"/>
          <w:lang w:eastAsia="sk-SK"/>
        </w:rPr>
        <w:t xml:space="preserve"> 14 260 osôb, z toho administratívne kapacity osobitne sledované v počte 1 267 osôb. Schválený limit počtu zamestnancov bol v priebehu roka zvýšený o 562 osôb na 14 822 osôb. Najčastejšími dôvodmi úprav zvýšenia počtu zamestnancov aparátov ústredných orgánov bolo zabezpečenie projektových zamestnancov v počte 267 osôb, administratívnych kapacít osobitne sledovaných v počte 97 osôb a zmeny súvisiace s novou legislatívou v počte 30 osôb, napr. zriadením Úradu pre územné plánovanie a výstavbu SR (15 osôb) a rozšírením spôsobilostí Úradu pre verejné obstarávanie (14 osôb). Zvýšenie počtu zamestnancov Kancelárie Národnej rady SR o 39 osôb súvisí s rozhodnutím predsedu Národnej rady SR podľa § 143 ods. 7 zákona č. 350/1996 Z. z. o rokovacom poriadku Národnej rady Slovenskej republiky. </w:t>
      </w:r>
    </w:p>
    <w:p w14:paraId="6C7914DD" w14:textId="44F2579A"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V skutočnosti bolo v aparátoch ústredných orgánov v roku 2022 zamestnaných 12 857 osôb, v porovnaní s rokom 2021 ide o nárast o 472 zamestnancov (3,8 %). Medziročné zvýšenie počtu zamestnancov bolo ovplyvnené najmä zvýšením počtu zamestnancov na plnenie nových úloh súvisiacich s činnosťou administratívnych kapacít osobitne sledovaných, projektovými zamestnancami a vznikom novej kapitoly. Administratívne kapacity osobitne sledované schválené uznesením vlády SR č. 577/2021 boli v aparátoch ústredných orgánov v priebehu roka zvýšené o 97 osôb na počet 1 364 osôb a ich skutočné plnenie dosiahlo stav 1 115 osôb.</w:t>
      </w:r>
    </w:p>
    <w:p w14:paraId="7C224975" w14:textId="5D5AC6BB"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Uznesením vlády SR č. 577/2021 bola v prílohe č. 2 na rok 2022 schválená systemizácia príslušníkov finančnej správy, systemizácia policajtov v štátnej službe, systemizácia príslušníkov Hasičského a</w:t>
      </w:r>
      <w:r w:rsidR="008F38B0">
        <w:rPr>
          <w:rFonts w:eastAsia="Times New Roman" w:cs="Times New Roman"/>
          <w:sz w:val="24"/>
          <w:szCs w:val="24"/>
          <w:lang w:eastAsia="sk-SK"/>
        </w:rPr>
        <w:t xml:space="preserve"> </w:t>
      </w:r>
      <w:r w:rsidRPr="00697268">
        <w:rPr>
          <w:rFonts w:eastAsia="Times New Roman" w:cs="Times New Roman"/>
          <w:sz w:val="24"/>
          <w:szCs w:val="24"/>
          <w:lang w:eastAsia="sk-SK"/>
        </w:rPr>
        <w:t xml:space="preserve">záchranného zboru a príslušníkov Horskej záchrannej služby v štátnej službe a systemizácia profesionálnych vojakov v štátnej službe. Záväzné ukazovatele systemizácie z kódu zdroja 111 a 1P01 boli vo všetkých dotknutých kapitolách štátneho rozpočtu dodržané. V kapitole Ministerstvo vnútra SR boli nad rámec systemizácie použité finančné prostriedky zo zdrojov EÚ a spolufinancovania zo ŠR pre policajtov v sume 16 518 tis. eur a pre príslušníkov Hasičského a záchranného zboru a príslušníkov Horskej záchrannej služby v štátnej službe v sume 639 tis. eur. </w:t>
      </w:r>
    </w:p>
    <w:p w14:paraId="1D679D82" w14:textId="5D703F82" w:rsidR="00697268" w:rsidRPr="005F16E5" w:rsidRDefault="00697268" w:rsidP="00D97CA6">
      <w:pPr>
        <w:spacing w:line="240" w:lineRule="auto"/>
        <w:rPr>
          <w:rFonts w:eastAsia="Times New Roman" w:cs="Times New Roman"/>
          <w:b/>
          <w:color w:val="5B9BD5" w:themeColor="accent1"/>
          <w:sz w:val="24"/>
          <w:szCs w:val="24"/>
          <w:lang w:eastAsia="sk-SK"/>
        </w:rPr>
      </w:pPr>
      <w:r w:rsidRPr="00697268">
        <w:rPr>
          <w:rFonts w:eastAsia="Times New Roman" w:cs="Times New Roman"/>
          <w:b/>
          <w:i/>
          <w:sz w:val="24"/>
          <w:szCs w:val="24"/>
          <w:lang w:eastAsia="sk-SK"/>
        </w:rPr>
        <w:t>Prehľad o plnení limitu počtu zamestnancov rozpočtových organizácií kapitol štátneho rozpočtu, miezd, platov, služobných príjmov a ostatných osobných vyrovnaní aparátov ústredných orgánov kapitol štátneho rozpočtu na rok 2022 vrátane vyhodnotenia systemizácií schválených uznesením vlády SR je uvedený v tabuľkách 23, 25, 26, 27 a 28 tabuľkovej časti štátneho záverečného účtu.</w:t>
      </w:r>
    </w:p>
    <w:p w14:paraId="1346C831" w14:textId="77777777" w:rsidR="00995FFF" w:rsidRDefault="00995FFF">
      <w:pPr>
        <w:spacing w:after="160" w:line="259" w:lineRule="auto"/>
        <w:jc w:val="left"/>
        <w:rPr>
          <w:rFonts w:eastAsia="Times New Roman" w:cs="Times New Roman"/>
          <w:b/>
          <w:color w:val="5B9BD5" w:themeColor="accent1"/>
          <w:sz w:val="24"/>
          <w:szCs w:val="24"/>
          <w:lang w:eastAsia="sk-SK"/>
        </w:rPr>
      </w:pPr>
      <w:r>
        <w:rPr>
          <w:rFonts w:eastAsia="Times New Roman" w:cs="Times New Roman"/>
          <w:b/>
          <w:color w:val="5B9BD5" w:themeColor="accent1"/>
          <w:sz w:val="24"/>
          <w:szCs w:val="24"/>
          <w:lang w:eastAsia="sk-SK"/>
        </w:rPr>
        <w:br w:type="page"/>
      </w:r>
    </w:p>
    <w:p w14:paraId="715454FE" w14:textId="55720C18" w:rsidR="00D97CA6" w:rsidRDefault="00D97CA6" w:rsidP="005F16E5">
      <w:pPr>
        <w:spacing w:before="120" w:line="240" w:lineRule="auto"/>
        <w:jc w:val="left"/>
        <w:rPr>
          <w:rFonts w:eastAsia="Times New Roman" w:cs="Times New Roman"/>
          <w:b/>
          <w:color w:val="5B9BD5" w:themeColor="accent1"/>
          <w:sz w:val="24"/>
          <w:szCs w:val="24"/>
          <w:lang w:eastAsia="sk-SK"/>
        </w:rPr>
      </w:pPr>
      <w:r w:rsidRPr="005F16E5">
        <w:rPr>
          <w:rFonts w:eastAsia="Times New Roman" w:cs="Times New Roman"/>
          <w:b/>
          <w:color w:val="5B9BD5" w:themeColor="accent1"/>
          <w:sz w:val="24"/>
          <w:szCs w:val="24"/>
          <w:lang w:eastAsia="sk-SK"/>
        </w:rPr>
        <w:lastRenderedPageBreak/>
        <w:t>Poistné a príspevok do poisťovní</w:t>
      </w:r>
    </w:p>
    <w:p w14:paraId="314B2CCB" w14:textId="77777777"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sz w:val="24"/>
          <w:szCs w:val="24"/>
          <w:lang w:eastAsia="sk-SK"/>
        </w:rPr>
        <w:t xml:space="preserve">Kapitoly štátneho rozpočtu rozpísali v roku 2022 výdavky na poistné a príspevok do poisťovní v sume 930 989 tis. eur súhrnne za všetky zdroje. V priebehu roka bola suma rozpísaných výdavkov na poistné a príspevok do poisťovní upravená na 983 239 tis. eur v súhrne za všetky zdroje. Skutočné výdavky na poistné a príspevok do poisťovní súhrnne za všetky zdroje medziročne vzrástli o 28 668 tis. eur (3 %) a dosiahli sumu 982 394 tis. eur. Vyššie čerpanie výdavkov na poistné nadväzuje na zvýšené čerpanie výdavkov na mzdy, platy, služobné príjmy a ostatné osobné výdavky, ktoré je rozpísané v časti týkajúcej sa miezd. Výdavky na poistné a príspevok do poisťovní boli čerpané v tejto štruktúre: </w:t>
      </w:r>
    </w:p>
    <w:p w14:paraId="2C0244F5" w14:textId="0931A4D5"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b/>
          <w:i/>
          <w:sz w:val="24"/>
          <w:szCs w:val="24"/>
          <w:lang w:eastAsia="sk-SK"/>
        </w:rPr>
        <w:t>Výdavky na poistné do Sociálnej poisťovne</w:t>
      </w:r>
      <w:r w:rsidRPr="00697268">
        <w:rPr>
          <w:rFonts w:eastAsia="Times New Roman" w:cs="Times New Roman"/>
          <w:sz w:val="24"/>
          <w:szCs w:val="24"/>
          <w:lang w:eastAsia="sk-SK"/>
        </w:rPr>
        <w:t xml:space="preserve"> v sume 384 410 tis. eur dosia</w:t>
      </w:r>
      <w:r w:rsidR="00A640D5">
        <w:rPr>
          <w:rFonts w:eastAsia="Times New Roman" w:cs="Times New Roman"/>
          <w:sz w:val="24"/>
          <w:szCs w:val="24"/>
          <w:lang w:eastAsia="sk-SK"/>
        </w:rPr>
        <w:t>hli medziročný nárast 3,7 % (</w:t>
      </w:r>
      <w:r w:rsidRPr="00697268">
        <w:rPr>
          <w:rFonts w:eastAsia="Times New Roman" w:cs="Times New Roman"/>
          <w:sz w:val="24"/>
          <w:szCs w:val="24"/>
          <w:lang w:eastAsia="sk-SK"/>
        </w:rPr>
        <w:t>2021: 370 676 tis. eur)</w:t>
      </w:r>
      <w:r w:rsidR="004C7B10">
        <w:rPr>
          <w:rFonts w:eastAsia="Times New Roman" w:cs="Times New Roman"/>
          <w:sz w:val="24"/>
          <w:szCs w:val="24"/>
          <w:lang w:eastAsia="sk-SK"/>
        </w:rPr>
        <w:t>,</w:t>
      </w:r>
      <w:r w:rsidRPr="00697268">
        <w:rPr>
          <w:rFonts w:eastAsia="Times New Roman" w:cs="Times New Roman"/>
          <w:sz w:val="24"/>
          <w:szCs w:val="24"/>
          <w:lang w:eastAsia="sk-SK"/>
        </w:rPr>
        <w:t xml:space="preserve"> z toho najvyšší objem tvorilo poistné na starobné poistenie 218 343 tis. eur, poistné do rezervného fondu solidarity predstavovalo 74 810 tis. eur a poistné na invalidné poistenie sumu 44 131 tis. eur. </w:t>
      </w:r>
    </w:p>
    <w:p w14:paraId="6E1C4358" w14:textId="4B2EC67B"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b/>
          <w:i/>
          <w:sz w:val="24"/>
          <w:szCs w:val="24"/>
          <w:lang w:eastAsia="sk-SK"/>
        </w:rPr>
        <w:t>Poistné na osobitné účty</w:t>
      </w:r>
      <w:r w:rsidRPr="00697268">
        <w:rPr>
          <w:rFonts w:eastAsia="Times New Roman" w:cs="Times New Roman"/>
          <w:sz w:val="24"/>
          <w:szCs w:val="24"/>
          <w:lang w:eastAsia="sk-SK"/>
        </w:rPr>
        <w:t xml:space="preserve"> v kapitolách štátneho rozpočtu, do pôsobnosti ktorých patrí riadenie ozbrojených, bezpečnostných a záchranných zložiek</w:t>
      </w:r>
      <w:r w:rsidR="008F38B0">
        <w:rPr>
          <w:rFonts w:eastAsia="Times New Roman" w:cs="Times New Roman"/>
          <w:sz w:val="24"/>
          <w:szCs w:val="24"/>
          <w:lang w:eastAsia="sk-SK"/>
        </w:rPr>
        <w:t xml:space="preserve">, medziročne vzrástlo o 1,1 % a </w:t>
      </w:r>
      <w:r w:rsidRPr="00697268">
        <w:rPr>
          <w:rFonts w:eastAsia="Times New Roman" w:cs="Times New Roman"/>
          <w:sz w:val="24"/>
          <w:szCs w:val="24"/>
          <w:lang w:eastAsia="sk-SK"/>
        </w:rPr>
        <w:t>dos</w:t>
      </w:r>
      <w:r w:rsidR="00A640D5">
        <w:rPr>
          <w:rFonts w:eastAsia="Times New Roman" w:cs="Times New Roman"/>
          <w:sz w:val="24"/>
          <w:szCs w:val="24"/>
          <w:lang w:eastAsia="sk-SK"/>
        </w:rPr>
        <w:t>iahlo sumu 291 251 tis. eur (</w:t>
      </w:r>
      <w:r w:rsidRPr="00697268">
        <w:rPr>
          <w:rFonts w:eastAsia="Times New Roman" w:cs="Times New Roman"/>
          <w:sz w:val="24"/>
          <w:szCs w:val="24"/>
          <w:lang w:eastAsia="sk-SK"/>
        </w:rPr>
        <w:t>2021: 287 952 tis. eur)</w:t>
      </w:r>
      <w:r w:rsidR="004C7B10">
        <w:rPr>
          <w:rFonts w:eastAsia="Times New Roman" w:cs="Times New Roman"/>
          <w:sz w:val="24"/>
          <w:szCs w:val="24"/>
          <w:lang w:eastAsia="sk-SK"/>
        </w:rPr>
        <w:t>,</w:t>
      </w:r>
      <w:r w:rsidRPr="00697268">
        <w:rPr>
          <w:rFonts w:eastAsia="Times New Roman" w:cs="Times New Roman"/>
          <w:sz w:val="24"/>
          <w:szCs w:val="24"/>
          <w:lang w:eastAsia="sk-SK"/>
        </w:rPr>
        <w:t xml:space="preserve"> z toho rozhodujúci podiel predstavovalo poistné na výsluhový dôchodok v sume 225 301 tis. eur. Poistné na invalidný výsluhový dôchodok dosiahlo sum</w:t>
      </w:r>
      <w:r w:rsidR="008F38B0">
        <w:rPr>
          <w:rFonts w:eastAsia="Times New Roman" w:cs="Times New Roman"/>
          <w:sz w:val="24"/>
          <w:szCs w:val="24"/>
          <w:lang w:eastAsia="sk-SK"/>
        </w:rPr>
        <w:t xml:space="preserve">u 34 008 tis. eur a </w:t>
      </w:r>
      <w:r w:rsidRPr="00697268">
        <w:rPr>
          <w:rFonts w:eastAsia="Times New Roman" w:cs="Times New Roman"/>
          <w:sz w:val="24"/>
          <w:szCs w:val="24"/>
          <w:lang w:eastAsia="sk-SK"/>
        </w:rPr>
        <w:t>na nemocenské zabezpečenie 15 693 tis. eur.</w:t>
      </w:r>
      <w:r w:rsidRPr="00697268">
        <w:rPr>
          <w:rFonts w:eastAsia="Times New Roman" w:cs="Times New Roman"/>
          <w:strike/>
          <w:sz w:val="24"/>
          <w:szCs w:val="24"/>
          <w:lang w:eastAsia="sk-SK"/>
        </w:rPr>
        <w:t xml:space="preserve"> </w:t>
      </w:r>
    </w:p>
    <w:p w14:paraId="4D5066BA" w14:textId="00C0F92D"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b/>
          <w:i/>
          <w:sz w:val="24"/>
          <w:szCs w:val="24"/>
          <w:lang w:eastAsia="sk-SK"/>
        </w:rPr>
        <w:t>Poistné do zdravotných poisťovní</w:t>
      </w:r>
      <w:r w:rsidRPr="00697268">
        <w:rPr>
          <w:rFonts w:eastAsia="Times New Roman" w:cs="Times New Roman"/>
          <w:sz w:val="24"/>
          <w:szCs w:val="24"/>
          <w:lang w:eastAsia="sk-SK"/>
        </w:rPr>
        <w:t xml:space="preserve"> medziročne vzrástlo o 3,8 % a dos</w:t>
      </w:r>
      <w:r w:rsidR="00A640D5">
        <w:rPr>
          <w:rFonts w:eastAsia="Times New Roman" w:cs="Times New Roman"/>
          <w:sz w:val="24"/>
          <w:szCs w:val="24"/>
          <w:lang w:eastAsia="sk-SK"/>
        </w:rPr>
        <w:t>iahlo sumu 285 038 tis. eur (</w:t>
      </w:r>
      <w:r w:rsidRPr="00697268">
        <w:rPr>
          <w:rFonts w:eastAsia="Times New Roman" w:cs="Times New Roman"/>
          <w:sz w:val="24"/>
          <w:szCs w:val="24"/>
          <w:lang w:eastAsia="sk-SK"/>
        </w:rPr>
        <w:t>2021: 274 578 tis. eur)</w:t>
      </w:r>
      <w:r w:rsidR="004C7B10">
        <w:rPr>
          <w:rFonts w:eastAsia="Times New Roman" w:cs="Times New Roman"/>
          <w:sz w:val="24"/>
          <w:szCs w:val="24"/>
          <w:lang w:eastAsia="sk-SK"/>
        </w:rPr>
        <w:t>,</w:t>
      </w:r>
      <w:r w:rsidRPr="00697268">
        <w:rPr>
          <w:rFonts w:eastAsia="Times New Roman" w:cs="Times New Roman"/>
          <w:sz w:val="24"/>
          <w:szCs w:val="24"/>
          <w:lang w:eastAsia="sk-SK"/>
        </w:rPr>
        <w:t xml:space="preserve"> v tom do Všeobecnej zdravotnej poisťovne bolo odvedených 190 816 tis. e</w:t>
      </w:r>
      <w:r w:rsidR="008F38B0">
        <w:rPr>
          <w:rFonts w:eastAsia="Times New Roman" w:cs="Times New Roman"/>
          <w:sz w:val="24"/>
          <w:szCs w:val="24"/>
          <w:lang w:eastAsia="sk-SK"/>
        </w:rPr>
        <w:t xml:space="preserve">ur a </w:t>
      </w:r>
      <w:r w:rsidRPr="00697268">
        <w:rPr>
          <w:rFonts w:eastAsia="Times New Roman" w:cs="Times New Roman"/>
          <w:sz w:val="24"/>
          <w:szCs w:val="24"/>
          <w:lang w:eastAsia="sk-SK"/>
        </w:rPr>
        <w:t>do ostatných zdravotných poisťovní 94 222 tis. eur.</w:t>
      </w:r>
    </w:p>
    <w:p w14:paraId="2081CCCE" w14:textId="6D2E8CEF" w:rsidR="00697268" w:rsidRPr="00697268" w:rsidRDefault="00697268" w:rsidP="00697268">
      <w:pPr>
        <w:spacing w:line="240" w:lineRule="auto"/>
        <w:rPr>
          <w:rFonts w:eastAsia="Times New Roman" w:cs="Times New Roman"/>
          <w:sz w:val="24"/>
          <w:szCs w:val="24"/>
          <w:lang w:eastAsia="sk-SK"/>
        </w:rPr>
      </w:pPr>
      <w:r w:rsidRPr="00697268">
        <w:rPr>
          <w:rFonts w:eastAsia="Times New Roman" w:cs="Times New Roman"/>
          <w:b/>
          <w:i/>
          <w:sz w:val="24"/>
          <w:szCs w:val="24"/>
          <w:lang w:eastAsia="sk-SK"/>
        </w:rPr>
        <w:t>Príspevok do doplnkových dôchodkových poisťovní</w:t>
      </w:r>
      <w:r w:rsidRPr="00697268">
        <w:rPr>
          <w:rFonts w:eastAsia="Times New Roman" w:cs="Times New Roman"/>
          <w:sz w:val="24"/>
          <w:szCs w:val="24"/>
          <w:lang w:eastAsia="sk-SK"/>
        </w:rPr>
        <w:t xml:space="preserve"> bol odve</w:t>
      </w:r>
      <w:r w:rsidR="00A640D5">
        <w:rPr>
          <w:rFonts w:eastAsia="Times New Roman" w:cs="Times New Roman"/>
          <w:sz w:val="24"/>
          <w:szCs w:val="24"/>
          <w:lang w:eastAsia="sk-SK"/>
        </w:rPr>
        <w:t>dený v sume 21 631 tis. eur (2021: </w:t>
      </w:r>
      <w:r w:rsidRPr="00697268">
        <w:rPr>
          <w:rFonts w:eastAsia="Times New Roman" w:cs="Times New Roman"/>
          <w:sz w:val="24"/>
          <w:szCs w:val="24"/>
          <w:lang w:eastAsia="sk-SK"/>
        </w:rPr>
        <w:t>20 467 tis. eur) a</w:t>
      </w:r>
      <w:r w:rsidR="008F38B0">
        <w:rPr>
          <w:rFonts w:eastAsia="Times New Roman" w:cs="Times New Roman"/>
          <w:sz w:val="24"/>
          <w:szCs w:val="24"/>
          <w:lang w:eastAsia="sk-SK"/>
        </w:rPr>
        <w:t xml:space="preserve"> </w:t>
      </w:r>
      <w:r w:rsidRPr="00697268">
        <w:rPr>
          <w:rFonts w:eastAsia="Times New Roman" w:cs="Times New Roman"/>
          <w:sz w:val="24"/>
          <w:szCs w:val="24"/>
          <w:lang w:eastAsia="sk-SK"/>
        </w:rPr>
        <w:t xml:space="preserve">medziročne vzrástol o 5,7 %. </w:t>
      </w:r>
    </w:p>
    <w:p w14:paraId="6A2276BF" w14:textId="4515D6D4" w:rsidR="00697268" w:rsidRDefault="00697268" w:rsidP="00697268">
      <w:pPr>
        <w:spacing w:before="120" w:line="240" w:lineRule="auto"/>
        <w:jc w:val="left"/>
        <w:rPr>
          <w:rFonts w:eastAsia="Times New Roman" w:cs="Times New Roman"/>
          <w:b/>
          <w:color w:val="5B9BD5" w:themeColor="accent1"/>
          <w:sz w:val="24"/>
          <w:szCs w:val="24"/>
          <w:lang w:eastAsia="sk-SK"/>
        </w:rPr>
      </w:pPr>
      <w:r w:rsidRPr="00697268">
        <w:rPr>
          <w:rFonts w:eastAsia="Times New Roman" w:cs="Times New Roman"/>
          <w:b/>
          <w:i/>
          <w:sz w:val="24"/>
          <w:szCs w:val="24"/>
          <w:lang w:eastAsia="sk-SK"/>
        </w:rPr>
        <w:t>Príspevky na starobné dôchodkové sporenie</w:t>
      </w:r>
      <w:r w:rsidRPr="00697268">
        <w:rPr>
          <w:rFonts w:eastAsia="Times New Roman" w:cs="Times New Roman"/>
          <w:sz w:val="24"/>
          <w:szCs w:val="24"/>
          <w:lang w:eastAsia="sk-SK"/>
        </w:rPr>
        <w:t xml:space="preserve"> boli odvedené v sume 63 tis. eur (</w:t>
      </w:r>
      <w:r w:rsidR="00A640D5">
        <w:rPr>
          <w:rFonts w:eastAsia="Times New Roman" w:cs="Times New Roman"/>
          <w:sz w:val="24"/>
          <w:szCs w:val="24"/>
          <w:lang w:eastAsia="sk-SK"/>
        </w:rPr>
        <w:t>2021: </w:t>
      </w:r>
      <w:r w:rsidRPr="00697268">
        <w:rPr>
          <w:rFonts w:eastAsia="Times New Roman" w:cs="Times New Roman"/>
          <w:sz w:val="24"/>
          <w:szCs w:val="24"/>
          <w:lang w:eastAsia="sk-SK"/>
        </w:rPr>
        <w:t>53 tis. eur) a</w:t>
      </w:r>
      <w:r w:rsidR="008F38B0">
        <w:rPr>
          <w:rFonts w:eastAsia="Times New Roman" w:cs="Times New Roman"/>
          <w:sz w:val="24"/>
          <w:szCs w:val="24"/>
          <w:lang w:eastAsia="sk-SK"/>
        </w:rPr>
        <w:t xml:space="preserve"> </w:t>
      </w:r>
      <w:r w:rsidRPr="00697268">
        <w:rPr>
          <w:rFonts w:eastAsia="Times New Roman" w:cs="Times New Roman"/>
          <w:sz w:val="24"/>
          <w:szCs w:val="24"/>
          <w:lang w:eastAsia="sk-SK"/>
        </w:rPr>
        <w:t>medziročne vzrástli o 18,9 %.</w:t>
      </w:r>
    </w:p>
    <w:p w14:paraId="58733232" w14:textId="3CE2F0DF" w:rsidR="00D97CA6" w:rsidRDefault="00D97CA6" w:rsidP="00D97CA6">
      <w:pPr>
        <w:spacing w:line="240" w:lineRule="auto"/>
        <w:rPr>
          <w:b/>
          <w:color w:val="5B9BD5" w:themeColor="accent1"/>
          <w:sz w:val="24"/>
          <w:szCs w:val="24"/>
        </w:rPr>
      </w:pPr>
      <w:r w:rsidRPr="0044026B">
        <w:rPr>
          <w:b/>
          <w:color w:val="5B9BD5" w:themeColor="accent1"/>
          <w:sz w:val="24"/>
          <w:szCs w:val="24"/>
        </w:rPr>
        <w:t>Tovary a</w:t>
      </w:r>
      <w:r w:rsidR="00697268">
        <w:rPr>
          <w:b/>
          <w:color w:val="5B9BD5" w:themeColor="accent1"/>
          <w:sz w:val="24"/>
          <w:szCs w:val="24"/>
        </w:rPr>
        <w:t> </w:t>
      </w:r>
      <w:r w:rsidRPr="0044026B">
        <w:rPr>
          <w:b/>
          <w:color w:val="5B9BD5" w:themeColor="accent1"/>
          <w:sz w:val="24"/>
          <w:szCs w:val="24"/>
        </w:rPr>
        <w:t>služby</w:t>
      </w:r>
    </w:p>
    <w:p w14:paraId="4EC86D9D" w14:textId="304BFB7C" w:rsidR="00697268" w:rsidRDefault="00697268" w:rsidP="00697268">
      <w:pPr>
        <w:suppressAutoHyphens/>
        <w:spacing w:after="160" w:line="240" w:lineRule="auto"/>
        <w:rPr>
          <w:rFonts w:eastAsia="Calibri" w:cs="Times New Roman"/>
          <w:sz w:val="24"/>
          <w:szCs w:val="24"/>
        </w:rPr>
      </w:pPr>
      <w:r w:rsidRPr="00697268">
        <w:rPr>
          <w:rFonts w:eastAsia="Calibri" w:cs="Times New Roman"/>
          <w:sz w:val="24"/>
          <w:szCs w:val="24"/>
        </w:rPr>
        <w:t>Výdavky na tovary a služby boli rozpočtované v sume</w:t>
      </w:r>
      <w:r w:rsidRPr="00697268">
        <w:rPr>
          <w:rFonts w:eastAsia="Calibri" w:cs="Times New Roman"/>
          <w:color w:val="FF0000"/>
          <w:sz w:val="24"/>
          <w:szCs w:val="24"/>
        </w:rPr>
        <w:t xml:space="preserve"> </w:t>
      </w:r>
      <w:r w:rsidRPr="00697268">
        <w:rPr>
          <w:rFonts w:eastAsia="Calibri" w:cs="Times New Roman"/>
          <w:sz w:val="24"/>
          <w:szCs w:val="24"/>
        </w:rPr>
        <w:t>5 899 85</w:t>
      </w:r>
      <w:r w:rsidR="00AB0350">
        <w:rPr>
          <w:rFonts w:eastAsia="Calibri" w:cs="Times New Roman"/>
          <w:sz w:val="24"/>
          <w:szCs w:val="24"/>
        </w:rPr>
        <w:t>4</w:t>
      </w:r>
      <w:r w:rsidRPr="00697268">
        <w:rPr>
          <w:rFonts w:eastAsia="Calibri" w:cs="Times New Roman"/>
          <w:sz w:val="24"/>
          <w:szCs w:val="24"/>
        </w:rPr>
        <w:t> tis. eur a skutočné čerpanie 2 340 65</w:t>
      </w:r>
      <w:r w:rsidR="00AB0350">
        <w:rPr>
          <w:rFonts w:eastAsia="Calibri" w:cs="Times New Roman"/>
          <w:sz w:val="24"/>
          <w:szCs w:val="24"/>
        </w:rPr>
        <w:t>5</w:t>
      </w:r>
      <w:r w:rsidRPr="00697268">
        <w:rPr>
          <w:rFonts w:eastAsia="Calibri" w:cs="Times New Roman"/>
          <w:sz w:val="24"/>
          <w:szCs w:val="24"/>
        </w:rPr>
        <w:t> tis. eur,</w:t>
      </w:r>
      <w:r w:rsidRPr="00697268">
        <w:rPr>
          <w:rFonts w:eastAsia="Calibri" w:cs="Times New Roman"/>
          <w:color w:val="FF0000"/>
          <w:sz w:val="24"/>
          <w:szCs w:val="24"/>
        </w:rPr>
        <w:t xml:space="preserve"> </w:t>
      </w:r>
      <w:r w:rsidRPr="00697268">
        <w:rPr>
          <w:rFonts w:eastAsia="Calibri" w:cs="Times New Roman"/>
          <w:sz w:val="24"/>
          <w:szCs w:val="24"/>
        </w:rPr>
        <w:t>čo je oproti schválenému rozpočtu nižšie o 58,2 %.</w:t>
      </w:r>
      <w:r w:rsidRPr="00697268">
        <w:rPr>
          <w:rFonts w:eastAsia="Calibri" w:cs="Times New Roman"/>
          <w:color w:val="FF0000"/>
          <w:sz w:val="24"/>
          <w:szCs w:val="24"/>
        </w:rPr>
        <w:t xml:space="preserve"> </w:t>
      </w:r>
      <w:r w:rsidRPr="00697268">
        <w:rPr>
          <w:rFonts w:eastAsia="Calibri" w:cs="Times New Roman"/>
          <w:sz w:val="24"/>
          <w:szCs w:val="24"/>
        </w:rPr>
        <w:t xml:space="preserve">Dôvodom je najmä skutočnosť, že v rámci služieb sa rozpočtujú aj zálohové platby na projekty EÚ a prostriedky štátneho rozpočtu na spolufinancovanie projektov v súlade s koncepciou finančného riadenia štrukturálnych fondov a Kohézneho fondu. Zúčtovanie poskytnutých zálohových platieb sa však vykonáva na príslušných položkách rozpočtovej klasifikácie podľa skutočne realizovaných výdavkov (napríklad bežné a kapitálové transfery). </w:t>
      </w:r>
    </w:p>
    <w:tbl>
      <w:tblPr>
        <w:tblW w:w="9214" w:type="dxa"/>
        <w:tblCellMar>
          <w:left w:w="70" w:type="dxa"/>
          <w:right w:w="70" w:type="dxa"/>
        </w:tblCellMar>
        <w:tblLook w:val="04A0" w:firstRow="1" w:lastRow="0" w:firstColumn="1" w:lastColumn="0" w:noHBand="0" w:noVBand="1"/>
      </w:tblPr>
      <w:tblGrid>
        <w:gridCol w:w="2835"/>
        <w:gridCol w:w="975"/>
        <w:gridCol w:w="1152"/>
        <w:gridCol w:w="1210"/>
        <w:gridCol w:w="1016"/>
        <w:gridCol w:w="1152"/>
        <w:gridCol w:w="874"/>
      </w:tblGrid>
      <w:tr w:rsidR="00D31146" w:rsidRPr="00E0194A" w14:paraId="48BFCBF6" w14:textId="77777777" w:rsidTr="0088147E">
        <w:trPr>
          <w:trHeight w:val="330"/>
        </w:trPr>
        <w:tc>
          <w:tcPr>
            <w:tcW w:w="4962" w:type="dxa"/>
            <w:gridSpan w:val="3"/>
            <w:tcBorders>
              <w:top w:val="nil"/>
              <w:left w:val="nil"/>
              <w:bottom w:val="nil"/>
              <w:right w:val="nil"/>
            </w:tcBorders>
            <w:shd w:val="clear" w:color="auto" w:fill="auto"/>
            <w:noWrap/>
            <w:vAlign w:val="bottom"/>
            <w:hideMark/>
          </w:tcPr>
          <w:p w14:paraId="5FD858FD" w14:textId="4D2E9A2F" w:rsidR="00D31146" w:rsidRPr="00E0194A" w:rsidRDefault="00D50C99" w:rsidP="008B3212">
            <w:pPr>
              <w:spacing w:after="0" w:line="240" w:lineRule="auto"/>
              <w:jc w:val="left"/>
              <w:rPr>
                <w:rFonts w:eastAsia="Times New Roman" w:cs="Times New Roman"/>
                <w:sz w:val="20"/>
                <w:szCs w:val="20"/>
                <w:lang w:eastAsia="sk-SK"/>
              </w:rPr>
            </w:pPr>
            <w:r>
              <w:rPr>
                <w:rFonts w:eastAsia="Times New Roman" w:cs="Times New Roman"/>
                <w:b/>
                <w:bCs/>
                <w:color w:val="5B9BD5" w:themeColor="accent1"/>
                <w:sz w:val="20"/>
                <w:szCs w:val="20"/>
                <w:lang w:eastAsia="sk-SK"/>
              </w:rPr>
              <w:t>Tabuľka 3</w:t>
            </w:r>
            <w:r w:rsidR="008B3212">
              <w:rPr>
                <w:rFonts w:eastAsia="Times New Roman" w:cs="Times New Roman"/>
                <w:b/>
                <w:bCs/>
                <w:color w:val="5B9BD5" w:themeColor="accent1"/>
                <w:sz w:val="20"/>
                <w:szCs w:val="20"/>
                <w:lang w:eastAsia="sk-SK"/>
              </w:rPr>
              <w:t>4</w:t>
            </w:r>
            <w:r w:rsidR="00D31146">
              <w:rPr>
                <w:rFonts w:eastAsia="Times New Roman" w:cs="Times New Roman"/>
                <w:b/>
                <w:bCs/>
                <w:color w:val="5B9BD5" w:themeColor="accent1"/>
                <w:sz w:val="20"/>
                <w:szCs w:val="20"/>
                <w:lang w:eastAsia="sk-SK"/>
              </w:rPr>
              <w:t xml:space="preserve"> - </w:t>
            </w:r>
            <w:r w:rsidR="00D31146" w:rsidRPr="00E0194A">
              <w:rPr>
                <w:rFonts w:eastAsia="Times New Roman" w:cs="Times New Roman"/>
                <w:b/>
                <w:bCs/>
                <w:color w:val="5B9BD5"/>
                <w:sz w:val="20"/>
                <w:szCs w:val="20"/>
                <w:lang w:eastAsia="sk-SK"/>
              </w:rPr>
              <w:t>Tovary a služby</w:t>
            </w:r>
          </w:p>
        </w:tc>
        <w:tc>
          <w:tcPr>
            <w:tcW w:w="1210" w:type="dxa"/>
            <w:tcBorders>
              <w:top w:val="nil"/>
              <w:left w:val="nil"/>
              <w:bottom w:val="nil"/>
              <w:right w:val="nil"/>
            </w:tcBorders>
            <w:shd w:val="clear" w:color="auto" w:fill="auto"/>
            <w:noWrap/>
            <w:vAlign w:val="bottom"/>
            <w:hideMark/>
          </w:tcPr>
          <w:p w14:paraId="09DADC59" w14:textId="77777777" w:rsidR="00D31146" w:rsidRPr="00E0194A" w:rsidRDefault="00D31146" w:rsidP="00C06501">
            <w:pPr>
              <w:spacing w:after="0" w:line="240" w:lineRule="auto"/>
              <w:jc w:val="left"/>
              <w:rPr>
                <w:rFonts w:eastAsia="Times New Roman" w:cs="Times New Roman"/>
                <w:sz w:val="20"/>
                <w:szCs w:val="20"/>
                <w:lang w:eastAsia="sk-SK"/>
              </w:rPr>
            </w:pPr>
          </w:p>
        </w:tc>
        <w:tc>
          <w:tcPr>
            <w:tcW w:w="1016" w:type="dxa"/>
            <w:tcBorders>
              <w:top w:val="nil"/>
              <w:left w:val="nil"/>
              <w:bottom w:val="nil"/>
              <w:right w:val="nil"/>
            </w:tcBorders>
            <w:shd w:val="clear" w:color="auto" w:fill="auto"/>
            <w:noWrap/>
            <w:vAlign w:val="bottom"/>
            <w:hideMark/>
          </w:tcPr>
          <w:p w14:paraId="2C43EE2B" w14:textId="77777777" w:rsidR="00D31146" w:rsidRPr="00E0194A" w:rsidRDefault="00D31146" w:rsidP="00C06501">
            <w:pPr>
              <w:spacing w:after="0" w:line="240" w:lineRule="auto"/>
              <w:jc w:val="left"/>
              <w:rPr>
                <w:rFonts w:eastAsia="Times New Roman" w:cs="Times New Roman"/>
                <w:sz w:val="20"/>
                <w:szCs w:val="20"/>
                <w:lang w:eastAsia="sk-SK"/>
              </w:rPr>
            </w:pPr>
          </w:p>
        </w:tc>
        <w:tc>
          <w:tcPr>
            <w:tcW w:w="1152" w:type="dxa"/>
            <w:tcBorders>
              <w:top w:val="nil"/>
              <w:left w:val="nil"/>
              <w:bottom w:val="nil"/>
              <w:right w:val="nil"/>
            </w:tcBorders>
            <w:shd w:val="clear" w:color="auto" w:fill="auto"/>
            <w:noWrap/>
            <w:vAlign w:val="bottom"/>
            <w:hideMark/>
          </w:tcPr>
          <w:p w14:paraId="4514A510" w14:textId="77777777" w:rsidR="00D31146" w:rsidRPr="00E0194A" w:rsidRDefault="00D31146" w:rsidP="00C06501">
            <w:pPr>
              <w:spacing w:after="0" w:line="240" w:lineRule="auto"/>
              <w:jc w:val="left"/>
              <w:rPr>
                <w:rFonts w:eastAsia="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440D2E8E" w14:textId="77777777" w:rsidR="00D31146" w:rsidRPr="00E0194A" w:rsidRDefault="00D31146" w:rsidP="00C06501">
            <w:pPr>
              <w:spacing w:after="0" w:line="240" w:lineRule="auto"/>
              <w:jc w:val="left"/>
              <w:rPr>
                <w:rFonts w:eastAsia="Times New Roman" w:cs="Times New Roman"/>
                <w:sz w:val="20"/>
                <w:szCs w:val="20"/>
                <w:lang w:eastAsia="sk-SK"/>
              </w:rPr>
            </w:pPr>
          </w:p>
        </w:tc>
      </w:tr>
      <w:tr w:rsidR="00D31146" w:rsidRPr="00E0194A" w14:paraId="4CA2BBE4" w14:textId="77777777" w:rsidTr="0088147E">
        <w:trPr>
          <w:trHeight w:val="289"/>
        </w:trPr>
        <w:tc>
          <w:tcPr>
            <w:tcW w:w="2835" w:type="dxa"/>
            <w:vMerge w:val="restart"/>
            <w:tcBorders>
              <w:top w:val="single" w:sz="4" w:space="0" w:color="auto"/>
              <w:left w:val="nil"/>
              <w:right w:val="nil"/>
            </w:tcBorders>
            <w:shd w:val="clear" w:color="000000" w:fill="FFFFFF"/>
            <w:vAlign w:val="center"/>
            <w:hideMark/>
          </w:tcPr>
          <w:p w14:paraId="0100760F" w14:textId="77777777" w:rsidR="00D31146" w:rsidRPr="00A71CC7" w:rsidRDefault="00D31146" w:rsidP="00C06501">
            <w:pPr>
              <w:spacing w:after="0" w:line="240" w:lineRule="auto"/>
              <w:jc w:val="left"/>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v tis. eur</w:t>
            </w:r>
            <w:r w:rsidRPr="00A71CC7">
              <w:rPr>
                <w:rFonts w:eastAsia="Times New Roman" w:cs="Times New Roman"/>
                <w:color w:val="000000"/>
                <w:sz w:val="20"/>
                <w:szCs w:val="20"/>
                <w:lang w:eastAsia="sk-SK"/>
              </w:rPr>
              <w:t> </w:t>
            </w:r>
          </w:p>
        </w:tc>
        <w:tc>
          <w:tcPr>
            <w:tcW w:w="975" w:type="dxa"/>
            <w:tcBorders>
              <w:top w:val="single" w:sz="4" w:space="0" w:color="auto"/>
              <w:left w:val="nil"/>
              <w:bottom w:val="nil"/>
              <w:right w:val="nil"/>
            </w:tcBorders>
            <w:shd w:val="clear" w:color="000000" w:fill="FFFFFF"/>
            <w:noWrap/>
            <w:vAlign w:val="center"/>
            <w:hideMark/>
          </w:tcPr>
          <w:p w14:paraId="09BDE130" w14:textId="6B7DB3BD" w:rsidR="00D31146" w:rsidRPr="00A71CC7" w:rsidRDefault="00D31146" w:rsidP="00D31146">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20</w:t>
            </w:r>
            <w:r>
              <w:rPr>
                <w:rFonts w:eastAsia="Times New Roman" w:cs="Times New Roman"/>
                <w:b/>
                <w:bCs/>
                <w:color w:val="000000"/>
                <w:sz w:val="20"/>
                <w:szCs w:val="20"/>
                <w:lang w:eastAsia="sk-SK"/>
              </w:rPr>
              <w:t>20</w:t>
            </w:r>
            <w:r w:rsidRPr="00A71CC7">
              <w:rPr>
                <w:rFonts w:eastAsia="Times New Roman" w:cs="Times New Roman"/>
                <w:b/>
                <w:bCs/>
                <w:color w:val="000000"/>
                <w:sz w:val="20"/>
                <w:szCs w:val="20"/>
                <w:lang w:eastAsia="sk-SK"/>
              </w:rPr>
              <w:t xml:space="preserve"> S</w:t>
            </w:r>
          </w:p>
        </w:tc>
        <w:tc>
          <w:tcPr>
            <w:tcW w:w="1152" w:type="dxa"/>
            <w:tcBorders>
              <w:top w:val="single" w:sz="4" w:space="0" w:color="auto"/>
              <w:left w:val="nil"/>
              <w:bottom w:val="nil"/>
              <w:right w:val="nil"/>
            </w:tcBorders>
            <w:shd w:val="clear" w:color="000000" w:fill="FFFFFF"/>
            <w:noWrap/>
            <w:vAlign w:val="center"/>
            <w:hideMark/>
          </w:tcPr>
          <w:p w14:paraId="5474A9B5" w14:textId="27BC66AF" w:rsidR="00D31146" w:rsidRPr="00A71CC7" w:rsidRDefault="00D31146" w:rsidP="00C06501">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2021</w:t>
            </w:r>
            <w:r w:rsidRPr="00A71CC7">
              <w:rPr>
                <w:rFonts w:eastAsia="Times New Roman" w:cs="Times New Roman"/>
                <w:b/>
                <w:bCs/>
                <w:color w:val="000000"/>
                <w:sz w:val="20"/>
                <w:szCs w:val="20"/>
                <w:lang w:eastAsia="sk-SK"/>
              </w:rPr>
              <w:t xml:space="preserve"> S</w:t>
            </w:r>
          </w:p>
        </w:tc>
        <w:tc>
          <w:tcPr>
            <w:tcW w:w="1210" w:type="dxa"/>
            <w:tcBorders>
              <w:top w:val="single" w:sz="4" w:space="0" w:color="auto"/>
              <w:left w:val="nil"/>
              <w:bottom w:val="nil"/>
              <w:right w:val="nil"/>
            </w:tcBorders>
            <w:shd w:val="clear" w:color="000000" w:fill="FFFFFF"/>
            <w:noWrap/>
            <w:vAlign w:val="center"/>
            <w:hideMark/>
          </w:tcPr>
          <w:p w14:paraId="1A9F5DBC" w14:textId="420E3AA3" w:rsidR="00D31146" w:rsidRPr="00A71CC7" w:rsidRDefault="00D31146" w:rsidP="00D31146">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202</w:t>
            </w:r>
            <w:r>
              <w:rPr>
                <w:rFonts w:eastAsia="Times New Roman" w:cs="Times New Roman"/>
                <w:b/>
                <w:bCs/>
                <w:color w:val="000000"/>
                <w:sz w:val="20"/>
                <w:szCs w:val="20"/>
                <w:lang w:eastAsia="sk-SK"/>
              </w:rPr>
              <w:t>2</w:t>
            </w:r>
            <w:r w:rsidRPr="00A71CC7">
              <w:rPr>
                <w:rFonts w:eastAsia="Times New Roman" w:cs="Times New Roman"/>
                <w:b/>
                <w:bCs/>
                <w:color w:val="000000"/>
                <w:sz w:val="20"/>
                <w:szCs w:val="20"/>
                <w:lang w:eastAsia="sk-SK"/>
              </w:rPr>
              <w:t xml:space="preserve"> R</w:t>
            </w:r>
          </w:p>
        </w:tc>
        <w:tc>
          <w:tcPr>
            <w:tcW w:w="1016" w:type="dxa"/>
            <w:tcBorders>
              <w:top w:val="single" w:sz="4" w:space="0" w:color="auto"/>
              <w:left w:val="nil"/>
              <w:bottom w:val="nil"/>
              <w:right w:val="nil"/>
            </w:tcBorders>
            <w:shd w:val="clear" w:color="000000" w:fill="FFFFFF"/>
            <w:noWrap/>
            <w:vAlign w:val="center"/>
            <w:hideMark/>
          </w:tcPr>
          <w:p w14:paraId="6EDBB056" w14:textId="7589F3C0" w:rsidR="00D31146" w:rsidRPr="00A71CC7" w:rsidRDefault="00D31146" w:rsidP="00D31146">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202</w:t>
            </w:r>
            <w:r>
              <w:rPr>
                <w:rFonts w:eastAsia="Times New Roman" w:cs="Times New Roman"/>
                <w:b/>
                <w:bCs/>
                <w:color w:val="000000"/>
                <w:sz w:val="20"/>
                <w:szCs w:val="20"/>
                <w:lang w:eastAsia="sk-SK"/>
              </w:rPr>
              <w:t>2</w:t>
            </w:r>
            <w:r w:rsidRPr="00A71CC7">
              <w:rPr>
                <w:rFonts w:eastAsia="Times New Roman" w:cs="Times New Roman"/>
                <w:b/>
                <w:bCs/>
                <w:color w:val="000000"/>
                <w:sz w:val="20"/>
                <w:szCs w:val="20"/>
                <w:lang w:eastAsia="sk-SK"/>
              </w:rPr>
              <w:t xml:space="preserve"> S</w:t>
            </w:r>
          </w:p>
        </w:tc>
        <w:tc>
          <w:tcPr>
            <w:tcW w:w="1152" w:type="dxa"/>
            <w:tcBorders>
              <w:top w:val="single" w:sz="4" w:space="0" w:color="auto"/>
              <w:left w:val="nil"/>
              <w:bottom w:val="nil"/>
              <w:right w:val="nil"/>
            </w:tcBorders>
            <w:shd w:val="clear" w:color="000000" w:fill="FFFFFF"/>
            <w:noWrap/>
            <w:vAlign w:val="center"/>
            <w:hideMark/>
          </w:tcPr>
          <w:p w14:paraId="7D08D889" w14:textId="77777777" w:rsidR="00D31146" w:rsidRPr="00A71CC7" w:rsidRDefault="00D31146" w:rsidP="00C06501">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Rozdiel</w:t>
            </w:r>
          </w:p>
        </w:tc>
        <w:tc>
          <w:tcPr>
            <w:tcW w:w="874" w:type="dxa"/>
            <w:tcBorders>
              <w:top w:val="single" w:sz="4" w:space="0" w:color="auto"/>
              <w:left w:val="nil"/>
              <w:bottom w:val="nil"/>
              <w:right w:val="nil"/>
            </w:tcBorders>
            <w:shd w:val="clear" w:color="000000" w:fill="FFFFFF"/>
            <w:noWrap/>
            <w:vAlign w:val="center"/>
            <w:hideMark/>
          </w:tcPr>
          <w:p w14:paraId="5768055E" w14:textId="77777777" w:rsidR="00D31146" w:rsidRPr="00A71CC7" w:rsidRDefault="00D31146" w:rsidP="00C06501">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v %</w:t>
            </w:r>
          </w:p>
        </w:tc>
      </w:tr>
      <w:tr w:rsidR="00D31146" w:rsidRPr="00E0194A" w14:paraId="35839149" w14:textId="77777777" w:rsidTr="0088147E">
        <w:trPr>
          <w:trHeight w:val="289"/>
        </w:trPr>
        <w:tc>
          <w:tcPr>
            <w:tcW w:w="2835" w:type="dxa"/>
            <w:vMerge/>
            <w:tcBorders>
              <w:left w:val="nil"/>
              <w:bottom w:val="single" w:sz="4" w:space="0" w:color="auto"/>
              <w:right w:val="nil"/>
            </w:tcBorders>
            <w:shd w:val="clear" w:color="000000" w:fill="FFFFFF"/>
            <w:vAlign w:val="center"/>
            <w:hideMark/>
          </w:tcPr>
          <w:p w14:paraId="1A0F0461" w14:textId="77777777" w:rsidR="00D31146" w:rsidRPr="00A71CC7" w:rsidRDefault="00D31146" w:rsidP="00C06501">
            <w:pPr>
              <w:spacing w:after="0" w:line="240" w:lineRule="auto"/>
              <w:jc w:val="left"/>
              <w:rPr>
                <w:rFonts w:eastAsia="Times New Roman" w:cs="Times New Roman"/>
                <w:color w:val="000000"/>
                <w:sz w:val="20"/>
                <w:szCs w:val="20"/>
                <w:lang w:eastAsia="sk-SK"/>
              </w:rPr>
            </w:pPr>
          </w:p>
        </w:tc>
        <w:tc>
          <w:tcPr>
            <w:tcW w:w="975" w:type="dxa"/>
            <w:tcBorders>
              <w:top w:val="nil"/>
              <w:left w:val="nil"/>
              <w:bottom w:val="single" w:sz="4" w:space="0" w:color="auto"/>
              <w:right w:val="nil"/>
            </w:tcBorders>
            <w:shd w:val="clear" w:color="000000" w:fill="FFFFFF"/>
            <w:noWrap/>
            <w:vAlign w:val="center"/>
            <w:hideMark/>
          </w:tcPr>
          <w:p w14:paraId="4D27BBF4" w14:textId="77777777" w:rsidR="00D31146" w:rsidRPr="00A71CC7" w:rsidRDefault="00D31146" w:rsidP="00C06501">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1</w:t>
            </w:r>
          </w:p>
        </w:tc>
        <w:tc>
          <w:tcPr>
            <w:tcW w:w="1152" w:type="dxa"/>
            <w:tcBorders>
              <w:top w:val="nil"/>
              <w:left w:val="nil"/>
              <w:bottom w:val="single" w:sz="4" w:space="0" w:color="auto"/>
              <w:right w:val="nil"/>
            </w:tcBorders>
            <w:shd w:val="clear" w:color="000000" w:fill="FFFFFF"/>
            <w:noWrap/>
            <w:vAlign w:val="center"/>
            <w:hideMark/>
          </w:tcPr>
          <w:p w14:paraId="08625AC2" w14:textId="77777777" w:rsidR="00D31146" w:rsidRPr="00A71CC7" w:rsidRDefault="00D31146" w:rsidP="00C06501">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2</w:t>
            </w:r>
          </w:p>
        </w:tc>
        <w:tc>
          <w:tcPr>
            <w:tcW w:w="1210" w:type="dxa"/>
            <w:tcBorders>
              <w:top w:val="nil"/>
              <w:left w:val="nil"/>
              <w:bottom w:val="single" w:sz="4" w:space="0" w:color="auto"/>
              <w:right w:val="nil"/>
            </w:tcBorders>
            <w:shd w:val="clear" w:color="000000" w:fill="FFFFFF"/>
            <w:noWrap/>
            <w:vAlign w:val="center"/>
            <w:hideMark/>
          </w:tcPr>
          <w:p w14:paraId="40407328" w14:textId="77777777" w:rsidR="00D31146" w:rsidRPr="00A71CC7" w:rsidRDefault="00D31146" w:rsidP="00C06501">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3</w:t>
            </w:r>
          </w:p>
        </w:tc>
        <w:tc>
          <w:tcPr>
            <w:tcW w:w="1016" w:type="dxa"/>
            <w:tcBorders>
              <w:top w:val="nil"/>
              <w:left w:val="nil"/>
              <w:bottom w:val="single" w:sz="4" w:space="0" w:color="auto"/>
              <w:right w:val="nil"/>
            </w:tcBorders>
            <w:shd w:val="clear" w:color="000000" w:fill="FFFFFF"/>
            <w:noWrap/>
            <w:vAlign w:val="center"/>
            <w:hideMark/>
          </w:tcPr>
          <w:p w14:paraId="038EA598" w14:textId="77777777" w:rsidR="00D31146" w:rsidRPr="00A71CC7" w:rsidRDefault="00D31146" w:rsidP="00C06501">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4</w:t>
            </w:r>
          </w:p>
        </w:tc>
        <w:tc>
          <w:tcPr>
            <w:tcW w:w="1152" w:type="dxa"/>
            <w:tcBorders>
              <w:top w:val="nil"/>
              <w:left w:val="nil"/>
              <w:bottom w:val="single" w:sz="4" w:space="0" w:color="auto"/>
              <w:right w:val="nil"/>
            </w:tcBorders>
            <w:shd w:val="clear" w:color="000000" w:fill="FFFFFF"/>
            <w:noWrap/>
            <w:vAlign w:val="center"/>
            <w:hideMark/>
          </w:tcPr>
          <w:p w14:paraId="12736674" w14:textId="77777777" w:rsidR="00D31146" w:rsidRPr="00A71CC7" w:rsidRDefault="00D31146" w:rsidP="00C06501">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5=4-3</w:t>
            </w:r>
          </w:p>
        </w:tc>
        <w:tc>
          <w:tcPr>
            <w:tcW w:w="874" w:type="dxa"/>
            <w:tcBorders>
              <w:top w:val="nil"/>
              <w:left w:val="nil"/>
              <w:bottom w:val="single" w:sz="4" w:space="0" w:color="auto"/>
              <w:right w:val="nil"/>
            </w:tcBorders>
            <w:shd w:val="clear" w:color="000000" w:fill="FFFFFF"/>
            <w:noWrap/>
            <w:vAlign w:val="center"/>
            <w:hideMark/>
          </w:tcPr>
          <w:p w14:paraId="702E2663" w14:textId="77777777" w:rsidR="00D31146" w:rsidRPr="00A71CC7" w:rsidRDefault="00D31146" w:rsidP="00C06501">
            <w:pPr>
              <w:spacing w:after="0" w:line="240" w:lineRule="auto"/>
              <w:jc w:val="center"/>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6=4-3</w:t>
            </w:r>
          </w:p>
        </w:tc>
      </w:tr>
      <w:tr w:rsidR="00D31146" w:rsidRPr="00E0194A" w14:paraId="3FE9C356" w14:textId="77777777" w:rsidTr="0088147E">
        <w:trPr>
          <w:trHeight w:val="289"/>
        </w:trPr>
        <w:tc>
          <w:tcPr>
            <w:tcW w:w="2835" w:type="dxa"/>
            <w:tcBorders>
              <w:top w:val="nil"/>
              <w:left w:val="nil"/>
              <w:bottom w:val="nil"/>
              <w:right w:val="nil"/>
            </w:tcBorders>
            <w:shd w:val="clear" w:color="auto" w:fill="auto"/>
            <w:vAlign w:val="center"/>
            <w:hideMark/>
          </w:tcPr>
          <w:p w14:paraId="136977F6" w14:textId="77777777" w:rsidR="00D31146" w:rsidRPr="00A71CC7" w:rsidRDefault="00D31146" w:rsidP="00D31146">
            <w:pPr>
              <w:spacing w:after="0" w:line="240" w:lineRule="auto"/>
              <w:jc w:val="left"/>
              <w:rPr>
                <w:rFonts w:eastAsia="Times New Roman" w:cs="Times New Roman"/>
                <w:color w:val="000000"/>
                <w:sz w:val="20"/>
                <w:szCs w:val="20"/>
                <w:lang w:eastAsia="sk-SK"/>
              </w:rPr>
            </w:pPr>
            <w:r w:rsidRPr="00A71CC7">
              <w:rPr>
                <w:rFonts w:eastAsia="Times New Roman" w:cs="Times New Roman"/>
                <w:color w:val="000000"/>
                <w:sz w:val="20"/>
                <w:szCs w:val="20"/>
                <w:lang w:eastAsia="sk-SK"/>
              </w:rPr>
              <w:t>Služby</w:t>
            </w:r>
          </w:p>
        </w:tc>
        <w:tc>
          <w:tcPr>
            <w:tcW w:w="975" w:type="dxa"/>
            <w:tcBorders>
              <w:top w:val="nil"/>
              <w:left w:val="nil"/>
              <w:bottom w:val="nil"/>
              <w:right w:val="nil"/>
            </w:tcBorders>
            <w:shd w:val="clear" w:color="auto" w:fill="auto"/>
            <w:noWrap/>
            <w:vAlign w:val="center"/>
            <w:hideMark/>
          </w:tcPr>
          <w:p w14:paraId="502BD50F" w14:textId="3D15B118"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1 085 979</w:t>
            </w:r>
          </w:p>
        </w:tc>
        <w:tc>
          <w:tcPr>
            <w:tcW w:w="1152" w:type="dxa"/>
            <w:tcBorders>
              <w:top w:val="nil"/>
              <w:left w:val="nil"/>
              <w:bottom w:val="nil"/>
              <w:right w:val="nil"/>
            </w:tcBorders>
            <w:shd w:val="clear" w:color="000000" w:fill="FFFFFF"/>
            <w:noWrap/>
            <w:vAlign w:val="center"/>
            <w:hideMark/>
          </w:tcPr>
          <w:p w14:paraId="3C997F3C" w14:textId="58700291"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918 147</w:t>
            </w:r>
          </w:p>
        </w:tc>
        <w:tc>
          <w:tcPr>
            <w:tcW w:w="1210" w:type="dxa"/>
            <w:tcBorders>
              <w:top w:val="nil"/>
              <w:left w:val="nil"/>
              <w:bottom w:val="nil"/>
              <w:right w:val="nil"/>
            </w:tcBorders>
            <w:shd w:val="clear" w:color="auto" w:fill="auto"/>
            <w:noWrap/>
            <w:vAlign w:val="center"/>
            <w:hideMark/>
          </w:tcPr>
          <w:p w14:paraId="67B2F204" w14:textId="146F1DA6"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4 583 164</w:t>
            </w:r>
          </w:p>
        </w:tc>
        <w:tc>
          <w:tcPr>
            <w:tcW w:w="1016" w:type="dxa"/>
            <w:tcBorders>
              <w:top w:val="nil"/>
              <w:left w:val="nil"/>
              <w:bottom w:val="nil"/>
              <w:right w:val="nil"/>
            </w:tcBorders>
            <w:shd w:val="clear" w:color="auto" w:fill="auto"/>
            <w:noWrap/>
            <w:vAlign w:val="center"/>
            <w:hideMark/>
          </w:tcPr>
          <w:p w14:paraId="56FB7FC2" w14:textId="35C9386F"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980 629</w:t>
            </w:r>
          </w:p>
        </w:tc>
        <w:tc>
          <w:tcPr>
            <w:tcW w:w="1152" w:type="dxa"/>
            <w:tcBorders>
              <w:top w:val="nil"/>
              <w:left w:val="nil"/>
              <w:bottom w:val="nil"/>
              <w:right w:val="nil"/>
            </w:tcBorders>
            <w:shd w:val="clear" w:color="auto" w:fill="auto"/>
            <w:noWrap/>
            <w:vAlign w:val="center"/>
            <w:hideMark/>
          </w:tcPr>
          <w:p w14:paraId="09611C6F" w14:textId="3285BC88" w:rsidR="00D31146" w:rsidRPr="00A71CC7" w:rsidRDefault="00D31146" w:rsidP="00D31146">
            <w:pPr>
              <w:spacing w:after="0" w:line="240" w:lineRule="auto"/>
              <w:jc w:val="right"/>
              <w:rPr>
                <w:rFonts w:eastAsia="Times New Roman" w:cs="Times New Roman"/>
                <w:color w:val="000000"/>
                <w:sz w:val="20"/>
                <w:szCs w:val="20"/>
                <w:lang w:eastAsia="sk-SK"/>
              </w:rPr>
            </w:pPr>
            <w:r>
              <w:rPr>
                <w:color w:val="000000"/>
                <w:sz w:val="18"/>
                <w:szCs w:val="18"/>
              </w:rPr>
              <w:t>-3 602 535</w:t>
            </w:r>
          </w:p>
        </w:tc>
        <w:tc>
          <w:tcPr>
            <w:tcW w:w="874" w:type="dxa"/>
            <w:tcBorders>
              <w:top w:val="nil"/>
              <w:left w:val="nil"/>
              <w:bottom w:val="nil"/>
              <w:right w:val="nil"/>
            </w:tcBorders>
            <w:shd w:val="clear" w:color="auto" w:fill="auto"/>
            <w:noWrap/>
            <w:vAlign w:val="center"/>
            <w:hideMark/>
          </w:tcPr>
          <w:p w14:paraId="6D8C7177" w14:textId="1FF017C0"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-78,6</w:t>
            </w:r>
          </w:p>
        </w:tc>
      </w:tr>
      <w:tr w:rsidR="00D31146" w:rsidRPr="00E0194A" w14:paraId="222E4E23" w14:textId="77777777" w:rsidTr="0088147E">
        <w:trPr>
          <w:trHeight w:val="289"/>
        </w:trPr>
        <w:tc>
          <w:tcPr>
            <w:tcW w:w="2835" w:type="dxa"/>
            <w:tcBorders>
              <w:top w:val="nil"/>
              <w:left w:val="nil"/>
              <w:bottom w:val="nil"/>
              <w:right w:val="nil"/>
            </w:tcBorders>
            <w:shd w:val="clear" w:color="auto" w:fill="auto"/>
            <w:vAlign w:val="center"/>
            <w:hideMark/>
          </w:tcPr>
          <w:p w14:paraId="05F7A3AC" w14:textId="77777777" w:rsidR="00D31146" w:rsidRPr="00A71CC7" w:rsidRDefault="00D31146" w:rsidP="00D31146">
            <w:pPr>
              <w:spacing w:after="0" w:line="240" w:lineRule="auto"/>
              <w:jc w:val="left"/>
              <w:rPr>
                <w:rFonts w:eastAsia="Times New Roman" w:cs="Times New Roman"/>
                <w:color w:val="000000"/>
                <w:sz w:val="20"/>
                <w:szCs w:val="20"/>
                <w:lang w:eastAsia="sk-SK"/>
              </w:rPr>
            </w:pPr>
            <w:r w:rsidRPr="00A71CC7">
              <w:rPr>
                <w:rFonts w:eastAsia="Times New Roman" w:cs="Times New Roman"/>
                <w:color w:val="000000"/>
                <w:sz w:val="20"/>
                <w:szCs w:val="20"/>
                <w:lang w:eastAsia="sk-SK"/>
              </w:rPr>
              <w:t>materiál</w:t>
            </w:r>
          </w:p>
        </w:tc>
        <w:tc>
          <w:tcPr>
            <w:tcW w:w="975" w:type="dxa"/>
            <w:tcBorders>
              <w:top w:val="nil"/>
              <w:left w:val="nil"/>
              <w:bottom w:val="nil"/>
              <w:right w:val="nil"/>
            </w:tcBorders>
            <w:shd w:val="clear" w:color="auto" w:fill="auto"/>
            <w:noWrap/>
            <w:vAlign w:val="center"/>
            <w:hideMark/>
          </w:tcPr>
          <w:p w14:paraId="084EA068" w14:textId="6ADC15B0"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366 310</w:t>
            </w:r>
          </w:p>
        </w:tc>
        <w:tc>
          <w:tcPr>
            <w:tcW w:w="1152" w:type="dxa"/>
            <w:tcBorders>
              <w:top w:val="nil"/>
              <w:left w:val="nil"/>
              <w:bottom w:val="nil"/>
              <w:right w:val="nil"/>
            </w:tcBorders>
            <w:shd w:val="clear" w:color="000000" w:fill="FFFFFF"/>
            <w:noWrap/>
            <w:vAlign w:val="center"/>
            <w:hideMark/>
          </w:tcPr>
          <w:p w14:paraId="4B6C5B9F" w14:textId="3C94A73B"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511 926</w:t>
            </w:r>
          </w:p>
        </w:tc>
        <w:tc>
          <w:tcPr>
            <w:tcW w:w="1210" w:type="dxa"/>
            <w:tcBorders>
              <w:top w:val="nil"/>
              <w:left w:val="nil"/>
              <w:bottom w:val="nil"/>
              <w:right w:val="nil"/>
            </w:tcBorders>
            <w:shd w:val="clear" w:color="auto" w:fill="auto"/>
            <w:noWrap/>
            <w:vAlign w:val="center"/>
            <w:hideMark/>
          </w:tcPr>
          <w:p w14:paraId="1703B230" w14:textId="467A2617"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357 99</w:t>
            </w:r>
            <w:r>
              <w:rPr>
                <w:rFonts w:eastAsia="Times New Roman" w:cs="Times New Roman"/>
                <w:color w:val="000000"/>
                <w:sz w:val="18"/>
                <w:szCs w:val="18"/>
                <w:lang w:eastAsia="sk-SK"/>
              </w:rPr>
              <w:t>4</w:t>
            </w:r>
          </w:p>
        </w:tc>
        <w:tc>
          <w:tcPr>
            <w:tcW w:w="1016" w:type="dxa"/>
            <w:tcBorders>
              <w:top w:val="nil"/>
              <w:left w:val="nil"/>
              <w:bottom w:val="nil"/>
              <w:right w:val="nil"/>
            </w:tcBorders>
            <w:shd w:val="clear" w:color="auto" w:fill="auto"/>
            <w:noWrap/>
            <w:vAlign w:val="center"/>
            <w:hideMark/>
          </w:tcPr>
          <w:p w14:paraId="03D7A399" w14:textId="626170A6"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532 806</w:t>
            </w:r>
          </w:p>
        </w:tc>
        <w:tc>
          <w:tcPr>
            <w:tcW w:w="1152" w:type="dxa"/>
            <w:tcBorders>
              <w:top w:val="nil"/>
              <w:left w:val="nil"/>
              <w:bottom w:val="nil"/>
              <w:right w:val="nil"/>
            </w:tcBorders>
            <w:shd w:val="clear" w:color="auto" w:fill="auto"/>
            <w:noWrap/>
            <w:vAlign w:val="center"/>
            <w:hideMark/>
          </w:tcPr>
          <w:p w14:paraId="02ABD4FD" w14:textId="0F35F362" w:rsidR="00D31146" w:rsidRPr="00A71CC7" w:rsidRDefault="00D31146" w:rsidP="00D31146">
            <w:pPr>
              <w:spacing w:after="0" w:line="240" w:lineRule="auto"/>
              <w:jc w:val="right"/>
              <w:rPr>
                <w:rFonts w:eastAsia="Times New Roman" w:cs="Times New Roman"/>
                <w:color w:val="000000"/>
                <w:sz w:val="20"/>
                <w:szCs w:val="20"/>
                <w:lang w:eastAsia="sk-SK"/>
              </w:rPr>
            </w:pPr>
            <w:r>
              <w:rPr>
                <w:color w:val="000000"/>
                <w:sz w:val="18"/>
                <w:szCs w:val="18"/>
              </w:rPr>
              <w:t>174 812</w:t>
            </w:r>
          </w:p>
        </w:tc>
        <w:tc>
          <w:tcPr>
            <w:tcW w:w="874" w:type="dxa"/>
            <w:tcBorders>
              <w:top w:val="nil"/>
              <w:left w:val="nil"/>
              <w:bottom w:val="nil"/>
              <w:right w:val="nil"/>
            </w:tcBorders>
            <w:shd w:val="clear" w:color="auto" w:fill="auto"/>
            <w:noWrap/>
            <w:vAlign w:val="center"/>
            <w:hideMark/>
          </w:tcPr>
          <w:p w14:paraId="1516AE6D" w14:textId="1FC4794B"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48,8</w:t>
            </w:r>
          </w:p>
        </w:tc>
      </w:tr>
      <w:tr w:rsidR="00D31146" w:rsidRPr="00E0194A" w14:paraId="53DB0B3E" w14:textId="77777777" w:rsidTr="0088147E">
        <w:trPr>
          <w:trHeight w:val="289"/>
        </w:trPr>
        <w:tc>
          <w:tcPr>
            <w:tcW w:w="2835" w:type="dxa"/>
            <w:tcBorders>
              <w:top w:val="nil"/>
              <w:left w:val="nil"/>
              <w:bottom w:val="nil"/>
              <w:right w:val="nil"/>
            </w:tcBorders>
            <w:shd w:val="clear" w:color="auto" w:fill="auto"/>
            <w:vAlign w:val="center"/>
            <w:hideMark/>
          </w:tcPr>
          <w:p w14:paraId="65786A95" w14:textId="77777777" w:rsidR="00D31146" w:rsidRPr="00A71CC7" w:rsidRDefault="00D31146" w:rsidP="00D31146">
            <w:pPr>
              <w:spacing w:after="0" w:line="240" w:lineRule="auto"/>
              <w:jc w:val="left"/>
              <w:rPr>
                <w:rFonts w:eastAsia="Times New Roman" w:cs="Times New Roman"/>
                <w:color w:val="000000"/>
                <w:sz w:val="20"/>
                <w:szCs w:val="20"/>
                <w:lang w:eastAsia="sk-SK"/>
              </w:rPr>
            </w:pPr>
            <w:r w:rsidRPr="00A71CC7">
              <w:rPr>
                <w:rFonts w:eastAsia="Times New Roman" w:cs="Times New Roman"/>
                <w:color w:val="000000"/>
                <w:sz w:val="20"/>
                <w:szCs w:val="20"/>
                <w:lang w:eastAsia="sk-SK"/>
              </w:rPr>
              <w:t>Rutinná a štandardná údržba</w:t>
            </w:r>
          </w:p>
        </w:tc>
        <w:tc>
          <w:tcPr>
            <w:tcW w:w="975" w:type="dxa"/>
            <w:tcBorders>
              <w:top w:val="nil"/>
              <w:left w:val="nil"/>
              <w:bottom w:val="nil"/>
              <w:right w:val="nil"/>
            </w:tcBorders>
            <w:shd w:val="clear" w:color="auto" w:fill="auto"/>
            <w:noWrap/>
            <w:vAlign w:val="center"/>
            <w:hideMark/>
          </w:tcPr>
          <w:p w14:paraId="579DB61C" w14:textId="599805BE"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343 076</w:t>
            </w:r>
          </w:p>
        </w:tc>
        <w:tc>
          <w:tcPr>
            <w:tcW w:w="1152" w:type="dxa"/>
            <w:tcBorders>
              <w:top w:val="nil"/>
              <w:left w:val="nil"/>
              <w:bottom w:val="nil"/>
              <w:right w:val="nil"/>
            </w:tcBorders>
            <w:shd w:val="clear" w:color="000000" w:fill="FFFFFF"/>
            <w:noWrap/>
            <w:vAlign w:val="center"/>
            <w:hideMark/>
          </w:tcPr>
          <w:p w14:paraId="58604429" w14:textId="118BCEC3"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441 904</w:t>
            </w:r>
          </w:p>
        </w:tc>
        <w:tc>
          <w:tcPr>
            <w:tcW w:w="1210" w:type="dxa"/>
            <w:tcBorders>
              <w:top w:val="nil"/>
              <w:left w:val="nil"/>
              <w:bottom w:val="nil"/>
              <w:right w:val="nil"/>
            </w:tcBorders>
            <w:shd w:val="clear" w:color="auto" w:fill="auto"/>
            <w:noWrap/>
            <w:vAlign w:val="center"/>
            <w:hideMark/>
          </w:tcPr>
          <w:p w14:paraId="0023B9A2" w14:textId="38C7E724"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425 850</w:t>
            </w:r>
          </w:p>
        </w:tc>
        <w:tc>
          <w:tcPr>
            <w:tcW w:w="1016" w:type="dxa"/>
            <w:tcBorders>
              <w:top w:val="nil"/>
              <w:left w:val="nil"/>
              <w:bottom w:val="nil"/>
              <w:right w:val="nil"/>
            </w:tcBorders>
            <w:shd w:val="clear" w:color="auto" w:fill="auto"/>
            <w:noWrap/>
            <w:vAlign w:val="center"/>
            <w:hideMark/>
          </w:tcPr>
          <w:p w14:paraId="75951C11" w14:textId="532E9599"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398 201</w:t>
            </w:r>
          </w:p>
        </w:tc>
        <w:tc>
          <w:tcPr>
            <w:tcW w:w="1152" w:type="dxa"/>
            <w:tcBorders>
              <w:top w:val="nil"/>
              <w:left w:val="nil"/>
              <w:bottom w:val="nil"/>
              <w:right w:val="nil"/>
            </w:tcBorders>
            <w:shd w:val="clear" w:color="auto" w:fill="auto"/>
            <w:noWrap/>
            <w:vAlign w:val="center"/>
            <w:hideMark/>
          </w:tcPr>
          <w:p w14:paraId="7462BC6C" w14:textId="1671FEB5" w:rsidR="00D31146" w:rsidRPr="00A71CC7" w:rsidRDefault="00D31146" w:rsidP="00D31146">
            <w:pPr>
              <w:spacing w:after="0" w:line="240" w:lineRule="auto"/>
              <w:jc w:val="right"/>
              <w:rPr>
                <w:rFonts w:eastAsia="Times New Roman" w:cs="Times New Roman"/>
                <w:color w:val="000000"/>
                <w:sz w:val="20"/>
                <w:szCs w:val="20"/>
                <w:lang w:eastAsia="sk-SK"/>
              </w:rPr>
            </w:pPr>
            <w:r>
              <w:rPr>
                <w:color w:val="000000"/>
                <w:sz w:val="18"/>
                <w:szCs w:val="18"/>
              </w:rPr>
              <w:t>-27 649</w:t>
            </w:r>
          </w:p>
        </w:tc>
        <w:tc>
          <w:tcPr>
            <w:tcW w:w="874" w:type="dxa"/>
            <w:tcBorders>
              <w:top w:val="nil"/>
              <w:left w:val="nil"/>
              <w:bottom w:val="nil"/>
              <w:right w:val="nil"/>
            </w:tcBorders>
            <w:shd w:val="clear" w:color="auto" w:fill="auto"/>
            <w:noWrap/>
            <w:vAlign w:val="center"/>
            <w:hideMark/>
          </w:tcPr>
          <w:p w14:paraId="0AE37A64" w14:textId="4AC445D2"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-6,5</w:t>
            </w:r>
          </w:p>
        </w:tc>
      </w:tr>
      <w:tr w:rsidR="00D31146" w:rsidRPr="00E0194A" w14:paraId="792DBF91" w14:textId="77777777" w:rsidTr="0088147E">
        <w:trPr>
          <w:trHeight w:val="289"/>
        </w:trPr>
        <w:tc>
          <w:tcPr>
            <w:tcW w:w="2835" w:type="dxa"/>
            <w:tcBorders>
              <w:top w:val="nil"/>
              <w:left w:val="nil"/>
              <w:bottom w:val="nil"/>
              <w:right w:val="nil"/>
            </w:tcBorders>
            <w:shd w:val="clear" w:color="auto" w:fill="auto"/>
            <w:vAlign w:val="center"/>
            <w:hideMark/>
          </w:tcPr>
          <w:p w14:paraId="154B3D37" w14:textId="77777777" w:rsidR="00D31146" w:rsidRPr="00A71CC7" w:rsidRDefault="00D31146" w:rsidP="00D31146">
            <w:pPr>
              <w:spacing w:after="0" w:line="240" w:lineRule="auto"/>
              <w:jc w:val="left"/>
              <w:rPr>
                <w:rFonts w:eastAsia="Times New Roman" w:cs="Times New Roman"/>
                <w:color w:val="000000"/>
                <w:sz w:val="20"/>
                <w:szCs w:val="20"/>
                <w:lang w:eastAsia="sk-SK"/>
              </w:rPr>
            </w:pPr>
            <w:r w:rsidRPr="00A71CC7">
              <w:rPr>
                <w:rFonts w:eastAsia="Times New Roman" w:cs="Times New Roman"/>
                <w:color w:val="000000"/>
                <w:sz w:val="20"/>
                <w:szCs w:val="20"/>
                <w:lang w:eastAsia="sk-SK"/>
              </w:rPr>
              <w:t>Energie, voda a komunikácie</w:t>
            </w:r>
          </w:p>
        </w:tc>
        <w:tc>
          <w:tcPr>
            <w:tcW w:w="975" w:type="dxa"/>
            <w:tcBorders>
              <w:top w:val="nil"/>
              <w:left w:val="nil"/>
              <w:bottom w:val="nil"/>
              <w:right w:val="nil"/>
            </w:tcBorders>
            <w:shd w:val="clear" w:color="auto" w:fill="auto"/>
            <w:noWrap/>
            <w:vAlign w:val="center"/>
            <w:hideMark/>
          </w:tcPr>
          <w:p w14:paraId="02782BD8" w14:textId="6E0FDCEC"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198 151</w:t>
            </w:r>
          </w:p>
        </w:tc>
        <w:tc>
          <w:tcPr>
            <w:tcW w:w="1152" w:type="dxa"/>
            <w:tcBorders>
              <w:top w:val="nil"/>
              <w:left w:val="nil"/>
              <w:bottom w:val="nil"/>
              <w:right w:val="nil"/>
            </w:tcBorders>
            <w:shd w:val="clear" w:color="000000" w:fill="FFFFFF"/>
            <w:noWrap/>
            <w:vAlign w:val="center"/>
            <w:hideMark/>
          </w:tcPr>
          <w:p w14:paraId="5736AE2C" w14:textId="64081A25"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180 365</w:t>
            </w:r>
          </w:p>
        </w:tc>
        <w:tc>
          <w:tcPr>
            <w:tcW w:w="1210" w:type="dxa"/>
            <w:tcBorders>
              <w:top w:val="nil"/>
              <w:left w:val="nil"/>
              <w:bottom w:val="nil"/>
              <w:right w:val="nil"/>
            </w:tcBorders>
            <w:shd w:val="clear" w:color="auto" w:fill="auto"/>
            <w:noWrap/>
            <w:vAlign w:val="center"/>
            <w:hideMark/>
          </w:tcPr>
          <w:p w14:paraId="67C4AA5F" w14:textId="2605F644"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177 97</w:t>
            </w:r>
            <w:r>
              <w:rPr>
                <w:rFonts w:eastAsia="Times New Roman" w:cs="Times New Roman"/>
                <w:color w:val="000000"/>
                <w:sz w:val="18"/>
                <w:szCs w:val="18"/>
                <w:lang w:eastAsia="sk-SK"/>
              </w:rPr>
              <w:t>6</w:t>
            </w:r>
          </w:p>
        </w:tc>
        <w:tc>
          <w:tcPr>
            <w:tcW w:w="1016" w:type="dxa"/>
            <w:tcBorders>
              <w:top w:val="nil"/>
              <w:left w:val="nil"/>
              <w:bottom w:val="nil"/>
              <w:right w:val="nil"/>
            </w:tcBorders>
            <w:shd w:val="clear" w:color="auto" w:fill="auto"/>
            <w:noWrap/>
            <w:vAlign w:val="center"/>
            <w:hideMark/>
          </w:tcPr>
          <w:p w14:paraId="7EC8EDED" w14:textId="2822C76A"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220 19</w:t>
            </w:r>
            <w:r>
              <w:rPr>
                <w:rFonts w:eastAsia="Times New Roman" w:cs="Times New Roman"/>
                <w:color w:val="000000"/>
                <w:sz w:val="18"/>
                <w:szCs w:val="18"/>
                <w:lang w:eastAsia="sk-SK"/>
              </w:rPr>
              <w:t>2</w:t>
            </w:r>
          </w:p>
        </w:tc>
        <w:tc>
          <w:tcPr>
            <w:tcW w:w="1152" w:type="dxa"/>
            <w:tcBorders>
              <w:top w:val="nil"/>
              <w:left w:val="nil"/>
              <w:bottom w:val="nil"/>
              <w:right w:val="nil"/>
            </w:tcBorders>
            <w:shd w:val="clear" w:color="auto" w:fill="auto"/>
            <w:noWrap/>
            <w:vAlign w:val="center"/>
            <w:hideMark/>
          </w:tcPr>
          <w:p w14:paraId="7D5CA11E" w14:textId="3049AB8A" w:rsidR="00D31146" w:rsidRPr="00A71CC7" w:rsidRDefault="00D31146" w:rsidP="00D31146">
            <w:pPr>
              <w:spacing w:after="0" w:line="240" w:lineRule="auto"/>
              <w:jc w:val="right"/>
              <w:rPr>
                <w:rFonts w:eastAsia="Times New Roman" w:cs="Times New Roman"/>
                <w:color w:val="000000"/>
                <w:sz w:val="20"/>
                <w:szCs w:val="20"/>
                <w:lang w:eastAsia="sk-SK"/>
              </w:rPr>
            </w:pPr>
            <w:r>
              <w:rPr>
                <w:color w:val="000000"/>
                <w:sz w:val="18"/>
                <w:szCs w:val="18"/>
              </w:rPr>
              <w:t>42 216</w:t>
            </w:r>
          </w:p>
        </w:tc>
        <w:tc>
          <w:tcPr>
            <w:tcW w:w="874" w:type="dxa"/>
            <w:tcBorders>
              <w:top w:val="nil"/>
              <w:left w:val="nil"/>
              <w:bottom w:val="nil"/>
              <w:right w:val="nil"/>
            </w:tcBorders>
            <w:shd w:val="clear" w:color="auto" w:fill="auto"/>
            <w:noWrap/>
            <w:vAlign w:val="center"/>
            <w:hideMark/>
          </w:tcPr>
          <w:p w14:paraId="659DFE32" w14:textId="24E134F9"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23,7</w:t>
            </w:r>
          </w:p>
        </w:tc>
      </w:tr>
      <w:tr w:rsidR="00D31146" w:rsidRPr="00E0194A" w14:paraId="0F86E3B3" w14:textId="77777777" w:rsidTr="0088147E">
        <w:trPr>
          <w:trHeight w:val="289"/>
        </w:trPr>
        <w:tc>
          <w:tcPr>
            <w:tcW w:w="2835" w:type="dxa"/>
            <w:tcBorders>
              <w:top w:val="nil"/>
              <w:left w:val="nil"/>
              <w:bottom w:val="nil"/>
              <w:right w:val="nil"/>
            </w:tcBorders>
            <w:shd w:val="clear" w:color="auto" w:fill="auto"/>
            <w:vAlign w:val="center"/>
            <w:hideMark/>
          </w:tcPr>
          <w:p w14:paraId="6B1B2418" w14:textId="3AE6ECAE" w:rsidR="00D31146" w:rsidRPr="00A71CC7" w:rsidRDefault="00D31146" w:rsidP="00D31146">
            <w:pPr>
              <w:spacing w:after="0" w:line="240" w:lineRule="auto"/>
              <w:jc w:val="left"/>
              <w:rPr>
                <w:rFonts w:eastAsia="Times New Roman" w:cs="Times New Roman"/>
                <w:color w:val="000000"/>
                <w:sz w:val="20"/>
                <w:szCs w:val="20"/>
                <w:lang w:eastAsia="sk-SK"/>
              </w:rPr>
            </w:pPr>
            <w:r w:rsidRPr="00A71CC7">
              <w:rPr>
                <w:rFonts w:eastAsia="Times New Roman" w:cs="Times New Roman"/>
                <w:color w:val="000000"/>
                <w:sz w:val="20"/>
                <w:szCs w:val="20"/>
                <w:lang w:eastAsia="sk-SK"/>
              </w:rPr>
              <w:t xml:space="preserve">Nájomné za </w:t>
            </w:r>
            <w:r w:rsidR="0088147E">
              <w:rPr>
                <w:rFonts w:eastAsia="Times New Roman" w:cs="Times New Roman"/>
                <w:color w:val="000000"/>
                <w:sz w:val="20"/>
                <w:szCs w:val="20"/>
                <w:lang w:eastAsia="sk-SK"/>
              </w:rPr>
              <w:t>nájom nehnuteľných a hnuteľných </w:t>
            </w:r>
            <w:r w:rsidRPr="00A71CC7">
              <w:rPr>
                <w:rFonts w:eastAsia="Times New Roman" w:cs="Times New Roman"/>
                <w:color w:val="000000"/>
                <w:sz w:val="20"/>
                <w:szCs w:val="20"/>
                <w:lang w:eastAsia="sk-SK"/>
              </w:rPr>
              <w:t>vecí</w:t>
            </w:r>
          </w:p>
        </w:tc>
        <w:tc>
          <w:tcPr>
            <w:tcW w:w="975" w:type="dxa"/>
            <w:tcBorders>
              <w:top w:val="nil"/>
              <w:left w:val="nil"/>
              <w:bottom w:val="nil"/>
              <w:right w:val="nil"/>
            </w:tcBorders>
            <w:shd w:val="clear" w:color="auto" w:fill="auto"/>
            <w:noWrap/>
            <w:vAlign w:val="center"/>
            <w:hideMark/>
          </w:tcPr>
          <w:p w14:paraId="0B44A7D4" w14:textId="6DE068F7"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75 780</w:t>
            </w:r>
          </w:p>
        </w:tc>
        <w:tc>
          <w:tcPr>
            <w:tcW w:w="1152" w:type="dxa"/>
            <w:tcBorders>
              <w:top w:val="nil"/>
              <w:left w:val="nil"/>
              <w:bottom w:val="nil"/>
              <w:right w:val="nil"/>
            </w:tcBorders>
            <w:shd w:val="clear" w:color="000000" w:fill="FFFFFF"/>
            <w:noWrap/>
            <w:vAlign w:val="center"/>
            <w:hideMark/>
          </w:tcPr>
          <w:p w14:paraId="63E73446" w14:textId="1AB11008"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68 983</w:t>
            </w:r>
          </w:p>
        </w:tc>
        <w:tc>
          <w:tcPr>
            <w:tcW w:w="1210" w:type="dxa"/>
            <w:tcBorders>
              <w:top w:val="nil"/>
              <w:left w:val="nil"/>
              <w:bottom w:val="nil"/>
              <w:right w:val="nil"/>
            </w:tcBorders>
            <w:shd w:val="clear" w:color="auto" w:fill="auto"/>
            <w:noWrap/>
            <w:vAlign w:val="center"/>
            <w:hideMark/>
          </w:tcPr>
          <w:p w14:paraId="37CD4D7A" w14:textId="25D03622"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85 332</w:t>
            </w:r>
          </w:p>
        </w:tc>
        <w:tc>
          <w:tcPr>
            <w:tcW w:w="1016" w:type="dxa"/>
            <w:tcBorders>
              <w:top w:val="nil"/>
              <w:left w:val="nil"/>
              <w:bottom w:val="nil"/>
              <w:right w:val="nil"/>
            </w:tcBorders>
            <w:shd w:val="clear" w:color="auto" w:fill="auto"/>
            <w:noWrap/>
            <w:vAlign w:val="center"/>
            <w:hideMark/>
          </w:tcPr>
          <w:p w14:paraId="5A221850" w14:textId="5CE04A39"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102 156</w:t>
            </w:r>
          </w:p>
        </w:tc>
        <w:tc>
          <w:tcPr>
            <w:tcW w:w="1152" w:type="dxa"/>
            <w:tcBorders>
              <w:top w:val="nil"/>
              <w:left w:val="nil"/>
              <w:bottom w:val="nil"/>
              <w:right w:val="nil"/>
            </w:tcBorders>
            <w:shd w:val="clear" w:color="auto" w:fill="auto"/>
            <w:noWrap/>
            <w:vAlign w:val="center"/>
            <w:hideMark/>
          </w:tcPr>
          <w:p w14:paraId="690B8A7B" w14:textId="526C5109" w:rsidR="00D31146" w:rsidRPr="00A71CC7" w:rsidRDefault="00D31146" w:rsidP="00D31146">
            <w:pPr>
              <w:spacing w:after="0" w:line="240" w:lineRule="auto"/>
              <w:jc w:val="right"/>
              <w:rPr>
                <w:rFonts w:eastAsia="Times New Roman" w:cs="Times New Roman"/>
                <w:color w:val="000000"/>
                <w:sz w:val="20"/>
                <w:szCs w:val="20"/>
                <w:lang w:eastAsia="sk-SK"/>
              </w:rPr>
            </w:pPr>
            <w:r>
              <w:rPr>
                <w:color w:val="000000"/>
                <w:sz w:val="18"/>
                <w:szCs w:val="18"/>
              </w:rPr>
              <w:t>16 824</w:t>
            </w:r>
          </w:p>
        </w:tc>
        <w:tc>
          <w:tcPr>
            <w:tcW w:w="874" w:type="dxa"/>
            <w:tcBorders>
              <w:top w:val="nil"/>
              <w:left w:val="nil"/>
              <w:bottom w:val="nil"/>
              <w:right w:val="nil"/>
            </w:tcBorders>
            <w:shd w:val="clear" w:color="auto" w:fill="auto"/>
            <w:noWrap/>
            <w:vAlign w:val="center"/>
            <w:hideMark/>
          </w:tcPr>
          <w:p w14:paraId="7ACC6D37" w14:textId="6E84BC2A"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19,7</w:t>
            </w:r>
          </w:p>
        </w:tc>
      </w:tr>
      <w:tr w:rsidR="00D31146" w:rsidRPr="00E0194A" w14:paraId="7918DA6F" w14:textId="77777777" w:rsidTr="0088147E">
        <w:trPr>
          <w:trHeight w:val="289"/>
        </w:trPr>
        <w:tc>
          <w:tcPr>
            <w:tcW w:w="2835" w:type="dxa"/>
            <w:tcBorders>
              <w:top w:val="nil"/>
              <w:left w:val="nil"/>
              <w:bottom w:val="nil"/>
              <w:right w:val="nil"/>
            </w:tcBorders>
            <w:shd w:val="clear" w:color="auto" w:fill="auto"/>
            <w:vAlign w:val="center"/>
            <w:hideMark/>
          </w:tcPr>
          <w:p w14:paraId="44DA024C" w14:textId="77777777" w:rsidR="00D31146" w:rsidRPr="00A71CC7" w:rsidRDefault="00D31146" w:rsidP="00D31146">
            <w:pPr>
              <w:spacing w:after="0" w:line="240" w:lineRule="auto"/>
              <w:jc w:val="left"/>
              <w:rPr>
                <w:rFonts w:eastAsia="Times New Roman" w:cs="Times New Roman"/>
                <w:color w:val="000000"/>
                <w:sz w:val="20"/>
                <w:szCs w:val="20"/>
                <w:lang w:eastAsia="sk-SK"/>
              </w:rPr>
            </w:pPr>
            <w:r w:rsidRPr="00A71CC7">
              <w:rPr>
                <w:rFonts w:eastAsia="Times New Roman" w:cs="Times New Roman"/>
                <w:color w:val="000000"/>
                <w:sz w:val="20"/>
                <w:szCs w:val="20"/>
                <w:lang w:eastAsia="sk-SK"/>
              </w:rPr>
              <w:t>Dopravné</w:t>
            </w:r>
          </w:p>
        </w:tc>
        <w:tc>
          <w:tcPr>
            <w:tcW w:w="975" w:type="dxa"/>
            <w:tcBorders>
              <w:top w:val="nil"/>
              <w:left w:val="nil"/>
              <w:bottom w:val="nil"/>
              <w:right w:val="nil"/>
            </w:tcBorders>
            <w:shd w:val="clear" w:color="auto" w:fill="auto"/>
            <w:noWrap/>
            <w:vAlign w:val="center"/>
            <w:hideMark/>
          </w:tcPr>
          <w:p w14:paraId="7A970741" w14:textId="6DF918EC"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177 259</w:t>
            </w:r>
          </w:p>
        </w:tc>
        <w:tc>
          <w:tcPr>
            <w:tcW w:w="1152" w:type="dxa"/>
            <w:tcBorders>
              <w:top w:val="nil"/>
              <w:left w:val="nil"/>
              <w:bottom w:val="nil"/>
              <w:right w:val="nil"/>
            </w:tcBorders>
            <w:shd w:val="clear" w:color="000000" w:fill="FFFFFF"/>
            <w:noWrap/>
            <w:vAlign w:val="center"/>
            <w:hideMark/>
          </w:tcPr>
          <w:p w14:paraId="0EFE4D2A" w14:textId="2182ACD7"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213 318</w:t>
            </w:r>
          </w:p>
        </w:tc>
        <w:tc>
          <w:tcPr>
            <w:tcW w:w="1210" w:type="dxa"/>
            <w:tcBorders>
              <w:top w:val="nil"/>
              <w:left w:val="nil"/>
              <w:bottom w:val="nil"/>
              <w:right w:val="nil"/>
            </w:tcBorders>
            <w:shd w:val="clear" w:color="auto" w:fill="auto"/>
            <w:noWrap/>
            <w:vAlign w:val="center"/>
            <w:hideMark/>
          </w:tcPr>
          <w:p w14:paraId="4CE3042C" w14:textId="48290FA9"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235 16</w:t>
            </w:r>
            <w:r>
              <w:rPr>
                <w:rFonts w:eastAsia="Times New Roman" w:cs="Times New Roman"/>
                <w:color w:val="000000"/>
                <w:sz w:val="18"/>
                <w:szCs w:val="18"/>
                <w:lang w:eastAsia="sk-SK"/>
              </w:rPr>
              <w:t>1</w:t>
            </w:r>
          </w:p>
        </w:tc>
        <w:tc>
          <w:tcPr>
            <w:tcW w:w="1016" w:type="dxa"/>
            <w:tcBorders>
              <w:top w:val="nil"/>
              <w:left w:val="nil"/>
              <w:bottom w:val="nil"/>
              <w:right w:val="nil"/>
            </w:tcBorders>
            <w:shd w:val="clear" w:color="auto" w:fill="auto"/>
            <w:noWrap/>
            <w:vAlign w:val="center"/>
            <w:hideMark/>
          </w:tcPr>
          <w:p w14:paraId="3C23E380" w14:textId="5C6921C1"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70 722</w:t>
            </w:r>
          </w:p>
        </w:tc>
        <w:tc>
          <w:tcPr>
            <w:tcW w:w="1152" w:type="dxa"/>
            <w:tcBorders>
              <w:top w:val="nil"/>
              <w:left w:val="nil"/>
              <w:bottom w:val="nil"/>
              <w:right w:val="nil"/>
            </w:tcBorders>
            <w:shd w:val="clear" w:color="auto" w:fill="auto"/>
            <w:noWrap/>
            <w:vAlign w:val="center"/>
            <w:hideMark/>
          </w:tcPr>
          <w:p w14:paraId="47DB8555" w14:textId="2725D50C" w:rsidR="00D31146" w:rsidRPr="00A71CC7" w:rsidRDefault="00D31146" w:rsidP="00D31146">
            <w:pPr>
              <w:spacing w:after="0" w:line="240" w:lineRule="auto"/>
              <w:jc w:val="right"/>
              <w:rPr>
                <w:rFonts w:eastAsia="Times New Roman" w:cs="Times New Roman"/>
                <w:color w:val="000000"/>
                <w:sz w:val="20"/>
                <w:szCs w:val="20"/>
                <w:lang w:eastAsia="sk-SK"/>
              </w:rPr>
            </w:pPr>
            <w:r>
              <w:rPr>
                <w:color w:val="000000"/>
                <w:sz w:val="18"/>
                <w:szCs w:val="18"/>
              </w:rPr>
              <w:t>-164 439</w:t>
            </w:r>
          </w:p>
        </w:tc>
        <w:tc>
          <w:tcPr>
            <w:tcW w:w="874" w:type="dxa"/>
            <w:tcBorders>
              <w:top w:val="nil"/>
              <w:left w:val="nil"/>
              <w:bottom w:val="nil"/>
              <w:right w:val="nil"/>
            </w:tcBorders>
            <w:shd w:val="clear" w:color="auto" w:fill="auto"/>
            <w:noWrap/>
            <w:vAlign w:val="center"/>
            <w:hideMark/>
          </w:tcPr>
          <w:p w14:paraId="4B96F3EE" w14:textId="54F07683" w:rsidR="00D31146" w:rsidRPr="00A71CC7" w:rsidRDefault="00D31146" w:rsidP="00D31146">
            <w:pPr>
              <w:spacing w:after="0" w:line="240" w:lineRule="auto"/>
              <w:jc w:val="right"/>
              <w:rPr>
                <w:rFonts w:eastAsia="Times New Roman" w:cs="Times New Roman"/>
                <w:color w:val="000000"/>
                <w:sz w:val="20"/>
                <w:szCs w:val="20"/>
                <w:lang w:eastAsia="sk-SK"/>
              </w:rPr>
            </w:pPr>
            <w:r>
              <w:rPr>
                <w:rFonts w:eastAsia="Times New Roman" w:cs="Times New Roman"/>
                <w:color w:val="000000"/>
                <w:sz w:val="18"/>
                <w:szCs w:val="18"/>
                <w:lang w:eastAsia="sk-SK"/>
              </w:rPr>
              <w:t>-</w:t>
            </w:r>
            <w:r w:rsidRPr="00697268">
              <w:rPr>
                <w:rFonts w:eastAsia="Times New Roman" w:cs="Times New Roman"/>
                <w:color w:val="000000"/>
                <w:sz w:val="18"/>
                <w:szCs w:val="18"/>
                <w:lang w:eastAsia="sk-SK"/>
              </w:rPr>
              <w:t>69,9</w:t>
            </w:r>
          </w:p>
        </w:tc>
      </w:tr>
      <w:tr w:rsidR="00D31146" w:rsidRPr="00E0194A" w14:paraId="260C6D88" w14:textId="77777777" w:rsidTr="0088147E">
        <w:trPr>
          <w:trHeight w:val="289"/>
        </w:trPr>
        <w:tc>
          <w:tcPr>
            <w:tcW w:w="2835" w:type="dxa"/>
            <w:tcBorders>
              <w:top w:val="nil"/>
              <w:left w:val="nil"/>
              <w:bottom w:val="nil"/>
              <w:right w:val="nil"/>
            </w:tcBorders>
            <w:shd w:val="clear" w:color="auto" w:fill="auto"/>
            <w:vAlign w:val="center"/>
            <w:hideMark/>
          </w:tcPr>
          <w:p w14:paraId="4980C085" w14:textId="77777777" w:rsidR="00D31146" w:rsidRPr="00A71CC7" w:rsidRDefault="00D31146" w:rsidP="00D31146">
            <w:pPr>
              <w:spacing w:after="0" w:line="240" w:lineRule="auto"/>
              <w:jc w:val="left"/>
              <w:rPr>
                <w:rFonts w:eastAsia="Times New Roman" w:cs="Times New Roman"/>
                <w:color w:val="000000"/>
                <w:sz w:val="20"/>
                <w:szCs w:val="20"/>
                <w:lang w:eastAsia="sk-SK"/>
              </w:rPr>
            </w:pPr>
            <w:r w:rsidRPr="00A71CC7">
              <w:rPr>
                <w:rFonts w:eastAsia="Times New Roman" w:cs="Times New Roman"/>
                <w:color w:val="000000"/>
                <w:sz w:val="20"/>
                <w:szCs w:val="20"/>
                <w:lang w:eastAsia="sk-SK"/>
              </w:rPr>
              <w:t>Cestovné náhrady</w:t>
            </w:r>
          </w:p>
        </w:tc>
        <w:tc>
          <w:tcPr>
            <w:tcW w:w="975" w:type="dxa"/>
            <w:tcBorders>
              <w:top w:val="nil"/>
              <w:left w:val="nil"/>
              <w:bottom w:val="nil"/>
              <w:right w:val="nil"/>
            </w:tcBorders>
            <w:shd w:val="clear" w:color="auto" w:fill="auto"/>
            <w:noWrap/>
            <w:vAlign w:val="center"/>
            <w:hideMark/>
          </w:tcPr>
          <w:p w14:paraId="6B66933E" w14:textId="4BF44286"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20 542</w:t>
            </w:r>
          </w:p>
        </w:tc>
        <w:tc>
          <w:tcPr>
            <w:tcW w:w="1152" w:type="dxa"/>
            <w:tcBorders>
              <w:top w:val="nil"/>
              <w:left w:val="nil"/>
              <w:bottom w:val="nil"/>
              <w:right w:val="nil"/>
            </w:tcBorders>
            <w:shd w:val="clear" w:color="000000" w:fill="FFFFFF"/>
            <w:noWrap/>
            <w:vAlign w:val="center"/>
            <w:hideMark/>
          </w:tcPr>
          <w:p w14:paraId="592BA510" w14:textId="42758A98"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23 412</w:t>
            </w:r>
          </w:p>
        </w:tc>
        <w:tc>
          <w:tcPr>
            <w:tcW w:w="1210" w:type="dxa"/>
            <w:tcBorders>
              <w:top w:val="nil"/>
              <w:left w:val="nil"/>
              <w:bottom w:val="nil"/>
              <w:right w:val="nil"/>
            </w:tcBorders>
            <w:shd w:val="clear" w:color="auto" w:fill="auto"/>
            <w:noWrap/>
            <w:vAlign w:val="center"/>
            <w:hideMark/>
          </w:tcPr>
          <w:p w14:paraId="7A68343F" w14:textId="4BEF0F99"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34 377</w:t>
            </w:r>
          </w:p>
        </w:tc>
        <w:tc>
          <w:tcPr>
            <w:tcW w:w="1016" w:type="dxa"/>
            <w:tcBorders>
              <w:top w:val="nil"/>
              <w:left w:val="nil"/>
              <w:bottom w:val="nil"/>
              <w:right w:val="nil"/>
            </w:tcBorders>
            <w:shd w:val="clear" w:color="auto" w:fill="auto"/>
            <w:noWrap/>
            <w:vAlign w:val="center"/>
            <w:hideMark/>
          </w:tcPr>
          <w:p w14:paraId="0AA94223" w14:textId="7C498558"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35 949</w:t>
            </w:r>
          </w:p>
        </w:tc>
        <w:tc>
          <w:tcPr>
            <w:tcW w:w="1152" w:type="dxa"/>
            <w:tcBorders>
              <w:top w:val="nil"/>
              <w:left w:val="nil"/>
              <w:bottom w:val="nil"/>
              <w:right w:val="nil"/>
            </w:tcBorders>
            <w:shd w:val="clear" w:color="auto" w:fill="auto"/>
            <w:noWrap/>
            <w:vAlign w:val="center"/>
            <w:hideMark/>
          </w:tcPr>
          <w:p w14:paraId="1A5AE5E6" w14:textId="2DD5912E" w:rsidR="00D31146" w:rsidRPr="00A71CC7" w:rsidRDefault="00D31146" w:rsidP="00D31146">
            <w:pPr>
              <w:spacing w:after="0" w:line="240" w:lineRule="auto"/>
              <w:jc w:val="right"/>
              <w:rPr>
                <w:rFonts w:eastAsia="Times New Roman" w:cs="Times New Roman"/>
                <w:color w:val="000000"/>
                <w:sz w:val="20"/>
                <w:szCs w:val="20"/>
                <w:lang w:eastAsia="sk-SK"/>
              </w:rPr>
            </w:pPr>
            <w:r>
              <w:rPr>
                <w:color w:val="000000"/>
                <w:sz w:val="18"/>
                <w:szCs w:val="18"/>
              </w:rPr>
              <w:t>1 572</w:t>
            </w:r>
          </w:p>
        </w:tc>
        <w:tc>
          <w:tcPr>
            <w:tcW w:w="874" w:type="dxa"/>
            <w:tcBorders>
              <w:top w:val="nil"/>
              <w:left w:val="nil"/>
              <w:bottom w:val="nil"/>
              <w:right w:val="nil"/>
            </w:tcBorders>
            <w:shd w:val="clear" w:color="auto" w:fill="auto"/>
            <w:noWrap/>
            <w:vAlign w:val="center"/>
            <w:hideMark/>
          </w:tcPr>
          <w:p w14:paraId="2C327056" w14:textId="0D0D807F" w:rsidR="00D31146" w:rsidRPr="00A71CC7" w:rsidRDefault="00D31146" w:rsidP="00D31146">
            <w:pPr>
              <w:spacing w:after="0" w:line="240" w:lineRule="auto"/>
              <w:jc w:val="right"/>
              <w:rPr>
                <w:rFonts w:eastAsia="Times New Roman" w:cs="Times New Roman"/>
                <w:color w:val="000000"/>
                <w:sz w:val="20"/>
                <w:szCs w:val="20"/>
                <w:lang w:eastAsia="sk-SK"/>
              </w:rPr>
            </w:pPr>
            <w:r w:rsidRPr="00697268">
              <w:rPr>
                <w:rFonts w:eastAsia="Times New Roman" w:cs="Times New Roman"/>
                <w:color w:val="000000"/>
                <w:sz w:val="18"/>
                <w:szCs w:val="18"/>
                <w:lang w:eastAsia="sk-SK"/>
              </w:rPr>
              <w:t>4,6</w:t>
            </w:r>
          </w:p>
        </w:tc>
      </w:tr>
      <w:tr w:rsidR="00D31146" w:rsidRPr="00E0194A" w14:paraId="615F796B" w14:textId="77777777" w:rsidTr="0088147E">
        <w:trPr>
          <w:trHeight w:val="289"/>
        </w:trPr>
        <w:tc>
          <w:tcPr>
            <w:tcW w:w="2835" w:type="dxa"/>
            <w:tcBorders>
              <w:top w:val="single" w:sz="4" w:space="0" w:color="auto"/>
              <w:left w:val="nil"/>
              <w:bottom w:val="single" w:sz="4" w:space="0" w:color="auto"/>
              <w:right w:val="nil"/>
            </w:tcBorders>
            <w:shd w:val="clear" w:color="auto" w:fill="auto"/>
            <w:vAlign w:val="center"/>
            <w:hideMark/>
          </w:tcPr>
          <w:p w14:paraId="45D2CF86" w14:textId="77777777" w:rsidR="00D31146" w:rsidRPr="00A71CC7" w:rsidRDefault="00D31146" w:rsidP="00D31146">
            <w:pPr>
              <w:spacing w:after="0" w:line="240" w:lineRule="auto"/>
              <w:jc w:val="left"/>
              <w:rPr>
                <w:rFonts w:eastAsia="Times New Roman" w:cs="Times New Roman"/>
                <w:b/>
                <w:bCs/>
                <w:color w:val="000000"/>
                <w:sz w:val="20"/>
                <w:szCs w:val="20"/>
                <w:lang w:eastAsia="sk-SK"/>
              </w:rPr>
            </w:pPr>
            <w:r w:rsidRPr="00A71CC7">
              <w:rPr>
                <w:rFonts w:eastAsia="Times New Roman" w:cs="Times New Roman"/>
                <w:b/>
                <w:bCs/>
                <w:color w:val="000000"/>
                <w:sz w:val="20"/>
                <w:szCs w:val="20"/>
                <w:lang w:eastAsia="sk-SK"/>
              </w:rPr>
              <w:t>Tovary a služby spolu</w:t>
            </w:r>
          </w:p>
        </w:tc>
        <w:tc>
          <w:tcPr>
            <w:tcW w:w="975" w:type="dxa"/>
            <w:tcBorders>
              <w:top w:val="single" w:sz="4" w:space="0" w:color="auto"/>
              <w:left w:val="nil"/>
              <w:bottom w:val="single" w:sz="4" w:space="0" w:color="auto"/>
              <w:right w:val="nil"/>
            </w:tcBorders>
            <w:shd w:val="clear" w:color="auto" w:fill="auto"/>
            <w:noWrap/>
            <w:vAlign w:val="center"/>
            <w:hideMark/>
          </w:tcPr>
          <w:p w14:paraId="43702EB5" w14:textId="109F1477" w:rsidR="00D31146" w:rsidRPr="00A71CC7" w:rsidRDefault="00D31146" w:rsidP="00D31146">
            <w:pPr>
              <w:spacing w:after="0" w:line="240" w:lineRule="auto"/>
              <w:jc w:val="right"/>
              <w:rPr>
                <w:rFonts w:eastAsia="Times New Roman" w:cs="Times New Roman"/>
                <w:b/>
                <w:bCs/>
                <w:color w:val="000000"/>
                <w:sz w:val="20"/>
                <w:szCs w:val="20"/>
                <w:lang w:eastAsia="sk-SK"/>
              </w:rPr>
            </w:pPr>
            <w:r w:rsidRPr="00697268">
              <w:rPr>
                <w:rFonts w:eastAsia="Times New Roman" w:cs="Times New Roman"/>
                <w:b/>
                <w:bCs/>
                <w:color w:val="000000"/>
                <w:sz w:val="18"/>
                <w:szCs w:val="18"/>
                <w:lang w:eastAsia="sk-SK"/>
              </w:rPr>
              <w:t>2 267 097</w:t>
            </w:r>
          </w:p>
        </w:tc>
        <w:tc>
          <w:tcPr>
            <w:tcW w:w="1152" w:type="dxa"/>
            <w:tcBorders>
              <w:top w:val="single" w:sz="4" w:space="0" w:color="auto"/>
              <w:left w:val="nil"/>
              <w:bottom w:val="single" w:sz="4" w:space="0" w:color="auto"/>
              <w:right w:val="nil"/>
            </w:tcBorders>
            <w:shd w:val="clear" w:color="auto" w:fill="auto"/>
            <w:noWrap/>
            <w:vAlign w:val="center"/>
            <w:hideMark/>
          </w:tcPr>
          <w:p w14:paraId="41BCA63A" w14:textId="2B1AB33F" w:rsidR="00D31146" w:rsidRPr="00A71CC7" w:rsidRDefault="00D31146" w:rsidP="00D31146">
            <w:pPr>
              <w:spacing w:after="0" w:line="240" w:lineRule="auto"/>
              <w:jc w:val="right"/>
              <w:rPr>
                <w:rFonts w:eastAsia="Times New Roman" w:cs="Times New Roman"/>
                <w:b/>
                <w:bCs/>
                <w:color w:val="000000"/>
                <w:sz w:val="20"/>
                <w:szCs w:val="20"/>
                <w:lang w:eastAsia="sk-SK"/>
              </w:rPr>
            </w:pPr>
            <w:r>
              <w:rPr>
                <w:rFonts w:eastAsia="Times New Roman" w:cs="Times New Roman"/>
                <w:b/>
                <w:bCs/>
                <w:color w:val="000000"/>
                <w:sz w:val="18"/>
                <w:szCs w:val="18"/>
                <w:lang w:eastAsia="sk-SK"/>
              </w:rPr>
              <w:t>2 </w:t>
            </w:r>
            <w:r w:rsidRPr="00697268">
              <w:rPr>
                <w:rFonts w:eastAsia="Times New Roman" w:cs="Times New Roman"/>
                <w:b/>
                <w:bCs/>
                <w:color w:val="000000"/>
                <w:sz w:val="18"/>
                <w:szCs w:val="18"/>
                <w:lang w:eastAsia="sk-SK"/>
              </w:rPr>
              <w:t>358</w:t>
            </w:r>
            <w:r>
              <w:rPr>
                <w:rFonts w:eastAsia="Times New Roman" w:cs="Times New Roman"/>
                <w:b/>
                <w:bCs/>
                <w:color w:val="000000"/>
                <w:sz w:val="18"/>
                <w:szCs w:val="18"/>
                <w:lang w:eastAsia="sk-SK"/>
              </w:rPr>
              <w:t> </w:t>
            </w:r>
            <w:r w:rsidRPr="00697268">
              <w:rPr>
                <w:rFonts w:eastAsia="Times New Roman" w:cs="Times New Roman"/>
                <w:b/>
                <w:bCs/>
                <w:color w:val="000000"/>
                <w:sz w:val="18"/>
                <w:szCs w:val="18"/>
                <w:lang w:eastAsia="sk-SK"/>
              </w:rPr>
              <w:t>055</w:t>
            </w:r>
          </w:p>
        </w:tc>
        <w:tc>
          <w:tcPr>
            <w:tcW w:w="1210" w:type="dxa"/>
            <w:tcBorders>
              <w:top w:val="single" w:sz="4" w:space="0" w:color="auto"/>
              <w:left w:val="nil"/>
              <w:bottom w:val="single" w:sz="4" w:space="0" w:color="auto"/>
              <w:right w:val="nil"/>
            </w:tcBorders>
            <w:shd w:val="clear" w:color="auto" w:fill="auto"/>
            <w:noWrap/>
            <w:vAlign w:val="center"/>
            <w:hideMark/>
          </w:tcPr>
          <w:p w14:paraId="7D41DC0E" w14:textId="14F8EC92" w:rsidR="00D31146" w:rsidRPr="00A71CC7" w:rsidRDefault="00D31146" w:rsidP="00D31146">
            <w:pPr>
              <w:spacing w:after="0" w:line="240" w:lineRule="auto"/>
              <w:jc w:val="right"/>
              <w:rPr>
                <w:rFonts w:eastAsia="Times New Roman" w:cs="Times New Roman"/>
                <w:b/>
                <w:bCs/>
                <w:color w:val="000000"/>
                <w:sz w:val="20"/>
                <w:szCs w:val="20"/>
                <w:lang w:eastAsia="sk-SK"/>
              </w:rPr>
            </w:pPr>
            <w:r w:rsidRPr="00697268">
              <w:rPr>
                <w:rFonts w:eastAsia="Times New Roman" w:cs="Times New Roman"/>
                <w:b/>
                <w:bCs/>
                <w:color w:val="000000"/>
                <w:sz w:val="18"/>
                <w:szCs w:val="18"/>
                <w:lang w:eastAsia="sk-SK"/>
              </w:rPr>
              <w:t>5 899 85</w:t>
            </w:r>
            <w:r>
              <w:rPr>
                <w:rFonts w:eastAsia="Times New Roman" w:cs="Times New Roman"/>
                <w:b/>
                <w:bCs/>
                <w:color w:val="000000"/>
                <w:sz w:val="18"/>
                <w:szCs w:val="18"/>
                <w:lang w:eastAsia="sk-SK"/>
              </w:rPr>
              <w:t>4</w:t>
            </w:r>
          </w:p>
        </w:tc>
        <w:tc>
          <w:tcPr>
            <w:tcW w:w="1016" w:type="dxa"/>
            <w:tcBorders>
              <w:top w:val="single" w:sz="4" w:space="0" w:color="auto"/>
              <w:left w:val="nil"/>
              <w:bottom w:val="single" w:sz="4" w:space="0" w:color="auto"/>
              <w:right w:val="nil"/>
            </w:tcBorders>
            <w:shd w:val="clear" w:color="auto" w:fill="auto"/>
            <w:noWrap/>
            <w:vAlign w:val="center"/>
            <w:hideMark/>
          </w:tcPr>
          <w:p w14:paraId="62A3EEE2" w14:textId="708CD0B0" w:rsidR="00D31146" w:rsidRPr="00A71CC7" w:rsidRDefault="00D31146" w:rsidP="00D31146">
            <w:pPr>
              <w:spacing w:after="0" w:line="240" w:lineRule="auto"/>
              <w:jc w:val="right"/>
              <w:rPr>
                <w:rFonts w:eastAsia="Times New Roman" w:cs="Times New Roman"/>
                <w:b/>
                <w:bCs/>
                <w:color w:val="000000"/>
                <w:sz w:val="20"/>
                <w:szCs w:val="20"/>
                <w:lang w:eastAsia="sk-SK"/>
              </w:rPr>
            </w:pPr>
            <w:r w:rsidRPr="00697268">
              <w:rPr>
                <w:rFonts w:eastAsia="Times New Roman" w:cs="Times New Roman"/>
                <w:b/>
                <w:bCs/>
                <w:color w:val="000000"/>
                <w:sz w:val="18"/>
                <w:szCs w:val="18"/>
                <w:lang w:eastAsia="sk-SK"/>
              </w:rPr>
              <w:t>2 340 65</w:t>
            </w:r>
            <w:r>
              <w:rPr>
                <w:rFonts w:eastAsia="Times New Roman" w:cs="Times New Roman"/>
                <w:b/>
                <w:bCs/>
                <w:color w:val="000000"/>
                <w:sz w:val="18"/>
                <w:szCs w:val="18"/>
                <w:lang w:eastAsia="sk-SK"/>
              </w:rPr>
              <w:t>5</w:t>
            </w:r>
          </w:p>
        </w:tc>
        <w:tc>
          <w:tcPr>
            <w:tcW w:w="1152" w:type="dxa"/>
            <w:tcBorders>
              <w:top w:val="single" w:sz="4" w:space="0" w:color="auto"/>
              <w:left w:val="nil"/>
              <w:bottom w:val="single" w:sz="4" w:space="0" w:color="auto"/>
              <w:right w:val="nil"/>
            </w:tcBorders>
            <w:shd w:val="clear" w:color="auto" w:fill="auto"/>
            <w:noWrap/>
            <w:vAlign w:val="center"/>
            <w:hideMark/>
          </w:tcPr>
          <w:p w14:paraId="46104039" w14:textId="3657DC3E" w:rsidR="00D31146" w:rsidRPr="00A71CC7" w:rsidRDefault="00D31146" w:rsidP="00D31146">
            <w:pPr>
              <w:spacing w:after="0" w:line="240" w:lineRule="auto"/>
              <w:jc w:val="right"/>
              <w:rPr>
                <w:rFonts w:eastAsia="Times New Roman" w:cs="Times New Roman"/>
                <w:b/>
                <w:bCs/>
                <w:color w:val="000000"/>
                <w:sz w:val="20"/>
                <w:szCs w:val="20"/>
                <w:lang w:eastAsia="sk-SK"/>
              </w:rPr>
            </w:pPr>
            <w:r w:rsidRPr="00697268">
              <w:rPr>
                <w:rFonts w:eastAsia="Times New Roman" w:cs="Times New Roman"/>
                <w:b/>
                <w:bCs/>
                <w:color w:val="000000"/>
                <w:sz w:val="18"/>
                <w:szCs w:val="18"/>
                <w:lang w:eastAsia="sk-SK"/>
              </w:rPr>
              <w:t>-3 559 19</w:t>
            </w:r>
            <w:r>
              <w:rPr>
                <w:rFonts w:eastAsia="Times New Roman" w:cs="Times New Roman"/>
                <w:b/>
                <w:bCs/>
                <w:color w:val="000000"/>
                <w:sz w:val="18"/>
                <w:szCs w:val="18"/>
                <w:lang w:eastAsia="sk-SK"/>
              </w:rPr>
              <w:t>9</w:t>
            </w:r>
          </w:p>
        </w:tc>
        <w:tc>
          <w:tcPr>
            <w:tcW w:w="874" w:type="dxa"/>
            <w:tcBorders>
              <w:top w:val="single" w:sz="4" w:space="0" w:color="auto"/>
              <w:left w:val="nil"/>
              <w:bottom w:val="single" w:sz="4" w:space="0" w:color="auto"/>
              <w:right w:val="nil"/>
            </w:tcBorders>
            <w:shd w:val="clear" w:color="auto" w:fill="auto"/>
            <w:noWrap/>
            <w:vAlign w:val="center"/>
            <w:hideMark/>
          </w:tcPr>
          <w:p w14:paraId="787CA8AA" w14:textId="6064A047" w:rsidR="00D31146" w:rsidRPr="00D31146" w:rsidRDefault="00D31146" w:rsidP="00D31146">
            <w:pPr>
              <w:spacing w:after="0" w:line="240" w:lineRule="auto"/>
              <w:jc w:val="right"/>
              <w:rPr>
                <w:rFonts w:eastAsia="Times New Roman" w:cs="Times New Roman"/>
                <w:b/>
                <w:color w:val="000000"/>
                <w:sz w:val="20"/>
                <w:szCs w:val="20"/>
                <w:lang w:eastAsia="sk-SK"/>
              </w:rPr>
            </w:pPr>
            <w:r w:rsidRPr="00D31146">
              <w:rPr>
                <w:rFonts w:eastAsia="Times New Roman" w:cs="Times New Roman"/>
                <w:b/>
                <w:color w:val="000000"/>
                <w:sz w:val="18"/>
                <w:szCs w:val="18"/>
                <w:lang w:eastAsia="sk-SK"/>
              </w:rPr>
              <w:t>-60,3</w:t>
            </w:r>
          </w:p>
        </w:tc>
      </w:tr>
    </w:tbl>
    <w:p w14:paraId="2F8B298C" w14:textId="77777777" w:rsidR="00697268" w:rsidRPr="00697268" w:rsidRDefault="00697268" w:rsidP="00697268">
      <w:pPr>
        <w:suppressAutoHyphens/>
        <w:spacing w:after="160" w:line="240" w:lineRule="auto"/>
        <w:jc w:val="right"/>
        <w:rPr>
          <w:rFonts w:eastAsia="Calibri" w:cs="Times New Roman"/>
          <w:sz w:val="24"/>
          <w:szCs w:val="24"/>
        </w:rPr>
      </w:pPr>
      <w:r w:rsidRPr="00697268">
        <w:rPr>
          <w:rFonts w:eastAsia="Times New Roman" w:cs="Times New Roman"/>
          <w:sz w:val="18"/>
          <w:szCs w:val="18"/>
          <w:lang w:eastAsia="sk-SK"/>
        </w:rPr>
        <w:t>Zdroj: MF SR</w:t>
      </w:r>
    </w:p>
    <w:p w14:paraId="08C5A685" w14:textId="043C3129" w:rsidR="00697268" w:rsidRPr="00697268" w:rsidRDefault="00697268" w:rsidP="00697268">
      <w:pPr>
        <w:shd w:val="clear" w:color="auto" w:fill="FFFFFF"/>
        <w:spacing w:after="160" w:line="240" w:lineRule="auto"/>
        <w:rPr>
          <w:rFonts w:eastAsia="Calibri" w:cs="Times New Roman"/>
          <w:sz w:val="24"/>
          <w:szCs w:val="24"/>
        </w:rPr>
      </w:pPr>
      <w:r w:rsidRPr="00697268">
        <w:rPr>
          <w:rFonts w:eastAsia="Calibri" w:cs="Times New Roman"/>
          <w:sz w:val="24"/>
          <w:szCs w:val="24"/>
        </w:rPr>
        <w:lastRenderedPageBreak/>
        <w:t xml:space="preserve">Z celkových výdavkov za </w:t>
      </w:r>
      <w:r w:rsidRPr="00697268">
        <w:rPr>
          <w:rFonts w:eastAsia="Calibri" w:cs="Times New Roman"/>
          <w:b/>
          <w:sz w:val="24"/>
          <w:szCs w:val="24"/>
        </w:rPr>
        <w:t>služby</w:t>
      </w:r>
      <w:r w:rsidRPr="00697268">
        <w:rPr>
          <w:rFonts w:eastAsia="Calibri" w:cs="Times New Roman"/>
          <w:sz w:val="24"/>
          <w:szCs w:val="24"/>
        </w:rPr>
        <w:t>,</w:t>
      </w:r>
      <w:r w:rsidRPr="00697268">
        <w:rPr>
          <w:rFonts w:eastAsia="Calibri" w:cs="Times New Roman"/>
          <w:b/>
          <w:i/>
          <w:sz w:val="24"/>
          <w:szCs w:val="24"/>
        </w:rPr>
        <w:t xml:space="preserve"> </w:t>
      </w:r>
      <w:r w:rsidRPr="00697268">
        <w:rPr>
          <w:rFonts w:eastAsia="Calibri" w:cs="Times New Roman"/>
          <w:sz w:val="24"/>
          <w:szCs w:val="24"/>
        </w:rPr>
        <w:t>realizovaných vo výške 980 629 tis. eur,</w:t>
      </w:r>
      <w:r w:rsidRPr="00697268">
        <w:rPr>
          <w:rFonts w:eastAsia="Calibri" w:cs="Times New Roman"/>
          <w:i/>
          <w:sz w:val="24"/>
          <w:szCs w:val="24"/>
        </w:rPr>
        <w:t xml:space="preserve"> </w:t>
      </w:r>
      <w:r w:rsidRPr="00697268">
        <w:rPr>
          <w:rFonts w:eastAsia="Calibri" w:cs="Times New Roman"/>
          <w:sz w:val="24"/>
          <w:szCs w:val="24"/>
        </w:rPr>
        <w:t>boli najvyššie výdavky vynaložené</w:t>
      </w:r>
      <w:r w:rsidRPr="00697268">
        <w:rPr>
          <w:rFonts w:eastAsia="Calibri" w:cs="Times New Roman"/>
          <w:color w:val="FF0000"/>
          <w:sz w:val="24"/>
          <w:szCs w:val="24"/>
        </w:rPr>
        <w:t xml:space="preserve"> </w:t>
      </w:r>
      <w:r w:rsidRPr="00697268">
        <w:rPr>
          <w:rFonts w:eastAsia="Calibri" w:cs="Times New Roman"/>
          <w:sz w:val="24"/>
          <w:szCs w:val="24"/>
        </w:rPr>
        <w:t xml:space="preserve">na </w:t>
      </w:r>
      <w:r w:rsidRPr="00697268">
        <w:rPr>
          <w:rFonts w:eastAsia="Times New Roman" w:cs="Times New Roman"/>
          <w:b/>
          <w:i/>
          <w:sz w:val="24"/>
          <w:szCs w:val="24"/>
          <w:lang w:eastAsia="sk-SK"/>
        </w:rPr>
        <w:t>špeciálne služby</w:t>
      </w:r>
      <w:r w:rsidRPr="00697268">
        <w:rPr>
          <w:rFonts w:eastAsia="Times New Roman" w:cs="Times New Roman"/>
          <w:sz w:val="24"/>
          <w:szCs w:val="24"/>
          <w:lang w:eastAsia="sk-SK"/>
        </w:rPr>
        <w:t>, vo výške 288 830 tis. eur,</w:t>
      </w:r>
      <w:r w:rsidRPr="00697268">
        <w:rPr>
          <w:rFonts w:eastAsia="Times New Roman" w:cs="Times New Roman"/>
          <w:color w:val="FF0000"/>
          <w:sz w:val="24"/>
          <w:szCs w:val="24"/>
          <w:lang w:eastAsia="sk-SK"/>
        </w:rPr>
        <w:t xml:space="preserve"> </w:t>
      </w:r>
      <w:r w:rsidRPr="00697268">
        <w:rPr>
          <w:rFonts w:eastAsia="Times New Roman" w:cs="Times New Roman"/>
          <w:sz w:val="24"/>
          <w:szCs w:val="24"/>
          <w:lang w:eastAsia="sk-SK"/>
        </w:rPr>
        <w:t xml:space="preserve">pričom najviac prostriedkov na tento účel vyčerpalo </w:t>
      </w:r>
      <w:r w:rsidRPr="00697268">
        <w:rPr>
          <w:rFonts w:eastAsia="Times New Roman" w:cs="Times New Roman"/>
          <w:sz w:val="24"/>
          <w:szCs w:val="24"/>
          <w:u w:val="single"/>
          <w:lang w:eastAsia="sk-SK"/>
        </w:rPr>
        <w:t>Ministerstvo obrany SR</w:t>
      </w:r>
      <w:r w:rsidRPr="00697268">
        <w:rPr>
          <w:rFonts w:eastAsia="Times New Roman" w:cs="Times New Roman"/>
          <w:sz w:val="24"/>
          <w:szCs w:val="24"/>
          <w:lang w:eastAsia="sk-SK"/>
        </w:rPr>
        <w:t xml:space="preserve">, a to v sume 103 833 tis. eur, </w:t>
      </w:r>
      <w:r w:rsidRPr="00697268">
        <w:rPr>
          <w:rFonts w:eastAsia="Calibri" w:cs="Times New Roman"/>
          <w:sz w:val="24"/>
          <w:szCs w:val="24"/>
          <w:shd w:val="clear" w:color="auto" w:fill="FFFFFF"/>
        </w:rPr>
        <w:t xml:space="preserve">najmä na zabezpečenie plnenia úloh v rámci obrany štátu, na sanáciu </w:t>
      </w:r>
      <w:r w:rsidRPr="00697268">
        <w:rPr>
          <w:rFonts w:eastAsia="Calibri" w:cs="Times New Roman"/>
          <w:sz w:val="24"/>
          <w:szCs w:val="24"/>
        </w:rPr>
        <w:t xml:space="preserve">environmentálnej </w:t>
      </w:r>
      <w:r w:rsidRPr="00697268">
        <w:rPr>
          <w:rFonts w:eastAsia="Calibri" w:cs="Times New Roman"/>
          <w:sz w:val="24"/>
          <w:szCs w:val="24"/>
          <w:shd w:val="clear" w:color="auto" w:fill="FFFFFF"/>
        </w:rPr>
        <w:t>záťaže v rezorte obrany, na technickú podporu lietadiel SPARTAN a v </w:t>
      </w:r>
      <w:r w:rsidRPr="00697268">
        <w:rPr>
          <w:rFonts w:eastAsia="Times New Roman" w:cs="Times New Roman"/>
          <w:sz w:val="24"/>
          <w:szCs w:val="24"/>
          <w:lang w:eastAsia="sk-SK"/>
        </w:rPr>
        <w:t>súvislosti s realizáciou modernizačných projektov rezortu obrany. Na čerpaní výdavkov na špeciálne služby sa tiež</w:t>
      </w:r>
      <w:r w:rsidRPr="00697268">
        <w:rPr>
          <w:rFonts w:eastAsia="Times New Roman" w:cs="Times New Roman"/>
          <w:color w:val="FF0000"/>
          <w:sz w:val="24"/>
          <w:szCs w:val="24"/>
          <w:lang w:eastAsia="sk-SK"/>
        </w:rPr>
        <w:t xml:space="preserve"> </w:t>
      </w:r>
      <w:r w:rsidRPr="00697268">
        <w:rPr>
          <w:rFonts w:eastAsia="Times New Roman" w:cs="Times New Roman"/>
          <w:sz w:val="24"/>
          <w:szCs w:val="24"/>
          <w:lang w:eastAsia="sk-SK"/>
        </w:rPr>
        <w:t xml:space="preserve">podieľala </w:t>
      </w:r>
      <w:r w:rsidRPr="00697268">
        <w:rPr>
          <w:rFonts w:eastAsia="Times New Roman" w:cs="Times New Roman"/>
          <w:sz w:val="24"/>
          <w:szCs w:val="24"/>
          <w:u w:val="single"/>
          <w:lang w:eastAsia="sk-SK"/>
        </w:rPr>
        <w:t>Slovenská informačná služba</w:t>
      </w:r>
      <w:r w:rsidRPr="00697268">
        <w:rPr>
          <w:rFonts w:eastAsia="Times New Roman" w:cs="Times New Roman"/>
          <w:sz w:val="24"/>
          <w:szCs w:val="24"/>
          <w:lang w:eastAsia="sk-SK"/>
        </w:rPr>
        <w:t xml:space="preserve"> sumou 77 713 tis. eur, </w:t>
      </w:r>
      <w:r w:rsidRPr="00697268">
        <w:rPr>
          <w:rFonts w:eastAsia="Calibri" w:cs="Times New Roman"/>
          <w:sz w:val="24"/>
          <w:szCs w:val="24"/>
          <w:u w:val="single"/>
        </w:rPr>
        <w:t>Ministerstvo životného prostredia SR</w:t>
      </w:r>
      <w:r w:rsidRPr="00697268">
        <w:rPr>
          <w:rFonts w:eastAsia="Calibri" w:cs="Times New Roman"/>
          <w:color w:val="FF0000"/>
          <w:sz w:val="24"/>
          <w:szCs w:val="24"/>
        </w:rPr>
        <w:t xml:space="preserve"> </w:t>
      </w:r>
      <w:r w:rsidRPr="00697268">
        <w:rPr>
          <w:rFonts w:eastAsia="Calibri" w:cs="Times New Roman"/>
          <w:sz w:val="24"/>
          <w:szCs w:val="24"/>
        </w:rPr>
        <w:t xml:space="preserve">sumou 20 368 tis. eur, pričom najväčší objem predstavovali výdavky v rámci geologických projektov na sanácie a prieskum environmentálnych záťaží a svahových deformácií vo vybraných lokalitách Slovenska. </w:t>
      </w:r>
      <w:r w:rsidRPr="00697268">
        <w:rPr>
          <w:rFonts w:eastAsia="Times New Roman" w:cs="Times New Roman"/>
          <w:sz w:val="24"/>
          <w:szCs w:val="24"/>
          <w:lang w:eastAsia="sk-SK"/>
        </w:rPr>
        <w:t xml:space="preserve">Ďalšie významné čerpanie finančných prostriedkov na špeciálne služby vykázalo </w:t>
      </w:r>
      <w:r w:rsidRPr="00697268">
        <w:rPr>
          <w:rFonts w:eastAsia="Calibri" w:cs="Times New Roman"/>
          <w:sz w:val="24"/>
          <w:szCs w:val="24"/>
          <w:u w:val="single"/>
        </w:rPr>
        <w:t>Ministerstvo spravodlivosti SR</w:t>
      </w:r>
      <w:r w:rsidRPr="00697268">
        <w:rPr>
          <w:rFonts w:eastAsia="Calibri" w:cs="Times New Roman"/>
          <w:sz w:val="24"/>
          <w:szCs w:val="24"/>
        </w:rPr>
        <w:t xml:space="preserve"> v sume 15 155 tis. eur a prostredníctvom týchto finančných prostriedkov boli realizované v prevažnej miere úhrady súvisiace s osobným bankrotom, ktoré realizuje Centrum právnej pomoci (odmena pre správcu konkurzu) a výdavky na súdne konania na súdoch (služby advokátov, exekútorov a notárov).</w:t>
      </w:r>
      <w:r w:rsidRPr="00697268">
        <w:rPr>
          <w:rFonts w:eastAsia="Times New Roman" w:cs="Times New Roman"/>
          <w:sz w:val="24"/>
          <w:szCs w:val="24"/>
          <w:lang w:eastAsia="sk-SK"/>
        </w:rPr>
        <w:t xml:space="preserve"> </w:t>
      </w:r>
      <w:r w:rsidRPr="00697268">
        <w:rPr>
          <w:rFonts w:eastAsia="Calibri" w:cs="Times New Roman"/>
          <w:sz w:val="24"/>
          <w:szCs w:val="24"/>
        </w:rPr>
        <w:t xml:space="preserve">Na podpoložke bežných výdavkov na špeciálne služby sa ďalej významne podieľalo </w:t>
      </w:r>
      <w:r w:rsidRPr="00697268">
        <w:rPr>
          <w:rFonts w:eastAsia="Calibri" w:cs="Times New Roman"/>
          <w:sz w:val="24"/>
          <w:szCs w:val="24"/>
          <w:u w:val="single"/>
        </w:rPr>
        <w:t>Ministerstvo pôdohospodárstva a rozvoja vidieka SR</w:t>
      </w:r>
      <w:r w:rsidRPr="00697268">
        <w:rPr>
          <w:rFonts w:eastAsia="Calibri" w:cs="Times New Roman"/>
          <w:sz w:val="24"/>
          <w:szCs w:val="24"/>
        </w:rPr>
        <w:t xml:space="preserve"> sumou 12 990 tis. eur, </w:t>
      </w:r>
      <w:r w:rsidRPr="00697268">
        <w:rPr>
          <w:rFonts w:eastAsia="Calibri" w:cs="Times New Roman"/>
          <w:sz w:val="24"/>
          <w:szCs w:val="24"/>
          <w:u w:val="single"/>
        </w:rPr>
        <w:t>Ministerstvo práce, sociálnych vecí a rodiny SR</w:t>
      </w:r>
      <w:r w:rsidRPr="00697268">
        <w:rPr>
          <w:rFonts w:eastAsia="Calibri" w:cs="Times New Roman"/>
          <w:sz w:val="24"/>
          <w:szCs w:val="24"/>
        </w:rPr>
        <w:t xml:space="preserve"> sumou 11 708 tis. eur a </w:t>
      </w:r>
      <w:r w:rsidRPr="00697268">
        <w:rPr>
          <w:rFonts w:eastAsia="Calibri" w:cs="Times New Roman"/>
          <w:sz w:val="24"/>
          <w:szCs w:val="24"/>
          <w:u w:val="single"/>
        </w:rPr>
        <w:t xml:space="preserve">Ministerstvo vnútra </w:t>
      </w:r>
      <w:r w:rsidR="004C7B10">
        <w:rPr>
          <w:rFonts w:eastAsia="Calibri" w:cs="Times New Roman"/>
          <w:sz w:val="24"/>
          <w:szCs w:val="24"/>
          <w:u w:val="single"/>
        </w:rPr>
        <w:t xml:space="preserve">SR </w:t>
      </w:r>
      <w:r w:rsidRPr="004C7B10">
        <w:rPr>
          <w:rFonts w:eastAsia="Calibri" w:cs="Times New Roman"/>
          <w:sz w:val="24"/>
          <w:szCs w:val="24"/>
        </w:rPr>
        <w:t>sumou 11 238 tis. eur.</w:t>
      </w:r>
    </w:p>
    <w:p w14:paraId="2191FACF" w14:textId="199B55BC" w:rsidR="00697268" w:rsidRPr="00697268" w:rsidRDefault="00697268" w:rsidP="00697268">
      <w:pPr>
        <w:spacing w:after="160" w:line="240" w:lineRule="auto"/>
        <w:rPr>
          <w:rFonts w:ascii="Calibri" w:eastAsia="Calibri" w:hAnsi="Calibri" w:cs="Calibri"/>
          <w:color w:val="0070C0"/>
        </w:rPr>
      </w:pPr>
      <w:r w:rsidRPr="00697268">
        <w:rPr>
          <w:rFonts w:eastAsia="Times New Roman" w:cs="Times New Roman"/>
          <w:sz w:val="24"/>
          <w:szCs w:val="24"/>
          <w:lang w:eastAsia="sk-SK"/>
        </w:rPr>
        <w:t xml:space="preserve">Z hľadiska významnosti v bežných výdavkoch za služby, druhé najvyššie výdavky boli </w:t>
      </w:r>
      <w:r w:rsidRPr="00697268">
        <w:rPr>
          <w:rFonts w:eastAsia="Times New Roman" w:cs="Times New Roman"/>
          <w:b/>
          <w:i/>
          <w:sz w:val="24"/>
          <w:szCs w:val="24"/>
          <w:lang w:eastAsia="sk-SK"/>
        </w:rPr>
        <w:t>na platby za dostupnosť</w:t>
      </w:r>
      <w:r w:rsidRPr="00697268">
        <w:rPr>
          <w:rFonts w:eastAsia="Times New Roman" w:cs="Times New Roman"/>
          <w:sz w:val="24"/>
          <w:szCs w:val="24"/>
          <w:lang w:eastAsia="sk-SK"/>
        </w:rPr>
        <w:t xml:space="preserve">, realizované výlučne prostredníctvom </w:t>
      </w:r>
      <w:r w:rsidRPr="00697268">
        <w:rPr>
          <w:rFonts w:eastAsia="Times New Roman" w:cs="Times New Roman"/>
          <w:sz w:val="24"/>
          <w:szCs w:val="24"/>
          <w:u w:val="single"/>
          <w:lang w:eastAsia="sk-SK"/>
        </w:rPr>
        <w:t>Ministerstva dopravy a výstavby SR</w:t>
      </w:r>
      <w:r w:rsidRPr="00697268">
        <w:rPr>
          <w:rFonts w:eastAsia="Times New Roman" w:cs="Times New Roman"/>
          <w:sz w:val="24"/>
          <w:szCs w:val="24"/>
          <w:lang w:eastAsia="sk-SK"/>
        </w:rPr>
        <w:t>, kde skutočné čerpanie predstavovalo 178 780 tis. eur. Finančné prostriedky boli použité na platbu za dostupnosť pre PPP projekty, a to v sume 127 629 tis. eur pre projekt R1 - </w:t>
      </w:r>
      <w:r w:rsidRPr="00697268">
        <w:rPr>
          <w:rFonts w:eastAsia="Calibri" w:cs="Times New Roman"/>
          <w:sz w:val="24"/>
          <w:szCs w:val="24"/>
        </w:rPr>
        <w:t xml:space="preserve">na úhradu </w:t>
      </w:r>
      <w:proofErr w:type="spellStart"/>
      <w:r w:rsidRPr="00697268">
        <w:rPr>
          <w:rFonts w:eastAsia="Calibri" w:cs="Times New Roman"/>
          <w:sz w:val="24"/>
          <w:szCs w:val="24"/>
        </w:rPr>
        <w:t>nerozporovaných</w:t>
      </w:r>
      <w:proofErr w:type="spellEnd"/>
      <w:r w:rsidRPr="00697268">
        <w:rPr>
          <w:rFonts w:eastAsia="Calibri" w:cs="Times New Roman"/>
          <w:sz w:val="24"/>
          <w:szCs w:val="24"/>
        </w:rPr>
        <w:t xml:space="preserve"> častí mesačných jednotkových platieb za mesiace december 2021 a január až november 2022 fakturovaných Koncesionárom R1 v súlade s Koncesnou zmluvou R1. Vo výške 51 151 tis. eur bolo použitých v zmysle Koncesnej zmluvy D4R7 č. 238/C611/2016 na úhradu </w:t>
      </w:r>
      <w:proofErr w:type="spellStart"/>
      <w:r w:rsidRPr="00697268">
        <w:rPr>
          <w:rFonts w:eastAsia="Calibri" w:cs="Times New Roman"/>
          <w:sz w:val="24"/>
          <w:szCs w:val="24"/>
        </w:rPr>
        <w:t>nerozporovaných</w:t>
      </w:r>
      <w:proofErr w:type="spellEnd"/>
      <w:r w:rsidRPr="00697268">
        <w:rPr>
          <w:rFonts w:eastAsia="Calibri" w:cs="Times New Roman"/>
          <w:sz w:val="24"/>
          <w:szCs w:val="24"/>
        </w:rPr>
        <w:t xml:space="preserve"> častí MJP za mesiace december 2021 a január až november 2022 fakturovaných Koncesionárom D4R7 v súlade s Koncesnou zmluvou D4R7.</w:t>
      </w:r>
      <w:r w:rsidRPr="00697268">
        <w:rPr>
          <w:rFonts w:ascii="Calibri" w:eastAsia="Calibri" w:hAnsi="Calibri" w:cs="Calibri"/>
          <w:color w:val="0070C0"/>
        </w:rPr>
        <w:t> </w:t>
      </w:r>
    </w:p>
    <w:p w14:paraId="784F9D67" w14:textId="77777777" w:rsidR="00697268" w:rsidRPr="00697268" w:rsidRDefault="00697268" w:rsidP="00697268">
      <w:pPr>
        <w:spacing w:after="160" w:line="240" w:lineRule="auto"/>
        <w:rPr>
          <w:rFonts w:eastAsia="Calibri" w:cs="Times New Roman"/>
          <w:color w:val="FF0000"/>
          <w:sz w:val="24"/>
          <w:szCs w:val="24"/>
        </w:rPr>
      </w:pPr>
      <w:r w:rsidRPr="00697268">
        <w:rPr>
          <w:rFonts w:eastAsia="Times New Roman" w:cs="Times New Roman"/>
          <w:sz w:val="24"/>
          <w:szCs w:val="24"/>
          <w:lang w:eastAsia="sk-SK"/>
        </w:rPr>
        <w:t xml:space="preserve">Tretiu najvýznamnejšiu hodnotu dosiahli bežné výdavky za </w:t>
      </w:r>
      <w:r w:rsidRPr="00697268">
        <w:rPr>
          <w:rFonts w:eastAsia="Calibri" w:cs="Times New Roman"/>
          <w:b/>
          <w:i/>
          <w:sz w:val="24"/>
          <w:szCs w:val="24"/>
        </w:rPr>
        <w:t xml:space="preserve">nezrovnalosti a iné </w:t>
      </w:r>
      <w:proofErr w:type="spellStart"/>
      <w:r w:rsidRPr="00697268">
        <w:rPr>
          <w:rFonts w:eastAsia="Calibri" w:cs="Times New Roman"/>
          <w:b/>
          <w:i/>
          <w:sz w:val="24"/>
          <w:szCs w:val="24"/>
        </w:rPr>
        <w:t>vratky</w:t>
      </w:r>
      <w:proofErr w:type="spellEnd"/>
      <w:r w:rsidRPr="00697268">
        <w:rPr>
          <w:rFonts w:eastAsia="Calibri" w:cs="Times New Roman"/>
          <w:b/>
          <w:i/>
          <w:sz w:val="24"/>
          <w:szCs w:val="24"/>
        </w:rPr>
        <w:t xml:space="preserve"> za prostriedky Európskej únie zaradené do štátneho rozpočtu a za prostriedky spolufinancovania</w:t>
      </w:r>
      <w:r w:rsidRPr="00697268">
        <w:rPr>
          <w:rFonts w:eastAsia="Calibri" w:cs="Times New Roman"/>
          <w:sz w:val="24"/>
          <w:szCs w:val="24"/>
        </w:rPr>
        <w:t xml:space="preserve"> v sume 113 906 tis. eur. Realizované boli najmä prostredníctvom </w:t>
      </w:r>
      <w:r w:rsidRPr="00697268">
        <w:rPr>
          <w:rFonts w:eastAsia="Calibri" w:cs="Times New Roman"/>
          <w:sz w:val="24"/>
          <w:szCs w:val="24"/>
          <w:u w:val="single"/>
        </w:rPr>
        <w:t>Všeobecnej pokladničnej správy</w:t>
      </w:r>
      <w:r w:rsidRPr="00697268">
        <w:rPr>
          <w:rFonts w:eastAsia="Calibri" w:cs="Times New Roman"/>
          <w:sz w:val="24"/>
          <w:szCs w:val="24"/>
        </w:rPr>
        <w:t xml:space="preserve"> v hodnote 91 392 tis. eur, </w:t>
      </w:r>
      <w:r w:rsidRPr="00697268">
        <w:rPr>
          <w:rFonts w:eastAsia="Calibri" w:cs="Times New Roman"/>
          <w:sz w:val="24"/>
          <w:szCs w:val="24"/>
          <w:u w:val="single"/>
        </w:rPr>
        <w:t>Ministerstva vnútra SR</w:t>
      </w:r>
      <w:r w:rsidRPr="00697268">
        <w:rPr>
          <w:rFonts w:eastAsia="Calibri" w:cs="Times New Roman"/>
          <w:sz w:val="24"/>
          <w:szCs w:val="24"/>
        </w:rPr>
        <w:t xml:space="preserve"> v sume 11 229 tis. eur a </w:t>
      </w:r>
      <w:r w:rsidRPr="00697268">
        <w:rPr>
          <w:rFonts w:eastAsia="Calibri" w:cs="Times New Roman"/>
          <w:sz w:val="24"/>
          <w:szCs w:val="24"/>
          <w:u w:val="single"/>
        </w:rPr>
        <w:t xml:space="preserve">Ministerstva </w:t>
      </w:r>
      <w:r w:rsidRPr="00697268">
        <w:rPr>
          <w:rFonts w:eastAsia="Times New Roman" w:cs="Times New Roman"/>
          <w:sz w:val="24"/>
          <w:szCs w:val="24"/>
          <w:u w:val="single"/>
          <w:lang w:eastAsia="sk-SK"/>
        </w:rPr>
        <w:t>investícií, regionálneho rozvoja a informatizácie SR</w:t>
      </w:r>
      <w:r w:rsidRPr="00697268">
        <w:rPr>
          <w:rFonts w:eastAsia="Calibri" w:cs="Times New Roman"/>
          <w:sz w:val="24"/>
          <w:szCs w:val="24"/>
        </w:rPr>
        <w:t xml:space="preserve"> v hodnote 8 480 tis. eur. </w:t>
      </w:r>
    </w:p>
    <w:p w14:paraId="21568031" w14:textId="5736E9A2" w:rsidR="00697268" w:rsidRPr="00697268" w:rsidRDefault="00697268" w:rsidP="00697268">
      <w:pPr>
        <w:spacing w:after="160" w:line="240" w:lineRule="auto"/>
        <w:rPr>
          <w:rFonts w:eastAsia="Calibri" w:cs="Times New Roman"/>
          <w:sz w:val="24"/>
          <w:szCs w:val="24"/>
        </w:rPr>
      </w:pPr>
      <w:r w:rsidRPr="00697268">
        <w:rPr>
          <w:rFonts w:eastAsia="Calibri" w:cs="Times New Roman"/>
          <w:sz w:val="24"/>
          <w:szCs w:val="24"/>
        </w:rPr>
        <w:t>Ďalšou významnou položkou v rámci služieb sú výdavky na</w:t>
      </w:r>
      <w:r w:rsidRPr="00697268">
        <w:rPr>
          <w:rFonts w:eastAsia="Calibri" w:cs="Times New Roman"/>
          <w:b/>
          <w:i/>
          <w:sz w:val="24"/>
          <w:szCs w:val="24"/>
        </w:rPr>
        <w:t xml:space="preserve"> všeobecné služby</w:t>
      </w:r>
      <w:r w:rsidRPr="00697268">
        <w:rPr>
          <w:rFonts w:eastAsia="Calibri" w:cs="Times New Roman"/>
          <w:sz w:val="24"/>
          <w:szCs w:val="24"/>
        </w:rPr>
        <w:t>, ktoré dosiahli skutočné čerpanie</w:t>
      </w:r>
      <w:r w:rsidRPr="00697268">
        <w:rPr>
          <w:rFonts w:eastAsia="Calibri" w:cs="Times New Roman"/>
          <w:color w:val="FF0000"/>
          <w:sz w:val="24"/>
          <w:szCs w:val="24"/>
        </w:rPr>
        <w:t xml:space="preserve"> </w:t>
      </w:r>
      <w:r w:rsidRPr="00697268">
        <w:rPr>
          <w:rFonts w:eastAsia="Calibri" w:cs="Times New Roman"/>
          <w:sz w:val="24"/>
          <w:szCs w:val="24"/>
        </w:rPr>
        <w:t>81 421 tis. eur</w:t>
      </w:r>
      <w:r w:rsidRPr="00697268">
        <w:rPr>
          <w:rFonts w:eastAsia="Calibri" w:cs="Times New Roman"/>
          <w:i/>
          <w:sz w:val="24"/>
          <w:szCs w:val="24"/>
        </w:rPr>
        <w:t xml:space="preserve">. </w:t>
      </w:r>
      <w:r w:rsidRPr="00697268">
        <w:rPr>
          <w:rFonts w:eastAsia="Calibri" w:cs="Times New Roman"/>
          <w:sz w:val="24"/>
          <w:szCs w:val="24"/>
        </w:rPr>
        <w:t xml:space="preserve">Ide o výkony obstarávané dodávateľským spôsobom, ktoré predstavujú služby súvisiace so správou štátnych budov a zariadení (napr. čistiace a upratovacie služby, odvoz a likvidácia odpadu, ako aj platby za externé služby, ako sú tlmočenie, prekladateľské služby, výkon revízií a kontrol dopravnej techniky, výdavky na prevádzku varovného systému civilnej obrany, odmeny asistentom poslancov a podobne). </w:t>
      </w:r>
      <w:r w:rsidRPr="00697268">
        <w:rPr>
          <w:rFonts w:eastAsia="Calibri" w:cs="Times New Roman"/>
          <w:sz w:val="24"/>
          <w:szCs w:val="24"/>
          <w:u w:val="single"/>
        </w:rPr>
        <w:t>Kapitola Ministerstva vnútra SR</w:t>
      </w:r>
      <w:r w:rsidRPr="00697268">
        <w:rPr>
          <w:rFonts w:eastAsia="Calibri" w:cs="Times New Roman"/>
          <w:sz w:val="24"/>
          <w:szCs w:val="24"/>
        </w:rPr>
        <w:t xml:space="preserve"> disponuje najväčším počtom budov, zariadení a dopravnej techniky a dosiahla najvýznamnejšie výdavky na všeobecné služby v hodnote 16 278 tis. eur. </w:t>
      </w:r>
      <w:r w:rsidRPr="00697268">
        <w:rPr>
          <w:rFonts w:eastAsia="Calibri" w:cs="Times New Roman"/>
          <w:sz w:val="24"/>
          <w:szCs w:val="24"/>
          <w:u w:val="single"/>
        </w:rPr>
        <w:t>Ministerstvo školstva, vedy, výskumu a športu SR</w:t>
      </w:r>
      <w:r w:rsidRPr="00697268">
        <w:rPr>
          <w:rFonts w:eastAsia="Calibri" w:cs="Times New Roman"/>
          <w:sz w:val="24"/>
          <w:szCs w:val="24"/>
        </w:rPr>
        <w:t xml:space="preserve"> vynaložilo na všeobecné služby čiastku 8 602 tis. eur, </w:t>
      </w:r>
      <w:r w:rsidRPr="00697268">
        <w:rPr>
          <w:rFonts w:eastAsia="Calibri" w:cs="Times New Roman"/>
          <w:sz w:val="24"/>
          <w:szCs w:val="24"/>
          <w:u w:val="single"/>
        </w:rPr>
        <w:t>Ministerstvo obrany SR</w:t>
      </w:r>
      <w:r w:rsidRPr="00697268">
        <w:rPr>
          <w:rFonts w:eastAsia="Calibri" w:cs="Times New Roman"/>
          <w:sz w:val="24"/>
          <w:szCs w:val="24"/>
        </w:rPr>
        <w:t xml:space="preserve"> 7 854 tis. eur, </w:t>
      </w:r>
      <w:r w:rsidRPr="00697268">
        <w:rPr>
          <w:rFonts w:eastAsia="Calibri" w:cs="Times New Roman"/>
          <w:sz w:val="24"/>
          <w:szCs w:val="24"/>
          <w:u w:val="single"/>
        </w:rPr>
        <w:t>Ministerstvo pôdohospodárstva a rozvoja vidieka SR</w:t>
      </w:r>
      <w:r w:rsidRPr="00697268">
        <w:rPr>
          <w:rFonts w:eastAsia="Calibri" w:cs="Times New Roman"/>
          <w:sz w:val="24"/>
          <w:szCs w:val="24"/>
        </w:rPr>
        <w:t xml:space="preserve"> 7 670 tis. eur, </w:t>
      </w:r>
      <w:r w:rsidRPr="00697268">
        <w:rPr>
          <w:rFonts w:eastAsia="Calibri" w:cs="Times New Roman"/>
          <w:sz w:val="24"/>
          <w:szCs w:val="24"/>
          <w:u w:val="single"/>
        </w:rPr>
        <w:t>Kancelária národnej rady SR</w:t>
      </w:r>
      <w:r w:rsidRPr="00697268">
        <w:rPr>
          <w:rFonts w:eastAsia="Calibri" w:cs="Times New Roman"/>
          <w:sz w:val="24"/>
          <w:szCs w:val="24"/>
        </w:rPr>
        <w:t xml:space="preserve"> sumu 6 050 tis. eur, </w:t>
      </w:r>
      <w:r w:rsidRPr="00697268">
        <w:rPr>
          <w:rFonts w:eastAsia="Calibri" w:cs="Times New Roman"/>
          <w:sz w:val="24"/>
          <w:szCs w:val="24"/>
          <w:u w:val="single"/>
        </w:rPr>
        <w:t>Ministerstvo zdravotníctva SR</w:t>
      </w:r>
      <w:r w:rsidRPr="00697268">
        <w:rPr>
          <w:rFonts w:eastAsia="Calibri" w:cs="Times New Roman"/>
          <w:sz w:val="24"/>
          <w:szCs w:val="24"/>
        </w:rPr>
        <w:t xml:space="preserve"> 5 329 tis. eur,</w:t>
      </w:r>
      <w:r w:rsidRPr="00697268">
        <w:rPr>
          <w:rFonts w:eastAsia="Calibri" w:cs="Times New Roman"/>
          <w:sz w:val="24"/>
          <w:szCs w:val="24"/>
          <w:u w:val="single"/>
        </w:rPr>
        <w:t xml:space="preserve"> Ministerstvo práce, sociálnych vecí a rodiny SR</w:t>
      </w:r>
      <w:r w:rsidRPr="00697268">
        <w:rPr>
          <w:rFonts w:eastAsia="Calibri" w:cs="Times New Roman"/>
          <w:sz w:val="24"/>
          <w:szCs w:val="24"/>
        </w:rPr>
        <w:t xml:space="preserve"> 5 329 tis. eur, </w:t>
      </w:r>
      <w:r w:rsidRPr="00697268">
        <w:rPr>
          <w:rFonts w:eastAsia="Calibri" w:cs="Times New Roman"/>
          <w:sz w:val="24"/>
          <w:szCs w:val="24"/>
          <w:u w:val="single"/>
        </w:rPr>
        <w:t>Ministerstvo spravodlivosti SR</w:t>
      </w:r>
      <w:r w:rsidRPr="00697268">
        <w:rPr>
          <w:rFonts w:eastAsia="Calibri" w:cs="Times New Roman"/>
          <w:sz w:val="24"/>
          <w:szCs w:val="24"/>
        </w:rPr>
        <w:t xml:space="preserve"> 5 304 tis. eur a </w:t>
      </w:r>
      <w:r w:rsidRPr="00697268">
        <w:rPr>
          <w:rFonts w:eastAsia="Calibri" w:cs="Times New Roman"/>
          <w:sz w:val="24"/>
          <w:szCs w:val="24"/>
          <w:u w:val="single"/>
        </w:rPr>
        <w:t>Ministerstvo financií SR</w:t>
      </w:r>
      <w:r w:rsidRPr="00697268">
        <w:rPr>
          <w:rFonts w:eastAsia="Calibri" w:cs="Times New Roman"/>
          <w:sz w:val="24"/>
          <w:szCs w:val="24"/>
        </w:rPr>
        <w:t xml:space="preserve"> 5 177 tis. eur. Ostatné kapitoly poskytli na tento účel menšie čiastky. Na výdavky na všeobecné služby bol schválený rozpočet 623 363 tis. eur a skutočné čerpanie bolo o 86,9 % nižšie. Na tejto skutočnosti sa najviac podieľalo</w:t>
      </w:r>
      <w:r w:rsidRPr="00697268">
        <w:rPr>
          <w:rFonts w:eastAsia="Calibri" w:cs="Times New Roman"/>
          <w:color w:val="FF0000"/>
          <w:sz w:val="24"/>
          <w:szCs w:val="24"/>
        </w:rPr>
        <w:t xml:space="preserve"> </w:t>
      </w:r>
      <w:r w:rsidRPr="00697268">
        <w:rPr>
          <w:rFonts w:eastAsia="Calibri" w:cs="Times New Roman"/>
          <w:sz w:val="24"/>
          <w:szCs w:val="24"/>
          <w:u w:val="single"/>
        </w:rPr>
        <w:t xml:space="preserve">Ministerstvo </w:t>
      </w:r>
      <w:r w:rsidRPr="00697268">
        <w:rPr>
          <w:rFonts w:eastAsia="Times New Roman" w:cs="Times New Roman"/>
          <w:sz w:val="24"/>
          <w:szCs w:val="24"/>
          <w:u w:val="single"/>
          <w:lang w:eastAsia="sk-SK"/>
        </w:rPr>
        <w:t>investícií, regionálneho rozvoja a informatizácie SR</w:t>
      </w:r>
      <w:r w:rsidRPr="00697268">
        <w:rPr>
          <w:rFonts w:eastAsia="Times New Roman" w:cs="Times New Roman"/>
          <w:sz w:val="24"/>
          <w:szCs w:val="24"/>
          <w:lang w:eastAsia="sk-SK"/>
        </w:rPr>
        <w:t xml:space="preserve">, ktoré vykázalo </w:t>
      </w:r>
      <w:r w:rsidRPr="00697268">
        <w:rPr>
          <w:rFonts w:eastAsia="Times New Roman" w:cs="Times New Roman"/>
          <w:sz w:val="24"/>
          <w:szCs w:val="24"/>
          <w:lang w:eastAsia="sk-SK"/>
        </w:rPr>
        <w:lastRenderedPageBreak/>
        <w:t xml:space="preserve">skutočné čerpanie o 501 648 tis. eur menej oproti schválenému rozpočtu, </w:t>
      </w:r>
      <w:r w:rsidRPr="00697268">
        <w:rPr>
          <w:rFonts w:eastAsia="Calibri" w:cs="Times New Roman"/>
          <w:sz w:val="24"/>
          <w:szCs w:val="24"/>
          <w:u w:val="single"/>
        </w:rPr>
        <w:t>Ministerstvo dopravy a výstavby SR</w:t>
      </w:r>
      <w:r w:rsidRPr="00697268">
        <w:rPr>
          <w:rFonts w:eastAsia="Calibri" w:cs="Times New Roman"/>
          <w:sz w:val="24"/>
          <w:szCs w:val="24"/>
        </w:rPr>
        <w:t xml:space="preserve"> o 42 428 tis. eur menej a </w:t>
      </w:r>
      <w:r w:rsidRPr="00697268">
        <w:rPr>
          <w:rFonts w:eastAsia="Calibri" w:cs="Times New Roman"/>
          <w:sz w:val="24"/>
          <w:szCs w:val="24"/>
          <w:u w:val="single"/>
        </w:rPr>
        <w:t>Ministerstvo práce, sociálnych vecí a rodiny SR</w:t>
      </w:r>
      <w:r w:rsidRPr="00697268">
        <w:rPr>
          <w:rFonts w:eastAsia="Calibri" w:cs="Times New Roman"/>
          <w:sz w:val="24"/>
          <w:szCs w:val="24"/>
        </w:rPr>
        <w:t xml:space="preserve"> o 9 398 tis. eur.</w:t>
      </w:r>
    </w:p>
    <w:p w14:paraId="0E809060" w14:textId="075A493D" w:rsidR="00697268" w:rsidRPr="00697268" w:rsidRDefault="00697268" w:rsidP="00697268">
      <w:pPr>
        <w:spacing w:after="160" w:line="240" w:lineRule="auto"/>
        <w:rPr>
          <w:rFonts w:eastAsia="Calibri" w:cs="Times New Roman"/>
          <w:color w:val="FF0000"/>
          <w:sz w:val="24"/>
          <w:szCs w:val="24"/>
        </w:rPr>
      </w:pPr>
      <w:r w:rsidRPr="00697268">
        <w:rPr>
          <w:rFonts w:eastAsia="Calibri" w:cs="Times New Roman"/>
          <w:sz w:val="24"/>
          <w:szCs w:val="24"/>
        </w:rPr>
        <w:t>Ďalšou významnou položkou sú výdavky na</w:t>
      </w:r>
      <w:r w:rsidRPr="00697268">
        <w:rPr>
          <w:rFonts w:eastAsia="Calibri" w:cs="Times New Roman"/>
          <w:i/>
          <w:sz w:val="24"/>
          <w:szCs w:val="24"/>
        </w:rPr>
        <w:t xml:space="preserve"> </w:t>
      </w:r>
      <w:r w:rsidRPr="00697268">
        <w:rPr>
          <w:rFonts w:eastAsia="Calibri" w:cs="Times New Roman"/>
          <w:b/>
          <w:i/>
          <w:sz w:val="24"/>
          <w:szCs w:val="24"/>
        </w:rPr>
        <w:t>stravovanie</w:t>
      </w:r>
      <w:r w:rsidRPr="00697268">
        <w:rPr>
          <w:rFonts w:eastAsia="Calibri" w:cs="Times New Roman"/>
          <w:sz w:val="24"/>
          <w:szCs w:val="24"/>
        </w:rPr>
        <w:t xml:space="preserve"> zamestnancov podľa platných predpisov a boli čerpané v sume 46 346 tis. eur. Najvýznamnejšou sumou výdavkov na stravovanie sa podieľalo </w:t>
      </w:r>
      <w:r w:rsidRPr="00697268">
        <w:rPr>
          <w:rFonts w:eastAsia="Calibri" w:cs="Times New Roman"/>
          <w:sz w:val="24"/>
          <w:szCs w:val="24"/>
          <w:u w:val="single"/>
        </w:rPr>
        <w:t>Ministerstvo vnútra SR</w:t>
      </w:r>
      <w:r w:rsidRPr="00697268">
        <w:rPr>
          <w:rFonts w:eastAsia="Calibri" w:cs="Times New Roman"/>
          <w:sz w:val="24"/>
          <w:szCs w:val="24"/>
        </w:rPr>
        <w:t xml:space="preserve">, a to 23 293 tis. eur na zabezpečenie stravovania zamestnancov rezortu, na pitný režim a na výdavky súvisiace so zaradením bezpečnostných zložiek a kritickej infraštruktúry do nepretržitého výkonu služby v súvislosti s mimoriadnou situáciou. </w:t>
      </w:r>
      <w:r w:rsidRPr="00697268">
        <w:rPr>
          <w:rFonts w:eastAsia="Calibri" w:cs="Times New Roman"/>
          <w:sz w:val="24"/>
          <w:szCs w:val="24"/>
          <w:u w:val="single"/>
        </w:rPr>
        <w:t>Ministerstvo obrany SR</w:t>
      </w:r>
      <w:r w:rsidRPr="00697268">
        <w:rPr>
          <w:rFonts w:eastAsia="Calibri" w:cs="Times New Roman"/>
          <w:sz w:val="24"/>
          <w:szCs w:val="24"/>
        </w:rPr>
        <w:t xml:space="preserve"> čerpalo v rámci tejto podpoložky 5 980 tis. eur, </w:t>
      </w:r>
      <w:r w:rsidRPr="00697268">
        <w:rPr>
          <w:rFonts w:eastAsia="Calibri" w:cs="Times New Roman"/>
          <w:sz w:val="24"/>
          <w:szCs w:val="24"/>
          <w:u w:val="single"/>
        </w:rPr>
        <w:t>Ministerstvo práce, sociálnych vecí a rodiny SR</w:t>
      </w:r>
      <w:r w:rsidRPr="00697268">
        <w:rPr>
          <w:rFonts w:eastAsia="Calibri" w:cs="Times New Roman"/>
          <w:sz w:val="24"/>
          <w:szCs w:val="24"/>
        </w:rPr>
        <w:t xml:space="preserve"> 3 967 tis. eur, </w:t>
      </w:r>
      <w:r w:rsidRPr="00697268">
        <w:rPr>
          <w:rFonts w:eastAsia="Calibri" w:cs="Times New Roman"/>
          <w:sz w:val="24"/>
          <w:szCs w:val="24"/>
          <w:u w:val="single"/>
        </w:rPr>
        <w:t xml:space="preserve">Ministerstvo školstva, vedy, výskumu a športu SR </w:t>
      </w:r>
      <w:r w:rsidRPr="00697268">
        <w:rPr>
          <w:rFonts w:eastAsia="Calibri" w:cs="Times New Roman"/>
          <w:sz w:val="24"/>
          <w:szCs w:val="24"/>
        </w:rPr>
        <w:t xml:space="preserve">3 294 tis. eur a </w:t>
      </w:r>
      <w:r w:rsidRPr="00697268">
        <w:rPr>
          <w:rFonts w:eastAsia="Calibri" w:cs="Times New Roman"/>
          <w:sz w:val="24"/>
          <w:szCs w:val="24"/>
          <w:u w:val="single"/>
        </w:rPr>
        <w:t>Ministerstvo spravodlivosti SR</w:t>
      </w:r>
      <w:r w:rsidRPr="00697268">
        <w:rPr>
          <w:rFonts w:eastAsia="Calibri" w:cs="Times New Roman"/>
          <w:sz w:val="24"/>
          <w:szCs w:val="24"/>
        </w:rPr>
        <w:t xml:space="preserve"> 3 089 tis. eur.</w:t>
      </w:r>
    </w:p>
    <w:p w14:paraId="752F6BAB" w14:textId="77777777" w:rsidR="00697268" w:rsidRPr="00697268" w:rsidRDefault="00697268" w:rsidP="00697268">
      <w:pPr>
        <w:spacing w:after="160" w:line="240" w:lineRule="auto"/>
        <w:rPr>
          <w:rFonts w:eastAsia="Calibri" w:cs="Times New Roman"/>
          <w:color w:val="FF0000"/>
          <w:sz w:val="24"/>
          <w:szCs w:val="24"/>
        </w:rPr>
      </w:pPr>
      <w:r w:rsidRPr="00697268">
        <w:rPr>
          <w:rFonts w:eastAsia="Calibri" w:cs="Times New Roman"/>
          <w:sz w:val="24"/>
          <w:szCs w:val="24"/>
        </w:rPr>
        <w:t xml:space="preserve">Výdavky </w:t>
      </w:r>
      <w:r w:rsidRPr="00697268">
        <w:rPr>
          <w:rFonts w:eastAsia="Calibri" w:cs="Times New Roman"/>
          <w:b/>
          <w:i/>
          <w:sz w:val="24"/>
          <w:szCs w:val="24"/>
        </w:rPr>
        <w:t>na náhrady</w:t>
      </w:r>
      <w:r w:rsidRPr="00697268">
        <w:rPr>
          <w:rFonts w:eastAsia="Calibri" w:cs="Times New Roman"/>
          <w:sz w:val="24"/>
          <w:szCs w:val="24"/>
        </w:rPr>
        <w:t xml:space="preserve"> v sume 32 086 tis. eur boli čerpané najmä </w:t>
      </w:r>
      <w:r w:rsidRPr="00697268">
        <w:rPr>
          <w:rFonts w:eastAsia="Calibri" w:cs="Times New Roman"/>
          <w:sz w:val="24"/>
          <w:szCs w:val="24"/>
          <w:u w:val="single"/>
        </w:rPr>
        <w:t>Ministerstvom vnútra SR</w:t>
      </w:r>
      <w:r w:rsidRPr="00697268">
        <w:rPr>
          <w:rFonts w:eastAsia="Calibri" w:cs="Times New Roman"/>
          <w:sz w:val="24"/>
          <w:szCs w:val="24"/>
        </w:rPr>
        <w:t xml:space="preserve"> v sume 11 557 tis. eur, ktoré uhradilo najmä výdavky na zabezpečenie zdravotnej starostlivosti pre vybrané skupiny zamestnancov a </w:t>
      </w:r>
      <w:r w:rsidRPr="00697268">
        <w:rPr>
          <w:rFonts w:eastAsia="Calibri" w:cs="Times New Roman"/>
          <w:sz w:val="24"/>
          <w:szCs w:val="24"/>
          <w:u w:val="single"/>
        </w:rPr>
        <w:t>Ministerstvom obrany SR</w:t>
      </w:r>
      <w:r w:rsidRPr="00697268">
        <w:rPr>
          <w:rFonts w:eastAsia="Calibri" w:cs="Times New Roman"/>
          <w:sz w:val="24"/>
          <w:szCs w:val="24"/>
        </w:rPr>
        <w:t xml:space="preserve"> v objeme 9 293 tis. eur.</w:t>
      </w:r>
      <w:r w:rsidRPr="00697268">
        <w:rPr>
          <w:rFonts w:eastAsia="Calibri" w:cs="Times New Roman"/>
          <w:color w:val="FF0000"/>
          <w:sz w:val="24"/>
          <w:szCs w:val="24"/>
        </w:rPr>
        <w:t xml:space="preserve"> </w:t>
      </w:r>
    </w:p>
    <w:p w14:paraId="37427330" w14:textId="7BA34528" w:rsidR="00697268" w:rsidRPr="00697268" w:rsidRDefault="00697268" w:rsidP="00697268">
      <w:pPr>
        <w:spacing w:after="160" w:line="240" w:lineRule="auto"/>
        <w:rPr>
          <w:rFonts w:eastAsia="Calibri" w:cs="Times New Roman"/>
          <w:sz w:val="24"/>
          <w:szCs w:val="24"/>
        </w:rPr>
      </w:pPr>
      <w:r w:rsidRPr="00697268">
        <w:rPr>
          <w:rFonts w:eastAsia="Calibri" w:cs="Times New Roman"/>
          <w:sz w:val="24"/>
          <w:szCs w:val="24"/>
        </w:rPr>
        <w:t xml:space="preserve">Z ostatných položiek služieb boli významné výdavky najmä na podpoložkách </w:t>
      </w:r>
      <w:r w:rsidRPr="00697268">
        <w:rPr>
          <w:rFonts w:eastAsia="Calibri" w:cs="Times New Roman"/>
          <w:b/>
          <w:i/>
          <w:sz w:val="24"/>
          <w:szCs w:val="24"/>
        </w:rPr>
        <w:t xml:space="preserve">prídel do sociálneho fondu </w:t>
      </w:r>
      <w:r w:rsidRPr="00697268">
        <w:rPr>
          <w:rFonts w:eastAsia="Calibri" w:cs="Times New Roman"/>
          <w:sz w:val="24"/>
          <w:szCs w:val="24"/>
        </w:rPr>
        <w:t>(31 519 tis. eur) realizovaný v súlade so zákonom č. 152/1994 Z. z. o sociálnom fonde a o doplnení zákona č. 286/1992 Zb. o daniach z príjmov v znení neskorších predpisov, kde je stanovená hranica minimálnej výšky tvorby sociálneho fondu, ktorá je pre každého zamestnávateľa záväzná,</w:t>
      </w:r>
      <w:r w:rsidRPr="00697268">
        <w:rPr>
          <w:rFonts w:eastAsia="Calibri" w:cs="Times New Roman"/>
          <w:color w:val="FF0000"/>
          <w:sz w:val="24"/>
          <w:szCs w:val="24"/>
        </w:rPr>
        <w:t xml:space="preserve"> </w:t>
      </w:r>
      <w:r w:rsidRPr="00697268">
        <w:rPr>
          <w:rFonts w:eastAsia="Calibri" w:cs="Times New Roman"/>
          <w:sz w:val="24"/>
          <w:szCs w:val="24"/>
        </w:rPr>
        <w:t>ďalej na </w:t>
      </w:r>
      <w:r w:rsidRPr="00697268">
        <w:rPr>
          <w:rFonts w:eastAsia="Calibri" w:cs="Times New Roman"/>
          <w:b/>
          <w:i/>
          <w:sz w:val="24"/>
          <w:szCs w:val="24"/>
        </w:rPr>
        <w:t>odmeny zamestnancom mimopracovného pomeru</w:t>
      </w:r>
      <w:r w:rsidRPr="00697268">
        <w:rPr>
          <w:rFonts w:eastAsia="Calibri" w:cs="Times New Roman"/>
          <w:sz w:val="24"/>
          <w:szCs w:val="24"/>
        </w:rPr>
        <w:t xml:space="preserve"> (30 024 tis. eur),</w:t>
      </w:r>
      <w:r w:rsidRPr="00697268">
        <w:rPr>
          <w:rFonts w:eastAsia="Calibri" w:cs="Times New Roman"/>
          <w:color w:val="FF0000"/>
          <w:sz w:val="24"/>
          <w:szCs w:val="24"/>
        </w:rPr>
        <w:t xml:space="preserve"> </w:t>
      </w:r>
      <w:r w:rsidRPr="00697268">
        <w:rPr>
          <w:rFonts w:eastAsia="Calibri" w:cs="Times New Roman"/>
          <w:b/>
          <w:i/>
          <w:sz w:val="24"/>
          <w:szCs w:val="24"/>
        </w:rPr>
        <w:t>služby v oblasti informačno-komunikačných technológií</w:t>
      </w:r>
      <w:r w:rsidRPr="00697268">
        <w:rPr>
          <w:rFonts w:eastAsia="Calibri" w:cs="Times New Roman"/>
          <w:i/>
          <w:sz w:val="24"/>
          <w:szCs w:val="24"/>
        </w:rPr>
        <w:t xml:space="preserve"> </w:t>
      </w:r>
      <w:r w:rsidRPr="00697268">
        <w:rPr>
          <w:rFonts w:eastAsia="Calibri" w:cs="Times New Roman"/>
          <w:sz w:val="24"/>
          <w:szCs w:val="24"/>
        </w:rPr>
        <w:t>(27 </w:t>
      </w:r>
      <w:r w:rsidR="00B9740C">
        <w:rPr>
          <w:rFonts w:eastAsia="Calibri" w:cs="Times New Roman"/>
          <w:sz w:val="24"/>
          <w:szCs w:val="24"/>
        </w:rPr>
        <w:t>404 tis. eur), kde najvyššiu sumu čerpalo</w:t>
      </w:r>
      <w:r w:rsidRPr="00697268">
        <w:rPr>
          <w:rFonts w:eastAsia="Calibri" w:cs="Times New Roman"/>
          <w:sz w:val="24"/>
          <w:szCs w:val="24"/>
        </w:rPr>
        <w:t xml:space="preserve"> </w:t>
      </w:r>
      <w:r w:rsidRPr="00697268">
        <w:rPr>
          <w:rFonts w:eastAsia="Calibri" w:cs="Times New Roman"/>
          <w:sz w:val="24"/>
          <w:szCs w:val="24"/>
          <w:u w:val="single"/>
        </w:rPr>
        <w:t>Ministerstvo financií SR</w:t>
      </w:r>
      <w:r w:rsidR="00B9740C" w:rsidRPr="00B9740C">
        <w:rPr>
          <w:rFonts w:eastAsia="Calibri" w:cs="Times New Roman"/>
          <w:sz w:val="24"/>
          <w:szCs w:val="24"/>
        </w:rPr>
        <w:t>, a to</w:t>
      </w:r>
      <w:r w:rsidRPr="00697268">
        <w:rPr>
          <w:rFonts w:eastAsia="Calibri" w:cs="Times New Roman"/>
          <w:sz w:val="24"/>
          <w:szCs w:val="24"/>
        </w:rPr>
        <w:t xml:space="preserve"> 15 385 tis. eur. Ďalšie výdavky boli realizované na podpoložke </w:t>
      </w:r>
      <w:r w:rsidRPr="00697268">
        <w:rPr>
          <w:rFonts w:eastAsia="Calibri" w:cs="Times New Roman"/>
          <w:b/>
          <w:i/>
          <w:sz w:val="24"/>
          <w:szCs w:val="24"/>
        </w:rPr>
        <w:t>štúdie, expertízy a posudky</w:t>
      </w:r>
      <w:r w:rsidRPr="00697268">
        <w:rPr>
          <w:rFonts w:eastAsia="Calibri" w:cs="Times New Roman"/>
          <w:sz w:val="24"/>
          <w:szCs w:val="24"/>
        </w:rPr>
        <w:t xml:space="preserve"> (25 095 tis. eur), </w:t>
      </w:r>
      <w:r w:rsidRPr="00697268">
        <w:rPr>
          <w:rFonts w:eastAsia="Calibri" w:cs="Times New Roman"/>
          <w:b/>
          <w:i/>
          <w:sz w:val="24"/>
          <w:szCs w:val="24"/>
        </w:rPr>
        <w:t>na propagáciu, reklamu a inzerciu</w:t>
      </w:r>
      <w:r w:rsidRPr="00697268">
        <w:rPr>
          <w:rFonts w:eastAsia="Calibri" w:cs="Times New Roman"/>
          <w:sz w:val="24"/>
          <w:szCs w:val="24"/>
        </w:rPr>
        <w:t xml:space="preserve"> (23 908 tis. eur), </w:t>
      </w:r>
      <w:r w:rsidRPr="00697268">
        <w:rPr>
          <w:rFonts w:eastAsia="Calibri" w:cs="Times New Roman"/>
          <w:b/>
          <w:i/>
          <w:sz w:val="24"/>
          <w:szCs w:val="24"/>
        </w:rPr>
        <w:t xml:space="preserve">na odmeny a príspevky </w:t>
      </w:r>
      <w:r w:rsidR="00A640D5">
        <w:rPr>
          <w:rFonts w:eastAsia="Calibri" w:cs="Times New Roman"/>
          <w:sz w:val="24"/>
          <w:szCs w:val="24"/>
        </w:rPr>
        <w:t xml:space="preserve">(16 521 tis. eur), </w:t>
      </w:r>
      <w:r w:rsidRPr="00697268">
        <w:rPr>
          <w:rFonts w:eastAsia="Calibri" w:cs="Times New Roman"/>
          <w:b/>
          <w:i/>
          <w:sz w:val="24"/>
          <w:szCs w:val="24"/>
        </w:rPr>
        <w:t>na dane</w:t>
      </w:r>
      <w:r w:rsidRPr="00697268">
        <w:rPr>
          <w:rFonts w:eastAsia="Calibri" w:cs="Times New Roman"/>
          <w:sz w:val="24"/>
          <w:szCs w:val="24"/>
        </w:rPr>
        <w:t xml:space="preserve"> (14 332 tis. eur) a</w:t>
      </w:r>
      <w:r w:rsidR="00A640D5">
        <w:rPr>
          <w:rFonts w:eastAsia="Calibri" w:cs="Times New Roman"/>
          <w:sz w:val="24"/>
          <w:szCs w:val="24"/>
        </w:rPr>
        <w:t xml:space="preserve"> </w:t>
      </w:r>
      <w:r w:rsidRPr="00697268">
        <w:rPr>
          <w:rFonts w:eastAsia="Calibri" w:cs="Times New Roman"/>
          <w:sz w:val="24"/>
          <w:szCs w:val="24"/>
        </w:rPr>
        <w:t>n</w:t>
      </w:r>
      <w:r w:rsidRPr="00697268">
        <w:rPr>
          <w:rFonts w:eastAsia="Times New Roman" w:cs="Times New Roman"/>
          <w:sz w:val="24"/>
          <w:szCs w:val="24"/>
          <w:lang w:eastAsia="sk-SK"/>
        </w:rPr>
        <w:t>a </w:t>
      </w:r>
      <w:r w:rsidRPr="00697268">
        <w:rPr>
          <w:rFonts w:eastAsia="Times New Roman" w:cs="Times New Roman"/>
          <w:b/>
          <w:i/>
          <w:sz w:val="24"/>
          <w:szCs w:val="24"/>
          <w:lang w:eastAsia="sk-SK"/>
        </w:rPr>
        <w:t xml:space="preserve">školenia, kurzy, semináre, porady a konferencie </w:t>
      </w:r>
      <w:r w:rsidRPr="00697268">
        <w:rPr>
          <w:rFonts w:eastAsia="Times New Roman" w:cs="Times New Roman"/>
          <w:sz w:val="24"/>
          <w:szCs w:val="24"/>
          <w:lang w:eastAsia="sk-SK"/>
        </w:rPr>
        <w:t>(11 217 tis. eur).</w:t>
      </w:r>
      <w:r w:rsidRPr="00697268">
        <w:rPr>
          <w:rFonts w:eastAsia="Times New Roman" w:cs="Times New Roman"/>
          <w:i/>
          <w:sz w:val="24"/>
          <w:szCs w:val="24"/>
          <w:lang w:eastAsia="sk-SK"/>
        </w:rPr>
        <w:t xml:space="preserve"> </w:t>
      </w:r>
    </w:p>
    <w:p w14:paraId="0B49B9DA" w14:textId="2539B5A4" w:rsidR="00697268" w:rsidRPr="00697268" w:rsidRDefault="00697268" w:rsidP="00697268">
      <w:pPr>
        <w:spacing w:after="160" w:line="240" w:lineRule="auto"/>
        <w:rPr>
          <w:rFonts w:eastAsia="Calibri" w:cs="Times New Roman"/>
          <w:sz w:val="24"/>
          <w:szCs w:val="24"/>
        </w:rPr>
      </w:pPr>
      <w:r w:rsidRPr="00697268">
        <w:rPr>
          <w:rFonts w:eastAsia="Calibri" w:cs="Times New Roman"/>
          <w:sz w:val="24"/>
          <w:szCs w:val="24"/>
        </w:rPr>
        <w:t>Výdavky na</w:t>
      </w:r>
      <w:r w:rsidRPr="00697268">
        <w:rPr>
          <w:rFonts w:eastAsia="Calibri" w:cs="Times New Roman"/>
          <w:b/>
          <w:sz w:val="24"/>
          <w:szCs w:val="24"/>
        </w:rPr>
        <w:t> materiál</w:t>
      </w:r>
      <w:r w:rsidRPr="00697268">
        <w:rPr>
          <w:rFonts w:eastAsia="Calibri" w:cs="Times New Roman"/>
          <w:sz w:val="24"/>
          <w:szCs w:val="24"/>
        </w:rPr>
        <w:t xml:space="preserve"> predstavujú druhé najvyššie čerpanie finančných prostriedkov v rámci tovarov a služieb. Dosiahli sumu 532 806 tis. eur, pričom ide o výdavky, ktoré súvisia priamo s</w:t>
      </w:r>
      <w:r w:rsidR="0019687C">
        <w:rPr>
          <w:rFonts w:eastAsia="Calibri" w:cs="Times New Roman"/>
          <w:sz w:val="24"/>
          <w:szCs w:val="24"/>
        </w:rPr>
        <w:t> </w:t>
      </w:r>
      <w:r w:rsidRPr="00697268">
        <w:rPr>
          <w:rFonts w:eastAsia="Calibri" w:cs="Times New Roman"/>
          <w:sz w:val="24"/>
          <w:szCs w:val="24"/>
        </w:rPr>
        <w:t>bežnou prevádzkou jednotlivých rozpočtových organizácií, ale aj s poskytovaním určitej formy pomoci napr. pre fyzické osoby.</w:t>
      </w:r>
    </w:p>
    <w:p w14:paraId="266BA9A0" w14:textId="4C280097" w:rsidR="00697268" w:rsidRPr="00697268" w:rsidRDefault="00697268" w:rsidP="00697268">
      <w:pPr>
        <w:spacing w:after="160" w:line="240" w:lineRule="auto"/>
        <w:rPr>
          <w:rFonts w:eastAsia="Calibri" w:cs="Times New Roman"/>
          <w:color w:val="FF0000"/>
          <w:sz w:val="24"/>
          <w:szCs w:val="24"/>
        </w:rPr>
      </w:pPr>
      <w:r w:rsidRPr="00697268">
        <w:rPr>
          <w:rFonts w:eastAsia="Calibri" w:cs="Times New Roman"/>
          <w:sz w:val="24"/>
          <w:szCs w:val="24"/>
        </w:rPr>
        <w:t>Najviac prostriedkov sa vynaložilo na </w:t>
      </w:r>
      <w:r w:rsidRPr="00697268">
        <w:rPr>
          <w:rFonts w:eastAsia="Calibri" w:cs="Times New Roman"/>
          <w:b/>
          <w:i/>
          <w:sz w:val="24"/>
          <w:szCs w:val="24"/>
        </w:rPr>
        <w:t>všeobecný materiál</w:t>
      </w:r>
      <w:r w:rsidRPr="00697268">
        <w:rPr>
          <w:rFonts w:eastAsia="Calibri" w:cs="Times New Roman"/>
          <w:sz w:val="24"/>
          <w:szCs w:val="24"/>
        </w:rPr>
        <w:t>, kde skutočné čerpanie dosiahlo sumu</w:t>
      </w:r>
      <w:r w:rsidRPr="00697268">
        <w:rPr>
          <w:rFonts w:eastAsia="Calibri" w:cs="Times New Roman"/>
          <w:b/>
          <w:i/>
          <w:sz w:val="24"/>
          <w:szCs w:val="24"/>
        </w:rPr>
        <w:t xml:space="preserve"> </w:t>
      </w:r>
      <w:r w:rsidRPr="00697268">
        <w:rPr>
          <w:rFonts w:eastAsia="Calibri" w:cs="Times New Roman"/>
          <w:sz w:val="24"/>
          <w:szCs w:val="24"/>
        </w:rPr>
        <w:t>344 034 tis. eur,</w:t>
      </w:r>
      <w:r w:rsidRPr="00697268">
        <w:rPr>
          <w:rFonts w:eastAsia="Calibri" w:cs="Times New Roman"/>
          <w:color w:val="FF0000"/>
          <w:sz w:val="24"/>
          <w:szCs w:val="24"/>
        </w:rPr>
        <w:t xml:space="preserve"> </w:t>
      </w:r>
      <w:r w:rsidRPr="00697268">
        <w:rPr>
          <w:rFonts w:eastAsia="Calibri" w:cs="Times New Roman"/>
          <w:sz w:val="24"/>
          <w:szCs w:val="24"/>
        </w:rPr>
        <w:t xml:space="preserve">najmä prostredníctvom </w:t>
      </w:r>
      <w:r w:rsidR="004C7B10">
        <w:rPr>
          <w:rFonts w:eastAsia="Calibri" w:cs="Times New Roman"/>
          <w:sz w:val="24"/>
          <w:szCs w:val="24"/>
        </w:rPr>
        <w:t>Ministerstva zdravotníctva SR (</w:t>
      </w:r>
      <w:r w:rsidRPr="00697268">
        <w:rPr>
          <w:rFonts w:eastAsia="Calibri" w:cs="Times New Roman"/>
          <w:sz w:val="24"/>
          <w:szCs w:val="24"/>
        </w:rPr>
        <w:t>292 632 tis. eur) a</w:t>
      </w:r>
      <w:r w:rsidR="0019687C">
        <w:rPr>
          <w:rFonts w:eastAsia="Calibri" w:cs="Times New Roman"/>
          <w:sz w:val="24"/>
          <w:szCs w:val="24"/>
        </w:rPr>
        <w:t> </w:t>
      </w:r>
      <w:r w:rsidRPr="00697268">
        <w:rPr>
          <w:rFonts w:eastAsia="Calibri" w:cs="Times New Roman"/>
          <w:sz w:val="24"/>
          <w:szCs w:val="24"/>
        </w:rPr>
        <w:t xml:space="preserve">Ministerstva vnútra SR (17 430 tis. eur). </w:t>
      </w:r>
      <w:r w:rsidRPr="00697268">
        <w:rPr>
          <w:rFonts w:eastAsia="Calibri" w:cs="Times New Roman"/>
          <w:sz w:val="24"/>
          <w:szCs w:val="24"/>
          <w:u w:val="single"/>
        </w:rPr>
        <w:t>Ministerstvo zdravotníctva SR</w:t>
      </w:r>
      <w:r w:rsidRPr="00697268">
        <w:rPr>
          <w:rFonts w:eastAsia="Calibri" w:cs="Times New Roman"/>
          <w:sz w:val="24"/>
          <w:szCs w:val="24"/>
        </w:rPr>
        <w:t xml:space="preserve"> použilo </w:t>
      </w:r>
      <w:r w:rsidRPr="00697268">
        <w:rPr>
          <w:rFonts w:eastAsia="Calibri" w:cs="Times New Roman"/>
          <w:sz w:val="24"/>
          <w:szCs w:val="24"/>
          <w:shd w:val="clear" w:color="auto" w:fill="FFFFFF"/>
        </w:rPr>
        <w:t>finančné prostriedky,</w:t>
      </w:r>
      <w:r w:rsidRPr="00697268">
        <w:rPr>
          <w:rFonts w:eastAsia="Calibri" w:cs="Times New Roman"/>
          <w:color w:val="FF0000"/>
          <w:sz w:val="24"/>
          <w:szCs w:val="24"/>
          <w:shd w:val="clear" w:color="auto" w:fill="FFFFFF"/>
        </w:rPr>
        <w:t xml:space="preserve"> </w:t>
      </w:r>
      <w:r w:rsidRPr="00697268">
        <w:rPr>
          <w:rFonts w:eastAsia="Calibri" w:cs="Times New Roman"/>
          <w:sz w:val="24"/>
          <w:szCs w:val="24"/>
          <w:shd w:val="clear" w:color="auto" w:fill="FFFFFF"/>
        </w:rPr>
        <w:t>najmä na nákup vakcín, testov a liekov v súvislosti s pandémiou </w:t>
      </w:r>
      <w:r w:rsidRPr="00697268">
        <w:rPr>
          <w:rFonts w:eastAsia="Calibri" w:cs="Times New Roman"/>
          <w:sz w:val="24"/>
          <w:szCs w:val="24"/>
        </w:rPr>
        <w:t xml:space="preserve">COVID-19 v sume 291 247 tis. eur a zvyšok tvorili výdavky na hygienické potreby, tonery, kancelárske potreby a iné. </w:t>
      </w:r>
      <w:r w:rsidRPr="00697268">
        <w:rPr>
          <w:rFonts w:eastAsia="Calibri" w:cs="Times New Roman"/>
          <w:sz w:val="24"/>
          <w:szCs w:val="24"/>
          <w:u w:val="single"/>
        </w:rPr>
        <w:t>Ministerstvo vnútra SR</w:t>
      </w:r>
      <w:r w:rsidRPr="00697268">
        <w:rPr>
          <w:rFonts w:eastAsia="Calibri" w:cs="Times New Roman"/>
          <w:sz w:val="24"/>
          <w:szCs w:val="24"/>
        </w:rPr>
        <w:t xml:space="preserve"> čerpalo na podpoložke všeobecný materiál sumu 17 430 tis. eur a</w:t>
      </w:r>
      <w:r w:rsidR="0019687C">
        <w:rPr>
          <w:rFonts w:eastAsia="Calibri" w:cs="Times New Roman"/>
          <w:sz w:val="24"/>
          <w:szCs w:val="24"/>
        </w:rPr>
        <w:t> </w:t>
      </w:r>
      <w:r w:rsidRPr="00697268">
        <w:rPr>
          <w:rFonts w:eastAsia="Calibri" w:cs="Times New Roman"/>
          <w:sz w:val="24"/>
          <w:szCs w:val="24"/>
        </w:rPr>
        <w:t>finančné prostriedky boli použité</w:t>
      </w:r>
      <w:r w:rsidRPr="00697268">
        <w:rPr>
          <w:rFonts w:eastAsia="Calibri" w:cs="Times New Roman"/>
          <w:color w:val="FF0000"/>
          <w:sz w:val="24"/>
          <w:szCs w:val="24"/>
        </w:rPr>
        <w:t xml:space="preserve"> </w:t>
      </w:r>
      <w:r w:rsidRPr="00697268">
        <w:rPr>
          <w:rFonts w:eastAsia="Calibri" w:cs="Times New Roman"/>
          <w:sz w:val="24"/>
          <w:szCs w:val="24"/>
        </w:rPr>
        <w:t>najmä na nákup tabuliek s evidenčným číslom na dopravné prostriedky, na výpočtovú techniku a na príslušenstvo do tlačiarní, na kancelársky materiál, na</w:t>
      </w:r>
      <w:r w:rsidR="0019687C">
        <w:rPr>
          <w:rFonts w:eastAsia="Calibri" w:cs="Times New Roman"/>
          <w:sz w:val="24"/>
          <w:szCs w:val="24"/>
        </w:rPr>
        <w:t> </w:t>
      </w:r>
      <w:r w:rsidRPr="00697268">
        <w:rPr>
          <w:rFonts w:eastAsia="Calibri" w:cs="Times New Roman"/>
          <w:sz w:val="24"/>
          <w:szCs w:val="24"/>
        </w:rPr>
        <w:t>materiál na fotografickú, laboratórnu a kriminalistickú techniku a iný materiál, ako napr. krmivo pre zvieratá, lieky a drobný zdravotnícky materiál, tlačivá a tlačoviny, batérie a iné.</w:t>
      </w:r>
      <w:r w:rsidRPr="00697268">
        <w:rPr>
          <w:rFonts w:eastAsia="Calibri" w:cs="Times New Roman"/>
          <w:sz w:val="24"/>
          <w:szCs w:val="24"/>
          <w:shd w:val="clear" w:color="auto" w:fill="FFFFFF"/>
        </w:rPr>
        <w:t> </w:t>
      </w:r>
    </w:p>
    <w:p w14:paraId="0B573944" w14:textId="298BB2FA" w:rsidR="00697268" w:rsidRPr="00697268" w:rsidRDefault="00697268" w:rsidP="00697268">
      <w:pPr>
        <w:spacing w:after="160" w:line="240" w:lineRule="auto"/>
        <w:rPr>
          <w:rFonts w:eastAsia="Calibri" w:cs="Times New Roman"/>
          <w:sz w:val="24"/>
          <w:szCs w:val="24"/>
        </w:rPr>
      </w:pPr>
      <w:r w:rsidRPr="00697268">
        <w:rPr>
          <w:rFonts w:eastAsia="Calibri" w:cs="Times New Roman"/>
          <w:sz w:val="24"/>
          <w:szCs w:val="24"/>
        </w:rPr>
        <w:t>Výdavky na</w:t>
      </w:r>
      <w:r w:rsidRPr="00697268">
        <w:rPr>
          <w:rFonts w:eastAsia="Calibri" w:cs="Times New Roman"/>
          <w:b/>
          <w:i/>
          <w:sz w:val="24"/>
          <w:szCs w:val="24"/>
        </w:rPr>
        <w:t xml:space="preserve"> špeciálny</w:t>
      </w:r>
      <w:r w:rsidRPr="00697268">
        <w:rPr>
          <w:rFonts w:eastAsia="Calibri" w:cs="Times New Roman"/>
          <w:sz w:val="24"/>
          <w:szCs w:val="24"/>
        </w:rPr>
        <w:t xml:space="preserve"> </w:t>
      </w:r>
      <w:r w:rsidRPr="00697268">
        <w:rPr>
          <w:rFonts w:eastAsia="Calibri" w:cs="Times New Roman"/>
          <w:b/>
          <w:i/>
          <w:sz w:val="24"/>
          <w:szCs w:val="24"/>
        </w:rPr>
        <w:t>materiál</w:t>
      </w:r>
      <w:r w:rsidRPr="00697268">
        <w:rPr>
          <w:rFonts w:eastAsia="Calibri" w:cs="Times New Roman"/>
          <w:sz w:val="24"/>
          <w:szCs w:val="24"/>
        </w:rPr>
        <w:t xml:space="preserve"> (49 825 tis. eur) boli ďalšou významnou podpoložkou v rámci čerpania bežných výdavkov na materiál. Na tejto podpoložke sa najvýznamnejšie podieľalo </w:t>
      </w:r>
      <w:r w:rsidRPr="00697268">
        <w:rPr>
          <w:rFonts w:eastAsia="Calibri" w:cs="Times New Roman"/>
          <w:sz w:val="24"/>
          <w:szCs w:val="24"/>
          <w:u w:val="single"/>
        </w:rPr>
        <w:t>Ministerstvo obrany SR</w:t>
      </w:r>
      <w:r w:rsidRPr="00697268">
        <w:rPr>
          <w:rFonts w:eastAsia="Calibri" w:cs="Times New Roman"/>
          <w:sz w:val="24"/>
          <w:szCs w:val="24"/>
        </w:rPr>
        <w:t xml:space="preserve"> sumou 41 473 tis. eur, </w:t>
      </w:r>
      <w:r w:rsidRPr="00697268">
        <w:rPr>
          <w:rFonts w:eastAsia="Calibri" w:cs="Times New Roman"/>
          <w:sz w:val="24"/>
          <w:szCs w:val="24"/>
          <w:shd w:val="clear" w:color="auto" w:fill="FFFFFF"/>
        </w:rPr>
        <w:t>ktoré realizovalo úhrady</w:t>
      </w:r>
      <w:r w:rsidRPr="00697268">
        <w:rPr>
          <w:rFonts w:eastAsia="Calibri" w:cs="Times New Roman"/>
          <w:sz w:val="24"/>
          <w:szCs w:val="24"/>
        </w:rPr>
        <w:t xml:space="preserve"> najmä na nákup munície, výzbroje, techniky a náhradných dielov pre letecký výcvik, výcvik pozemných zložiek Ozbrojených síl SR, pre operácie v rámci medzinárodného krízového manažmentu a pre Ukrajinu. Pokles skutočnosti oproti schválenému rozpočtu o 27 546 tis. eur bol z dôvodu, že nákup výstroja vojakov, výcvik a certifikačné cvičenia profesionálnych vojakov pozemných zložiek Ozbrojených síl SR neboli realizované v plánovanom rozsahu. </w:t>
      </w:r>
    </w:p>
    <w:p w14:paraId="2C3CACE3" w14:textId="77777777" w:rsidR="00697268" w:rsidRPr="00697268" w:rsidRDefault="00697268" w:rsidP="00697268">
      <w:pPr>
        <w:spacing w:after="160" w:line="240" w:lineRule="auto"/>
        <w:rPr>
          <w:rFonts w:eastAsia="Calibri" w:cs="Times New Roman"/>
          <w:sz w:val="24"/>
          <w:szCs w:val="24"/>
        </w:rPr>
      </w:pPr>
      <w:r w:rsidRPr="00697268">
        <w:rPr>
          <w:rFonts w:eastAsia="Calibri" w:cs="Times New Roman"/>
          <w:sz w:val="24"/>
          <w:szCs w:val="24"/>
        </w:rPr>
        <w:lastRenderedPageBreak/>
        <w:t xml:space="preserve">Na podpoložke </w:t>
      </w:r>
      <w:r w:rsidRPr="00697268">
        <w:rPr>
          <w:rFonts w:eastAsia="Calibri" w:cs="Times New Roman"/>
          <w:b/>
          <w:i/>
          <w:sz w:val="24"/>
          <w:szCs w:val="24"/>
        </w:rPr>
        <w:t>pracovné odevy a pracovné pomôcky</w:t>
      </w:r>
      <w:r w:rsidRPr="00697268">
        <w:rPr>
          <w:rFonts w:eastAsia="Calibri" w:cs="Times New Roman"/>
          <w:sz w:val="24"/>
          <w:szCs w:val="24"/>
        </w:rPr>
        <w:t xml:space="preserve"> (38 586 tis. eur)</w:t>
      </w:r>
      <w:r w:rsidRPr="00697268">
        <w:rPr>
          <w:rFonts w:eastAsia="Calibri" w:cs="Times New Roman"/>
          <w:color w:val="FF0000"/>
          <w:sz w:val="24"/>
          <w:szCs w:val="24"/>
        </w:rPr>
        <w:t xml:space="preserve"> </w:t>
      </w:r>
      <w:r w:rsidRPr="00697268">
        <w:rPr>
          <w:rFonts w:eastAsia="Calibri" w:cs="Times New Roman"/>
          <w:sz w:val="24"/>
          <w:szCs w:val="24"/>
        </w:rPr>
        <w:t xml:space="preserve">významné čerpanie vykázala kapitola </w:t>
      </w:r>
      <w:r w:rsidRPr="00697268">
        <w:rPr>
          <w:rFonts w:eastAsia="Calibri" w:cs="Times New Roman"/>
          <w:sz w:val="24"/>
          <w:szCs w:val="24"/>
          <w:u w:val="single"/>
        </w:rPr>
        <w:t>Ministerstva obrany SR</w:t>
      </w:r>
      <w:r w:rsidRPr="00697268">
        <w:rPr>
          <w:rFonts w:eastAsia="Calibri" w:cs="Times New Roman"/>
          <w:sz w:val="24"/>
          <w:szCs w:val="24"/>
        </w:rPr>
        <w:t xml:space="preserve"> v sume 21 634 tis. eur </w:t>
      </w:r>
      <w:r w:rsidRPr="00697268">
        <w:rPr>
          <w:rFonts w:eastAsia="Calibri" w:cs="Times New Roman"/>
          <w:sz w:val="24"/>
          <w:szCs w:val="24"/>
          <w:shd w:val="clear" w:color="auto" w:fill="FFFFFF"/>
        </w:rPr>
        <w:t xml:space="preserve">na zabezpečenie pracovných odevov, obuvi a pracovných pomôcok pre zamestnancov a profesionálnych vojakov rezortu obrany, najmä na doplnenie výstroja pre profesionálnych vojakov. </w:t>
      </w:r>
      <w:r w:rsidRPr="00697268">
        <w:rPr>
          <w:rFonts w:eastAsia="Calibri" w:cs="Times New Roman"/>
          <w:sz w:val="24"/>
          <w:szCs w:val="24"/>
        </w:rPr>
        <w:t>Nárast skutočnosti oproti schválenému rozpočtu o 5 604 tis. eur súvisel s plnením úloh Ozbrojených síl SR.</w:t>
      </w:r>
      <w:r w:rsidRPr="00697268">
        <w:rPr>
          <w:rFonts w:eastAsia="Calibri" w:cs="Times New Roman"/>
          <w:color w:val="FF0000"/>
          <w:sz w:val="24"/>
          <w:szCs w:val="24"/>
          <w:shd w:val="clear" w:color="auto" w:fill="FFFFFF"/>
        </w:rPr>
        <w:t xml:space="preserve"> </w:t>
      </w:r>
      <w:r w:rsidRPr="00697268">
        <w:rPr>
          <w:rFonts w:eastAsia="Calibri" w:cs="Times New Roman"/>
          <w:sz w:val="24"/>
          <w:szCs w:val="24"/>
          <w:shd w:val="clear" w:color="auto" w:fill="FFFFFF"/>
        </w:rPr>
        <w:t>Kapitola</w:t>
      </w:r>
      <w:r w:rsidRPr="00697268">
        <w:rPr>
          <w:rFonts w:eastAsia="Calibri" w:cs="Times New Roman"/>
          <w:sz w:val="24"/>
          <w:szCs w:val="24"/>
        </w:rPr>
        <w:t xml:space="preserve"> </w:t>
      </w:r>
      <w:r w:rsidRPr="00697268">
        <w:rPr>
          <w:rFonts w:eastAsia="Calibri" w:cs="Times New Roman"/>
          <w:sz w:val="24"/>
          <w:szCs w:val="24"/>
          <w:u w:val="single"/>
        </w:rPr>
        <w:t>Ministerstva vnútra SR</w:t>
      </w:r>
      <w:r w:rsidRPr="00697268">
        <w:rPr>
          <w:rFonts w:eastAsia="Calibri" w:cs="Times New Roman"/>
          <w:sz w:val="24"/>
          <w:szCs w:val="24"/>
        </w:rPr>
        <w:t xml:space="preserve"> čerpala sumu 11 465 tis. eur najmä na nákup osobných ochranných pomôcok, obstaraných v súvislosti s pandémiou COVID-19 pre príslušníkov Policajného zboru, Hasičský a záchranársky zväz a pre pracovníkov kritickej infraštruktúry. Taktiež realizovala úhrady za pracovné odevy a obuv, uniformy pre príslušníkov Policajného zboru SR a výstrojný materiál (napr. prilby, ochranné štíty, vesty a iné).</w:t>
      </w:r>
    </w:p>
    <w:p w14:paraId="2EC1495F" w14:textId="77777777" w:rsidR="00697268" w:rsidRPr="00697268" w:rsidRDefault="00697268" w:rsidP="00697268">
      <w:pPr>
        <w:spacing w:after="160" w:line="240" w:lineRule="auto"/>
        <w:rPr>
          <w:rFonts w:eastAsia="Calibri" w:cs="Times New Roman"/>
          <w:sz w:val="24"/>
          <w:szCs w:val="24"/>
        </w:rPr>
      </w:pPr>
      <w:r w:rsidRPr="00697268">
        <w:rPr>
          <w:rFonts w:eastAsia="Calibri" w:cs="Times New Roman"/>
          <w:sz w:val="24"/>
          <w:szCs w:val="24"/>
        </w:rPr>
        <w:t>V rámci výdavkov na materiál boli významne čerpané finančné prostriedky na </w:t>
      </w:r>
      <w:r w:rsidRPr="00697268">
        <w:rPr>
          <w:rFonts w:eastAsia="Calibri" w:cs="Times New Roman"/>
          <w:b/>
          <w:i/>
          <w:sz w:val="24"/>
          <w:szCs w:val="24"/>
        </w:rPr>
        <w:t>výpočtovú</w:t>
      </w:r>
      <w:r w:rsidRPr="00697268">
        <w:rPr>
          <w:rFonts w:eastAsia="Calibri" w:cs="Times New Roman"/>
          <w:sz w:val="24"/>
          <w:szCs w:val="24"/>
        </w:rPr>
        <w:t xml:space="preserve"> </w:t>
      </w:r>
      <w:r w:rsidRPr="00697268">
        <w:rPr>
          <w:rFonts w:eastAsia="Calibri" w:cs="Times New Roman"/>
          <w:b/>
          <w:i/>
          <w:sz w:val="24"/>
          <w:szCs w:val="24"/>
        </w:rPr>
        <w:t>techniku</w:t>
      </w:r>
      <w:r w:rsidRPr="00697268">
        <w:rPr>
          <w:rFonts w:eastAsia="Calibri" w:cs="Times New Roman"/>
          <w:sz w:val="24"/>
          <w:szCs w:val="24"/>
        </w:rPr>
        <w:t xml:space="preserve"> (31 902 tis. eur) na </w:t>
      </w:r>
      <w:r w:rsidRPr="00697268">
        <w:rPr>
          <w:rFonts w:eastAsia="Calibri" w:cs="Times New Roman"/>
          <w:b/>
          <w:i/>
          <w:sz w:val="24"/>
          <w:szCs w:val="24"/>
        </w:rPr>
        <w:t>potraviny</w:t>
      </w:r>
      <w:r w:rsidRPr="00697268">
        <w:rPr>
          <w:rFonts w:eastAsia="Calibri" w:cs="Times New Roman"/>
          <w:sz w:val="24"/>
          <w:szCs w:val="24"/>
        </w:rPr>
        <w:t xml:space="preserve"> (21 649 tis. eur), a na </w:t>
      </w:r>
      <w:r w:rsidRPr="00697268">
        <w:rPr>
          <w:rFonts w:eastAsia="Calibri" w:cs="Times New Roman"/>
          <w:b/>
          <w:i/>
          <w:sz w:val="24"/>
          <w:szCs w:val="24"/>
        </w:rPr>
        <w:t xml:space="preserve">interiérové vybavenie </w:t>
      </w:r>
      <w:r w:rsidRPr="00697268">
        <w:rPr>
          <w:rFonts w:eastAsia="Calibri" w:cs="Times New Roman"/>
          <w:sz w:val="24"/>
          <w:szCs w:val="24"/>
        </w:rPr>
        <w:t>(13 607 tis. eur).</w:t>
      </w:r>
    </w:p>
    <w:p w14:paraId="4828913C" w14:textId="77777777" w:rsidR="00697268" w:rsidRPr="00697268" w:rsidRDefault="00697268" w:rsidP="00697268">
      <w:pPr>
        <w:spacing w:after="160" w:line="240" w:lineRule="auto"/>
        <w:rPr>
          <w:rFonts w:eastAsia="Calibri" w:cs="Times New Roman"/>
          <w:sz w:val="24"/>
          <w:szCs w:val="24"/>
        </w:rPr>
      </w:pPr>
      <w:r w:rsidRPr="00697268">
        <w:rPr>
          <w:rFonts w:eastAsia="Calibri" w:cs="Times New Roman"/>
          <w:b/>
          <w:sz w:val="24"/>
          <w:szCs w:val="24"/>
        </w:rPr>
        <w:t>Rutinná a štandardná údržba</w:t>
      </w:r>
      <w:r w:rsidRPr="00697268">
        <w:rPr>
          <w:rFonts w:eastAsia="Calibri" w:cs="Times New Roman"/>
          <w:sz w:val="24"/>
          <w:szCs w:val="24"/>
        </w:rPr>
        <w:t xml:space="preserve"> predstavovala výdavky v sume 398 201 tis. eur. Išlo najmä o dodávateľsky obstarávané práce a výkony, ktorými sa zabezpečuje bežná prevádzka majetku, napr. budov, prevádzkového zariadenia, kancelárskeho vybavenia, softvéru a pod. Objemovo najväčšie čerpanie si vyžiadala údržba </w:t>
      </w:r>
      <w:r w:rsidRPr="00697268">
        <w:rPr>
          <w:rFonts w:eastAsia="Calibri" w:cs="Times New Roman"/>
          <w:b/>
          <w:i/>
          <w:sz w:val="24"/>
          <w:szCs w:val="24"/>
        </w:rPr>
        <w:t>softvéru</w:t>
      </w:r>
      <w:r w:rsidRPr="00697268">
        <w:rPr>
          <w:rFonts w:eastAsia="Calibri" w:cs="Times New Roman"/>
          <w:sz w:val="24"/>
          <w:szCs w:val="24"/>
        </w:rPr>
        <w:t xml:space="preserve"> (134 490 tis. eur),</w:t>
      </w:r>
      <w:r w:rsidRPr="00697268">
        <w:rPr>
          <w:rFonts w:eastAsia="Calibri" w:cs="Times New Roman"/>
          <w:color w:val="FF0000"/>
          <w:sz w:val="24"/>
          <w:szCs w:val="24"/>
        </w:rPr>
        <w:t xml:space="preserve"> </w:t>
      </w:r>
      <w:r w:rsidRPr="00697268">
        <w:rPr>
          <w:rFonts w:eastAsia="Calibri" w:cs="Times New Roman"/>
          <w:sz w:val="24"/>
          <w:szCs w:val="24"/>
        </w:rPr>
        <w:t xml:space="preserve">údržba </w:t>
      </w:r>
      <w:r w:rsidRPr="00697268">
        <w:rPr>
          <w:rFonts w:eastAsia="Calibri" w:cs="Times New Roman"/>
          <w:b/>
          <w:i/>
          <w:sz w:val="24"/>
          <w:szCs w:val="24"/>
        </w:rPr>
        <w:t>budov, objektov alebo ich častí</w:t>
      </w:r>
      <w:r w:rsidRPr="00697268">
        <w:rPr>
          <w:rFonts w:eastAsia="Calibri" w:cs="Times New Roman"/>
          <w:sz w:val="24"/>
          <w:szCs w:val="24"/>
        </w:rPr>
        <w:t xml:space="preserve"> (124 136 tis. eur), údržba </w:t>
      </w:r>
      <w:r w:rsidRPr="00697268">
        <w:rPr>
          <w:rFonts w:eastAsia="Calibri" w:cs="Times New Roman"/>
          <w:b/>
          <w:i/>
          <w:sz w:val="24"/>
          <w:szCs w:val="24"/>
        </w:rPr>
        <w:t>špeciálnych strojov, prístrojov, zariadení</w:t>
      </w:r>
      <w:r w:rsidRPr="00697268">
        <w:rPr>
          <w:rFonts w:eastAsia="Calibri" w:cs="Times New Roman"/>
          <w:sz w:val="24"/>
          <w:szCs w:val="24"/>
        </w:rPr>
        <w:t xml:space="preserve"> </w:t>
      </w:r>
      <w:r w:rsidRPr="00697268">
        <w:rPr>
          <w:rFonts w:eastAsia="Calibri" w:cs="Times New Roman"/>
          <w:b/>
          <w:i/>
          <w:sz w:val="24"/>
          <w:szCs w:val="24"/>
        </w:rPr>
        <w:t xml:space="preserve">a techniky </w:t>
      </w:r>
      <w:r w:rsidRPr="00697268">
        <w:rPr>
          <w:rFonts w:eastAsia="Calibri" w:cs="Times New Roman"/>
          <w:sz w:val="24"/>
          <w:szCs w:val="24"/>
        </w:rPr>
        <w:t xml:space="preserve">(48 122 tis. eur), </w:t>
      </w:r>
      <w:r w:rsidRPr="00697268">
        <w:rPr>
          <w:rFonts w:eastAsia="Calibri" w:cs="Times New Roman"/>
          <w:b/>
          <w:i/>
          <w:sz w:val="24"/>
          <w:szCs w:val="24"/>
        </w:rPr>
        <w:t>komunikačnej infraštruktúry</w:t>
      </w:r>
      <w:r w:rsidRPr="00697268">
        <w:rPr>
          <w:rFonts w:eastAsia="Calibri" w:cs="Times New Roman"/>
          <w:sz w:val="24"/>
          <w:szCs w:val="24"/>
        </w:rPr>
        <w:t xml:space="preserve"> (36 514 tis. eur) a ďalej údržba </w:t>
      </w:r>
      <w:r w:rsidRPr="00697268">
        <w:rPr>
          <w:rFonts w:eastAsia="Calibri" w:cs="Times New Roman"/>
          <w:b/>
          <w:i/>
          <w:sz w:val="24"/>
          <w:szCs w:val="24"/>
        </w:rPr>
        <w:t>prevádzkových strojov, prístrojov, zariadení</w:t>
      </w:r>
      <w:r w:rsidRPr="00697268">
        <w:rPr>
          <w:rFonts w:eastAsia="Calibri" w:cs="Times New Roman"/>
          <w:sz w:val="24"/>
          <w:szCs w:val="24"/>
        </w:rPr>
        <w:t xml:space="preserve"> </w:t>
      </w:r>
      <w:r w:rsidRPr="00697268">
        <w:rPr>
          <w:rFonts w:eastAsia="Calibri" w:cs="Times New Roman"/>
          <w:b/>
          <w:i/>
          <w:sz w:val="24"/>
          <w:szCs w:val="24"/>
          <w:shd w:val="clear" w:color="auto" w:fill="FFFFFF"/>
        </w:rPr>
        <w:t>techniky a náradia</w:t>
      </w:r>
      <w:r w:rsidRPr="00697268">
        <w:rPr>
          <w:rFonts w:eastAsia="Calibri" w:cs="Times New Roman"/>
          <w:sz w:val="24"/>
          <w:szCs w:val="24"/>
        </w:rPr>
        <w:t xml:space="preserve"> (22 531 tis. eur), </w:t>
      </w:r>
      <w:r w:rsidRPr="00697268">
        <w:rPr>
          <w:rFonts w:eastAsia="Calibri" w:cs="Times New Roman"/>
          <w:b/>
          <w:i/>
          <w:sz w:val="24"/>
          <w:szCs w:val="24"/>
        </w:rPr>
        <w:t xml:space="preserve">špecializovaného konfigurovateľného softvéru a krabicového softvéru </w:t>
      </w:r>
      <w:r w:rsidRPr="00697268">
        <w:rPr>
          <w:rFonts w:eastAsia="Calibri" w:cs="Times New Roman"/>
          <w:sz w:val="24"/>
          <w:szCs w:val="24"/>
        </w:rPr>
        <w:t xml:space="preserve">(13 227 tis. eur), </w:t>
      </w:r>
      <w:r w:rsidRPr="00697268">
        <w:rPr>
          <w:rFonts w:eastAsia="Calibri" w:cs="Times New Roman"/>
          <w:b/>
          <w:i/>
          <w:sz w:val="24"/>
          <w:szCs w:val="24"/>
        </w:rPr>
        <w:t>výpočtovej techniky</w:t>
      </w:r>
      <w:r w:rsidRPr="00697268">
        <w:rPr>
          <w:rFonts w:eastAsia="Calibri" w:cs="Times New Roman"/>
          <w:sz w:val="24"/>
          <w:szCs w:val="24"/>
        </w:rPr>
        <w:t xml:space="preserve"> (11 217 tis. eur) a </w:t>
      </w:r>
      <w:r w:rsidRPr="00697268">
        <w:rPr>
          <w:rFonts w:eastAsia="Calibri" w:cs="Times New Roman"/>
          <w:b/>
          <w:i/>
          <w:sz w:val="24"/>
          <w:szCs w:val="24"/>
        </w:rPr>
        <w:t xml:space="preserve">telekomunikačnej techniky </w:t>
      </w:r>
      <w:r w:rsidRPr="00697268">
        <w:rPr>
          <w:rFonts w:eastAsia="Calibri" w:cs="Times New Roman"/>
          <w:sz w:val="24"/>
          <w:szCs w:val="24"/>
        </w:rPr>
        <w:t>(7 507 tis. eur).</w:t>
      </w:r>
    </w:p>
    <w:p w14:paraId="57588ED3" w14:textId="1E92EC0F" w:rsidR="00697268" w:rsidRPr="00697268" w:rsidRDefault="00697268" w:rsidP="00697268">
      <w:pPr>
        <w:spacing w:after="160" w:line="240" w:lineRule="auto"/>
        <w:rPr>
          <w:rFonts w:eastAsia="Calibri" w:cs="Times New Roman"/>
          <w:sz w:val="24"/>
          <w:szCs w:val="24"/>
          <w:shd w:val="clear" w:color="auto" w:fill="FFFFFF"/>
        </w:rPr>
      </w:pPr>
      <w:r w:rsidRPr="00697268">
        <w:rPr>
          <w:rFonts w:eastAsia="Calibri" w:cs="Times New Roman"/>
          <w:sz w:val="24"/>
          <w:szCs w:val="24"/>
        </w:rPr>
        <w:t>Najvyšší objem finančných prostriedkov na </w:t>
      </w:r>
      <w:r w:rsidRPr="00697268">
        <w:rPr>
          <w:rFonts w:eastAsia="Calibri" w:cs="Times New Roman"/>
          <w:b/>
          <w:i/>
          <w:sz w:val="24"/>
          <w:szCs w:val="24"/>
        </w:rPr>
        <w:t>údržbu softvéru</w:t>
      </w:r>
      <w:r w:rsidRPr="00697268">
        <w:rPr>
          <w:rFonts w:eastAsia="Calibri" w:cs="Times New Roman"/>
          <w:sz w:val="24"/>
          <w:szCs w:val="24"/>
        </w:rPr>
        <w:t xml:space="preserve"> čerpalo </w:t>
      </w:r>
      <w:r w:rsidRPr="00697268">
        <w:rPr>
          <w:rFonts w:eastAsia="Calibri" w:cs="Times New Roman"/>
          <w:sz w:val="24"/>
          <w:szCs w:val="24"/>
          <w:u w:val="single"/>
        </w:rPr>
        <w:t>Ministerstvo financií SR</w:t>
      </w:r>
      <w:r w:rsidRPr="00697268">
        <w:rPr>
          <w:rFonts w:eastAsia="Calibri" w:cs="Times New Roman"/>
          <w:sz w:val="24"/>
          <w:szCs w:val="24"/>
        </w:rPr>
        <w:t xml:space="preserve"> v sume 52 386 tis. eur</w:t>
      </w:r>
      <w:r w:rsidRPr="00697268">
        <w:rPr>
          <w:rFonts w:eastAsia="Calibri" w:cs="Times New Roman"/>
          <w:sz w:val="24"/>
          <w:szCs w:val="24"/>
          <w:shd w:val="clear" w:color="auto" w:fill="FFFFFF"/>
        </w:rPr>
        <w:t xml:space="preserve"> na centrálne licenčné zmluvné vzťahy (14 972 tis. eur), podpornú infraštruktúru pre informačné systémy riadenia verejných financií (8 900 tis. eur), informačný systém štátnej pokladnice (8 866 tis. eur),</w:t>
      </w:r>
      <w:r w:rsidRPr="00697268">
        <w:rPr>
          <w:rFonts w:eastAsia="Calibri" w:cs="Times New Roman"/>
          <w:sz w:val="24"/>
          <w:szCs w:val="24"/>
          <w:lang w:eastAsia="sk-SK"/>
        </w:rPr>
        <w:t xml:space="preserve"> Centrálny elektronický priečinok</w:t>
      </w:r>
      <w:r w:rsidR="00A640D5">
        <w:rPr>
          <w:rFonts w:eastAsia="Calibri" w:cs="Times New Roman"/>
          <w:sz w:val="24"/>
          <w:szCs w:val="24"/>
          <w:shd w:val="clear" w:color="auto" w:fill="FFFFFF"/>
        </w:rPr>
        <w:t xml:space="preserve"> </w:t>
      </w:r>
      <w:r w:rsidRPr="00697268">
        <w:rPr>
          <w:rFonts w:eastAsia="Calibri" w:cs="Times New Roman"/>
          <w:sz w:val="24"/>
          <w:szCs w:val="24"/>
          <w:shd w:val="clear" w:color="auto" w:fill="FFFFFF"/>
        </w:rPr>
        <w:t xml:space="preserve">(2 089 tis. eur), </w:t>
      </w:r>
      <w:r w:rsidRPr="00697268">
        <w:rPr>
          <w:rFonts w:eastAsia="Calibri" w:cs="Times New Roman"/>
          <w:sz w:val="24"/>
          <w:szCs w:val="24"/>
          <w:lang w:eastAsia="sk-SK"/>
        </w:rPr>
        <w:t xml:space="preserve">Portál finančnej správy (2 083 tis. eur) </w:t>
      </w:r>
      <w:r w:rsidRPr="00697268">
        <w:rPr>
          <w:rFonts w:eastAsia="Calibri" w:cs="Times New Roman"/>
          <w:sz w:val="24"/>
          <w:szCs w:val="24"/>
          <w:shd w:val="clear" w:color="auto" w:fill="FFFFFF"/>
        </w:rPr>
        <w:t>a ďalšie.</w:t>
      </w:r>
    </w:p>
    <w:p w14:paraId="7B6C214C" w14:textId="77777777" w:rsidR="00697268" w:rsidRPr="00697268" w:rsidRDefault="00697268" w:rsidP="00697268">
      <w:pPr>
        <w:spacing w:after="160" w:line="240" w:lineRule="auto"/>
        <w:rPr>
          <w:rFonts w:eastAsia="Calibri" w:cs="Times New Roman"/>
          <w:color w:val="FF0000"/>
          <w:sz w:val="24"/>
          <w:szCs w:val="24"/>
        </w:rPr>
      </w:pPr>
      <w:r w:rsidRPr="00697268">
        <w:rPr>
          <w:rFonts w:eastAsia="Calibri" w:cs="Times New Roman"/>
          <w:sz w:val="24"/>
          <w:szCs w:val="24"/>
        </w:rPr>
        <w:t xml:space="preserve">Na výdavkoch spojených s údržbou </w:t>
      </w:r>
      <w:r w:rsidRPr="00697268">
        <w:rPr>
          <w:rFonts w:eastAsia="Calibri" w:cs="Times New Roman"/>
          <w:b/>
          <w:i/>
          <w:sz w:val="24"/>
          <w:szCs w:val="24"/>
        </w:rPr>
        <w:t>budov a objektov alebo ich častí</w:t>
      </w:r>
      <w:r w:rsidRPr="00697268">
        <w:rPr>
          <w:rFonts w:eastAsia="Calibri" w:cs="Times New Roman"/>
          <w:sz w:val="24"/>
          <w:szCs w:val="24"/>
        </w:rPr>
        <w:t xml:space="preserve"> v celkovej sume 124 136 tis. eur sa najvýznamnejšie podieľala kapitola </w:t>
      </w:r>
      <w:r w:rsidRPr="00697268">
        <w:rPr>
          <w:rFonts w:eastAsia="Calibri" w:cs="Times New Roman"/>
          <w:sz w:val="24"/>
          <w:szCs w:val="24"/>
          <w:u w:val="single"/>
        </w:rPr>
        <w:t>Ministerstva dopravy a výstavby SR</w:t>
      </w:r>
      <w:r w:rsidRPr="00697268">
        <w:rPr>
          <w:rFonts w:eastAsia="Calibri" w:cs="Times New Roman"/>
          <w:sz w:val="24"/>
          <w:szCs w:val="24"/>
        </w:rPr>
        <w:t>. Čerpala finančné prostriedky</w:t>
      </w:r>
      <w:r w:rsidRPr="00697268">
        <w:rPr>
          <w:rFonts w:eastAsia="Calibri" w:cs="Times New Roman"/>
          <w:color w:val="FF0000"/>
          <w:sz w:val="24"/>
          <w:szCs w:val="24"/>
        </w:rPr>
        <w:t xml:space="preserve"> </w:t>
      </w:r>
      <w:r w:rsidRPr="00697268">
        <w:rPr>
          <w:rFonts w:eastAsia="Calibri" w:cs="Times New Roman"/>
          <w:sz w:val="24"/>
          <w:szCs w:val="24"/>
        </w:rPr>
        <w:t xml:space="preserve">v sume 77 992 tis. eur, najmä prostredníctvom Slovenskej správy ciest (77 560 tis. eur) na zabezpečenie bežnej a zimnej údržbu a opravy úsekov ciest I. triedy. Ďalej sa na tejto podpoložke významne podieľalo aj </w:t>
      </w:r>
      <w:r w:rsidRPr="00697268">
        <w:rPr>
          <w:rFonts w:eastAsia="Calibri" w:cs="Times New Roman"/>
          <w:sz w:val="24"/>
          <w:szCs w:val="24"/>
          <w:u w:val="single"/>
        </w:rPr>
        <w:t>Ministerstvo vnútra SR</w:t>
      </w:r>
      <w:r w:rsidRPr="00697268">
        <w:rPr>
          <w:rFonts w:eastAsia="Calibri" w:cs="Times New Roman"/>
          <w:color w:val="FF0000"/>
          <w:sz w:val="24"/>
          <w:szCs w:val="24"/>
        </w:rPr>
        <w:t xml:space="preserve"> </w:t>
      </w:r>
      <w:r w:rsidRPr="00697268">
        <w:rPr>
          <w:rFonts w:eastAsia="Calibri" w:cs="Times New Roman"/>
          <w:sz w:val="24"/>
          <w:szCs w:val="24"/>
        </w:rPr>
        <w:t>sumou</w:t>
      </w:r>
      <w:r w:rsidRPr="00697268">
        <w:rPr>
          <w:rFonts w:eastAsia="Calibri" w:cs="Times New Roman"/>
          <w:b/>
          <w:sz w:val="24"/>
          <w:szCs w:val="24"/>
        </w:rPr>
        <w:t xml:space="preserve"> </w:t>
      </w:r>
      <w:r w:rsidRPr="00697268">
        <w:rPr>
          <w:rFonts w:eastAsia="Calibri" w:cs="Times New Roman"/>
          <w:sz w:val="24"/>
          <w:szCs w:val="24"/>
        </w:rPr>
        <w:t>19 716 tis. eur, ktoré ich</w:t>
      </w:r>
      <w:r w:rsidRPr="00697268">
        <w:rPr>
          <w:rFonts w:eastAsia="Calibri" w:cs="Times New Roman"/>
          <w:b/>
          <w:bCs/>
          <w:sz w:val="24"/>
          <w:szCs w:val="24"/>
        </w:rPr>
        <w:t xml:space="preserve"> </w:t>
      </w:r>
      <w:r w:rsidRPr="00697268">
        <w:rPr>
          <w:rFonts w:eastAsia="Calibri" w:cs="Times New Roman"/>
          <w:bCs/>
          <w:sz w:val="24"/>
          <w:szCs w:val="24"/>
        </w:rPr>
        <w:t>p</w:t>
      </w:r>
      <w:r w:rsidRPr="00697268">
        <w:rPr>
          <w:rFonts w:eastAsia="Calibri" w:cs="Times New Roman"/>
          <w:sz w:val="24"/>
          <w:szCs w:val="24"/>
        </w:rPr>
        <w:t>oužilo na úhradu výdavkov za práce a služby, ktorými sa zabezpečuje bežná prevádzka majetku, stavebné práce, údržba a opravy.</w:t>
      </w:r>
    </w:p>
    <w:p w14:paraId="7E4648FB" w14:textId="77777777" w:rsidR="00697268" w:rsidRPr="00697268" w:rsidRDefault="00697268" w:rsidP="00697268">
      <w:pPr>
        <w:spacing w:after="160" w:line="240" w:lineRule="auto"/>
        <w:rPr>
          <w:rFonts w:eastAsia="Calibri" w:cs="Times New Roman"/>
          <w:sz w:val="24"/>
          <w:szCs w:val="24"/>
        </w:rPr>
      </w:pPr>
      <w:r w:rsidRPr="00697268">
        <w:rPr>
          <w:rFonts w:eastAsia="Calibri" w:cs="Times New Roman"/>
          <w:sz w:val="24"/>
          <w:szCs w:val="24"/>
        </w:rPr>
        <w:t xml:space="preserve">Najvyšší objem finančných prostriedkov na údržbu </w:t>
      </w:r>
      <w:r w:rsidRPr="00697268">
        <w:rPr>
          <w:rFonts w:eastAsia="Calibri" w:cs="Times New Roman"/>
          <w:b/>
          <w:i/>
          <w:sz w:val="24"/>
          <w:szCs w:val="24"/>
        </w:rPr>
        <w:t xml:space="preserve">špeciálnych strojov, prístrojov, zariadení a techniky </w:t>
      </w:r>
      <w:r w:rsidRPr="00697268">
        <w:rPr>
          <w:rFonts w:eastAsia="Calibri" w:cs="Times New Roman"/>
          <w:sz w:val="24"/>
          <w:szCs w:val="24"/>
        </w:rPr>
        <w:t>čerpalo</w:t>
      </w:r>
      <w:r w:rsidRPr="00697268">
        <w:rPr>
          <w:rFonts w:eastAsia="Calibri" w:cs="Times New Roman"/>
          <w:color w:val="FF0000"/>
          <w:sz w:val="24"/>
          <w:szCs w:val="24"/>
        </w:rPr>
        <w:t xml:space="preserve"> </w:t>
      </w:r>
      <w:r w:rsidRPr="00697268">
        <w:rPr>
          <w:rFonts w:eastAsia="Calibri" w:cs="Times New Roman"/>
          <w:sz w:val="24"/>
          <w:szCs w:val="24"/>
          <w:u w:val="single"/>
        </w:rPr>
        <w:t>Ministerstvo obrany SR</w:t>
      </w:r>
      <w:r w:rsidRPr="00697268">
        <w:rPr>
          <w:rFonts w:eastAsia="Calibri" w:cs="Times New Roman"/>
          <w:sz w:val="24"/>
          <w:szCs w:val="24"/>
        </w:rPr>
        <w:t>, a to 35 341 tis. eur na údržbu špeciálnych strojov, prístrojov, zariadení a techniky, a to najmä na obsluhu lietadiel MiG-29, na údržbu pozemnej a leteckej techniky ozbrojených síl SR.</w:t>
      </w:r>
    </w:p>
    <w:p w14:paraId="696AC66F" w14:textId="77777777" w:rsidR="00697268" w:rsidRPr="00697268" w:rsidRDefault="00697268" w:rsidP="00697268">
      <w:pPr>
        <w:suppressAutoHyphens/>
        <w:spacing w:after="160" w:line="240" w:lineRule="auto"/>
        <w:rPr>
          <w:rFonts w:eastAsia="Calibri" w:cs="Times New Roman"/>
          <w:sz w:val="24"/>
          <w:szCs w:val="24"/>
        </w:rPr>
      </w:pPr>
      <w:r w:rsidRPr="00697268">
        <w:rPr>
          <w:rFonts w:eastAsia="Calibri" w:cs="Times New Roman"/>
          <w:sz w:val="24"/>
          <w:szCs w:val="24"/>
        </w:rPr>
        <w:t>Výdavky na</w:t>
      </w:r>
      <w:r w:rsidRPr="00697268">
        <w:rPr>
          <w:rFonts w:eastAsia="Calibri" w:cs="Times New Roman"/>
          <w:b/>
          <w:sz w:val="24"/>
          <w:szCs w:val="24"/>
        </w:rPr>
        <w:t xml:space="preserve"> energie, voda a komunikácie</w:t>
      </w:r>
      <w:r w:rsidRPr="00697268">
        <w:rPr>
          <w:rFonts w:eastAsia="Calibri" w:cs="Times New Roman"/>
          <w:sz w:val="24"/>
          <w:szCs w:val="24"/>
        </w:rPr>
        <w:t xml:space="preserve">, ktoré dosiahli úhrnom sumu 220 193 tis. eur, tvoria prevažne výdavky na </w:t>
      </w:r>
      <w:r w:rsidRPr="00697268">
        <w:rPr>
          <w:rFonts w:eastAsia="Calibri" w:cs="Times New Roman"/>
          <w:b/>
          <w:i/>
          <w:sz w:val="24"/>
          <w:szCs w:val="24"/>
        </w:rPr>
        <w:t>energie</w:t>
      </w:r>
      <w:r w:rsidRPr="00697268">
        <w:rPr>
          <w:rFonts w:eastAsia="Calibri" w:cs="Times New Roman"/>
          <w:sz w:val="24"/>
          <w:szCs w:val="24"/>
        </w:rPr>
        <w:t xml:space="preserve"> 115 792 tis. eur, </w:t>
      </w:r>
      <w:r w:rsidRPr="00697268">
        <w:rPr>
          <w:rFonts w:eastAsia="Calibri" w:cs="Times New Roman"/>
          <w:b/>
          <w:i/>
          <w:sz w:val="24"/>
          <w:szCs w:val="24"/>
        </w:rPr>
        <w:t xml:space="preserve">komunikačná infraštruktúra </w:t>
      </w:r>
      <w:r w:rsidRPr="00697268">
        <w:rPr>
          <w:rFonts w:eastAsia="Calibri" w:cs="Times New Roman"/>
          <w:sz w:val="24"/>
          <w:szCs w:val="24"/>
        </w:rPr>
        <w:t>(54 257 tis. eur), ktorú tvoria napríklad poplatky za užívanie rezortných a medzinárodných spojovacích sietí, elektronický prenos dát, prístup k internetu, poplatok za vydanie kvalifikovaného certifikátu pre elektronický podpis a podobne. Ďalej sem patria výdavky na poštové služby (23 837 tis. eur), telekomunikačné služby (14 349 tis. eur) a vodné, stočné (11 959 tis. eur).</w:t>
      </w:r>
    </w:p>
    <w:p w14:paraId="7D3B65F4" w14:textId="77777777" w:rsidR="00995FFF" w:rsidRDefault="00995FFF">
      <w:pPr>
        <w:spacing w:after="160" w:line="259" w:lineRule="auto"/>
        <w:jc w:val="left"/>
        <w:rPr>
          <w:rFonts w:eastAsia="Calibri" w:cs="Times New Roman"/>
          <w:sz w:val="24"/>
          <w:szCs w:val="24"/>
        </w:rPr>
      </w:pPr>
      <w:r>
        <w:rPr>
          <w:rFonts w:eastAsia="Calibri" w:cs="Times New Roman"/>
          <w:sz w:val="24"/>
          <w:szCs w:val="24"/>
        </w:rPr>
        <w:br w:type="page"/>
      </w:r>
    </w:p>
    <w:p w14:paraId="404B76E7" w14:textId="3E19C22F" w:rsidR="00697268" w:rsidRPr="00697268" w:rsidRDefault="00697268" w:rsidP="00697268">
      <w:pPr>
        <w:suppressAutoHyphens/>
        <w:spacing w:after="160" w:line="240" w:lineRule="auto"/>
        <w:rPr>
          <w:rFonts w:eastAsia="Calibri" w:cs="Times New Roman"/>
          <w:sz w:val="24"/>
          <w:szCs w:val="24"/>
        </w:rPr>
      </w:pPr>
      <w:r w:rsidRPr="00697268">
        <w:rPr>
          <w:rFonts w:eastAsia="Calibri" w:cs="Times New Roman"/>
          <w:sz w:val="24"/>
          <w:szCs w:val="24"/>
        </w:rPr>
        <w:lastRenderedPageBreak/>
        <w:t xml:space="preserve">V </w:t>
      </w:r>
      <w:r w:rsidRPr="00697268">
        <w:rPr>
          <w:rFonts w:eastAsia="Calibri" w:cs="Times New Roman"/>
          <w:b/>
          <w:sz w:val="24"/>
          <w:szCs w:val="24"/>
        </w:rPr>
        <w:t>dopravnom</w:t>
      </w:r>
      <w:r w:rsidRPr="00697268">
        <w:rPr>
          <w:rFonts w:eastAsia="Calibri" w:cs="Times New Roman"/>
          <w:b/>
          <w:i/>
          <w:sz w:val="24"/>
          <w:szCs w:val="24"/>
        </w:rPr>
        <w:t xml:space="preserve"> </w:t>
      </w:r>
      <w:r w:rsidRPr="00697268">
        <w:rPr>
          <w:rFonts w:eastAsia="Calibri" w:cs="Times New Roman"/>
          <w:sz w:val="24"/>
          <w:szCs w:val="24"/>
        </w:rPr>
        <w:t>sú zahrnuté celkové výdavky vo výške 102 156 tis. eur, z toho</w:t>
      </w:r>
      <w:r w:rsidRPr="00697268">
        <w:rPr>
          <w:rFonts w:eastAsia="Calibri" w:cs="Times New Roman"/>
          <w:b/>
          <w:i/>
          <w:sz w:val="24"/>
          <w:szCs w:val="24"/>
        </w:rPr>
        <w:t xml:space="preserve"> na palivo, mazivá, oleje a špeciálne kvapaliny</w:t>
      </w:r>
      <w:r w:rsidRPr="00697268">
        <w:rPr>
          <w:rFonts w:eastAsia="Calibri" w:cs="Times New Roman"/>
          <w:sz w:val="24"/>
          <w:szCs w:val="24"/>
        </w:rPr>
        <w:t xml:space="preserve"> 55 928 tis. eur a </w:t>
      </w:r>
      <w:r w:rsidRPr="00697268">
        <w:rPr>
          <w:rFonts w:eastAsia="Calibri" w:cs="Times New Roman"/>
          <w:b/>
          <w:i/>
          <w:sz w:val="24"/>
          <w:szCs w:val="24"/>
        </w:rPr>
        <w:t>na servis, údržbu, opravy a výdavky s tým spojené</w:t>
      </w:r>
      <w:r w:rsidRPr="00697268">
        <w:rPr>
          <w:rFonts w:eastAsia="Calibri" w:cs="Times New Roman"/>
          <w:sz w:val="24"/>
          <w:szCs w:val="24"/>
        </w:rPr>
        <w:t xml:space="preserve"> bolo vynaložených 33 684 tis. eur.</w:t>
      </w:r>
      <w:r w:rsidRPr="00697268">
        <w:rPr>
          <w:rFonts w:eastAsia="Calibri" w:cs="Times New Roman"/>
          <w:color w:val="FF0000"/>
          <w:sz w:val="24"/>
          <w:szCs w:val="24"/>
        </w:rPr>
        <w:t xml:space="preserve"> </w:t>
      </w:r>
      <w:r w:rsidRPr="00697268">
        <w:rPr>
          <w:rFonts w:eastAsia="Calibri" w:cs="Times New Roman"/>
          <w:sz w:val="24"/>
          <w:szCs w:val="24"/>
        </w:rPr>
        <w:t xml:space="preserve">Rozhodujúcou kapitolou v oboch podpoložkách je </w:t>
      </w:r>
      <w:r w:rsidRPr="00697268">
        <w:rPr>
          <w:rFonts w:eastAsia="Calibri" w:cs="Times New Roman"/>
          <w:sz w:val="24"/>
          <w:szCs w:val="24"/>
          <w:u w:val="single"/>
        </w:rPr>
        <w:t>Ministerstvo vnútra SR</w:t>
      </w:r>
      <w:r w:rsidRPr="00697268">
        <w:rPr>
          <w:rFonts w:eastAsia="Calibri" w:cs="Times New Roman"/>
          <w:sz w:val="24"/>
          <w:szCs w:val="24"/>
        </w:rPr>
        <w:t xml:space="preserve">, ktoré použilo tieto </w:t>
      </w:r>
      <w:r w:rsidRPr="00697268">
        <w:rPr>
          <w:rFonts w:eastAsia="Calibri" w:cs="Times New Roman"/>
          <w:sz w:val="24"/>
          <w:szCs w:val="24"/>
          <w:shd w:val="clear" w:color="auto" w:fill="FFFFFF"/>
        </w:rPr>
        <w:t>finančné prostriedky najmä v súvislosti s prevádzkou vlastných dopravných prostriedkov a na servisné prehliadky, údržbu a opravu automobilov, leteckej techniky a v rámci prevencie COVID-19 boli zvýšené výdavky na pravidelnú dezinfekciu vozidiel.</w:t>
      </w:r>
    </w:p>
    <w:p w14:paraId="12502F18" w14:textId="2A1D48F2" w:rsidR="00697268" w:rsidRPr="0044026B" w:rsidRDefault="00697268" w:rsidP="00697268">
      <w:pPr>
        <w:spacing w:line="240" w:lineRule="auto"/>
        <w:rPr>
          <w:b/>
          <w:color w:val="5B9BD5" w:themeColor="accent1"/>
          <w:sz w:val="24"/>
          <w:szCs w:val="24"/>
        </w:rPr>
      </w:pPr>
      <w:r w:rsidRPr="00697268">
        <w:rPr>
          <w:rFonts w:eastAsia="Calibri" w:cs="Times New Roman"/>
          <w:sz w:val="24"/>
          <w:szCs w:val="24"/>
        </w:rPr>
        <w:t xml:space="preserve">Výdavky na </w:t>
      </w:r>
      <w:r w:rsidRPr="00697268">
        <w:rPr>
          <w:rFonts w:eastAsia="Calibri" w:cs="Times New Roman"/>
          <w:b/>
          <w:sz w:val="24"/>
          <w:szCs w:val="24"/>
        </w:rPr>
        <w:t xml:space="preserve">nájomné za nájom </w:t>
      </w:r>
      <w:r w:rsidRPr="00697268">
        <w:rPr>
          <w:rFonts w:eastAsia="Calibri" w:cs="Times New Roman"/>
          <w:sz w:val="24"/>
          <w:szCs w:val="24"/>
        </w:rPr>
        <w:t xml:space="preserve">dosiahli súhrnne 70 722 tis. eur, z toho najvýznamnejšie bolo čerpanie </w:t>
      </w:r>
      <w:r w:rsidRPr="00697268">
        <w:rPr>
          <w:rFonts w:eastAsia="Calibri" w:cs="Times New Roman"/>
          <w:b/>
          <w:i/>
          <w:sz w:val="24"/>
          <w:szCs w:val="24"/>
        </w:rPr>
        <w:t>za nájom budov a objektov alebo ich častí</w:t>
      </w:r>
      <w:r w:rsidRPr="00697268">
        <w:rPr>
          <w:rFonts w:eastAsia="Calibri" w:cs="Times New Roman"/>
          <w:sz w:val="24"/>
          <w:szCs w:val="24"/>
        </w:rPr>
        <w:t xml:space="preserve">, a to 54 678 tis. eur, najmä prostredníctvom </w:t>
      </w:r>
      <w:r w:rsidRPr="00697268">
        <w:rPr>
          <w:rFonts w:eastAsia="Calibri" w:cs="Times New Roman"/>
          <w:sz w:val="24"/>
          <w:szCs w:val="24"/>
          <w:u w:val="single"/>
        </w:rPr>
        <w:t>Ministerstva zahraničných vecí SR</w:t>
      </w:r>
      <w:r w:rsidRPr="00697268">
        <w:rPr>
          <w:rFonts w:eastAsia="Calibri" w:cs="Times New Roman"/>
          <w:sz w:val="24"/>
          <w:szCs w:val="24"/>
        </w:rPr>
        <w:t xml:space="preserve"> (10 058 tis. eur), </w:t>
      </w:r>
      <w:r w:rsidRPr="00697268">
        <w:rPr>
          <w:rFonts w:eastAsia="Calibri" w:cs="Times New Roman"/>
          <w:sz w:val="24"/>
          <w:szCs w:val="24"/>
          <w:u w:val="single"/>
        </w:rPr>
        <w:t>Ministerstva vnútra SR</w:t>
      </w:r>
      <w:r w:rsidRPr="00697268">
        <w:rPr>
          <w:rFonts w:eastAsia="Calibri" w:cs="Times New Roman"/>
          <w:sz w:val="24"/>
          <w:szCs w:val="24"/>
        </w:rPr>
        <w:t xml:space="preserve"> (9 132 tis. eur) a </w:t>
      </w:r>
      <w:r w:rsidRPr="00697268">
        <w:rPr>
          <w:rFonts w:eastAsia="Calibri" w:cs="Times New Roman"/>
          <w:sz w:val="24"/>
          <w:szCs w:val="24"/>
          <w:u w:val="single"/>
        </w:rPr>
        <w:t>Ministerstva financií SR</w:t>
      </w:r>
      <w:r w:rsidRPr="00697268">
        <w:rPr>
          <w:rFonts w:eastAsia="Calibri" w:cs="Times New Roman"/>
          <w:sz w:val="24"/>
          <w:szCs w:val="24"/>
        </w:rPr>
        <w:t xml:space="preserve"> (5 498 tis. eur).</w:t>
      </w:r>
    </w:p>
    <w:p w14:paraId="242E72BD" w14:textId="7DF766AA" w:rsidR="00D97CA6" w:rsidRDefault="00D97CA6" w:rsidP="00D97CA6">
      <w:pPr>
        <w:suppressAutoHyphens/>
        <w:spacing w:line="240" w:lineRule="auto"/>
        <w:rPr>
          <w:b/>
          <w:color w:val="5B9BD5" w:themeColor="accent1"/>
          <w:sz w:val="24"/>
          <w:szCs w:val="24"/>
        </w:rPr>
      </w:pPr>
      <w:r w:rsidRPr="00C718C5">
        <w:rPr>
          <w:b/>
          <w:color w:val="5B9BD5" w:themeColor="accent1"/>
          <w:sz w:val="24"/>
          <w:szCs w:val="24"/>
        </w:rPr>
        <w:t>Bežné transfery</w:t>
      </w:r>
    </w:p>
    <w:p w14:paraId="30EBFD61" w14:textId="77777777" w:rsidR="00697268" w:rsidRPr="00B51948" w:rsidRDefault="00697268" w:rsidP="00697268">
      <w:pPr>
        <w:spacing w:line="240" w:lineRule="auto"/>
        <w:rPr>
          <w:rFonts w:cs="Times New Roman"/>
          <w:color w:val="FF0000"/>
          <w:sz w:val="24"/>
          <w:szCs w:val="24"/>
        </w:rPr>
      </w:pPr>
      <w:r w:rsidRPr="00BB540F">
        <w:rPr>
          <w:rFonts w:cs="Times New Roman"/>
          <w:sz w:val="24"/>
          <w:szCs w:val="24"/>
        </w:rPr>
        <w:t>Bežné transfery, ako platby jednotlivcom alebo skupinám subjektov tvorili v roku 2022</w:t>
      </w:r>
      <w:r w:rsidRPr="00B51948">
        <w:rPr>
          <w:rFonts w:cs="Times New Roman"/>
          <w:color w:val="FF0000"/>
          <w:sz w:val="24"/>
          <w:szCs w:val="24"/>
        </w:rPr>
        <w:t xml:space="preserve"> </w:t>
      </w:r>
      <w:r w:rsidRPr="00B90A5B">
        <w:rPr>
          <w:rFonts w:cs="Times New Roman"/>
          <w:sz w:val="24"/>
          <w:szCs w:val="24"/>
        </w:rPr>
        <w:t>až 71,1 % z celkových výdavkov štátneho rozpočtu.</w:t>
      </w:r>
    </w:p>
    <w:p w14:paraId="686443E8" w14:textId="77777777" w:rsidR="00697268" w:rsidRPr="00B90A5B" w:rsidRDefault="00697268" w:rsidP="00697268">
      <w:pPr>
        <w:spacing w:line="240" w:lineRule="auto"/>
        <w:rPr>
          <w:rFonts w:cs="Times New Roman"/>
        </w:rPr>
      </w:pPr>
      <w:r w:rsidRPr="00B90A5B">
        <w:rPr>
          <w:rFonts w:cs="Times New Roman"/>
          <w:sz w:val="24"/>
          <w:szCs w:val="24"/>
        </w:rPr>
        <w:t>Boli realizované zo štátneho rozpočtu vo výške 14 822 78</w:t>
      </w:r>
      <w:r>
        <w:rPr>
          <w:rFonts w:cs="Times New Roman"/>
          <w:sz w:val="24"/>
          <w:szCs w:val="24"/>
        </w:rPr>
        <w:t>7</w:t>
      </w:r>
      <w:r w:rsidRPr="00B90A5B">
        <w:rPr>
          <w:rFonts w:cs="Times New Roman"/>
          <w:sz w:val="24"/>
          <w:szCs w:val="24"/>
        </w:rPr>
        <w:t> tis. eur, pričom rozpočet bol schválený vo výške 13 367 608 tis. eur. Prehľad bežných transferov podľa skupín prijímateľov poskytuje nasledovná tabuľka:</w:t>
      </w:r>
    </w:p>
    <w:tbl>
      <w:tblPr>
        <w:tblW w:w="9193" w:type="dxa"/>
        <w:tblCellMar>
          <w:left w:w="70" w:type="dxa"/>
          <w:right w:w="70" w:type="dxa"/>
        </w:tblCellMar>
        <w:tblLook w:val="04A0" w:firstRow="1" w:lastRow="0" w:firstColumn="1" w:lastColumn="0" w:noHBand="0" w:noVBand="1"/>
      </w:tblPr>
      <w:tblGrid>
        <w:gridCol w:w="9214"/>
      </w:tblGrid>
      <w:tr w:rsidR="00697268" w:rsidRPr="00B51948" w14:paraId="033D28EE" w14:textId="77777777" w:rsidTr="00AB0350">
        <w:trPr>
          <w:trHeight w:val="458"/>
        </w:trPr>
        <w:tc>
          <w:tcPr>
            <w:tcW w:w="9193" w:type="dxa"/>
            <w:tcBorders>
              <w:top w:val="nil"/>
              <w:left w:val="nil"/>
              <w:bottom w:val="nil"/>
              <w:right w:val="nil"/>
            </w:tcBorders>
            <w:shd w:val="clear" w:color="000000" w:fill="FFFFFF"/>
            <w:noWrap/>
            <w:vAlign w:val="center"/>
            <w:hideMark/>
          </w:tcPr>
          <w:p w14:paraId="698E1B08" w14:textId="2DC9D684" w:rsidR="00697268" w:rsidRDefault="00D50C99" w:rsidP="003234A0">
            <w:pPr>
              <w:pStyle w:val="Graf"/>
            </w:pPr>
            <w:r>
              <w:t>Tabuľka 3</w:t>
            </w:r>
            <w:r w:rsidR="008B3212">
              <w:t>5</w:t>
            </w:r>
            <w:r w:rsidR="00697268" w:rsidRPr="00BB540F">
              <w:t xml:space="preserve"> - Bežné transfery </w:t>
            </w:r>
          </w:p>
          <w:tbl>
            <w:tblPr>
              <w:tblW w:w="9049" w:type="dxa"/>
              <w:tblCellMar>
                <w:left w:w="70" w:type="dxa"/>
                <w:right w:w="70" w:type="dxa"/>
              </w:tblCellMar>
              <w:tblLook w:val="04A0" w:firstRow="1" w:lastRow="0" w:firstColumn="1" w:lastColumn="0" w:noHBand="0" w:noVBand="1"/>
            </w:tblPr>
            <w:tblGrid>
              <w:gridCol w:w="2850"/>
              <w:gridCol w:w="1044"/>
              <w:gridCol w:w="1044"/>
              <w:gridCol w:w="1066"/>
              <w:gridCol w:w="1088"/>
              <w:gridCol w:w="1109"/>
              <w:gridCol w:w="848"/>
            </w:tblGrid>
            <w:tr w:rsidR="00AC2B5B" w:rsidRPr="00E91536" w14:paraId="44CAF95D" w14:textId="77777777" w:rsidTr="00AC2B5B">
              <w:trPr>
                <w:trHeight w:val="289"/>
              </w:trPr>
              <w:tc>
                <w:tcPr>
                  <w:tcW w:w="2850" w:type="dxa"/>
                  <w:vMerge w:val="restart"/>
                  <w:tcBorders>
                    <w:top w:val="single" w:sz="4" w:space="0" w:color="auto"/>
                    <w:left w:val="nil"/>
                    <w:right w:val="nil"/>
                  </w:tcBorders>
                  <w:shd w:val="clear" w:color="000000" w:fill="FFFFFF"/>
                  <w:vAlign w:val="center"/>
                  <w:hideMark/>
                </w:tcPr>
                <w:p w14:paraId="0BAFF680" w14:textId="6B5A25E4" w:rsidR="00AC2B5B" w:rsidRPr="00E91536" w:rsidRDefault="00AC2B5B" w:rsidP="00AC2B5B">
                  <w:pPr>
                    <w:spacing w:after="0" w:line="240" w:lineRule="auto"/>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v tis. eur </w:t>
                  </w:r>
                </w:p>
              </w:tc>
              <w:tc>
                <w:tcPr>
                  <w:tcW w:w="1044" w:type="dxa"/>
                  <w:tcBorders>
                    <w:top w:val="single" w:sz="4" w:space="0" w:color="auto"/>
                    <w:left w:val="nil"/>
                    <w:bottom w:val="nil"/>
                    <w:right w:val="nil"/>
                  </w:tcBorders>
                  <w:shd w:val="clear" w:color="000000" w:fill="FFFFFF"/>
                  <w:noWrap/>
                  <w:vAlign w:val="center"/>
                  <w:hideMark/>
                </w:tcPr>
                <w:p w14:paraId="789031E3"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2020 S</w:t>
                  </w:r>
                </w:p>
              </w:tc>
              <w:tc>
                <w:tcPr>
                  <w:tcW w:w="1044" w:type="dxa"/>
                  <w:tcBorders>
                    <w:top w:val="single" w:sz="4" w:space="0" w:color="auto"/>
                    <w:left w:val="nil"/>
                    <w:bottom w:val="nil"/>
                    <w:right w:val="nil"/>
                  </w:tcBorders>
                  <w:shd w:val="clear" w:color="000000" w:fill="FFFFFF"/>
                  <w:noWrap/>
                  <w:vAlign w:val="center"/>
                  <w:hideMark/>
                </w:tcPr>
                <w:p w14:paraId="4ED6C3CE"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2021 S</w:t>
                  </w:r>
                </w:p>
              </w:tc>
              <w:tc>
                <w:tcPr>
                  <w:tcW w:w="1066" w:type="dxa"/>
                  <w:tcBorders>
                    <w:top w:val="single" w:sz="4" w:space="0" w:color="auto"/>
                    <w:left w:val="nil"/>
                    <w:bottom w:val="nil"/>
                    <w:right w:val="nil"/>
                  </w:tcBorders>
                  <w:shd w:val="clear" w:color="000000" w:fill="FFFFFF"/>
                  <w:noWrap/>
                  <w:vAlign w:val="center"/>
                  <w:hideMark/>
                </w:tcPr>
                <w:p w14:paraId="202296DF"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2022 R</w:t>
                  </w:r>
                </w:p>
              </w:tc>
              <w:tc>
                <w:tcPr>
                  <w:tcW w:w="1088" w:type="dxa"/>
                  <w:tcBorders>
                    <w:top w:val="single" w:sz="4" w:space="0" w:color="auto"/>
                    <w:left w:val="nil"/>
                    <w:bottom w:val="nil"/>
                    <w:right w:val="nil"/>
                  </w:tcBorders>
                  <w:shd w:val="clear" w:color="000000" w:fill="FFFFFF"/>
                  <w:noWrap/>
                  <w:vAlign w:val="center"/>
                  <w:hideMark/>
                </w:tcPr>
                <w:p w14:paraId="6A02A51A"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2022 S</w:t>
                  </w:r>
                </w:p>
              </w:tc>
              <w:tc>
                <w:tcPr>
                  <w:tcW w:w="1109" w:type="dxa"/>
                  <w:tcBorders>
                    <w:top w:val="single" w:sz="4" w:space="0" w:color="auto"/>
                    <w:left w:val="nil"/>
                    <w:bottom w:val="nil"/>
                    <w:right w:val="nil"/>
                  </w:tcBorders>
                  <w:shd w:val="clear" w:color="000000" w:fill="FFFFFF"/>
                  <w:noWrap/>
                  <w:vAlign w:val="center"/>
                  <w:hideMark/>
                </w:tcPr>
                <w:p w14:paraId="0284CA37"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Rozdiel</w:t>
                  </w:r>
                </w:p>
              </w:tc>
              <w:tc>
                <w:tcPr>
                  <w:tcW w:w="848" w:type="dxa"/>
                  <w:tcBorders>
                    <w:top w:val="single" w:sz="4" w:space="0" w:color="auto"/>
                    <w:left w:val="nil"/>
                    <w:bottom w:val="nil"/>
                    <w:right w:val="nil"/>
                  </w:tcBorders>
                  <w:shd w:val="clear" w:color="000000" w:fill="FFFFFF"/>
                  <w:noWrap/>
                  <w:vAlign w:val="center"/>
                  <w:hideMark/>
                </w:tcPr>
                <w:p w14:paraId="3B4E4572"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v %</w:t>
                  </w:r>
                </w:p>
              </w:tc>
            </w:tr>
            <w:tr w:rsidR="00AC2B5B" w:rsidRPr="00E91536" w14:paraId="31EF8F4C" w14:textId="77777777" w:rsidTr="00AC2B5B">
              <w:trPr>
                <w:trHeight w:val="289"/>
              </w:trPr>
              <w:tc>
                <w:tcPr>
                  <w:tcW w:w="2850" w:type="dxa"/>
                  <w:vMerge/>
                  <w:tcBorders>
                    <w:left w:val="nil"/>
                    <w:bottom w:val="single" w:sz="4" w:space="0" w:color="auto"/>
                    <w:right w:val="nil"/>
                  </w:tcBorders>
                  <w:shd w:val="clear" w:color="000000" w:fill="FFFFFF"/>
                  <w:vAlign w:val="center"/>
                  <w:hideMark/>
                </w:tcPr>
                <w:p w14:paraId="39CD3230" w14:textId="340BA745" w:rsidR="00AC2B5B" w:rsidRPr="00E91536" w:rsidRDefault="00AC2B5B" w:rsidP="00AB0350">
                  <w:pPr>
                    <w:spacing w:after="0" w:line="240" w:lineRule="auto"/>
                    <w:jc w:val="center"/>
                    <w:rPr>
                      <w:rFonts w:eastAsia="Times New Roman" w:cs="Times New Roman"/>
                      <w:b/>
                      <w:bCs/>
                      <w:color w:val="000000"/>
                      <w:sz w:val="18"/>
                      <w:szCs w:val="18"/>
                      <w:lang w:eastAsia="sk-SK"/>
                    </w:rPr>
                  </w:pPr>
                </w:p>
              </w:tc>
              <w:tc>
                <w:tcPr>
                  <w:tcW w:w="1044" w:type="dxa"/>
                  <w:tcBorders>
                    <w:top w:val="nil"/>
                    <w:left w:val="nil"/>
                    <w:bottom w:val="single" w:sz="4" w:space="0" w:color="auto"/>
                    <w:right w:val="nil"/>
                  </w:tcBorders>
                  <w:shd w:val="clear" w:color="000000" w:fill="FFFFFF"/>
                  <w:noWrap/>
                  <w:vAlign w:val="center"/>
                  <w:hideMark/>
                </w:tcPr>
                <w:p w14:paraId="100B2745"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1</w:t>
                  </w:r>
                </w:p>
              </w:tc>
              <w:tc>
                <w:tcPr>
                  <w:tcW w:w="1044" w:type="dxa"/>
                  <w:tcBorders>
                    <w:top w:val="nil"/>
                    <w:left w:val="nil"/>
                    <w:bottom w:val="single" w:sz="4" w:space="0" w:color="auto"/>
                    <w:right w:val="nil"/>
                  </w:tcBorders>
                  <w:shd w:val="clear" w:color="000000" w:fill="FFFFFF"/>
                  <w:noWrap/>
                  <w:vAlign w:val="center"/>
                  <w:hideMark/>
                </w:tcPr>
                <w:p w14:paraId="16EE2EA7"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2</w:t>
                  </w:r>
                </w:p>
              </w:tc>
              <w:tc>
                <w:tcPr>
                  <w:tcW w:w="1066" w:type="dxa"/>
                  <w:tcBorders>
                    <w:top w:val="nil"/>
                    <w:left w:val="nil"/>
                    <w:bottom w:val="single" w:sz="4" w:space="0" w:color="auto"/>
                    <w:right w:val="nil"/>
                  </w:tcBorders>
                  <w:shd w:val="clear" w:color="000000" w:fill="FFFFFF"/>
                  <w:noWrap/>
                  <w:vAlign w:val="center"/>
                  <w:hideMark/>
                </w:tcPr>
                <w:p w14:paraId="4A807311"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3</w:t>
                  </w:r>
                </w:p>
              </w:tc>
              <w:tc>
                <w:tcPr>
                  <w:tcW w:w="1088" w:type="dxa"/>
                  <w:tcBorders>
                    <w:top w:val="nil"/>
                    <w:left w:val="nil"/>
                    <w:bottom w:val="single" w:sz="4" w:space="0" w:color="auto"/>
                    <w:right w:val="nil"/>
                  </w:tcBorders>
                  <w:shd w:val="clear" w:color="000000" w:fill="FFFFFF"/>
                  <w:noWrap/>
                  <w:vAlign w:val="center"/>
                  <w:hideMark/>
                </w:tcPr>
                <w:p w14:paraId="3CCB2812"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4</w:t>
                  </w:r>
                </w:p>
              </w:tc>
              <w:tc>
                <w:tcPr>
                  <w:tcW w:w="1109" w:type="dxa"/>
                  <w:tcBorders>
                    <w:top w:val="nil"/>
                    <w:left w:val="nil"/>
                    <w:bottom w:val="single" w:sz="4" w:space="0" w:color="auto"/>
                    <w:right w:val="nil"/>
                  </w:tcBorders>
                  <w:shd w:val="clear" w:color="000000" w:fill="FFFFFF"/>
                  <w:noWrap/>
                  <w:vAlign w:val="center"/>
                  <w:hideMark/>
                </w:tcPr>
                <w:p w14:paraId="58CD0CA9"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5=4-3</w:t>
                  </w:r>
                </w:p>
              </w:tc>
              <w:tc>
                <w:tcPr>
                  <w:tcW w:w="848" w:type="dxa"/>
                  <w:tcBorders>
                    <w:top w:val="nil"/>
                    <w:left w:val="nil"/>
                    <w:bottom w:val="single" w:sz="4" w:space="0" w:color="auto"/>
                    <w:right w:val="nil"/>
                  </w:tcBorders>
                  <w:shd w:val="clear" w:color="000000" w:fill="FFFFFF"/>
                  <w:noWrap/>
                  <w:vAlign w:val="center"/>
                  <w:hideMark/>
                </w:tcPr>
                <w:p w14:paraId="4D6B8C3B" w14:textId="77777777" w:rsidR="00AC2B5B" w:rsidRPr="00E91536" w:rsidRDefault="00AC2B5B" w:rsidP="00AB0350">
                  <w:pPr>
                    <w:spacing w:after="0" w:line="240" w:lineRule="auto"/>
                    <w:jc w:val="center"/>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6=4-3</w:t>
                  </w:r>
                </w:p>
              </w:tc>
            </w:tr>
            <w:tr w:rsidR="00697268" w:rsidRPr="00E91536" w14:paraId="1E07E9FE" w14:textId="77777777" w:rsidTr="00AC2B5B">
              <w:trPr>
                <w:trHeight w:val="289"/>
              </w:trPr>
              <w:tc>
                <w:tcPr>
                  <w:tcW w:w="2850" w:type="dxa"/>
                  <w:tcBorders>
                    <w:top w:val="nil"/>
                    <w:left w:val="nil"/>
                    <w:bottom w:val="nil"/>
                    <w:right w:val="nil"/>
                  </w:tcBorders>
                  <w:shd w:val="clear" w:color="auto" w:fill="auto"/>
                  <w:noWrap/>
                  <w:vAlign w:val="center"/>
                  <w:hideMark/>
                </w:tcPr>
                <w:p w14:paraId="4E59249C" w14:textId="77777777" w:rsidR="00697268" w:rsidRPr="00E91536" w:rsidRDefault="00697268" w:rsidP="00AB0350">
                  <w:pPr>
                    <w:spacing w:after="0" w:line="240" w:lineRule="auto"/>
                    <w:rPr>
                      <w:rFonts w:eastAsia="Times New Roman" w:cs="Times New Roman"/>
                      <w:color w:val="000000"/>
                      <w:sz w:val="18"/>
                      <w:szCs w:val="18"/>
                      <w:lang w:eastAsia="sk-SK"/>
                    </w:rPr>
                  </w:pPr>
                  <w:r w:rsidRPr="00E91536">
                    <w:rPr>
                      <w:rFonts w:eastAsia="Times New Roman" w:cs="Times New Roman"/>
                      <w:color w:val="000000"/>
                      <w:sz w:val="18"/>
                      <w:szCs w:val="18"/>
                      <w:lang w:eastAsia="sk-SK"/>
                    </w:rPr>
                    <w:t>Transfery v rámci verejnej správy</w:t>
                  </w:r>
                </w:p>
              </w:tc>
              <w:tc>
                <w:tcPr>
                  <w:tcW w:w="1044" w:type="dxa"/>
                  <w:tcBorders>
                    <w:top w:val="nil"/>
                    <w:left w:val="nil"/>
                    <w:bottom w:val="nil"/>
                    <w:right w:val="nil"/>
                  </w:tcBorders>
                  <w:shd w:val="clear" w:color="auto" w:fill="auto"/>
                  <w:vAlign w:val="center"/>
                  <w:hideMark/>
                </w:tcPr>
                <w:p w14:paraId="4CDE51E2"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7 534 939</w:t>
                  </w:r>
                </w:p>
              </w:tc>
              <w:tc>
                <w:tcPr>
                  <w:tcW w:w="1044" w:type="dxa"/>
                  <w:tcBorders>
                    <w:top w:val="nil"/>
                    <w:left w:val="nil"/>
                    <w:bottom w:val="nil"/>
                    <w:right w:val="nil"/>
                  </w:tcBorders>
                  <w:shd w:val="clear" w:color="auto" w:fill="auto"/>
                  <w:vAlign w:val="center"/>
                  <w:hideMark/>
                </w:tcPr>
                <w:p w14:paraId="07F82372"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6 415 861</w:t>
                  </w:r>
                </w:p>
              </w:tc>
              <w:tc>
                <w:tcPr>
                  <w:tcW w:w="1066" w:type="dxa"/>
                  <w:tcBorders>
                    <w:top w:val="nil"/>
                    <w:left w:val="nil"/>
                    <w:bottom w:val="nil"/>
                    <w:right w:val="nil"/>
                  </w:tcBorders>
                  <w:shd w:val="clear" w:color="auto" w:fill="auto"/>
                  <w:vAlign w:val="center"/>
                  <w:hideMark/>
                </w:tcPr>
                <w:p w14:paraId="557485CF"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5 305 822</w:t>
                  </w:r>
                </w:p>
              </w:tc>
              <w:tc>
                <w:tcPr>
                  <w:tcW w:w="1088" w:type="dxa"/>
                  <w:tcBorders>
                    <w:top w:val="nil"/>
                    <w:left w:val="nil"/>
                    <w:bottom w:val="nil"/>
                    <w:right w:val="nil"/>
                  </w:tcBorders>
                  <w:shd w:val="clear" w:color="000000" w:fill="FFFFFF"/>
                  <w:vAlign w:val="center"/>
                  <w:hideMark/>
                </w:tcPr>
                <w:p w14:paraId="723E3548"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6 942 096</w:t>
                  </w:r>
                </w:p>
              </w:tc>
              <w:tc>
                <w:tcPr>
                  <w:tcW w:w="1109" w:type="dxa"/>
                  <w:tcBorders>
                    <w:top w:val="nil"/>
                    <w:left w:val="nil"/>
                    <w:bottom w:val="nil"/>
                    <w:right w:val="nil"/>
                  </w:tcBorders>
                  <w:shd w:val="clear" w:color="auto" w:fill="auto"/>
                  <w:vAlign w:val="center"/>
                  <w:hideMark/>
                </w:tcPr>
                <w:p w14:paraId="578EF840"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1 636 274</w:t>
                  </w:r>
                </w:p>
              </w:tc>
              <w:tc>
                <w:tcPr>
                  <w:tcW w:w="848" w:type="dxa"/>
                  <w:tcBorders>
                    <w:top w:val="nil"/>
                    <w:left w:val="nil"/>
                    <w:bottom w:val="nil"/>
                    <w:right w:val="nil"/>
                  </w:tcBorders>
                  <w:shd w:val="clear" w:color="auto" w:fill="auto"/>
                  <w:vAlign w:val="center"/>
                  <w:hideMark/>
                </w:tcPr>
                <w:p w14:paraId="22D69B13"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30,8</w:t>
                  </w:r>
                </w:p>
              </w:tc>
            </w:tr>
            <w:tr w:rsidR="00697268" w:rsidRPr="00E91536" w14:paraId="0B2A3F6B" w14:textId="77777777" w:rsidTr="00AC2B5B">
              <w:trPr>
                <w:trHeight w:val="289"/>
              </w:trPr>
              <w:tc>
                <w:tcPr>
                  <w:tcW w:w="2850" w:type="dxa"/>
                  <w:tcBorders>
                    <w:top w:val="nil"/>
                    <w:left w:val="nil"/>
                    <w:bottom w:val="nil"/>
                    <w:right w:val="nil"/>
                  </w:tcBorders>
                  <w:shd w:val="clear" w:color="auto" w:fill="auto"/>
                  <w:vAlign w:val="center"/>
                  <w:hideMark/>
                </w:tcPr>
                <w:p w14:paraId="30A870B1" w14:textId="77777777" w:rsidR="00697268" w:rsidRPr="00E91536" w:rsidRDefault="00697268" w:rsidP="00AB0350">
                  <w:pPr>
                    <w:spacing w:after="0" w:line="240" w:lineRule="auto"/>
                    <w:rPr>
                      <w:rFonts w:eastAsia="Times New Roman" w:cs="Times New Roman"/>
                      <w:color w:val="000000"/>
                      <w:sz w:val="18"/>
                      <w:szCs w:val="18"/>
                      <w:lang w:eastAsia="sk-SK"/>
                    </w:rPr>
                  </w:pPr>
                  <w:r w:rsidRPr="00E91536">
                    <w:rPr>
                      <w:rFonts w:eastAsia="Times New Roman" w:cs="Times New Roman"/>
                      <w:color w:val="000000"/>
                      <w:sz w:val="18"/>
                      <w:szCs w:val="18"/>
                      <w:lang w:eastAsia="sk-SK"/>
                    </w:rPr>
                    <w:t>Transfery jednotlivcom a nezisk. právnickým osobám</w:t>
                  </w:r>
                </w:p>
              </w:tc>
              <w:tc>
                <w:tcPr>
                  <w:tcW w:w="1044" w:type="dxa"/>
                  <w:tcBorders>
                    <w:top w:val="nil"/>
                    <w:left w:val="nil"/>
                    <w:bottom w:val="nil"/>
                    <w:right w:val="nil"/>
                  </w:tcBorders>
                  <w:shd w:val="clear" w:color="auto" w:fill="auto"/>
                  <w:vAlign w:val="center"/>
                  <w:hideMark/>
                </w:tcPr>
                <w:p w14:paraId="48F811B7"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5 400 185</w:t>
                  </w:r>
                </w:p>
              </w:tc>
              <w:tc>
                <w:tcPr>
                  <w:tcW w:w="1044" w:type="dxa"/>
                  <w:tcBorders>
                    <w:top w:val="nil"/>
                    <w:left w:val="nil"/>
                    <w:bottom w:val="nil"/>
                    <w:right w:val="nil"/>
                  </w:tcBorders>
                  <w:shd w:val="clear" w:color="auto" w:fill="auto"/>
                  <w:vAlign w:val="center"/>
                  <w:hideMark/>
                </w:tcPr>
                <w:p w14:paraId="6FCC6408"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7 005 182</w:t>
                  </w:r>
                </w:p>
              </w:tc>
              <w:tc>
                <w:tcPr>
                  <w:tcW w:w="1066" w:type="dxa"/>
                  <w:tcBorders>
                    <w:top w:val="nil"/>
                    <w:left w:val="nil"/>
                    <w:bottom w:val="nil"/>
                    <w:right w:val="nil"/>
                  </w:tcBorders>
                  <w:shd w:val="clear" w:color="auto" w:fill="auto"/>
                  <w:vAlign w:val="center"/>
                  <w:hideMark/>
                </w:tcPr>
                <w:p w14:paraId="0F267CD9"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5 492 459</w:t>
                  </w:r>
                </w:p>
              </w:tc>
              <w:tc>
                <w:tcPr>
                  <w:tcW w:w="1088" w:type="dxa"/>
                  <w:tcBorders>
                    <w:top w:val="nil"/>
                    <w:left w:val="nil"/>
                    <w:bottom w:val="nil"/>
                    <w:right w:val="nil"/>
                  </w:tcBorders>
                  <w:shd w:val="clear" w:color="000000" w:fill="FFFFFF"/>
                  <w:vAlign w:val="center"/>
                  <w:hideMark/>
                </w:tcPr>
                <w:p w14:paraId="529040B6"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5 687 424</w:t>
                  </w:r>
                </w:p>
              </w:tc>
              <w:tc>
                <w:tcPr>
                  <w:tcW w:w="1109" w:type="dxa"/>
                  <w:tcBorders>
                    <w:top w:val="nil"/>
                    <w:left w:val="nil"/>
                    <w:bottom w:val="nil"/>
                    <w:right w:val="nil"/>
                  </w:tcBorders>
                  <w:shd w:val="clear" w:color="auto" w:fill="auto"/>
                  <w:vAlign w:val="center"/>
                  <w:hideMark/>
                </w:tcPr>
                <w:p w14:paraId="030F6295"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194 965</w:t>
                  </w:r>
                </w:p>
              </w:tc>
              <w:tc>
                <w:tcPr>
                  <w:tcW w:w="848" w:type="dxa"/>
                  <w:tcBorders>
                    <w:top w:val="nil"/>
                    <w:left w:val="nil"/>
                    <w:bottom w:val="nil"/>
                    <w:right w:val="nil"/>
                  </w:tcBorders>
                  <w:shd w:val="clear" w:color="auto" w:fill="auto"/>
                  <w:vAlign w:val="center"/>
                  <w:hideMark/>
                </w:tcPr>
                <w:p w14:paraId="0045A727"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3,5</w:t>
                  </w:r>
                </w:p>
              </w:tc>
            </w:tr>
            <w:tr w:rsidR="00697268" w:rsidRPr="00E91536" w14:paraId="7EC28084" w14:textId="77777777" w:rsidTr="00AC2B5B">
              <w:trPr>
                <w:trHeight w:val="289"/>
              </w:trPr>
              <w:tc>
                <w:tcPr>
                  <w:tcW w:w="2850" w:type="dxa"/>
                  <w:tcBorders>
                    <w:top w:val="nil"/>
                    <w:left w:val="nil"/>
                    <w:bottom w:val="nil"/>
                    <w:right w:val="nil"/>
                  </w:tcBorders>
                  <w:shd w:val="clear" w:color="auto" w:fill="auto"/>
                  <w:noWrap/>
                  <w:vAlign w:val="center"/>
                  <w:hideMark/>
                </w:tcPr>
                <w:p w14:paraId="6ECF917A" w14:textId="77777777" w:rsidR="00697268" w:rsidRPr="00E91536" w:rsidRDefault="00697268" w:rsidP="00AB0350">
                  <w:pPr>
                    <w:spacing w:after="0" w:line="240" w:lineRule="auto"/>
                    <w:rPr>
                      <w:rFonts w:eastAsia="Times New Roman" w:cs="Times New Roman"/>
                      <w:color w:val="000000"/>
                      <w:sz w:val="18"/>
                      <w:szCs w:val="18"/>
                      <w:lang w:eastAsia="sk-SK"/>
                    </w:rPr>
                  </w:pPr>
                  <w:r w:rsidRPr="00E91536">
                    <w:rPr>
                      <w:rFonts w:eastAsia="Times New Roman" w:cs="Times New Roman"/>
                      <w:color w:val="000000"/>
                      <w:sz w:val="18"/>
                      <w:szCs w:val="18"/>
                      <w:lang w:eastAsia="sk-SK"/>
                    </w:rPr>
                    <w:t>Transfery nefinančným subjektom</w:t>
                  </w:r>
                </w:p>
              </w:tc>
              <w:tc>
                <w:tcPr>
                  <w:tcW w:w="1044" w:type="dxa"/>
                  <w:tcBorders>
                    <w:top w:val="nil"/>
                    <w:left w:val="nil"/>
                    <w:bottom w:val="nil"/>
                    <w:right w:val="nil"/>
                  </w:tcBorders>
                  <w:shd w:val="clear" w:color="auto" w:fill="auto"/>
                  <w:vAlign w:val="center"/>
                  <w:hideMark/>
                </w:tcPr>
                <w:p w14:paraId="2C0CEC51"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1 163 129</w:t>
                  </w:r>
                </w:p>
              </w:tc>
              <w:tc>
                <w:tcPr>
                  <w:tcW w:w="1044" w:type="dxa"/>
                  <w:tcBorders>
                    <w:top w:val="nil"/>
                    <w:left w:val="nil"/>
                    <w:bottom w:val="nil"/>
                    <w:right w:val="nil"/>
                  </w:tcBorders>
                  <w:shd w:val="clear" w:color="auto" w:fill="auto"/>
                  <w:vAlign w:val="center"/>
                  <w:hideMark/>
                </w:tcPr>
                <w:p w14:paraId="06D2B346"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1 344 028</w:t>
                  </w:r>
                </w:p>
              </w:tc>
              <w:tc>
                <w:tcPr>
                  <w:tcW w:w="1066" w:type="dxa"/>
                  <w:tcBorders>
                    <w:top w:val="nil"/>
                    <w:left w:val="nil"/>
                    <w:bottom w:val="nil"/>
                    <w:right w:val="nil"/>
                  </w:tcBorders>
                  <w:shd w:val="clear" w:color="auto" w:fill="auto"/>
                  <w:vAlign w:val="center"/>
                  <w:hideMark/>
                </w:tcPr>
                <w:p w14:paraId="5C3441B8"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1 446 110</w:t>
                  </w:r>
                </w:p>
              </w:tc>
              <w:tc>
                <w:tcPr>
                  <w:tcW w:w="1088" w:type="dxa"/>
                  <w:tcBorders>
                    <w:top w:val="nil"/>
                    <w:left w:val="nil"/>
                    <w:bottom w:val="nil"/>
                    <w:right w:val="nil"/>
                  </w:tcBorders>
                  <w:shd w:val="clear" w:color="000000" w:fill="FFFFFF"/>
                  <w:vAlign w:val="center"/>
                  <w:hideMark/>
                </w:tcPr>
                <w:p w14:paraId="5BCA2003"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1 147 850</w:t>
                  </w:r>
                </w:p>
              </w:tc>
              <w:tc>
                <w:tcPr>
                  <w:tcW w:w="1109" w:type="dxa"/>
                  <w:tcBorders>
                    <w:top w:val="nil"/>
                    <w:left w:val="nil"/>
                    <w:bottom w:val="nil"/>
                    <w:right w:val="nil"/>
                  </w:tcBorders>
                  <w:shd w:val="clear" w:color="auto" w:fill="auto"/>
                  <w:vAlign w:val="center"/>
                  <w:hideMark/>
                </w:tcPr>
                <w:p w14:paraId="743AE9B4"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-298 260</w:t>
                  </w:r>
                </w:p>
              </w:tc>
              <w:tc>
                <w:tcPr>
                  <w:tcW w:w="848" w:type="dxa"/>
                  <w:tcBorders>
                    <w:top w:val="nil"/>
                    <w:left w:val="nil"/>
                    <w:bottom w:val="nil"/>
                    <w:right w:val="nil"/>
                  </w:tcBorders>
                  <w:shd w:val="clear" w:color="auto" w:fill="auto"/>
                  <w:vAlign w:val="center"/>
                  <w:hideMark/>
                </w:tcPr>
                <w:p w14:paraId="13249DB2"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-20,6</w:t>
                  </w:r>
                </w:p>
              </w:tc>
            </w:tr>
            <w:tr w:rsidR="00697268" w:rsidRPr="00E91536" w14:paraId="4D2C8409" w14:textId="77777777" w:rsidTr="00AC2B5B">
              <w:trPr>
                <w:trHeight w:val="289"/>
              </w:trPr>
              <w:tc>
                <w:tcPr>
                  <w:tcW w:w="2850" w:type="dxa"/>
                  <w:tcBorders>
                    <w:top w:val="nil"/>
                    <w:left w:val="nil"/>
                    <w:bottom w:val="nil"/>
                    <w:right w:val="nil"/>
                  </w:tcBorders>
                  <w:shd w:val="clear" w:color="auto" w:fill="auto"/>
                  <w:noWrap/>
                  <w:vAlign w:val="center"/>
                  <w:hideMark/>
                </w:tcPr>
                <w:p w14:paraId="06C93367" w14:textId="77777777" w:rsidR="00697268" w:rsidRPr="00E91536" w:rsidRDefault="00697268" w:rsidP="00AB0350">
                  <w:pPr>
                    <w:spacing w:after="0" w:line="240" w:lineRule="auto"/>
                    <w:rPr>
                      <w:rFonts w:eastAsia="Times New Roman" w:cs="Times New Roman"/>
                      <w:color w:val="000000"/>
                      <w:sz w:val="18"/>
                      <w:szCs w:val="18"/>
                      <w:lang w:eastAsia="sk-SK"/>
                    </w:rPr>
                  </w:pPr>
                  <w:r w:rsidRPr="00E91536">
                    <w:rPr>
                      <w:rFonts w:eastAsia="Times New Roman" w:cs="Times New Roman"/>
                      <w:color w:val="000000"/>
                      <w:sz w:val="18"/>
                      <w:szCs w:val="18"/>
                      <w:lang w:eastAsia="sk-SK"/>
                    </w:rPr>
                    <w:t>Transfery do zahraničia</w:t>
                  </w:r>
                </w:p>
              </w:tc>
              <w:tc>
                <w:tcPr>
                  <w:tcW w:w="1044" w:type="dxa"/>
                  <w:tcBorders>
                    <w:top w:val="nil"/>
                    <w:left w:val="nil"/>
                    <w:bottom w:val="nil"/>
                    <w:right w:val="nil"/>
                  </w:tcBorders>
                  <w:shd w:val="clear" w:color="auto" w:fill="auto"/>
                  <w:vAlign w:val="center"/>
                  <w:hideMark/>
                </w:tcPr>
                <w:p w14:paraId="6FC5BC2C"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976 976</w:t>
                  </w:r>
                </w:p>
              </w:tc>
              <w:tc>
                <w:tcPr>
                  <w:tcW w:w="1044" w:type="dxa"/>
                  <w:tcBorders>
                    <w:top w:val="nil"/>
                    <w:left w:val="nil"/>
                    <w:bottom w:val="nil"/>
                    <w:right w:val="nil"/>
                  </w:tcBorders>
                  <w:shd w:val="clear" w:color="auto" w:fill="auto"/>
                  <w:vAlign w:val="center"/>
                  <w:hideMark/>
                </w:tcPr>
                <w:p w14:paraId="0FD0E850"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1 066 518</w:t>
                  </w:r>
                </w:p>
              </w:tc>
              <w:tc>
                <w:tcPr>
                  <w:tcW w:w="1066" w:type="dxa"/>
                  <w:tcBorders>
                    <w:top w:val="nil"/>
                    <w:left w:val="nil"/>
                    <w:bottom w:val="nil"/>
                    <w:right w:val="nil"/>
                  </w:tcBorders>
                  <w:shd w:val="clear" w:color="auto" w:fill="auto"/>
                  <w:vAlign w:val="center"/>
                  <w:hideMark/>
                </w:tcPr>
                <w:p w14:paraId="5C6CF025"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1 117 267</w:t>
                  </w:r>
                </w:p>
              </w:tc>
              <w:tc>
                <w:tcPr>
                  <w:tcW w:w="1088" w:type="dxa"/>
                  <w:tcBorders>
                    <w:top w:val="nil"/>
                    <w:left w:val="nil"/>
                    <w:bottom w:val="nil"/>
                    <w:right w:val="nil"/>
                  </w:tcBorders>
                  <w:shd w:val="clear" w:color="000000" w:fill="FFFFFF"/>
                  <w:vAlign w:val="center"/>
                  <w:hideMark/>
                </w:tcPr>
                <w:p w14:paraId="5A45A64A"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1 028 943</w:t>
                  </w:r>
                </w:p>
              </w:tc>
              <w:tc>
                <w:tcPr>
                  <w:tcW w:w="1109" w:type="dxa"/>
                  <w:tcBorders>
                    <w:top w:val="nil"/>
                    <w:left w:val="nil"/>
                    <w:bottom w:val="nil"/>
                    <w:right w:val="nil"/>
                  </w:tcBorders>
                  <w:shd w:val="clear" w:color="auto" w:fill="auto"/>
                  <w:vAlign w:val="center"/>
                  <w:hideMark/>
                </w:tcPr>
                <w:p w14:paraId="3D093F79"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-88 324</w:t>
                  </w:r>
                </w:p>
              </w:tc>
              <w:tc>
                <w:tcPr>
                  <w:tcW w:w="848" w:type="dxa"/>
                  <w:tcBorders>
                    <w:top w:val="nil"/>
                    <w:left w:val="nil"/>
                    <w:bottom w:val="nil"/>
                    <w:right w:val="nil"/>
                  </w:tcBorders>
                  <w:shd w:val="clear" w:color="auto" w:fill="auto"/>
                  <w:vAlign w:val="center"/>
                  <w:hideMark/>
                </w:tcPr>
                <w:p w14:paraId="26D4CF96"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-7,9</w:t>
                  </w:r>
                </w:p>
              </w:tc>
            </w:tr>
            <w:tr w:rsidR="00697268" w:rsidRPr="00E91536" w14:paraId="0D5DED90" w14:textId="77777777" w:rsidTr="00AC2B5B">
              <w:trPr>
                <w:trHeight w:val="289"/>
              </w:trPr>
              <w:tc>
                <w:tcPr>
                  <w:tcW w:w="2850" w:type="dxa"/>
                  <w:tcBorders>
                    <w:top w:val="nil"/>
                    <w:left w:val="nil"/>
                    <w:bottom w:val="nil"/>
                    <w:right w:val="nil"/>
                  </w:tcBorders>
                  <w:shd w:val="clear" w:color="auto" w:fill="auto"/>
                  <w:vAlign w:val="center"/>
                  <w:hideMark/>
                </w:tcPr>
                <w:p w14:paraId="3FD21F3E" w14:textId="77777777" w:rsidR="00697268" w:rsidRPr="00E91536" w:rsidRDefault="00697268" w:rsidP="00AB0350">
                  <w:pPr>
                    <w:spacing w:after="0" w:line="240" w:lineRule="auto"/>
                    <w:rPr>
                      <w:rFonts w:eastAsia="Times New Roman" w:cs="Times New Roman"/>
                      <w:color w:val="000000"/>
                      <w:sz w:val="18"/>
                      <w:szCs w:val="18"/>
                      <w:lang w:eastAsia="sk-SK"/>
                    </w:rPr>
                  </w:pPr>
                  <w:r w:rsidRPr="00E91536">
                    <w:rPr>
                      <w:rFonts w:eastAsia="Times New Roman" w:cs="Times New Roman"/>
                      <w:color w:val="000000"/>
                      <w:sz w:val="18"/>
                      <w:szCs w:val="18"/>
                      <w:lang w:eastAsia="sk-SK"/>
                    </w:rPr>
                    <w:t>Transfery do tuzemských finančných inštitúcií</w:t>
                  </w:r>
                </w:p>
              </w:tc>
              <w:tc>
                <w:tcPr>
                  <w:tcW w:w="1044" w:type="dxa"/>
                  <w:tcBorders>
                    <w:top w:val="nil"/>
                    <w:left w:val="nil"/>
                    <w:bottom w:val="nil"/>
                    <w:right w:val="nil"/>
                  </w:tcBorders>
                  <w:shd w:val="clear" w:color="auto" w:fill="auto"/>
                  <w:vAlign w:val="center"/>
                  <w:hideMark/>
                </w:tcPr>
                <w:p w14:paraId="7B055C6B"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1 629</w:t>
                  </w:r>
                </w:p>
              </w:tc>
              <w:tc>
                <w:tcPr>
                  <w:tcW w:w="1044" w:type="dxa"/>
                  <w:tcBorders>
                    <w:top w:val="nil"/>
                    <w:left w:val="nil"/>
                    <w:bottom w:val="nil"/>
                    <w:right w:val="nil"/>
                  </w:tcBorders>
                  <w:shd w:val="clear" w:color="auto" w:fill="auto"/>
                  <w:vAlign w:val="center"/>
                  <w:hideMark/>
                </w:tcPr>
                <w:p w14:paraId="17B77F57"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3 434</w:t>
                  </w:r>
                </w:p>
              </w:tc>
              <w:tc>
                <w:tcPr>
                  <w:tcW w:w="1066" w:type="dxa"/>
                  <w:tcBorders>
                    <w:top w:val="nil"/>
                    <w:left w:val="nil"/>
                    <w:bottom w:val="nil"/>
                    <w:right w:val="nil"/>
                  </w:tcBorders>
                  <w:shd w:val="clear" w:color="auto" w:fill="auto"/>
                  <w:vAlign w:val="center"/>
                  <w:hideMark/>
                </w:tcPr>
                <w:p w14:paraId="759CF9DB"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5 950</w:t>
                  </w:r>
                </w:p>
              </w:tc>
              <w:tc>
                <w:tcPr>
                  <w:tcW w:w="1088" w:type="dxa"/>
                  <w:tcBorders>
                    <w:top w:val="nil"/>
                    <w:left w:val="nil"/>
                    <w:bottom w:val="nil"/>
                    <w:right w:val="nil"/>
                  </w:tcBorders>
                  <w:shd w:val="clear" w:color="000000" w:fill="FFFFFF"/>
                  <w:vAlign w:val="center"/>
                  <w:hideMark/>
                </w:tcPr>
                <w:p w14:paraId="222A2AD1"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16 47</w:t>
                  </w:r>
                  <w:r>
                    <w:rPr>
                      <w:rFonts w:eastAsia="Times New Roman" w:cs="Times New Roman"/>
                      <w:color w:val="000000"/>
                      <w:sz w:val="18"/>
                      <w:szCs w:val="18"/>
                      <w:lang w:eastAsia="sk-SK"/>
                    </w:rPr>
                    <w:t>4</w:t>
                  </w:r>
                </w:p>
              </w:tc>
              <w:tc>
                <w:tcPr>
                  <w:tcW w:w="1109" w:type="dxa"/>
                  <w:tcBorders>
                    <w:top w:val="nil"/>
                    <w:left w:val="nil"/>
                    <w:bottom w:val="nil"/>
                    <w:right w:val="nil"/>
                  </w:tcBorders>
                  <w:shd w:val="clear" w:color="auto" w:fill="auto"/>
                  <w:vAlign w:val="center"/>
                  <w:hideMark/>
                </w:tcPr>
                <w:p w14:paraId="46B948E6"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10 525</w:t>
                  </w:r>
                </w:p>
              </w:tc>
              <w:tc>
                <w:tcPr>
                  <w:tcW w:w="848" w:type="dxa"/>
                  <w:tcBorders>
                    <w:top w:val="nil"/>
                    <w:left w:val="nil"/>
                    <w:bottom w:val="nil"/>
                    <w:right w:val="nil"/>
                  </w:tcBorders>
                  <w:shd w:val="clear" w:color="auto" w:fill="auto"/>
                  <w:vAlign w:val="center"/>
                  <w:hideMark/>
                </w:tcPr>
                <w:p w14:paraId="4D2E8981" w14:textId="77777777" w:rsidR="00697268" w:rsidRPr="00E91536" w:rsidRDefault="00697268" w:rsidP="00AB0350">
                  <w:pPr>
                    <w:spacing w:after="0" w:line="240" w:lineRule="auto"/>
                    <w:jc w:val="right"/>
                    <w:rPr>
                      <w:rFonts w:eastAsia="Times New Roman" w:cs="Times New Roman"/>
                      <w:color w:val="000000"/>
                      <w:sz w:val="18"/>
                      <w:szCs w:val="18"/>
                      <w:lang w:eastAsia="sk-SK"/>
                    </w:rPr>
                  </w:pPr>
                  <w:r w:rsidRPr="00E91536">
                    <w:rPr>
                      <w:rFonts w:eastAsia="Times New Roman" w:cs="Times New Roman"/>
                      <w:color w:val="000000"/>
                      <w:sz w:val="18"/>
                      <w:szCs w:val="18"/>
                      <w:lang w:eastAsia="sk-SK"/>
                    </w:rPr>
                    <w:t>176,9</w:t>
                  </w:r>
                </w:p>
              </w:tc>
            </w:tr>
            <w:tr w:rsidR="00697268" w:rsidRPr="00C40C96" w14:paraId="53934D5B" w14:textId="77777777" w:rsidTr="00AC2B5B">
              <w:trPr>
                <w:trHeight w:val="289"/>
              </w:trPr>
              <w:tc>
                <w:tcPr>
                  <w:tcW w:w="2850" w:type="dxa"/>
                  <w:tcBorders>
                    <w:top w:val="single" w:sz="4" w:space="0" w:color="auto"/>
                    <w:left w:val="nil"/>
                    <w:bottom w:val="single" w:sz="4" w:space="0" w:color="auto"/>
                    <w:right w:val="nil"/>
                  </w:tcBorders>
                  <w:shd w:val="clear" w:color="auto" w:fill="auto"/>
                  <w:vAlign w:val="center"/>
                  <w:hideMark/>
                </w:tcPr>
                <w:p w14:paraId="676F5CAA" w14:textId="77777777" w:rsidR="00697268" w:rsidRPr="00E91536" w:rsidRDefault="00697268" w:rsidP="00AB0350">
                  <w:pPr>
                    <w:spacing w:after="0" w:line="240" w:lineRule="auto"/>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Spolu</w:t>
                  </w:r>
                </w:p>
              </w:tc>
              <w:tc>
                <w:tcPr>
                  <w:tcW w:w="1044" w:type="dxa"/>
                  <w:tcBorders>
                    <w:top w:val="single" w:sz="4" w:space="0" w:color="auto"/>
                    <w:left w:val="nil"/>
                    <w:bottom w:val="single" w:sz="4" w:space="0" w:color="auto"/>
                    <w:right w:val="nil"/>
                  </w:tcBorders>
                  <w:shd w:val="clear" w:color="auto" w:fill="auto"/>
                  <w:noWrap/>
                  <w:vAlign w:val="center"/>
                  <w:hideMark/>
                </w:tcPr>
                <w:p w14:paraId="3642DE2B" w14:textId="77777777" w:rsidR="00697268" w:rsidRPr="00E91536" w:rsidRDefault="00697268" w:rsidP="00AB0350">
                  <w:pPr>
                    <w:spacing w:after="0" w:line="240" w:lineRule="auto"/>
                    <w:jc w:val="right"/>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15 076 858</w:t>
                  </w:r>
                </w:p>
              </w:tc>
              <w:tc>
                <w:tcPr>
                  <w:tcW w:w="1044" w:type="dxa"/>
                  <w:tcBorders>
                    <w:top w:val="single" w:sz="4" w:space="0" w:color="auto"/>
                    <w:left w:val="nil"/>
                    <w:bottom w:val="single" w:sz="4" w:space="0" w:color="auto"/>
                    <w:right w:val="nil"/>
                  </w:tcBorders>
                  <w:shd w:val="clear" w:color="auto" w:fill="auto"/>
                  <w:noWrap/>
                  <w:vAlign w:val="center"/>
                  <w:hideMark/>
                </w:tcPr>
                <w:p w14:paraId="3E51ED7D" w14:textId="77777777" w:rsidR="00697268" w:rsidRPr="00E91536" w:rsidRDefault="00697268" w:rsidP="00AB0350">
                  <w:pPr>
                    <w:spacing w:after="0" w:line="240" w:lineRule="auto"/>
                    <w:jc w:val="right"/>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15 835 023</w:t>
                  </w:r>
                </w:p>
              </w:tc>
              <w:tc>
                <w:tcPr>
                  <w:tcW w:w="1066" w:type="dxa"/>
                  <w:tcBorders>
                    <w:top w:val="single" w:sz="4" w:space="0" w:color="auto"/>
                    <w:left w:val="nil"/>
                    <w:bottom w:val="single" w:sz="4" w:space="0" w:color="auto"/>
                    <w:right w:val="nil"/>
                  </w:tcBorders>
                  <w:shd w:val="clear" w:color="auto" w:fill="auto"/>
                  <w:noWrap/>
                  <w:vAlign w:val="center"/>
                  <w:hideMark/>
                </w:tcPr>
                <w:p w14:paraId="6810B464" w14:textId="77777777" w:rsidR="00697268" w:rsidRPr="00E91536" w:rsidRDefault="00697268" w:rsidP="00AB0350">
                  <w:pPr>
                    <w:spacing w:after="0" w:line="240" w:lineRule="auto"/>
                    <w:jc w:val="right"/>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13 367 608</w:t>
                  </w:r>
                </w:p>
              </w:tc>
              <w:tc>
                <w:tcPr>
                  <w:tcW w:w="1088" w:type="dxa"/>
                  <w:tcBorders>
                    <w:top w:val="single" w:sz="4" w:space="0" w:color="auto"/>
                    <w:left w:val="nil"/>
                    <w:bottom w:val="single" w:sz="4" w:space="0" w:color="auto"/>
                    <w:right w:val="nil"/>
                  </w:tcBorders>
                  <w:shd w:val="clear" w:color="auto" w:fill="auto"/>
                  <w:noWrap/>
                  <w:vAlign w:val="center"/>
                  <w:hideMark/>
                </w:tcPr>
                <w:p w14:paraId="63E55451" w14:textId="77777777" w:rsidR="00697268" w:rsidRPr="00E91536" w:rsidRDefault="00697268" w:rsidP="00AB0350">
                  <w:pPr>
                    <w:spacing w:after="0" w:line="240" w:lineRule="auto"/>
                    <w:jc w:val="right"/>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14 822 78</w:t>
                  </w:r>
                  <w:r>
                    <w:rPr>
                      <w:rFonts w:eastAsia="Times New Roman" w:cs="Times New Roman"/>
                      <w:b/>
                      <w:bCs/>
                      <w:color w:val="000000"/>
                      <w:sz w:val="18"/>
                      <w:szCs w:val="18"/>
                      <w:lang w:eastAsia="sk-SK"/>
                    </w:rPr>
                    <w:t>7</w:t>
                  </w:r>
                </w:p>
              </w:tc>
              <w:tc>
                <w:tcPr>
                  <w:tcW w:w="1109" w:type="dxa"/>
                  <w:tcBorders>
                    <w:top w:val="single" w:sz="4" w:space="0" w:color="auto"/>
                    <w:left w:val="nil"/>
                    <w:bottom w:val="single" w:sz="4" w:space="0" w:color="auto"/>
                    <w:right w:val="nil"/>
                  </w:tcBorders>
                  <w:shd w:val="clear" w:color="auto" w:fill="auto"/>
                  <w:vAlign w:val="center"/>
                  <w:hideMark/>
                </w:tcPr>
                <w:p w14:paraId="6FE08828" w14:textId="77777777" w:rsidR="00697268" w:rsidRPr="00E91536" w:rsidRDefault="00697268" w:rsidP="00AB0350">
                  <w:pPr>
                    <w:spacing w:after="0" w:line="240" w:lineRule="auto"/>
                    <w:jc w:val="right"/>
                    <w:rPr>
                      <w:rFonts w:eastAsia="Times New Roman" w:cs="Times New Roman"/>
                      <w:b/>
                      <w:bCs/>
                      <w:color w:val="000000"/>
                      <w:sz w:val="18"/>
                      <w:szCs w:val="18"/>
                      <w:lang w:eastAsia="sk-SK"/>
                    </w:rPr>
                  </w:pPr>
                  <w:r w:rsidRPr="00E91536">
                    <w:rPr>
                      <w:rFonts w:eastAsia="Times New Roman" w:cs="Times New Roman"/>
                      <w:b/>
                      <w:bCs/>
                      <w:color w:val="000000"/>
                      <w:sz w:val="18"/>
                      <w:szCs w:val="18"/>
                      <w:lang w:eastAsia="sk-SK"/>
                    </w:rPr>
                    <w:t>1 455 180</w:t>
                  </w:r>
                </w:p>
              </w:tc>
              <w:tc>
                <w:tcPr>
                  <w:tcW w:w="848" w:type="dxa"/>
                  <w:tcBorders>
                    <w:top w:val="single" w:sz="4" w:space="0" w:color="auto"/>
                    <w:left w:val="nil"/>
                    <w:bottom w:val="single" w:sz="4" w:space="0" w:color="auto"/>
                    <w:right w:val="nil"/>
                  </w:tcBorders>
                  <w:shd w:val="clear" w:color="auto" w:fill="auto"/>
                  <w:vAlign w:val="center"/>
                  <w:hideMark/>
                </w:tcPr>
                <w:p w14:paraId="13D4537B" w14:textId="77777777" w:rsidR="00697268" w:rsidRPr="00C40C96" w:rsidRDefault="00697268" w:rsidP="00AB0350">
                  <w:pPr>
                    <w:spacing w:after="0" w:line="240" w:lineRule="auto"/>
                    <w:jc w:val="right"/>
                    <w:rPr>
                      <w:rFonts w:eastAsia="Times New Roman" w:cs="Times New Roman"/>
                      <w:b/>
                      <w:color w:val="000000"/>
                      <w:sz w:val="18"/>
                      <w:szCs w:val="18"/>
                      <w:lang w:eastAsia="sk-SK"/>
                    </w:rPr>
                  </w:pPr>
                  <w:r w:rsidRPr="00C40C96">
                    <w:rPr>
                      <w:rFonts w:eastAsia="Times New Roman" w:cs="Times New Roman"/>
                      <w:b/>
                      <w:color w:val="000000"/>
                      <w:sz w:val="18"/>
                      <w:szCs w:val="18"/>
                      <w:lang w:eastAsia="sk-SK"/>
                    </w:rPr>
                    <w:t>10,9</w:t>
                  </w:r>
                </w:p>
              </w:tc>
            </w:tr>
          </w:tbl>
          <w:p w14:paraId="550B7453" w14:textId="7F4396F0" w:rsidR="00697268" w:rsidRPr="00BB540F" w:rsidRDefault="00697268" w:rsidP="00A640D5">
            <w:pPr>
              <w:pStyle w:val="Bezriadkovania"/>
              <w:jc w:val="right"/>
              <w:rPr>
                <w:b/>
                <w:sz w:val="20"/>
                <w:szCs w:val="20"/>
              </w:rPr>
            </w:pPr>
            <w:r w:rsidRPr="00BB540F">
              <w:rPr>
                <w:sz w:val="18"/>
                <w:szCs w:val="18"/>
                <w:lang w:eastAsia="sk-SK"/>
              </w:rPr>
              <w:t>Zdroj: MF SR</w:t>
            </w:r>
          </w:p>
          <w:p w14:paraId="337A6CF2" w14:textId="77777777" w:rsidR="00697268" w:rsidRDefault="00697268" w:rsidP="00AB0350">
            <w:pPr>
              <w:pStyle w:val="Bezriadkovania"/>
              <w:rPr>
                <w:sz w:val="18"/>
                <w:szCs w:val="18"/>
                <w:lang w:eastAsia="sk-SK"/>
              </w:rPr>
            </w:pPr>
            <w:r w:rsidRPr="00BB540F">
              <w:rPr>
                <w:sz w:val="18"/>
                <w:szCs w:val="18"/>
                <w:lang w:eastAsia="sk-SK"/>
              </w:rPr>
              <w:t xml:space="preserve"> </w:t>
            </w:r>
          </w:p>
          <w:p w14:paraId="7AB23CC1" w14:textId="77777777" w:rsidR="00697268" w:rsidRPr="00095E39" w:rsidRDefault="00697268" w:rsidP="009C238D">
            <w:pPr>
              <w:pStyle w:val="Bezriadkovania"/>
              <w:spacing w:after="120"/>
              <w:rPr>
                <w:sz w:val="18"/>
                <w:szCs w:val="18"/>
                <w:lang w:eastAsia="sk-SK"/>
              </w:rPr>
            </w:pPr>
            <w:r w:rsidRPr="00095E39">
              <w:rPr>
                <w:sz w:val="24"/>
                <w:szCs w:val="24"/>
                <w:lang w:eastAsia="sk-SK"/>
              </w:rPr>
              <w:t xml:space="preserve">Najvyššiu hodnotu bežných transferov dosiahli </w:t>
            </w:r>
            <w:r w:rsidRPr="00D62875">
              <w:rPr>
                <w:b/>
                <w:sz w:val="24"/>
                <w:szCs w:val="24"/>
                <w:lang w:eastAsia="sk-SK"/>
              </w:rPr>
              <w:t>transfery v rámci verejnej správy</w:t>
            </w:r>
            <w:r w:rsidRPr="00095E39">
              <w:rPr>
                <w:sz w:val="24"/>
                <w:szCs w:val="24"/>
                <w:lang w:eastAsia="sk-SK"/>
              </w:rPr>
              <w:t>, ktoré boli rozpočtované v sume 5 305 822 tis. eur a ich skutočné čerpanie vo výške 6 942 096 tis. eur.</w:t>
            </w:r>
            <w:r w:rsidRPr="00095E39">
              <w:rPr>
                <w:sz w:val="24"/>
                <w:szCs w:val="24"/>
                <w:highlight w:val="yellow"/>
                <w:lang w:eastAsia="sk-SK"/>
              </w:rPr>
              <w:t xml:space="preserve"> </w:t>
            </w:r>
            <w:r w:rsidRPr="00095E39">
              <w:rPr>
                <w:sz w:val="18"/>
                <w:szCs w:val="18"/>
                <w:lang w:eastAsia="sk-SK"/>
              </w:rPr>
              <w:t xml:space="preserve">   </w:t>
            </w:r>
            <w:r>
              <w:rPr>
                <w:sz w:val="24"/>
                <w:szCs w:val="24"/>
              </w:rPr>
              <w:t>P</w:t>
            </w:r>
            <w:r w:rsidRPr="00EB3298">
              <w:rPr>
                <w:sz w:val="24"/>
                <w:szCs w:val="24"/>
              </w:rPr>
              <w:t>redstavujú platby subjektom, ktoré sú v registri organizácií vedenom Štatistickým úradom SR klasifikované pod jedným zo subsektorov ústredná správa (S.1311), územná samospráva (S.1313) alebo fondy sociálneho a zdravotného zabezpečenia (S.1314).</w:t>
            </w:r>
          </w:p>
          <w:p w14:paraId="1B8065C6" w14:textId="35607B28" w:rsidR="00697268" w:rsidRPr="0006119C" w:rsidRDefault="00697268" w:rsidP="003234A0">
            <w:pPr>
              <w:pStyle w:val="Graf"/>
            </w:pPr>
            <w:r w:rsidRPr="0006119C">
              <w:t xml:space="preserve">Tabuľka </w:t>
            </w:r>
            <w:r w:rsidR="00D50C99">
              <w:t>3</w:t>
            </w:r>
            <w:r w:rsidR="008B3212">
              <w:t>6</w:t>
            </w:r>
            <w:r w:rsidRPr="0006119C">
              <w:t xml:space="preserve"> – Transfery v rámci verejnej správy</w:t>
            </w:r>
          </w:p>
          <w:tbl>
            <w:tblPr>
              <w:tblW w:w="9217" w:type="dxa"/>
              <w:tblCellMar>
                <w:left w:w="70" w:type="dxa"/>
                <w:right w:w="70" w:type="dxa"/>
              </w:tblCellMar>
              <w:tblLook w:val="04A0" w:firstRow="1" w:lastRow="0" w:firstColumn="1" w:lastColumn="0" w:noHBand="0" w:noVBand="1"/>
            </w:tblPr>
            <w:tblGrid>
              <w:gridCol w:w="3053"/>
              <w:gridCol w:w="1187"/>
              <w:gridCol w:w="1025"/>
              <w:gridCol w:w="1004"/>
              <w:gridCol w:w="1004"/>
              <w:gridCol w:w="972"/>
              <w:gridCol w:w="972"/>
            </w:tblGrid>
            <w:tr w:rsidR="00AA652C" w:rsidRPr="00F77FBE" w14:paraId="5D526D2A" w14:textId="0913200E" w:rsidTr="00AC2B5B">
              <w:trPr>
                <w:trHeight w:val="289"/>
              </w:trPr>
              <w:tc>
                <w:tcPr>
                  <w:tcW w:w="3053" w:type="dxa"/>
                  <w:vMerge w:val="restart"/>
                  <w:tcBorders>
                    <w:top w:val="single" w:sz="4" w:space="0" w:color="auto"/>
                    <w:left w:val="nil"/>
                    <w:right w:val="nil"/>
                  </w:tcBorders>
                  <w:shd w:val="clear" w:color="000000" w:fill="FFFFFF"/>
                  <w:vAlign w:val="center"/>
                  <w:hideMark/>
                </w:tcPr>
                <w:p w14:paraId="27CD125B" w14:textId="0CDAFB0C" w:rsidR="00AA652C" w:rsidRPr="00F77FBE" w:rsidRDefault="00AA652C" w:rsidP="00AC2B5B">
                  <w:pPr>
                    <w:spacing w:after="0" w:line="240" w:lineRule="auto"/>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v tis. eur </w:t>
                  </w:r>
                </w:p>
              </w:tc>
              <w:tc>
                <w:tcPr>
                  <w:tcW w:w="1187" w:type="dxa"/>
                  <w:tcBorders>
                    <w:top w:val="single" w:sz="4" w:space="0" w:color="auto"/>
                    <w:left w:val="nil"/>
                    <w:bottom w:val="nil"/>
                    <w:right w:val="nil"/>
                  </w:tcBorders>
                  <w:shd w:val="clear" w:color="000000" w:fill="FFFFFF"/>
                  <w:noWrap/>
                  <w:vAlign w:val="center"/>
                  <w:hideMark/>
                </w:tcPr>
                <w:p w14:paraId="0145F418" w14:textId="77777777"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2020 S</w:t>
                  </w:r>
                </w:p>
              </w:tc>
              <w:tc>
                <w:tcPr>
                  <w:tcW w:w="1025" w:type="dxa"/>
                  <w:tcBorders>
                    <w:top w:val="single" w:sz="4" w:space="0" w:color="auto"/>
                    <w:left w:val="nil"/>
                    <w:bottom w:val="nil"/>
                    <w:right w:val="nil"/>
                  </w:tcBorders>
                  <w:shd w:val="clear" w:color="000000" w:fill="FFFFFF"/>
                  <w:noWrap/>
                  <w:vAlign w:val="center"/>
                  <w:hideMark/>
                </w:tcPr>
                <w:p w14:paraId="73B1F7AF" w14:textId="77777777"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2021 S</w:t>
                  </w:r>
                </w:p>
              </w:tc>
              <w:tc>
                <w:tcPr>
                  <w:tcW w:w="1004" w:type="dxa"/>
                  <w:tcBorders>
                    <w:top w:val="single" w:sz="4" w:space="0" w:color="auto"/>
                    <w:left w:val="nil"/>
                    <w:bottom w:val="nil"/>
                    <w:right w:val="nil"/>
                  </w:tcBorders>
                  <w:shd w:val="clear" w:color="000000" w:fill="FFFFFF"/>
                  <w:noWrap/>
                  <w:vAlign w:val="center"/>
                  <w:hideMark/>
                </w:tcPr>
                <w:p w14:paraId="0D77F2E8" w14:textId="77777777"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2022 R</w:t>
                  </w:r>
                </w:p>
              </w:tc>
              <w:tc>
                <w:tcPr>
                  <w:tcW w:w="1004" w:type="dxa"/>
                  <w:tcBorders>
                    <w:top w:val="single" w:sz="4" w:space="0" w:color="auto"/>
                    <w:left w:val="nil"/>
                    <w:bottom w:val="nil"/>
                    <w:right w:val="nil"/>
                  </w:tcBorders>
                  <w:shd w:val="clear" w:color="000000" w:fill="FFFFFF"/>
                  <w:noWrap/>
                  <w:vAlign w:val="center"/>
                  <w:hideMark/>
                </w:tcPr>
                <w:p w14:paraId="4DAE76BD" w14:textId="77777777"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2022 S</w:t>
                  </w:r>
                </w:p>
              </w:tc>
              <w:tc>
                <w:tcPr>
                  <w:tcW w:w="972" w:type="dxa"/>
                  <w:tcBorders>
                    <w:top w:val="single" w:sz="4" w:space="0" w:color="auto"/>
                    <w:left w:val="nil"/>
                    <w:bottom w:val="nil"/>
                    <w:right w:val="nil"/>
                  </w:tcBorders>
                  <w:shd w:val="clear" w:color="000000" w:fill="FFFFFF"/>
                  <w:vAlign w:val="center"/>
                </w:tcPr>
                <w:p w14:paraId="5A19FBF4" w14:textId="3EBC0B3B"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Rozdiel</w:t>
                  </w:r>
                </w:p>
              </w:tc>
              <w:tc>
                <w:tcPr>
                  <w:tcW w:w="972" w:type="dxa"/>
                  <w:tcBorders>
                    <w:top w:val="single" w:sz="4" w:space="0" w:color="auto"/>
                    <w:left w:val="nil"/>
                    <w:bottom w:val="nil"/>
                    <w:right w:val="nil"/>
                  </w:tcBorders>
                  <w:shd w:val="clear" w:color="000000" w:fill="FFFFFF"/>
                  <w:vAlign w:val="center"/>
                </w:tcPr>
                <w:p w14:paraId="3DC1704F" w14:textId="4F07A0C3"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v %</w:t>
                  </w:r>
                </w:p>
              </w:tc>
            </w:tr>
            <w:tr w:rsidR="00AA652C" w:rsidRPr="00F77FBE" w14:paraId="1C0F2B3A" w14:textId="40FE5B85" w:rsidTr="00AC2B5B">
              <w:trPr>
                <w:trHeight w:val="289"/>
              </w:trPr>
              <w:tc>
                <w:tcPr>
                  <w:tcW w:w="3053" w:type="dxa"/>
                  <w:vMerge/>
                  <w:tcBorders>
                    <w:left w:val="nil"/>
                    <w:bottom w:val="single" w:sz="4" w:space="0" w:color="auto"/>
                    <w:right w:val="nil"/>
                  </w:tcBorders>
                  <w:shd w:val="clear" w:color="000000" w:fill="FFFFFF"/>
                  <w:vAlign w:val="center"/>
                  <w:hideMark/>
                </w:tcPr>
                <w:p w14:paraId="3E32BB66" w14:textId="34813C8E" w:rsidR="00AA652C" w:rsidRPr="00F77FBE" w:rsidRDefault="00AA652C" w:rsidP="00AA652C">
                  <w:pPr>
                    <w:spacing w:after="0" w:line="240" w:lineRule="auto"/>
                    <w:jc w:val="center"/>
                    <w:rPr>
                      <w:rFonts w:eastAsia="Times New Roman" w:cs="Times New Roman"/>
                      <w:b/>
                      <w:bCs/>
                      <w:color w:val="000000"/>
                      <w:sz w:val="20"/>
                      <w:szCs w:val="20"/>
                      <w:lang w:eastAsia="sk-SK"/>
                    </w:rPr>
                  </w:pPr>
                </w:p>
              </w:tc>
              <w:tc>
                <w:tcPr>
                  <w:tcW w:w="1187" w:type="dxa"/>
                  <w:tcBorders>
                    <w:top w:val="nil"/>
                    <w:left w:val="nil"/>
                    <w:bottom w:val="single" w:sz="4" w:space="0" w:color="auto"/>
                    <w:right w:val="nil"/>
                  </w:tcBorders>
                  <w:shd w:val="clear" w:color="000000" w:fill="FFFFFF"/>
                  <w:noWrap/>
                  <w:vAlign w:val="center"/>
                  <w:hideMark/>
                </w:tcPr>
                <w:p w14:paraId="3B4C1B69" w14:textId="77777777"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2</w:t>
                  </w:r>
                </w:p>
              </w:tc>
              <w:tc>
                <w:tcPr>
                  <w:tcW w:w="1025" w:type="dxa"/>
                  <w:tcBorders>
                    <w:top w:val="nil"/>
                    <w:left w:val="nil"/>
                    <w:bottom w:val="single" w:sz="4" w:space="0" w:color="auto"/>
                    <w:right w:val="nil"/>
                  </w:tcBorders>
                  <w:shd w:val="clear" w:color="000000" w:fill="FFFFFF"/>
                  <w:noWrap/>
                  <w:vAlign w:val="center"/>
                  <w:hideMark/>
                </w:tcPr>
                <w:p w14:paraId="71C45F70" w14:textId="77777777"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4</w:t>
                  </w:r>
                </w:p>
              </w:tc>
              <w:tc>
                <w:tcPr>
                  <w:tcW w:w="1004" w:type="dxa"/>
                  <w:tcBorders>
                    <w:top w:val="nil"/>
                    <w:left w:val="nil"/>
                    <w:bottom w:val="single" w:sz="4" w:space="0" w:color="auto"/>
                    <w:right w:val="nil"/>
                  </w:tcBorders>
                  <w:shd w:val="clear" w:color="000000" w:fill="FFFFFF"/>
                  <w:noWrap/>
                  <w:vAlign w:val="center"/>
                  <w:hideMark/>
                </w:tcPr>
                <w:p w14:paraId="158E32CB" w14:textId="77777777"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3</w:t>
                  </w:r>
                </w:p>
              </w:tc>
              <w:tc>
                <w:tcPr>
                  <w:tcW w:w="1004" w:type="dxa"/>
                  <w:tcBorders>
                    <w:top w:val="nil"/>
                    <w:left w:val="nil"/>
                    <w:bottom w:val="single" w:sz="4" w:space="0" w:color="auto"/>
                    <w:right w:val="nil"/>
                  </w:tcBorders>
                  <w:shd w:val="clear" w:color="000000" w:fill="FFFFFF"/>
                  <w:noWrap/>
                  <w:vAlign w:val="center"/>
                  <w:hideMark/>
                </w:tcPr>
                <w:p w14:paraId="0B3F46D4" w14:textId="77777777"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4</w:t>
                  </w:r>
                </w:p>
              </w:tc>
              <w:tc>
                <w:tcPr>
                  <w:tcW w:w="972" w:type="dxa"/>
                  <w:tcBorders>
                    <w:top w:val="nil"/>
                    <w:left w:val="nil"/>
                    <w:bottom w:val="single" w:sz="4" w:space="0" w:color="auto"/>
                    <w:right w:val="nil"/>
                  </w:tcBorders>
                  <w:shd w:val="clear" w:color="000000" w:fill="FFFFFF"/>
                  <w:vAlign w:val="center"/>
                </w:tcPr>
                <w:p w14:paraId="06F64DA8" w14:textId="72AF39DF"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5=4-3</w:t>
                  </w:r>
                </w:p>
              </w:tc>
              <w:tc>
                <w:tcPr>
                  <w:tcW w:w="972" w:type="dxa"/>
                  <w:tcBorders>
                    <w:top w:val="nil"/>
                    <w:left w:val="nil"/>
                    <w:bottom w:val="single" w:sz="4" w:space="0" w:color="auto"/>
                    <w:right w:val="nil"/>
                  </w:tcBorders>
                  <w:shd w:val="clear" w:color="000000" w:fill="FFFFFF"/>
                  <w:vAlign w:val="center"/>
                </w:tcPr>
                <w:p w14:paraId="7909C877" w14:textId="474C0278" w:rsidR="00AA652C" w:rsidRPr="00F77FBE" w:rsidRDefault="00AA652C" w:rsidP="00AA652C">
                  <w:pPr>
                    <w:spacing w:after="0" w:line="240" w:lineRule="auto"/>
                    <w:jc w:val="center"/>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6=4-3</w:t>
                  </w:r>
                </w:p>
              </w:tc>
            </w:tr>
            <w:tr w:rsidR="00AA652C" w:rsidRPr="00F77FBE" w14:paraId="680CC0F4" w14:textId="075C848E" w:rsidTr="00AC2B5B">
              <w:trPr>
                <w:trHeight w:val="289"/>
              </w:trPr>
              <w:tc>
                <w:tcPr>
                  <w:tcW w:w="3053" w:type="dxa"/>
                  <w:tcBorders>
                    <w:top w:val="nil"/>
                    <w:left w:val="nil"/>
                    <w:bottom w:val="nil"/>
                    <w:right w:val="nil"/>
                  </w:tcBorders>
                  <w:shd w:val="clear" w:color="auto" w:fill="auto"/>
                  <w:vAlign w:val="center"/>
                  <w:hideMark/>
                </w:tcPr>
                <w:p w14:paraId="0CFA196E" w14:textId="77777777" w:rsidR="00AA652C" w:rsidRPr="00F77FBE" w:rsidRDefault="00AA652C" w:rsidP="00AA652C">
                  <w:pPr>
                    <w:spacing w:after="0" w:line="240" w:lineRule="auto"/>
                    <w:rPr>
                      <w:rFonts w:eastAsia="Times New Roman" w:cs="Times New Roman"/>
                      <w:color w:val="000000"/>
                      <w:sz w:val="20"/>
                      <w:szCs w:val="20"/>
                      <w:lang w:eastAsia="sk-SK"/>
                    </w:rPr>
                  </w:pPr>
                  <w:r w:rsidRPr="00F77FBE">
                    <w:rPr>
                      <w:rFonts w:eastAsia="Times New Roman" w:cs="Times New Roman"/>
                      <w:color w:val="000000"/>
                      <w:sz w:val="20"/>
                      <w:szCs w:val="20"/>
                      <w:lang w:eastAsia="sk-SK"/>
                    </w:rPr>
                    <w:t>Rozpočtovej organizácii</w:t>
                  </w:r>
                </w:p>
              </w:tc>
              <w:tc>
                <w:tcPr>
                  <w:tcW w:w="1187" w:type="dxa"/>
                  <w:tcBorders>
                    <w:top w:val="nil"/>
                    <w:left w:val="nil"/>
                    <w:bottom w:val="nil"/>
                    <w:right w:val="nil"/>
                  </w:tcBorders>
                  <w:shd w:val="clear" w:color="auto" w:fill="auto"/>
                  <w:vAlign w:val="center"/>
                  <w:hideMark/>
                </w:tcPr>
                <w:p w14:paraId="71AE3DC4"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2 401 445</w:t>
                  </w:r>
                </w:p>
              </w:tc>
              <w:tc>
                <w:tcPr>
                  <w:tcW w:w="1025" w:type="dxa"/>
                  <w:tcBorders>
                    <w:top w:val="nil"/>
                    <w:left w:val="nil"/>
                    <w:bottom w:val="nil"/>
                    <w:right w:val="nil"/>
                  </w:tcBorders>
                  <w:shd w:val="clear" w:color="auto" w:fill="auto"/>
                  <w:vAlign w:val="center"/>
                  <w:hideMark/>
                </w:tcPr>
                <w:p w14:paraId="448479DF"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906 440</w:t>
                  </w:r>
                </w:p>
              </w:tc>
              <w:tc>
                <w:tcPr>
                  <w:tcW w:w="1004" w:type="dxa"/>
                  <w:tcBorders>
                    <w:top w:val="nil"/>
                    <w:left w:val="nil"/>
                    <w:bottom w:val="nil"/>
                    <w:right w:val="nil"/>
                  </w:tcBorders>
                  <w:shd w:val="clear" w:color="auto" w:fill="auto"/>
                  <w:vAlign w:val="center"/>
                  <w:hideMark/>
                </w:tcPr>
                <w:p w14:paraId="2944289E"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1 377 902</w:t>
                  </w:r>
                </w:p>
              </w:tc>
              <w:tc>
                <w:tcPr>
                  <w:tcW w:w="1004" w:type="dxa"/>
                  <w:tcBorders>
                    <w:top w:val="nil"/>
                    <w:left w:val="nil"/>
                    <w:bottom w:val="nil"/>
                    <w:right w:val="nil"/>
                  </w:tcBorders>
                  <w:shd w:val="clear" w:color="000000" w:fill="FFFFFF"/>
                  <w:vAlign w:val="center"/>
                  <w:hideMark/>
                </w:tcPr>
                <w:p w14:paraId="36D70F9D"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2 043 238</w:t>
                  </w:r>
                </w:p>
              </w:tc>
              <w:tc>
                <w:tcPr>
                  <w:tcW w:w="972" w:type="dxa"/>
                  <w:tcBorders>
                    <w:top w:val="nil"/>
                    <w:left w:val="nil"/>
                    <w:bottom w:val="nil"/>
                    <w:right w:val="nil"/>
                  </w:tcBorders>
                  <w:shd w:val="clear" w:color="auto" w:fill="auto"/>
                  <w:vAlign w:val="center"/>
                </w:tcPr>
                <w:p w14:paraId="586C8140" w14:textId="4A078325"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665 336</w:t>
                  </w:r>
                </w:p>
              </w:tc>
              <w:tc>
                <w:tcPr>
                  <w:tcW w:w="972" w:type="dxa"/>
                  <w:tcBorders>
                    <w:top w:val="nil"/>
                    <w:left w:val="nil"/>
                    <w:bottom w:val="nil"/>
                    <w:right w:val="nil"/>
                  </w:tcBorders>
                  <w:shd w:val="clear" w:color="auto" w:fill="auto"/>
                  <w:vAlign w:val="center"/>
                </w:tcPr>
                <w:p w14:paraId="0355F0DD" w14:textId="1D3EFC35"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48,3</w:t>
                  </w:r>
                </w:p>
              </w:tc>
            </w:tr>
            <w:tr w:rsidR="00AA652C" w:rsidRPr="00F77FBE" w14:paraId="59356059" w14:textId="13060762" w:rsidTr="00AC2B5B">
              <w:trPr>
                <w:trHeight w:val="289"/>
              </w:trPr>
              <w:tc>
                <w:tcPr>
                  <w:tcW w:w="3053" w:type="dxa"/>
                  <w:tcBorders>
                    <w:top w:val="nil"/>
                    <w:left w:val="nil"/>
                    <w:bottom w:val="nil"/>
                    <w:right w:val="nil"/>
                  </w:tcBorders>
                  <w:shd w:val="clear" w:color="auto" w:fill="auto"/>
                  <w:vAlign w:val="center"/>
                  <w:hideMark/>
                </w:tcPr>
                <w:p w14:paraId="4C533F16" w14:textId="77777777" w:rsidR="00AA652C" w:rsidRPr="00F77FBE" w:rsidRDefault="00AA652C" w:rsidP="00AA652C">
                  <w:pPr>
                    <w:spacing w:after="0" w:line="240" w:lineRule="auto"/>
                    <w:rPr>
                      <w:rFonts w:eastAsia="Times New Roman" w:cs="Times New Roman"/>
                      <w:color w:val="000000"/>
                      <w:sz w:val="20"/>
                      <w:szCs w:val="20"/>
                      <w:lang w:eastAsia="sk-SK"/>
                    </w:rPr>
                  </w:pPr>
                  <w:r w:rsidRPr="00F77FBE">
                    <w:rPr>
                      <w:rFonts w:eastAsia="Times New Roman" w:cs="Times New Roman"/>
                      <w:color w:val="000000"/>
                      <w:sz w:val="20"/>
                      <w:szCs w:val="20"/>
                      <w:lang w:eastAsia="sk-SK"/>
                    </w:rPr>
                    <w:t>Obci na úhradu nákladov preneseného výkonu štátnej správy</w:t>
                  </w:r>
                </w:p>
              </w:tc>
              <w:tc>
                <w:tcPr>
                  <w:tcW w:w="1187" w:type="dxa"/>
                  <w:tcBorders>
                    <w:top w:val="nil"/>
                    <w:left w:val="nil"/>
                    <w:bottom w:val="nil"/>
                    <w:right w:val="nil"/>
                  </w:tcBorders>
                  <w:shd w:val="clear" w:color="auto" w:fill="auto"/>
                  <w:vAlign w:val="center"/>
                  <w:hideMark/>
                </w:tcPr>
                <w:p w14:paraId="30A7FECB"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1 143 357</w:t>
                  </w:r>
                </w:p>
              </w:tc>
              <w:tc>
                <w:tcPr>
                  <w:tcW w:w="1025" w:type="dxa"/>
                  <w:tcBorders>
                    <w:top w:val="nil"/>
                    <w:left w:val="nil"/>
                    <w:bottom w:val="nil"/>
                    <w:right w:val="nil"/>
                  </w:tcBorders>
                  <w:shd w:val="clear" w:color="auto" w:fill="auto"/>
                  <w:vAlign w:val="center"/>
                  <w:hideMark/>
                </w:tcPr>
                <w:p w14:paraId="37E67662"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1 203 418</w:t>
                  </w:r>
                </w:p>
              </w:tc>
              <w:tc>
                <w:tcPr>
                  <w:tcW w:w="1004" w:type="dxa"/>
                  <w:tcBorders>
                    <w:top w:val="nil"/>
                    <w:left w:val="nil"/>
                    <w:bottom w:val="nil"/>
                    <w:right w:val="nil"/>
                  </w:tcBorders>
                  <w:shd w:val="clear" w:color="auto" w:fill="auto"/>
                  <w:vAlign w:val="center"/>
                  <w:hideMark/>
                </w:tcPr>
                <w:p w14:paraId="1F584FC4"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1 137 586</w:t>
                  </w:r>
                </w:p>
              </w:tc>
              <w:tc>
                <w:tcPr>
                  <w:tcW w:w="1004" w:type="dxa"/>
                  <w:tcBorders>
                    <w:top w:val="nil"/>
                    <w:left w:val="nil"/>
                    <w:bottom w:val="nil"/>
                    <w:right w:val="nil"/>
                  </w:tcBorders>
                  <w:shd w:val="clear" w:color="000000" w:fill="FFFFFF"/>
                  <w:vAlign w:val="center"/>
                  <w:hideMark/>
                </w:tcPr>
                <w:p w14:paraId="19F8D498"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1 270 357</w:t>
                  </w:r>
                </w:p>
              </w:tc>
              <w:tc>
                <w:tcPr>
                  <w:tcW w:w="972" w:type="dxa"/>
                  <w:tcBorders>
                    <w:top w:val="nil"/>
                    <w:left w:val="nil"/>
                    <w:bottom w:val="nil"/>
                    <w:right w:val="nil"/>
                  </w:tcBorders>
                  <w:shd w:val="clear" w:color="auto" w:fill="auto"/>
                  <w:vAlign w:val="center"/>
                </w:tcPr>
                <w:p w14:paraId="11039C28" w14:textId="145E47F6"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132 771</w:t>
                  </w:r>
                </w:p>
              </w:tc>
              <w:tc>
                <w:tcPr>
                  <w:tcW w:w="972" w:type="dxa"/>
                  <w:tcBorders>
                    <w:top w:val="nil"/>
                    <w:left w:val="nil"/>
                    <w:bottom w:val="nil"/>
                    <w:right w:val="nil"/>
                  </w:tcBorders>
                  <w:shd w:val="clear" w:color="auto" w:fill="auto"/>
                  <w:vAlign w:val="center"/>
                </w:tcPr>
                <w:p w14:paraId="6955FDCF" w14:textId="7FFB5F83"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11,7</w:t>
                  </w:r>
                </w:p>
              </w:tc>
            </w:tr>
            <w:tr w:rsidR="00AA652C" w:rsidRPr="00F77FBE" w14:paraId="04756FBF" w14:textId="22F6EBC8" w:rsidTr="00AC2B5B">
              <w:trPr>
                <w:trHeight w:val="289"/>
              </w:trPr>
              <w:tc>
                <w:tcPr>
                  <w:tcW w:w="3053" w:type="dxa"/>
                  <w:tcBorders>
                    <w:top w:val="nil"/>
                    <w:left w:val="nil"/>
                    <w:bottom w:val="nil"/>
                    <w:right w:val="nil"/>
                  </w:tcBorders>
                  <w:shd w:val="clear" w:color="auto" w:fill="auto"/>
                  <w:vAlign w:val="center"/>
                  <w:hideMark/>
                </w:tcPr>
                <w:p w14:paraId="6FBE1E41" w14:textId="77777777" w:rsidR="00AA652C" w:rsidRPr="00F77FBE" w:rsidRDefault="00AA652C" w:rsidP="00AA652C">
                  <w:pPr>
                    <w:spacing w:after="0" w:line="240" w:lineRule="auto"/>
                    <w:rPr>
                      <w:rFonts w:eastAsia="Times New Roman" w:cs="Times New Roman"/>
                      <w:color w:val="000000"/>
                      <w:sz w:val="20"/>
                      <w:szCs w:val="20"/>
                      <w:lang w:eastAsia="sk-SK"/>
                    </w:rPr>
                  </w:pPr>
                  <w:r w:rsidRPr="00F77FBE">
                    <w:rPr>
                      <w:rFonts w:eastAsia="Times New Roman" w:cs="Times New Roman"/>
                      <w:color w:val="000000"/>
                      <w:sz w:val="20"/>
                      <w:szCs w:val="20"/>
                      <w:lang w:eastAsia="sk-SK"/>
                    </w:rPr>
                    <w:t>Príspevkovej organizácii</w:t>
                  </w:r>
                </w:p>
              </w:tc>
              <w:tc>
                <w:tcPr>
                  <w:tcW w:w="1187" w:type="dxa"/>
                  <w:tcBorders>
                    <w:top w:val="nil"/>
                    <w:left w:val="nil"/>
                    <w:bottom w:val="nil"/>
                    <w:right w:val="nil"/>
                  </w:tcBorders>
                  <w:shd w:val="clear" w:color="auto" w:fill="auto"/>
                  <w:vAlign w:val="center"/>
                  <w:hideMark/>
                </w:tcPr>
                <w:p w14:paraId="6B9BA157"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582 538</w:t>
                  </w:r>
                </w:p>
              </w:tc>
              <w:tc>
                <w:tcPr>
                  <w:tcW w:w="1025" w:type="dxa"/>
                  <w:tcBorders>
                    <w:top w:val="nil"/>
                    <w:left w:val="nil"/>
                    <w:bottom w:val="nil"/>
                    <w:right w:val="nil"/>
                  </w:tcBorders>
                  <w:shd w:val="clear" w:color="auto" w:fill="auto"/>
                  <w:vAlign w:val="center"/>
                  <w:hideMark/>
                </w:tcPr>
                <w:p w14:paraId="4C897F04"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774 977</w:t>
                  </w:r>
                </w:p>
              </w:tc>
              <w:tc>
                <w:tcPr>
                  <w:tcW w:w="1004" w:type="dxa"/>
                  <w:tcBorders>
                    <w:top w:val="nil"/>
                    <w:left w:val="nil"/>
                    <w:bottom w:val="nil"/>
                    <w:right w:val="nil"/>
                  </w:tcBorders>
                  <w:shd w:val="clear" w:color="auto" w:fill="auto"/>
                  <w:vAlign w:val="center"/>
                  <w:hideMark/>
                </w:tcPr>
                <w:p w14:paraId="51DA9265"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307 690</w:t>
                  </w:r>
                </w:p>
              </w:tc>
              <w:tc>
                <w:tcPr>
                  <w:tcW w:w="1004" w:type="dxa"/>
                  <w:tcBorders>
                    <w:top w:val="nil"/>
                    <w:left w:val="nil"/>
                    <w:bottom w:val="nil"/>
                    <w:right w:val="nil"/>
                  </w:tcBorders>
                  <w:shd w:val="clear" w:color="000000" w:fill="FFFFFF"/>
                  <w:vAlign w:val="center"/>
                  <w:hideMark/>
                </w:tcPr>
                <w:p w14:paraId="492F13A5"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854 439</w:t>
                  </w:r>
                </w:p>
              </w:tc>
              <w:tc>
                <w:tcPr>
                  <w:tcW w:w="972" w:type="dxa"/>
                  <w:tcBorders>
                    <w:top w:val="nil"/>
                    <w:left w:val="nil"/>
                    <w:bottom w:val="nil"/>
                    <w:right w:val="nil"/>
                  </w:tcBorders>
                  <w:shd w:val="clear" w:color="auto" w:fill="auto"/>
                  <w:vAlign w:val="center"/>
                </w:tcPr>
                <w:p w14:paraId="224518E4" w14:textId="698C18CD"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546 749</w:t>
                  </w:r>
                </w:p>
              </w:tc>
              <w:tc>
                <w:tcPr>
                  <w:tcW w:w="972" w:type="dxa"/>
                  <w:tcBorders>
                    <w:top w:val="nil"/>
                    <w:left w:val="nil"/>
                    <w:bottom w:val="nil"/>
                    <w:right w:val="nil"/>
                  </w:tcBorders>
                  <w:shd w:val="clear" w:color="auto" w:fill="auto"/>
                  <w:vAlign w:val="center"/>
                </w:tcPr>
                <w:p w14:paraId="75C01B9D" w14:textId="3EA0662F"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177,7</w:t>
                  </w:r>
                </w:p>
              </w:tc>
            </w:tr>
            <w:tr w:rsidR="00AA652C" w:rsidRPr="00F77FBE" w14:paraId="21706074" w14:textId="65F04C92" w:rsidTr="00AC2B5B">
              <w:trPr>
                <w:trHeight w:val="289"/>
              </w:trPr>
              <w:tc>
                <w:tcPr>
                  <w:tcW w:w="3053" w:type="dxa"/>
                  <w:tcBorders>
                    <w:top w:val="nil"/>
                    <w:left w:val="nil"/>
                    <w:bottom w:val="nil"/>
                    <w:right w:val="nil"/>
                  </w:tcBorders>
                  <w:shd w:val="clear" w:color="auto" w:fill="auto"/>
                  <w:vAlign w:val="center"/>
                  <w:hideMark/>
                </w:tcPr>
                <w:p w14:paraId="284C9561" w14:textId="77777777" w:rsidR="00AA652C" w:rsidRPr="00F77FBE" w:rsidRDefault="00AA652C" w:rsidP="00AA652C">
                  <w:pPr>
                    <w:spacing w:after="0" w:line="240" w:lineRule="auto"/>
                    <w:rPr>
                      <w:rFonts w:eastAsia="Times New Roman" w:cs="Times New Roman"/>
                      <w:color w:val="000000"/>
                      <w:sz w:val="20"/>
                      <w:szCs w:val="20"/>
                      <w:lang w:eastAsia="sk-SK"/>
                    </w:rPr>
                  </w:pPr>
                  <w:r w:rsidRPr="00F77FBE">
                    <w:rPr>
                      <w:rFonts w:eastAsia="Times New Roman" w:cs="Times New Roman"/>
                      <w:color w:val="000000"/>
                      <w:sz w:val="20"/>
                      <w:szCs w:val="20"/>
                      <w:lang w:eastAsia="sk-SK"/>
                    </w:rPr>
                    <w:t>Verejnej vysokej škole</w:t>
                  </w:r>
                </w:p>
              </w:tc>
              <w:tc>
                <w:tcPr>
                  <w:tcW w:w="1187" w:type="dxa"/>
                  <w:tcBorders>
                    <w:top w:val="nil"/>
                    <w:left w:val="nil"/>
                    <w:bottom w:val="nil"/>
                    <w:right w:val="nil"/>
                  </w:tcBorders>
                  <w:shd w:val="clear" w:color="auto" w:fill="auto"/>
                  <w:vAlign w:val="center"/>
                  <w:hideMark/>
                </w:tcPr>
                <w:p w14:paraId="1D0B7D69"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697 093</w:t>
                  </w:r>
                </w:p>
              </w:tc>
              <w:tc>
                <w:tcPr>
                  <w:tcW w:w="1025" w:type="dxa"/>
                  <w:tcBorders>
                    <w:top w:val="nil"/>
                    <w:left w:val="nil"/>
                    <w:bottom w:val="nil"/>
                    <w:right w:val="nil"/>
                  </w:tcBorders>
                  <w:shd w:val="clear" w:color="auto" w:fill="auto"/>
                  <w:vAlign w:val="center"/>
                  <w:hideMark/>
                </w:tcPr>
                <w:p w14:paraId="5CD6F072"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683 903</w:t>
                  </w:r>
                </w:p>
              </w:tc>
              <w:tc>
                <w:tcPr>
                  <w:tcW w:w="1004" w:type="dxa"/>
                  <w:tcBorders>
                    <w:top w:val="nil"/>
                    <w:left w:val="nil"/>
                    <w:bottom w:val="nil"/>
                    <w:right w:val="nil"/>
                  </w:tcBorders>
                  <w:shd w:val="clear" w:color="auto" w:fill="auto"/>
                  <w:vAlign w:val="center"/>
                  <w:hideMark/>
                </w:tcPr>
                <w:p w14:paraId="3CD3344F"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622 304</w:t>
                  </w:r>
                </w:p>
              </w:tc>
              <w:tc>
                <w:tcPr>
                  <w:tcW w:w="1004" w:type="dxa"/>
                  <w:tcBorders>
                    <w:top w:val="nil"/>
                    <w:left w:val="nil"/>
                    <w:bottom w:val="nil"/>
                    <w:right w:val="nil"/>
                  </w:tcBorders>
                  <w:shd w:val="clear" w:color="000000" w:fill="FFFFFF"/>
                  <w:vAlign w:val="center"/>
                  <w:hideMark/>
                </w:tcPr>
                <w:p w14:paraId="0D8A8DF3"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662 248</w:t>
                  </w:r>
                </w:p>
              </w:tc>
              <w:tc>
                <w:tcPr>
                  <w:tcW w:w="972" w:type="dxa"/>
                  <w:tcBorders>
                    <w:top w:val="nil"/>
                    <w:left w:val="nil"/>
                    <w:bottom w:val="nil"/>
                    <w:right w:val="nil"/>
                  </w:tcBorders>
                  <w:shd w:val="clear" w:color="auto" w:fill="auto"/>
                  <w:vAlign w:val="center"/>
                </w:tcPr>
                <w:p w14:paraId="458083AF" w14:textId="2A7D00A0"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39 944</w:t>
                  </w:r>
                </w:p>
              </w:tc>
              <w:tc>
                <w:tcPr>
                  <w:tcW w:w="972" w:type="dxa"/>
                  <w:tcBorders>
                    <w:top w:val="nil"/>
                    <w:left w:val="nil"/>
                    <w:bottom w:val="nil"/>
                    <w:right w:val="nil"/>
                  </w:tcBorders>
                  <w:shd w:val="clear" w:color="auto" w:fill="auto"/>
                  <w:vAlign w:val="center"/>
                </w:tcPr>
                <w:p w14:paraId="4EB664AA" w14:textId="188DD504"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6,4</w:t>
                  </w:r>
                </w:p>
              </w:tc>
            </w:tr>
            <w:tr w:rsidR="00AA652C" w:rsidRPr="00F77FBE" w14:paraId="036F1B99" w14:textId="4640AF9D" w:rsidTr="00AC2B5B">
              <w:trPr>
                <w:trHeight w:val="289"/>
              </w:trPr>
              <w:tc>
                <w:tcPr>
                  <w:tcW w:w="3053" w:type="dxa"/>
                  <w:tcBorders>
                    <w:top w:val="nil"/>
                    <w:left w:val="nil"/>
                    <w:bottom w:val="nil"/>
                    <w:right w:val="nil"/>
                  </w:tcBorders>
                  <w:shd w:val="clear" w:color="auto" w:fill="auto"/>
                  <w:vAlign w:val="center"/>
                  <w:hideMark/>
                </w:tcPr>
                <w:p w14:paraId="6F3110E3" w14:textId="77777777" w:rsidR="00AA652C" w:rsidRPr="00F77FBE" w:rsidRDefault="00AA652C" w:rsidP="00AA652C">
                  <w:pPr>
                    <w:spacing w:after="0" w:line="240" w:lineRule="auto"/>
                    <w:rPr>
                      <w:rFonts w:eastAsia="Times New Roman" w:cs="Times New Roman"/>
                      <w:color w:val="000000"/>
                      <w:sz w:val="20"/>
                      <w:szCs w:val="20"/>
                      <w:lang w:eastAsia="sk-SK"/>
                    </w:rPr>
                  </w:pPr>
                  <w:r w:rsidRPr="00F77FBE">
                    <w:rPr>
                      <w:rFonts w:eastAsia="Times New Roman" w:cs="Times New Roman"/>
                      <w:color w:val="000000"/>
                      <w:sz w:val="20"/>
                      <w:szCs w:val="20"/>
                      <w:lang w:eastAsia="sk-SK"/>
                    </w:rPr>
                    <w:t>Vyššiemu územnému celku na úhradu nákladov preneseného výkonu štátnej správy</w:t>
                  </w:r>
                </w:p>
              </w:tc>
              <w:tc>
                <w:tcPr>
                  <w:tcW w:w="1187" w:type="dxa"/>
                  <w:tcBorders>
                    <w:top w:val="nil"/>
                    <w:left w:val="nil"/>
                    <w:bottom w:val="nil"/>
                    <w:right w:val="nil"/>
                  </w:tcBorders>
                  <w:shd w:val="clear" w:color="auto" w:fill="auto"/>
                  <w:vAlign w:val="center"/>
                  <w:hideMark/>
                </w:tcPr>
                <w:p w14:paraId="4861D0FF"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520 691</w:t>
                  </w:r>
                </w:p>
              </w:tc>
              <w:tc>
                <w:tcPr>
                  <w:tcW w:w="1025" w:type="dxa"/>
                  <w:tcBorders>
                    <w:top w:val="nil"/>
                    <w:left w:val="nil"/>
                    <w:bottom w:val="nil"/>
                    <w:right w:val="nil"/>
                  </w:tcBorders>
                  <w:shd w:val="clear" w:color="auto" w:fill="auto"/>
                  <w:vAlign w:val="center"/>
                  <w:hideMark/>
                </w:tcPr>
                <w:p w14:paraId="6B9B9C47"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540 161</w:t>
                  </w:r>
                </w:p>
              </w:tc>
              <w:tc>
                <w:tcPr>
                  <w:tcW w:w="1004" w:type="dxa"/>
                  <w:tcBorders>
                    <w:top w:val="nil"/>
                    <w:left w:val="nil"/>
                    <w:bottom w:val="nil"/>
                    <w:right w:val="nil"/>
                  </w:tcBorders>
                  <w:shd w:val="clear" w:color="auto" w:fill="auto"/>
                  <w:vAlign w:val="center"/>
                  <w:hideMark/>
                </w:tcPr>
                <w:p w14:paraId="4BC7413C"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507 387</w:t>
                  </w:r>
                </w:p>
              </w:tc>
              <w:tc>
                <w:tcPr>
                  <w:tcW w:w="1004" w:type="dxa"/>
                  <w:tcBorders>
                    <w:top w:val="nil"/>
                    <w:left w:val="nil"/>
                    <w:bottom w:val="nil"/>
                    <w:right w:val="nil"/>
                  </w:tcBorders>
                  <w:shd w:val="clear" w:color="000000" w:fill="FFFFFF"/>
                  <w:vAlign w:val="center"/>
                  <w:hideMark/>
                </w:tcPr>
                <w:p w14:paraId="361E74F0"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546 227</w:t>
                  </w:r>
                </w:p>
              </w:tc>
              <w:tc>
                <w:tcPr>
                  <w:tcW w:w="972" w:type="dxa"/>
                  <w:tcBorders>
                    <w:top w:val="nil"/>
                    <w:left w:val="nil"/>
                    <w:bottom w:val="nil"/>
                    <w:right w:val="nil"/>
                  </w:tcBorders>
                  <w:shd w:val="clear" w:color="auto" w:fill="auto"/>
                  <w:vAlign w:val="center"/>
                </w:tcPr>
                <w:p w14:paraId="7767B787" w14:textId="1431BA98"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38 840</w:t>
                  </w:r>
                </w:p>
              </w:tc>
              <w:tc>
                <w:tcPr>
                  <w:tcW w:w="972" w:type="dxa"/>
                  <w:tcBorders>
                    <w:top w:val="nil"/>
                    <w:left w:val="nil"/>
                    <w:bottom w:val="nil"/>
                    <w:right w:val="nil"/>
                  </w:tcBorders>
                  <w:shd w:val="clear" w:color="auto" w:fill="auto"/>
                  <w:vAlign w:val="center"/>
                </w:tcPr>
                <w:p w14:paraId="3A9DFC6B" w14:textId="52D01F4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7,7</w:t>
                  </w:r>
                </w:p>
              </w:tc>
            </w:tr>
            <w:tr w:rsidR="00AA652C" w:rsidRPr="00F77FBE" w14:paraId="2C0BDD2E" w14:textId="59E95B4D" w:rsidTr="00AC2B5B">
              <w:trPr>
                <w:trHeight w:val="289"/>
              </w:trPr>
              <w:tc>
                <w:tcPr>
                  <w:tcW w:w="3053" w:type="dxa"/>
                  <w:tcBorders>
                    <w:top w:val="nil"/>
                    <w:left w:val="nil"/>
                    <w:bottom w:val="nil"/>
                    <w:right w:val="nil"/>
                  </w:tcBorders>
                  <w:shd w:val="clear" w:color="auto" w:fill="auto"/>
                  <w:vAlign w:val="center"/>
                  <w:hideMark/>
                </w:tcPr>
                <w:p w14:paraId="58827A3F" w14:textId="77777777" w:rsidR="00AA652C" w:rsidRPr="00F77FBE" w:rsidRDefault="00AA652C" w:rsidP="00AA652C">
                  <w:pPr>
                    <w:spacing w:after="0" w:line="240" w:lineRule="auto"/>
                    <w:rPr>
                      <w:rFonts w:eastAsia="Times New Roman" w:cs="Times New Roman"/>
                      <w:color w:val="000000"/>
                      <w:sz w:val="20"/>
                      <w:szCs w:val="20"/>
                      <w:lang w:eastAsia="sk-SK"/>
                    </w:rPr>
                  </w:pPr>
                  <w:r w:rsidRPr="00F77FBE">
                    <w:rPr>
                      <w:rFonts w:eastAsia="Times New Roman" w:cs="Times New Roman"/>
                      <w:color w:val="000000"/>
                      <w:sz w:val="20"/>
                      <w:szCs w:val="20"/>
                      <w:lang w:eastAsia="sk-SK"/>
                    </w:rPr>
                    <w:t xml:space="preserve">Ostatné </w:t>
                  </w:r>
                </w:p>
              </w:tc>
              <w:tc>
                <w:tcPr>
                  <w:tcW w:w="1187" w:type="dxa"/>
                  <w:tcBorders>
                    <w:top w:val="nil"/>
                    <w:left w:val="nil"/>
                    <w:bottom w:val="nil"/>
                    <w:right w:val="nil"/>
                  </w:tcBorders>
                  <w:shd w:val="clear" w:color="auto" w:fill="auto"/>
                  <w:vAlign w:val="center"/>
                  <w:hideMark/>
                </w:tcPr>
                <w:p w14:paraId="2098AF89"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2 189 815</w:t>
                  </w:r>
                </w:p>
              </w:tc>
              <w:tc>
                <w:tcPr>
                  <w:tcW w:w="1025" w:type="dxa"/>
                  <w:tcBorders>
                    <w:top w:val="nil"/>
                    <w:left w:val="nil"/>
                    <w:bottom w:val="nil"/>
                    <w:right w:val="nil"/>
                  </w:tcBorders>
                  <w:shd w:val="clear" w:color="auto" w:fill="auto"/>
                  <w:vAlign w:val="center"/>
                  <w:hideMark/>
                </w:tcPr>
                <w:p w14:paraId="1C92DCC9"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2 306 962</w:t>
                  </w:r>
                </w:p>
              </w:tc>
              <w:tc>
                <w:tcPr>
                  <w:tcW w:w="1004" w:type="dxa"/>
                  <w:tcBorders>
                    <w:top w:val="nil"/>
                    <w:left w:val="nil"/>
                    <w:bottom w:val="nil"/>
                    <w:right w:val="nil"/>
                  </w:tcBorders>
                  <w:shd w:val="clear" w:color="auto" w:fill="auto"/>
                  <w:vAlign w:val="center"/>
                  <w:hideMark/>
                </w:tcPr>
                <w:p w14:paraId="492CBF78"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1 352 953</w:t>
                  </w:r>
                </w:p>
              </w:tc>
              <w:tc>
                <w:tcPr>
                  <w:tcW w:w="1004" w:type="dxa"/>
                  <w:tcBorders>
                    <w:top w:val="nil"/>
                    <w:left w:val="nil"/>
                    <w:bottom w:val="nil"/>
                    <w:right w:val="nil"/>
                  </w:tcBorders>
                  <w:shd w:val="clear" w:color="000000" w:fill="FFFFFF"/>
                  <w:vAlign w:val="center"/>
                  <w:hideMark/>
                </w:tcPr>
                <w:p w14:paraId="54BA3E20" w14:textId="77777777"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1 565 587</w:t>
                  </w:r>
                </w:p>
              </w:tc>
              <w:tc>
                <w:tcPr>
                  <w:tcW w:w="972" w:type="dxa"/>
                  <w:tcBorders>
                    <w:top w:val="nil"/>
                    <w:left w:val="nil"/>
                    <w:bottom w:val="nil"/>
                    <w:right w:val="nil"/>
                  </w:tcBorders>
                  <w:shd w:val="clear" w:color="auto" w:fill="auto"/>
                  <w:vAlign w:val="center"/>
                </w:tcPr>
                <w:p w14:paraId="3DC27FAC" w14:textId="154CBA44"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212 634</w:t>
                  </w:r>
                </w:p>
              </w:tc>
              <w:tc>
                <w:tcPr>
                  <w:tcW w:w="972" w:type="dxa"/>
                  <w:tcBorders>
                    <w:top w:val="nil"/>
                    <w:left w:val="nil"/>
                    <w:bottom w:val="nil"/>
                    <w:right w:val="nil"/>
                  </w:tcBorders>
                  <w:shd w:val="clear" w:color="auto" w:fill="auto"/>
                  <w:vAlign w:val="center"/>
                </w:tcPr>
                <w:p w14:paraId="68608F48" w14:textId="3B928384" w:rsidR="00AA652C" w:rsidRPr="00F77FBE" w:rsidRDefault="00AA652C" w:rsidP="00AA652C">
                  <w:pPr>
                    <w:spacing w:after="0" w:line="240" w:lineRule="auto"/>
                    <w:jc w:val="right"/>
                    <w:rPr>
                      <w:rFonts w:eastAsia="Times New Roman" w:cs="Times New Roman"/>
                      <w:color w:val="000000"/>
                      <w:sz w:val="20"/>
                      <w:szCs w:val="20"/>
                      <w:lang w:eastAsia="sk-SK"/>
                    </w:rPr>
                  </w:pPr>
                  <w:r w:rsidRPr="00F77FBE">
                    <w:rPr>
                      <w:rFonts w:eastAsia="Times New Roman" w:cs="Times New Roman"/>
                      <w:color w:val="000000"/>
                      <w:sz w:val="20"/>
                      <w:szCs w:val="20"/>
                      <w:lang w:eastAsia="sk-SK"/>
                    </w:rPr>
                    <w:t>15,7</w:t>
                  </w:r>
                </w:p>
              </w:tc>
            </w:tr>
            <w:tr w:rsidR="00AA652C" w:rsidRPr="00F77FBE" w14:paraId="76036C81" w14:textId="5B65B617" w:rsidTr="00AC2B5B">
              <w:trPr>
                <w:trHeight w:val="289"/>
              </w:trPr>
              <w:tc>
                <w:tcPr>
                  <w:tcW w:w="3053" w:type="dxa"/>
                  <w:tcBorders>
                    <w:top w:val="single" w:sz="4" w:space="0" w:color="auto"/>
                    <w:left w:val="nil"/>
                    <w:bottom w:val="single" w:sz="4" w:space="0" w:color="auto"/>
                    <w:right w:val="nil"/>
                  </w:tcBorders>
                  <w:shd w:val="clear" w:color="auto" w:fill="auto"/>
                  <w:vAlign w:val="center"/>
                  <w:hideMark/>
                </w:tcPr>
                <w:p w14:paraId="5E30FA5C" w14:textId="77777777" w:rsidR="00AA652C" w:rsidRPr="00F77FBE" w:rsidRDefault="00AA652C" w:rsidP="00AA652C">
                  <w:pPr>
                    <w:spacing w:after="0" w:line="240" w:lineRule="auto"/>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Spolu</w:t>
                  </w:r>
                </w:p>
              </w:tc>
              <w:tc>
                <w:tcPr>
                  <w:tcW w:w="1187" w:type="dxa"/>
                  <w:tcBorders>
                    <w:top w:val="single" w:sz="4" w:space="0" w:color="auto"/>
                    <w:left w:val="nil"/>
                    <w:bottom w:val="single" w:sz="4" w:space="0" w:color="auto"/>
                    <w:right w:val="nil"/>
                  </w:tcBorders>
                  <w:shd w:val="clear" w:color="auto" w:fill="auto"/>
                  <w:vAlign w:val="center"/>
                  <w:hideMark/>
                </w:tcPr>
                <w:p w14:paraId="180194A9" w14:textId="77777777" w:rsidR="00AA652C" w:rsidRPr="00F77FBE" w:rsidRDefault="00AA652C" w:rsidP="00AA652C">
                  <w:pPr>
                    <w:spacing w:after="0" w:line="240" w:lineRule="auto"/>
                    <w:jc w:val="right"/>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7 534 939</w:t>
                  </w:r>
                </w:p>
              </w:tc>
              <w:tc>
                <w:tcPr>
                  <w:tcW w:w="1025" w:type="dxa"/>
                  <w:tcBorders>
                    <w:top w:val="single" w:sz="4" w:space="0" w:color="auto"/>
                    <w:left w:val="nil"/>
                    <w:bottom w:val="single" w:sz="4" w:space="0" w:color="auto"/>
                    <w:right w:val="nil"/>
                  </w:tcBorders>
                  <w:shd w:val="clear" w:color="auto" w:fill="auto"/>
                  <w:vAlign w:val="center"/>
                  <w:hideMark/>
                </w:tcPr>
                <w:p w14:paraId="0FB0C6D4" w14:textId="77777777" w:rsidR="00AA652C" w:rsidRPr="00F77FBE" w:rsidRDefault="00AA652C" w:rsidP="00AA652C">
                  <w:pPr>
                    <w:spacing w:after="0" w:line="240" w:lineRule="auto"/>
                    <w:jc w:val="right"/>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6 415 861</w:t>
                  </w:r>
                </w:p>
              </w:tc>
              <w:tc>
                <w:tcPr>
                  <w:tcW w:w="1004" w:type="dxa"/>
                  <w:tcBorders>
                    <w:top w:val="single" w:sz="4" w:space="0" w:color="auto"/>
                    <w:left w:val="nil"/>
                    <w:bottom w:val="single" w:sz="4" w:space="0" w:color="auto"/>
                    <w:right w:val="nil"/>
                  </w:tcBorders>
                  <w:shd w:val="clear" w:color="auto" w:fill="auto"/>
                  <w:vAlign w:val="center"/>
                  <w:hideMark/>
                </w:tcPr>
                <w:p w14:paraId="0BC865AC" w14:textId="77777777" w:rsidR="00AA652C" w:rsidRPr="00F77FBE" w:rsidRDefault="00AA652C" w:rsidP="00AA652C">
                  <w:pPr>
                    <w:spacing w:after="0" w:line="240" w:lineRule="auto"/>
                    <w:jc w:val="right"/>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5 305 822</w:t>
                  </w:r>
                </w:p>
              </w:tc>
              <w:tc>
                <w:tcPr>
                  <w:tcW w:w="1004" w:type="dxa"/>
                  <w:tcBorders>
                    <w:top w:val="single" w:sz="4" w:space="0" w:color="auto"/>
                    <w:left w:val="nil"/>
                    <w:bottom w:val="single" w:sz="4" w:space="0" w:color="auto"/>
                    <w:right w:val="nil"/>
                  </w:tcBorders>
                  <w:shd w:val="clear" w:color="auto" w:fill="auto"/>
                  <w:vAlign w:val="center"/>
                  <w:hideMark/>
                </w:tcPr>
                <w:p w14:paraId="21F122DF" w14:textId="77777777" w:rsidR="00AA652C" w:rsidRPr="00F77FBE" w:rsidRDefault="00AA652C" w:rsidP="00AA652C">
                  <w:pPr>
                    <w:spacing w:after="0" w:line="240" w:lineRule="auto"/>
                    <w:jc w:val="right"/>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6 942 096</w:t>
                  </w:r>
                </w:p>
              </w:tc>
              <w:tc>
                <w:tcPr>
                  <w:tcW w:w="972" w:type="dxa"/>
                  <w:tcBorders>
                    <w:top w:val="single" w:sz="4" w:space="0" w:color="auto"/>
                    <w:left w:val="nil"/>
                    <w:bottom w:val="single" w:sz="4" w:space="0" w:color="auto"/>
                    <w:right w:val="nil"/>
                  </w:tcBorders>
                  <w:shd w:val="clear" w:color="auto" w:fill="auto"/>
                  <w:vAlign w:val="center"/>
                </w:tcPr>
                <w:p w14:paraId="0A123C10" w14:textId="7ECC3D5C" w:rsidR="00AA652C" w:rsidRPr="00F77FBE" w:rsidRDefault="00AA652C" w:rsidP="00AA652C">
                  <w:pPr>
                    <w:spacing w:after="0" w:line="240" w:lineRule="auto"/>
                    <w:jc w:val="right"/>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1 636 274</w:t>
                  </w:r>
                </w:p>
              </w:tc>
              <w:tc>
                <w:tcPr>
                  <w:tcW w:w="972" w:type="dxa"/>
                  <w:tcBorders>
                    <w:top w:val="single" w:sz="4" w:space="0" w:color="auto"/>
                    <w:left w:val="nil"/>
                    <w:bottom w:val="single" w:sz="4" w:space="0" w:color="auto"/>
                    <w:right w:val="nil"/>
                  </w:tcBorders>
                  <w:shd w:val="clear" w:color="auto" w:fill="auto"/>
                  <w:vAlign w:val="center"/>
                </w:tcPr>
                <w:p w14:paraId="680770A3" w14:textId="7C5AED87" w:rsidR="00AA652C" w:rsidRPr="00F77FBE" w:rsidRDefault="00AA652C" w:rsidP="00AA652C">
                  <w:pPr>
                    <w:spacing w:after="0" w:line="240" w:lineRule="auto"/>
                    <w:jc w:val="right"/>
                    <w:rPr>
                      <w:rFonts w:eastAsia="Times New Roman" w:cs="Times New Roman"/>
                      <w:b/>
                      <w:bCs/>
                      <w:color w:val="000000"/>
                      <w:sz w:val="20"/>
                      <w:szCs w:val="20"/>
                      <w:lang w:eastAsia="sk-SK"/>
                    </w:rPr>
                  </w:pPr>
                  <w:r w:rsidRPr="00F77FBE">
                    <w:rPr>
                      <w:rFonts w:eastAsia="Times New Roman" w:cs="Times New Roman"/>
                      <w:b/>
                      <w:bCs/>
                      <w:color w:val="000000"/>
                      <w:sz w:val="20"/>
                      <w:szCs w:val="20"/>
                      <w:lang w:eastAsia="sk-SK"/>
                    </w:rPr>
                    <w:t>30,8</w:t>
                  </w:r>
                </w:p>
              </w:tc>
            </w:tr>
          </w:tbl>
          <w:p w14:paraId="7C667FAE" w14:textId="646EF596" w:rsidR="00697268" w:rsidRPr="00B51948" w:rsidRDefault="00697268" w:rsidP="00A640D5">
            <w:pPr>
              <w:pStyle w:val="Bezriadkovania"/>
              <w:jc w:val="right"/>
              <w:rPr>
                <w:b/>
                <w:color w:val="FF0000"/>
                <w:sz w:val="20"/>
                <w:szCs w:val="20"/>
              </w:rPr>
            </w:pPr>
            <w:r w:rsidRPr="00BB540F">
              <w:rPr>
                <w:sz w:val="18"/>
                <w:szCs w:val="18"/>
                <w:lang w:eastAsia="sk-SK"/>
              </w:rPr>
              <w:t>Zdroj: MF SR</w:t>
            </w:r>
          </w:p>
        </w:tc>
      </w:tr>
    </w:tbl>
    <w:p w14:paraId="33A6F3A8" w14:textId="42A75730" w:rsidR="00697268" w:rsidRDefault="00697268" w:rsidP="009C238D">
      <w:pPr>
        <w:shd w:val="clear" w:color="auto" w:fill="FFFFFF" w:themeFill="background1"/>
        <w:spacing w:before="120" w:line="240" w:lineRule="auto"/>
        <w:rPr>
          <w:rFonts w:eastAsia="Calibri" w:cs="Times New Roman"/>
          <w:sz w:val="24"/>
          <w:szCs w:val="24"/>
          <w:lang w:eastAsia="sk-SK"/>
        </w:rPr>
      </w:pPr>
      <w:r w:rsidRPr="009C238D">
        <w:rPr>
          <w:rFonts w:eastAsia="Times New Roman" w:cs="Times New Roman"/>
          <w:sz w:val="24"/>
          <w:szCs w:val="24"/>
          <w:lang w:eastAsia="sk-SK"/>
        </w:rPr>
        <w:lastRenderedPageBreak/>
        <w:t>Najvyššie</w:t>
      </w:r>
      <w:r w:rsidRPr="00177507">
        <w:rPr>
          <w:rFonts w:cs="Times New Roman"/>
          <w:sz w:val="24"/>
          <w:szCs w:val="24"/>
          <w:lang w:eastAsia="sk-SK"/>
        </w:rPr>
        <w:t xml:space="preserve"> čerpanie na položke transfery v rámci verejnej správy dosiahli </w:t>
      </w:r>
      <w:r w:rsidRPr="00177507">
        <w:rPr>
          <w:rFonts w:cs="Times New Roman"/>
          <w:b/>
          <w:i/>
          <w:sz w:val="24"/>
          <w:szCs w:val="24"/>
          <w:lang w:eastAsia="sk-SK"/>
        </w:rPr>
        <w:t>transfery rozpočtovej organizácii</w:t>
      </w:r>
      <w:r w:rsidRPr="00177507">
        <w:rPr>
          <w:rFonts w:cs="Times New Roman"/>
          <w:sz w:val="24"/>
          <w:szCs w:val="24"/>
          <w:lang w:eastAsia="sk-SK"/>
        </w:rPr>
        <w:t xml:space="preserve"> v sume 2 043 238 tis. eur a to najmä prostredníctvom Všeobecnej pokladničnej správy, ktorá čerpala v rámci tejto podpoložky 1 971 434 tis. </w:t>
      </w:r>
      <w:r w:rsidRPr="00CE362A">
        <w:rPr>
          <w:rFonts w:cs="Times New Roman"/>
          <w:sz w:val="24"/>
          <w:szCs w:val="24"/>
          <w:lang w:eastAsia="sk-SK"/>
        </w:rPr>
        <w:t>eur na</w:t>
      </w:r>
      <w:r w:rsidRPr="00CE362A">
        <w:rPr>
          <w:rFonts w:cs="Times New Roman"/>
          <w:sz w:val="24"/>
          <w:szCs w:val="24"/>
        </w:rPr>
        <w:t> </w:t>
      </w:r>
      <w:r w:rsidRPr="00CE362A">
        <w:rPr>
          <w:rFonts w:eastAsia="Calibri" w:cs="Times New Roman"/>
          <w:sz w:val="24"/>
          <w:szCs w:val="24"/>
          <w:lang w:eastAsia="sk-SK"/>
        </w:rPr>
        <w:t xml:space="preserve">dorovnanie zostatku saldo účtu Štátny dlh v sume 1 059 061 tis. eur a ďalších 910 000 tis. eur boli výdavky najmä na splácanie návratných finančných výpomocí, na </w:t>
      </w:r>
      <w:proofErr w:type="spellStart"/>
      <w:r w:rsidRPr="00CE362A">
        <w:rPr>
          <w:rFonts w:eastAsia="Calibri" w:cs="Times New Roman"/>
          <w:sz w:val="24"/>
          <w:szCs w:val="24"/>
          <w:lang w:eastAsia="sk-SK"/>
        </w:rPr>
        <w:t>nadotovanie</w:t>
      </w:r>
      <w:proofErr w:type="spellEnd"/>
      <w:r w:rsidRPr="00CE362A">
        <w:rPr>
          <w:rFonts w:eastAsia="Calibri" w:cs="Times New Roman"/>
          <w:sz w:val="24"/>
          <w:szCs w:val="24"/>
          <w:lang w:eastAsia="sk-SK"/>
        </w:rPr>
        <w:t xml:space="preserve"> bežného účtu účelových prostriedkov z FNM na splácanie štátneho dlhu, na projekty finančného mechanizmu EHP a Nórskeho finančného mechanizmu pre rok 2022.</w:t>
      </w:r>
    </w:p>
    <w:p w14:paraId="28C89E09" w14:textId="48D3701C" w:rsidR="00CE362A" w:rsidRPr="00CE362A" w:rsidRDefault="00CE362A" w:rsidP="003234A0">
      <w:pPr>
        <w:pStyle w:val="Graf"/>
      </w:pPr>
      <w:r w:rsidRPr="00AC2B5B">
        <w:t>Tabuľka 3</w:t>
      </w:r>
      <w:r w:rsidR="008B3212">
        <w:t>7</w:t>
      </w:r>
      <w:r w:rsidRPr="00AC2B5B">
        <w:t xml:space="preserve"> </w:t>
      </w:r>
      <w:r>
        <w:t>–</w:t>
      </w:r>
      <w:r w:rsidRPr="00AC2B5B">
        <w:t xml:space="preserve"> </w:t>
      </w:r>
      <w:r>
        <w:t>Výdavky štátneho dlhu</w:t>
      </w:r>
    </w:p>
    <w:tbl>
      <w:tblPr>
        <w:tblW w:w="9214" w:type="dxa"/>
        <w:tblCellMar>
          <w:left w:w="70" w:type="dxa"/>
          <w:right w:w="70" w:type="dxa"/>
        </w:tblCellMar>
        <w:tblLook w:val="04A0" w:firstRow="1" w:lastRow="0" w:firstColumn="1" w:lastColumn="0" w:noHBand="0" w:noVBand="1"/>
      </w:tblPr>
      <w:tblGrid>
        <w:gridCol w:w="2687"/>
        <w:gridCol w:w="1093"/>
        <w:gridCol w:w="1112"/>
        <w:gridCol w:w="1049"/>
        <w:gridCol w:w="1217"/>
        <w:gridCol w:w="1217"/>
        <w:gridCol w:w="839"/>
      </w:tblGrid>
      <w:tr w:rsidR="009C238D" w:rsidRPr="00AA652C" w14:paraId="4AE25438" w14:textId="77777777" w:rsidTr="00CE362A">
        <w:trPr>
          <w:trHeight w:val="289"/>
        </w:trPr>
        <w:tc>
          <w:tcPr>
            <w:tcW w:w="2560" w:type="dxa"/>
            <w:vMerge w:val="restart"/>
            <w:tcBorders>
              <w:top w:val="single" w:sz="4" w:space="0" w:color="auto"/>
              <w:left w:val="nil"/>
              <w:right w:val="nil"/>
            </w:tcBorders>
            <w:shd w:val="clear" w:color="000000" w:fill="FFFFFF"/>
            <w:vAlign w:val="center"/>
            <w:hideMark/>
          </w:tcPr>
          <w:p w14:paraId="1433F5C9" w14:textId="701F7495" w:rsidR="009C238D" w:rsidRPr="00AA652C" w:rsidRDefault="009C238D" w:rsidP="009C238D">
            <w:pPr>
              <w:pStyle w:val="Bezriadkovania"/>
              <w:rPr>
                <w:b/>
                <w:bCs/>
                <w:color w:val="000000"/>
                <w:sz w:val="20"/>
                <w:szCs w:val="20"/>
                <w:lang w:eastAsia="sk-SK"/>
              </w:rPr>
            </w:pPr>
            <w:r w:rsidRPr="00AA652C">
              <w:rPr>
                <w:b/>
                <w:bCs/>
                <w:color w:val="000000"/>
                <w:sz w:val="20"/>
                <w:szCs w:val="20"/>
                <w:lang w:eastAsia="sk-SK"/>
              </w:rPr>
              <w:t>v tis. eur </w:t>
            </w:r>
          </w:p>
        </w:tc>
        <w:tc>
          <w:tcPr>
            <w:tcW w:w="1041" w:type="dxa"/>
            <w:tcBorders>
              <w:top w:val="single" w:sz="4" w:space="0" w:color="auto"/>
              <w:left w:val="nil"/>
              <w:bottom w:val="nil"/>
              <w:right w:val="nil"/>
            </w:tcBorders>
            <w:shd w:val="clear" w:color="000000" w:fill="FFFFFF"/>
            <w:vAlign w:val="center"/>
            <w:hideMark/>
          </w:tcPr>
          <w:p w14:paraId="2868CDF4"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2020 S</w:t>
            </w:r>
          </w:p>
        </w:tc>
        <w:tc>
          <w:tcPr>
            <w:tcW w:w="1060" w:type="dxa"/>
            <w:tcBorders>
              <w:top w:val="single" w:sz="4" w:space="0" w:color="auto"/>
              <w:left w:val="nil"/>
              <w:bottom w:val="nil"/>
              <w:right w:val="nil"/>
            </w:tcBorders>
            <w:shd w:val="clear" w:color="000000" w:fill="FFFFFF"/>
            <w:vAlign w:val="center"/>
            <w:hideMark/>
          </w:tcPr>
          <w:p w14:paraId="57B1CA61"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2021 S</w:t>
            </w:r>
          </w:p>
        </w:tc>
        <w:tc>
          <w:tcPr>
            <w:tcW w:w="1000" w:type="dxa"/>
            <w:tcBorders>
              <w:top w:val="single" w:sz="4" w:space="0" w:color="auto"/>
              <w:left w:val="nil"/>
              <w:bottom w:val="nil"/>
              <w:right w:val="nil"/>
            </w:tcBorders>
            <w:shd w:val="clear" w:color="000000" w:fill="FFFFFF"/>
            <w:vAlign w:val="center"/>
            <w:hideMark/>
          </w:tcPr>
          <w:p w14:paraId="5AADC2AE"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2022 R</w:t>
            </w:r>
          </w:p>
        </w:tc>
        <w:tc>
          <w:tcPr>
            <w:tcW w:w="1160" w:type="dxa"/>
            <w:tcBorders>
              <w:top w:val="single" w:sz="4" w:space="0" w:color="auto"/>
              <w:left w:val="nil"/>
              <w:bottom w:val="nil"/>
              <w:right w:val="nil"/>
            </w:tcBorders>
            <w:shd w:val="clear" w:color="000000" w:fill="FFFFFF"/>
            <w:vAlign w:val="center"/>
            <w:hideMark/>
          </w:tcPr>
          <w:p w14:paraId="57126613"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2022 S</w:t>
            </w:r>
          </w:p>
        </w:tc>
        <w:tc>
          <w:tcPr>
            <w:tcW w:w="1160" w:type="dxa"/>
            <w:tcBorders>
              <w:top w:val="single" w:sz="4" w:space="0" w:color="auto"/>
              <w:left w:val="nil"/>
              <w:bottom w:val="nil"/>
              <w:right w:val="nil"/>
            </w:tcBorders>
            <w:shd w:val="clear" w:color="000000" w:fill="FFFFFF"/>
            <w:vAlign w:val="center"/>
            <w:hideMark/>
          </w:tcPr>
          <w:p w14:paraId="77E2D113"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Rozdiel</w:t>
            </w:r>
          </w:p>
        </w:tc>
        <w:tc>
          <w:tcPr>
            <w:tcW w:w="800" w:type="dxa"/>
            <w:tcBorders>
              <w:top w:val="single" w:sz="4" w:space="0" w:color="auto"/>
              <w:left w:val="nil"/>
              <w:bottom w:val="nil"/>
              <w:right w:val="nil"/>
            </w:tcBorders>
            <w:shd w:val="clear" w:color="000000" w:fill="FFFFFF"/>
            <w:vAlign w:val="center"/>
            <w:hideMark/>
          </w:tcPr>
          <w:p w14:paraId="537BAE80"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v %</w:t>
            </w:r>
          </w:p>
        </w:tc>
      </w:tr>
      <w:tr w:rsidR="009C238D" w:rsidRPr="00AA652C" w14:paraId="46AF51E3" w14:textId="77777777" w:rsidTr="00CE362A">
        <w:trPr>
          <w:trHeight w:val="289"/>
        </w:trPr>
        <w:tc>
          <w:tcPr>
            <w:tcW w:w="2560" w:type="dxa"/>
            <w:vMerge/>
            <w:tcBorders>
              <w:left w:val="nil"/>
              <w:bottom w:val="single" w:sz="4" w:space="0" w:color="auto"/>
              <w:right w:val="nil"/>
            </w:tcBorders>
            <w:shd w:val="clear" w:color="000000" w:fill="FFFFFF"/>
            <w:vAlign w:val="center"/>
            <w:hideMark/>
          </w:tcPr>
          <w:p w14:paraId="67C5BB83" w14:textId="5E87099A" w:rsidR="009C238D" w:rsidRPr="00AA652C" w:rsidRDefault="009C238D" w:rsidP="00AB0350">
            <w:pPr>
              <w:spacing w:after="0" w:line="240" w:lineRule="auto"/>
              <w:jc w:val="center"/>
              <w:rPr>
                <w:rFonts w:eastAsia="Times New Roman" w:cs="Times New Roman"/>
                <w:b/>
                <w:bCs/>
                <w:color w:val="000000"/>
                <w:sz w:val="20"/>
                <w:szCs w:val="20"/>
                <w:lang w:eastAsia="sk-SK"/>
              </w:rPr>
            </w:pPr>
          </w:p>
        </w:tc>
        <w:tc>
          <w:tcPr>
            <w:tcW w:w="1041" w:type="dxa"/>
            <w:tcBorders>
              <w:top w:val="nil"/>
              <w:left w:val="nil"/>
              <w:bottom w:val="single" w:sz="4" w:space="0" w:color="auto"/>
              <w:right w:val="nil"/>
            </w:tcBorders>
            <w:shd w:val="clear" w:color="000000" w:fill="FFFFFF"/>
            <w:vAlign w:val="center"/>
            <w:hideMark/>
          </w:tcPr>
          <w:p w14:paraId="27B78242" w14:textId="7728153A" w:rsidR="009C238D" w:rsidRPr="00AA652C" w:rsidRDefault="009C238D" w:rsidP="00AB035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1</w:t>
            </w:r>
          </w:p>
        </w:tc>
        <w:tc>
          <w:tcPr>
            <w:tcW w:w="1060" w:type="dxa"/>
            <w:tcBorders>
              <w:top w:val="nil"/>
              <w:left w:val="nil"/>
              <w:bottom w:val="single" w:sz="4" w:space="0" w:color="auto"/>
              <w:right w:val="nil"/>
            </w:tcBorders>
            <w:shd w:val="clear" w:color="000000" w:fill="FFFFFF"/>
            <w:vAlign w:val="center"/>
            <w:hideMark/>
          </w:tcPr>
          <w:p w14:paraId="460CE682" w14:textId="7D142363" w:rsidR="009C238D" w:rsidRPr="00AA652C" w:rsidRDefault="009C238D" w:rsidP="00AB035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w:t>
            </w:r>
          </w:p>
        </w:tc>
        <w:tc>
          <w:tcPr>
            <w:tcW w:w="1000" w:type="dxa"/>
            <w:tcBorders>
              <w:top w:val="nil"/>
              <w:left w:val="nil"/>
              <w:bottom w:val="single" w:sz="4" w:space="0" w:color="auto"/>
              <w:right w:val="nil"/>
            </w:tcBorders>
            <w:shd w:val="clear" w:color="000000" w:fill="FFFFFF"/>
            <w:vAlign w:val="center"/>
            <w:hideMark/>
          </w:tcPr>
          <w:p w14:paraId="77F3DC78"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3</w:t>
            </w:r>
          </w:p>
        </w:tc>
        <w:tc>
          <w:tcPr>
            <w:tcW w:w="1160" w:type="dxa"/>
            <w:tcBorders>
              <w:top w:val="nil"/>
              <w:left w:val="nil"/>
              <w:bottom w:val="single" w:sz="4" w:space="0" w:color="auto"/>
              <w:right w:val="nil"/>
            </w:tcBorders>
            <w:shd w:val="clear" w:color="000000" w:fill="FFFFFF"/>
            <w:vAlign w:val="center"/>
            <w:hideMark/>
          </w:tcPr>
          <w:p w14:paraId="615DE03A"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4</w:t>
            </w:r>
          </w:p>
        </w:tc>
        <w:tc>
          <w:tcPr>
            <w:tcW w:w="1160" w:type="dxa"/>
            <w:tcBorders>
              <w:top w:val="nil"/>
              <w:left w:val="nil"/>
              <w:bottom w:val="single" w:sz="4" w:space="0" w:color="auto"/>
              <w:right w:val="nil"/>
            </w:tcBorders>
            <w:shd w:val="clear" w:color="000000" w:fill="FFFFFF"/>
            <w:vAlign w:val="center"/>
            <w:hideMark/>
          </w:tcPr>
          <w:p w14:paraId="696FFBFE"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5=4-3</w:t>
            </w:r>
          </w:p>
        </w:tc>
        <w:tc>
          <w:tcPr>
            <w:tcW w:w="800" w:type="dxa"/>
            <w:tcBorders>
              <w:top w:val="nil"/>
              <w:left w:val="nil"/>
              <w:bottom w:val="single" w:sz="4" w:space="0" w:color="auto"/>
              <w:right w:val="nil"/>
            </w:tcBorders>
            <w:shd w:val="clear" w:color="000000" w:fill="FFFFFF"/>
            <w:vAlign w:val="center"/>
            <w:hideMark/>
          </w:tcPr>
          <w:p w14:paraId="082320D5" w14:textId="77777777" w:rsidR="009C238D" w:rsidRPr="00AA652C" w:rsidRDefault="009C238D" w:rsidP="00AB0350">
            <w:pPr>
              <w:spacing w:after="0" w:line="240" w:lineRule="auto"/>
              <w:jc w:val="center"/>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6=4-3</w:t>
            </w:r>
          </w:p>
        </w:tc>
      </w:tr>
      <w:tr w:rsidR="00697268" w:rsidRPr="00AA652C" w14:paraId="4DE56501" w14:textId="77777777" w:rsidTr="00CE362A">
        <w:trPr>
          <w:trHeight w:val="289"/>
        </w:trPr>
        <w:tc>
          <w:tcPr>
            <w:tcW w:w="2560" w:type="dxa"/>
            <w:tcBorders>
              <w:top w:val="nil"/>
              <w:left w:val="nil"/>
              <w:bottom w:val="nil"/>
              <w:right w:val="nil"/>
            </w:tcBorders>
            <w:shd w:val="clear" w:color="auto" w:fill="auto"/>
            <w:noWrap/>
            <w:vAlign w:val="center"/>
            <w:hideMark/>
          </w:tcPr>
          <w:p w14:paraId="4EE54862" w14:textId="77777777" w:rsidR="00697268" w:rsidRPr="00AA652C" w:rsidRDefault="00697268" w:rsidP="00AB0350">
            <w:pPr>
              <w:spacing w:after="0" w:line="240" w:lineRule="auto"/>
              <w:rPr>
                <w:rFonts w:eastAsia="Times New Roman" w:cs="Times New Roman"/>
                <w:color w:val="000000"/>
                <w:sz w:val="20"/>
                <w:szCs w:val="20"/>
                <w:lang w:eastAsia="sk-SK"/>
              </w:rPr>
            </w:pPr>
            <w:r w:rsidRPr="00AA652C">
              <w:rPr>
                <w:rFonts w:eastAsia="Times New Roman" w:cs="Times New Roman"/>
                <w:color w:val="000000"/>
                <w:sz w:val="20"/>
                <w:szCs w:val="20"/>
                <w:lang w:eastAsia="sk-SK"/>
              </w:rPr>
              <w:t>dlhová služba - transfer</w:t>
            </w:r>
          </w:p>
        </w:tc>
        <w:tc>
          <w:tcPr>
            <w:tcW w:w="1041" w:type="dxa"/>
            <w:tcBorders>
              <w:top w:val="nil"/>
              <w:left w:val="nil"/>
              <w:bottom w:val="nil"/>
              <w:right w:val="nil"/>
            </w:tcBorders>
            <w:shd w:val="clear" w:color="auto" w:fill="auto"/>
            <w:vAlign w:val="center"/>
            <w:hideMark/>
          </w:tcPr>
          <w:p w14:paraId="4D16A60D"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796 703</w:t>
            </w:r>
          </w:p>
        </w:tc>
        <w:tc>
          <w:tcPr>
            <w:tcW w:w="1060" w:type="dxa"/>
            <w:tcBorders>
              <w:top w:val="nil"/>
              <w:left w:val="nil"/>
              <w:bottom w:val="nil"/>
              <w:right w:val="nil"/>
            </w:tcBorders>
            <w:shd w:val="clear" w:color="auto" w:fill="auto"/>
            <w:vAlign w:val="center"/>
            <w:hideMark/>
          </w:tcPr>
          <w:p w14:paraId="78ED2161"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1 112 080</w:t>
            </w:r>
          </w:p>
        </w:tc>
        <w:tc>
          <w:tcPr>
            <w:tcW w:w="1000" w:type="dxa"/>
            <w:tcBorders>
              <w:top w:val="nil"/>
              <w:left w:val="nil"/>
              <w:bottom w:val="nil"/>
              <w:right w:val="nil"/>
            </w:tcBorders>
            <w:shd w:val="clear" w:color="auto" w:fill="auto"/>
            <w:vAlign w:val="center"/>
            <w:hideMark/>
          </w:tcPr>
          <w:p w14:paraId="3C266C37"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1 089 706</w:t>
            </w:r>
          </w:p>
        </w:tc>
        <w:tc>
          <w:tcPr>
            <w:tcW w:w="1160" w:type="dxa"/>
            <w:tcBorders>
              <w:top w:val="nil"/>
              <w:left w:val="nil"/>
              <w:bottom w:val="nil"/>
              <w:right w:val="nil"/>
            </w:tcBorders>
            <w:shd w:val="clear" w:color="000000" w:fill="FFFFFF"/>
            <w:vAlign w:val="center"/>
            <w:hideMark/>
          </w:tcPr>
          <w:p w14:paraId="29125C10"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1 059 061</w:t>
            </w:r>
          </w:p>
        </w:tc>
        <w:tc>
          <w:tcPr>
            <w:tcW w:w="1160" w:type="dxa"/>
            <w:tcBorders>
              <w:top w:val="nil"/>
              <w:left w:val="nil"/>
              <w:bottom w:val="nil"/>
              <w:right w:val="nil"/>
            </w:tcBorders>
            <w:shd w:val="clear" w:color="auto" w:fill="auto"/>
            <w:vAlign w:val="center"/>
            <w:hideMark/>
          </w:tcPr>
          <w:p w14:paraId="4062A2BC"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-30 645</w:t>
            </w:r>
          </w:p>
        </w:tc>
        <w:tc>
          <w:tcPr>
            <w:tcW w:w="800" w:type="dxa"/>
            <w:tcBorders>
              <w:top w:val="nil"/>
              <w:left w:val="nil"/>
              <w:bottom w:val="nil"/>
              <w:right w:val="nil"/>
            </w:tcBorders>
            <w:shd w:val="clear" w:color="auto" w:fill="auto"/>
            <w:vAlign w:val="center"/>
            <w:hideMark/>
          </w:tcPr>
          <w:p w14:paraId="2309E6BB"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-2,8</w:t>
            </w:r>
          </w:p>
        </w:tc>
      </w:tr>
      <w:tr w:rsidR="00697268" w:rsidRPr="00AA652C" w14:paraId="0154D79B" w14:textId="77777777" w:rsidTr="00CE362A">
        <w:trPr>
          <w:trHeight w:val="289"/>
        </w:trPr>
        <w:tc>
          <w:tcPr>
            <w:tcW w:w="2560" w:type="dxa"/>
            <w:tcBorders>
              <w:top w:val="nil"/>
              <w:left w:val="nil"/>
              <w:bottom w:val="nil"/>
              <w:right w:val="nil"/>
            </w:tcBorders>
            <w:shd w:val="clear" w:color="auto" w:fill="auto"/>
            <w:noWrap/>
            <w:vAlign w:val="center"/>
            <w:hideMark/>
          </w:tcPr>
          <w:p w14:paraId="7460C5BB" w14:textId="77777777" w:rsidR="00697268" w:rsidRPr="00AA652C" w:rsidRDefault="00697268" w:rsidP="00AB0350">
            <w:pPr>
              <w:spacing w:after="0" w:line="240" w:lineRule="auto"/>
              <w:rPr>
                <w:rFonts w:eastAsia="Times New Roman" w:cs="Times New Roman"/>
                <w:color w:val="000000"/>
                <w:sz w:val="20"/>
                <w:szCs w:val="20"/>
                <w:lang w:eastAsia="sk-SK"/>
              </w:rPr>
            </w:pPr>
            <w:r w:rsidRPr="00AA652C">
              <w:rPr>
                <w:rFonts w:eastAsia="Times New Roman" w:cs="Times New Roman"/>
                <w:color w:val="000000"/>
                <w:sz w:val="20"/>
                <w:szCs w:val="20"/>
                <w:lang w:eastAsia="sk-SK"/>
              </w:rPr>
              <w:t>manipulačné poplatky</w:t>
            </w:r>
          </w:p>
        </w:tc>
        <w:tc>
          <w:tcPr>
            <w:tcW w:w="1041" w:type="dxa"/>
            <w:tcBorders>
              <w:top w:val="nil"/>
              <w:left w:val="nil"/>
              <w:bottom w:val="nil"/>
              <w:right w:val="nil"/>
            </w:tcBorders>
            <w:shd w:val="clear" w:color="auto" w:fill="auto"/>
            <w:vAlign w:val="center"/>
            <w:hideMark/>
          </w:tcPr>
          <w:p w14:paraId="3F8E8621"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270</w:t>
            </w:r>
          </w:p>
        </w:tc>
        <w:tc>
          <w:tcPr>
            <w:tcW w:w="1060" w:type="dxa"/>
            <w:tcBorders>
              <w:top w:val="nil"/>
              <w:left w:val="nil"/>
              <w:bottom w:val="nil"/>
              <w:right w:val="nil"/>
            </w:tcBorders>
            <w:shd w:val="clear" w:color="auto" w:fill="auto"/>
            <w:vAlign w:val="center"/>
            <w:hideMark/>
          </w:tcPr>
          <w:p w14:paraId="59BC68BE"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270</w:t>
            </w:r>
          </w:p>
        </w:tc>
        <w:tc>
          <w:tcPr>
            <w:tcW w:w="1000" w:type="dxa"/>
            <w:tcBorders>
              <w:top w:val="nil"/>
              <w:left w:val="nil"/>
              <w:bottom w:val="nil"/>
              <w:right w:val="nil"/>
            </w:tcBorders>
            <w:shd w:val="clear" w:color="auto" w:fill="auto"/>
            <w:vAlign w:val="center"/>
            <w:hideMark/>
          </w:tcPr>
          <w:p w14:paraId="2C0B292D"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270</w:t>
            </w:r>
          </w:p>
        </w:tc>
        <w:tc>
          <w:tcPr>
            <w:tcW w:w="1160" w:type="dxa"/>
            <w:tcBorders>
              <w:top w:val="nil"/>
              <w:left w:val="nil"/>
              <w:bottom w:val="nil"/>
              <w:right w:val="nil"/>
            </w:tcBorders>
            <w:shd w:val="clear" w:color="000000" w:fill="FFFFFF"/>
            <w:vAlign w:val="center"/>
            <w:hideMark/>
          </w:tcPr>
          <w:p w14:paraId="43376942"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270</w:t>
            </w:r>
          </w:p>
        </w:tc>
        <w:tc>
          <w:tcPr>
            <w:tcW w:w="1160" w:type="dxa"/>
            <w:tcBorders>
              <w:top w:val="nil"/>
              <w:left w:val="nil"/>
              <w:bottom w:val="nil"/>
              <w:right w:val="nil"/>
            </w:tcBorders>
            <w:shd w:val="clear" w:color="auto" w:fill="auto"/>
            <w:vAlign w:val="center"/>
            <w:hideMark/>
          </w:tcPr>
          <w:p w14:paraId="3FCDCE83"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0</w:t>
            </w:r>
          </w:p>
        </w:tc>
        <w:tc>
          <w:tcPr>
            <w:tcW w:w="800" w:type="dxa"/>
            <w:tcBorders>
              <w:top w:val="nil"/>
              <w:left w:val="nil"/>
              <w:bottom w:val="nil"/>
              <w:right w:val="nil"/>
            </w:tcBorders>
            <w:shd w:val="clear" w:color="auto" w:fill="auto"/>
            <w:vAlign w:val="center"/>
            <w:hideMark/>
          </w:tcPr>
          <w:p w14:paraId="557840A5"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0,0</w:t>
            </w:r>
          </w:p>
        </w:tc>
      </w:tr>
      <w:tr w:rsidR="00697268" w:rsidRPr="00AA652C" w14:paraId="76C006B7" w14:textId="77777777" w:rsidTr="00CE362A">
        <w:trPr>
          <w:trHeight w:val="289"/>
        </w:trPr>
        <w:tc>
          <w:tcPr>
            <w:tcW w:w="2560" w:type="dxa"/>
            <w:tcBorders>
              <w:top w:val="single" w:sz="4" w:space="0" w:color="auto"/>
              <w:left w:val="nil"/>
              <w:bottom w:val="single" w:sz="4" w:space="0" w:color="auto"/>
              <w:right w:val="nil"/>
            </w:tcBorders>
            <w:shd w:val="clear" w:color="000000" w:fill="FFFFFF"/>
            <w:vAlign w:val="center"/>
            <w:hideMark/>
          </w:tcPr>
          <w:p w14:paraId="2EE00ABC" w14:textId="77777777" w:rsidR="00697268" w:rsidRPr="00AA652C" w:rsidRDefault="00697268" w:rsidP="00AB0350">
            <w:pPr>
              <w:spacing w:after="0" w:line="240" w:lineRule="auto"/>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Celkom štátny dlh</w:t>
            </w:r>
          </w:p>
        </w:tc>
        <w:tc>
          <w:tcPr>
            <w:tcW w:w="1041" w:type="dxa"/>
            <w:tcBorders>
              <w:top w:val="single" w:sz="4" w:space="0" w:color="auto"/>
              <w:left w:val="nil"/>
              <w:bottom w:val="single" w:sz="4" w:space="0" w:color="auto"/>
              <w:right w:val="nil"/>
            </w:tcBorders>
            <w:shd w:val="clear" w:color="auto" w:fill="auto"/>
            <w:vAlign w:val="center"/>
            <w:hideMark/>
          </w:tcPr>
          <w:p w14:paraId="64089554" w14:textId="77777777" w:rsidR="00697268" w:rsidRPr="00AA652C" w:rsidRDefault="00697268" w:rsidP="00AB0350">
            <w:pPr>
              <w:spacing w:after="0" w:line="240" w:lineRule="auto"/>
              <w:jc w:val="right"/>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796 973</w:t>
            </w:r>
          </w:p>
        </w:tc>
        <w:tc>
          <w:tcPr>
            <w:tcW w:w="1060" w:type="dxa"/>
            <w:tcBorders>
              <w:top w:val="single" w:sz="4" w:space="0" w:color="auto"/>
              <w:left w:val="nil"/>
              <w:bottom w:val="single" w:sz="4" w:space="0" w:color="auto"/>
              <w:right w:val="nil"/>
            </w:tcBorders>
            <w:shd w:val="clear" w:color="auto" w:fill="auto"/>
            <w:vAlign w:val="center"/>
            <w:hideMark/>
          </w:tcPr>
          <w:p w14:paraId="3855A45A" w14:textId="77777777" w:rsidR="00697268" w:rsidRPr="00AA652C" w:rsidRDefault="00697268" w:rsidP="00AB0350">
            <w:pPr>
              <w:spacing w:after="0" w:line="240" w:lineRule="auto"/>
              <w:jc w:val="right"/>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1 112 350</w:t>
            </w:r>
          </w:p>
        </w:tc>
        <w:tc>
          <w:tcPr>
            <w:tcW w:w="1000" w:type="dxa"/>
            <w:tcBorders>
              <w:top w:val="single" w:sz="4" w:space="0" w:color="auto"/>
              <w:left w:val="nil"/>
              <w:bottom w:val="single" w:sz="4" w:space="0" w:color="auto"/>
              <w:right w:val="nil"/>
            </w:tcBorders>
            <w:shd w:val="clear" w:color="auto" w:fill="auto"/>
            <w:vAlign w:val="center"/>
            <w:hideMark/>
          </w:tcPr>
          <w:p w14:paraId="488ED0FC" w14:textId="77777777" w:rsidR="00697268" w:rsidRPr="00AA652C" w:rsidRDefault="00697268" w:rsidP="00AB0350">
            <w:pPr>
              <w:spacing w:after="0" w:line="240" w:lineRule="auto"/>
              <w:jc w:val="right"/>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1 089 976</w:t>
            </w:r>
          </w:p>
        </w:tc>
        <w:tc>
          <w:tcPr>
            <w:tcW w:w="1160" w:type="dxa"/>
            <w:tcBorders>
              <w:top w:val="single" w:sz="4" w:space="0" w:color="auto"/>
              <w:left w:val="nil"/>
              <w:bottom w:val="single" w:sz="4" w:space="0" w:color="auto"/>
              <w:right w:val="nil"/>
            </w:tcBorders>
            <w:shd w:val="clear" w:color="auto" w:fill="auto"/>
            <w:vAlign w:val="center"/>
            <w:hideMark/>
          </w:tcPr>
          <w:p w14:paraId="29F4278B" w14:textId="77777777" w:rsidR="00697268" w:rsidRPr="00AA652C" w:rsidRDefault="00697268" w:rsidP="00AB0350">
            <w:pPr>
              <w:spacing w:after="0" w:line="240" w:lineRule="auto"/>
              <w:jc w:val="right"/>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1 059 331</w:t>
            </w:r>
          </w:p>
        </w:tc>
        <w:tc>
          <w:tcPr>
            <w:tcW w:w="1160" w:type="dxa"/>
            <w:tcBorders>
              <w:top w:val="single" w:sz="4" w:space="0" w:color="auto"/>
              <w:left w:val="nil"/>
              <w:bottom w:val="single" w:sz="4" w:space="0" w:color="auto"/>
              <w:right w:val="nil"/>
            </w:tcBorders>
            <w:shd w:val="clear" w:color="auto" w:fill="auto"/>
            <w:vAlign w:val="center"/>
            <w:hideMark/>
          </w:tcPr>
          <w:p w14:paraId="169DCABA" w14:textId="77777777" w:rsidR="00697268" w:rsidRPr="00AA652C" w:rsidRDefault="00697268" w:rsidP="00AB0350">
            <w:pPr>
              <w:spacing w:after="0" w:line="240" w:lineRule="auto"/>
              <w:jc w:val="right"/>
              <w:rPr>
                <w:rFonts w:eastAsia="Times New Roman" w:cs="Times New Roman"/>
                <w:b/>
                <w:bCs/>
                <w:color w:val="000000"/>
                <w:sz w:val="20"/>
                <w:szCs w:val="20"/>
                <w:lang w:eastAsia="sk-SK"/>
              </w:rPr>
            </w:pPr>
            <w:r w:rsidRPr="00AA652C">
              <w:rPr>
                <w:rFonts w:eastAsia="Times New Roman" w:cs="Times New Roman"/>
                <w:b/>
                <w:bCs/>
                <w:color w:val="000000"/>
                <w:sz w:val="20"/>
                <w:szCs w:val="20"/>
                <w:lang w:eastAsia="sk-SK"/>
              </w:rPr>
              <w:t>-30 645</w:t>
            </w:r>
          </w:p>
        </w:tc>
        <w:tc>
          <w:tcPr>
            <w:tcW w:w="800" w:type="dxa"/>
            <w:tcBorders>
              <w:top w:val="single" w:sz="4" w:space="0" w:color="auto"/>
              <w:left w:val="nil"/>
              <w:bottom w:val="single" w:sz="4" w:space="0" w:color="auto"/>
              <w:right w:val="nil"/>
            </w:tcBorders>
            <w:shd w:val="clear" w:color="auto" w:fill="auto"/>
            <w:vAlign w:val="center"/>
            <w:hideMark/>
          </w:tcPr>
          <w:p w14:paraId="3E770322" w14:textId="77777777" w:rsidR="00697268" w:rsidRPr="00AA652C" w:rsidRDefault="00697268" w:rsidP="00AB0350">
            <w:pPr>
              <w:spacing w:after="0" w:line="240" w:lineRule="auto"/>
              <w:jc w:val="right"/>
              <w:rPr>
                <w:rFonts w:eastAsia="Times New Roman" w:cs="Times New Roman"/>
                <w:color w:val="000000"/>
                <w:sz w:val="20"/>
                <w:szCs w:val="20"/>
                <w:lang w:eastAsia="sk-SK"/>
              </w:rPr>
            </w:pPr>
            <w:r w:rsidRPr="00AA652C">
              <w:rPr>
                <w:rFonts w:eastAsia="Times New Roman" w:cs="Times New Roman"/>
                <w:color w:val="000000"/>
                <w:sz w:val="20"/>
                <w:szCs w:val="20"/>
                <w:lang w:eastAsia="sk-SK"/>
              </w:rPr>
              <w:t>-2,8</w:t>
            </w:r>
          </w:p>
        </w:tc>
      </w:tr>
    </w:tbl>
    <w:p w14:paraId="3FCE92BE" w14:textId="77777777" w:rsidR="00697268" w:rsidRPr="000F3226" w:rsidRDefault="00697268" w:rsidP="00697268">
      <w:pPr>
        <w:shd w:val="clear" w:color="auto" w:fill="FFFFFF" w:themeFill="background1"/>
        <w:spacing w:line="240" w:lineRule="auto"/>
        <w:ind w:left="6630" w:firstLine="510"/>
        <w:jc w:val="right"/>
        <w:rPr>
          <w:rFonts w:cs="Times New Roman"/>
          <w:sz w:val="20"/>
          <w:szCs w:val="20"/>
        </w:rPr>
      </w:pPr>
      <w:r w:rsidRPr="000F3226">
        <w:rPr>
          <w:rFonts w:cs="Times New Roman"/>
          <w:sz w:val="20"/>
          <w:szCs w:val="20"/>
        </w:rPr>
        <w:t>Zdroj: MF SR</w:t>
      </w:r>
    </w:p>
    <w:p w14:paraId="72E04B07" w14:textId="565500AD" w:rsidR="00697268" w:rsidRPr="00B51948" w:rsidRDefault="00697268" w:rsidP="00697268">
      <w:pPr>
        <w:shd w:val="clear" w:color="auto" w:fill="FFFFFF" w:themeFill="background1"/>
        <w:spacing w:line="240" w:lineRule="auto"/>
        <w:rPr>
          <w:rFonts w:cs="Times New Roman"/>
          <w:color w:val="FF0000"/>
          <w:sz w:val="24"/>
          <w:szCs w:val="24"/>
        </w:rPr>
      </w:pPr>
      <w:r w:rsidRPr="00EB3298">
        <w:rPr>
          <w:rFonts w:eastAsia="Times New Roman" w:cs="Times New Roman"/>
          <w:sz w:val="24"/>
          <w:szCs w:val="24"/>
          <w:lang w:eastAsia="sk-SK"/>
        </w:rPr>
        <w:t>V hotovostnom rozpočte štátneho dlhu v roku 2022 sa podarilo ušetriť 30 645 tis. eur. Počas roka 2022 pokračovali nákupy slovenských štátnych dlhopisov zo strany ECB (NBS), čo malo pozitívny vplyv na celkový dopyt v aukciách. Predaj dlhopisov s väčšími kupónmi, v porovnaní s výnosmi do splatnosti, prispel k dosiahnutiu prémií v aukciách štátnych dlhopisov a k úsporám na výdavkoch spojených so správou štátneho dlhu. Tento pozitívny vplyv bol však v porovnaní s minulými rokmi menší a v roku 2023 už bude minimálny, keďže kupóny dlhopisov budú takmer na úrovni výnosov, alebo budú menšie. Pod vplyvom výrazného nárastu základných úrokových sadzieb ECB, ako reakcie ECB na dvojcifernú infláciu, vzrástli aj výnosy dlhopisov v celej eurozóne. Avšak aktívna správa portfólia sa prejavila iba v miernom zvýšení priemernej váženej úrokovej sadzby celkových záväzkov štátu z úrovne 1,29 % p. a. v</w:t>
      </w:r>
      <w:r>
        <w:rPr>
          <w:rFonts w:eastAsia="Times New Roman" w:cs="Times New Roman"/>
          <w:sz w:val="24"/>
          <w:szCs w:val="24"/>
          <w:lang w:eastAsia="sk-SK"/>
        </w:rPr>
        <w:t> </w:t>
      </w:r>
      <w:r w:rsidRPr="00EB3298">
        <w:rPr>
          <w:rFonts w:eastAsia="Times New Roman" w:cs="Times New Roman"/>
          <w:sz w:val="24"/>
          <w:szCs w:val="24"/>
          <w:lang w:eastAsia="sk-SK"/>
        </w:rPr>
        <w:t>roku 2021 na úroveň 1,31 % p. a. na konci roka 2022. Na správu štátneho dlhu pozitívne vplýval aj systém štátnej pokladnice, ktorý zabezpečil, že SR mala k dispozícii stabilné a lacné zdroje financovania, ktoré slúžili hlavne ako hotovostná rezerva v zhoršených časoch na</w:t>
      </w:r>
      <w:r>
        <w:rPr>
          <w:rFonts w:eastAsia="Times New Roman" w:cs="Times New Roman"/>
          <w:sz w:val="24"/>
          <w:szCs w:val="24"/>
          <w:lang w:eastAsia="sk-SK"/>
        </w:rPr>
        <w:t> </w:t>
      </w:r>
      <w:r w:rsidRPr="00EB3298">
        <w:rPr>
          <w:rFonts w:eastAsia="Times New Roman" w:cs="Times New Roman"/>
          <w:sz w:val="24"/>
          <w:szCs w:val="24"/>
          <w:lang w:eastAsia="sk-SK"/>
        </w:rPr>
        <w:t>finančnom trhu (vypuknutie vojny na Ukrajine).</w:t>
      </w:r>
    </w:p>
    <w:tbl>
      <w:tblPr>
        <w:tblW w:w="8740" w:type="dxa"/>
        <w:tblCellMar>
          <w:left w:w="70" w:type="dxa"/>
          <w:right w:w="70" w:type="dxa"/>
        </w:tblCellMar>
        <w:tblLook w:val="04A0" w:firstRow="1" w:lastRow="0" w:firstColumn="1" w:lastColumn="0" w:noHBand="0" w:noVBand="1"/>
      </w:tblPr>
      <w:tblGrid>
        <w:gridCol w:w="9214"/>
      </w:tblGrid>
      <w:tr w:rsidR="009C238D" w:rsidRPr="00AC2B5B" w14:paraId="32EBDD9A" w14:textId="77777777" w:rsidTr="00AC2B5B">
        <w:trPr>
          <w:trHeight w:val="289"/>
        </w:trPr>
        <w:tc>
          <w:tcPr>
            <w:tcW w:w="8740" w:type="dxa"/>
            <w:tcBorders>
              <w:top w:val="nil"/>
              <w:left w:val="nil"/>
              <w:bottom w:val="nil"/>
              <w:right w:val="nil"/>
            </w:tcBorders>
            <w:shd w:val="clear" w:color="auto" w:fill="auto"/>
            <w:noWrap/>
            <w:vAlign w:val="bottom"/>
            <w:hideMark/>
          </w:tcPr>
          <w:p w14:paraId="21AB3ABD" w14:textId="1379060E" w:rsidR="009C238D" w:rsidRPr="00AC2B5B" w:rsidRDefault="009C238D" w:rsidP="003234A0">
            <w:pPr>
              <w:pStyle w:val="Graf"/>
            </w:pPr>
            <w:r w:rsidRPr="00AC2B5B">
              <w:rPr>
                <w:color w:val="FF0000"/>
              </w:rPr>
              <w:br w:type="page"/>
            </w:r>
            <w:r w:rsidR="00240940">
              <w:t>Tabuľka 3</w:t>
            </w:r>
            <w:r w:rsidR="008B3212">
              <w:t>8</w:t>
            </w:r>
            <w:r w:rsidRPr="00AC2B5B">
              <w:t xml:space="preserve"> - Prehľad príjmov a výdavkov na saldo účte Štátneho dlhu</w:t>
            </w:r>
          </w:p>
          <w:tbl>
            <w:tblPr>
              <w:tblW w:w="9214" w:type="dxa"/>
              <w:tblCellMar>
                <w:left w:w="70" w:type="dxa"/>
                <w:right w:w="70" w:type="dxa"/>
              </w:tblCellMar>
              <w:tblLook w:val="04A0" w:firstRow="1" w:lastRow="0" w:firstColumn="1" w:lastColumn="0" w:noHBand="0" w:noVBand="1"/>
            </w:tblPr>
            <w:tblGrid>
              <w:gridCol w:w="4824"/>
              <w:gridCol w:w="1521"/>
              <w:gridCol w:w="1413"/>
              <w:gridCol w:w="1456"/>
            </w:tblGrid>
            <w:tr w:rsidR="009C238D" w:rsidRPr="00AC2B5B" w14:paraId="1CB60512" w14:textId="77777777" w:rsidTr="00AC2B5B">
              <w:trPr>
                <w:trHeight w:val="289"/>
              </w:trPr>
              <w:tc>
                <w:tcPr>
                  <w:tcW w:w="4440" w:type="dxa"/>
                  <w:tcBorders>
                    <w:top w:val="single" w:sz="4" w:space="0" w:color="auto"/>
                    <w:left w:val="nil"/>
                    <w:bottom w:val="single" w:sz="4" w:space="0" w:color="auto"/>
                    <w:right w:val="nil"/>
                  </w:tcBorders>
                  <w:shd w:val="clear" w:color="auto" w:fill="auto"/>
                  <w:noWrap/>
                  <w:vAlign w:val="center"/>
                  <w:hideMark/>
                </w:tcPr>
                <w:p w14:paraId="40F92D6A" w14:textId="77777777" w:rsidR="009C238D" w:rsidRPr="00AC2B5B" w:rsidRDefault="009C238D" w:rsidP="00AB0350">
                  <w:pPr>
                    <w:spacing w:after="0" w:line="240" w:lineRule="auto"/>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v tis. eur</w:t>
                  </w:r>
                </w:p>
              </w:tc>
              <w:tc>
                <w:tcPr>
                  <w:tcW w:w="1400" w:type="dxa"/>
                  <w:tcBorders>
                    <w:top w:val="single" w:sz="4" w:space="0" w:color="auto"/>
                    <w:left w:val="nil"/>
                    <w:bottom w:val="single" w:sz="4" w:space="0" w:color="auto"/>
                    <w:right w:val="nil"/>
                  </w:tcBorders>
                  <w:shd w:val="clear" w:color="auto" w:fill="auto"/>
                  <w:noWrap/>
                  <w:vAlign w:val="center"/>
                  <w:hideMark/>
                </w:tcPr>
                <w:p w14:paraId="325023A9" w14:textId="77777777" w:rsidR="009C238D" w:rsidRPr="00AC2B5B" w:rsidRDefault="009C238D" w:rsidP="00AB0350">
                  <w:pPr>
                    <w:spacing w:after="0" w:line="240" w:lineRule="auto"/>
                    <w:jc w:val="center"/>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2020 S</w:t>
                  </w:r>
                </w:p>
              </w:tc>
              <w:tc>
                <w:tcPr>
                  <w:tcW w:w="1300" w:type="dxa"/>
                  <w:tcBorders>
                    <w:top w:val="single" w:sz="4" w:space="0" w:color="auto"/>
                    <w:left w:val="nil"/>
                    <w:bottom w:val="single" w:sz="4" w:space="0" w:color="auto"/>
                    <w:right w:val="nil"/>
                  </w:tcBorders>
                  <w:shd w:val="clear" w:color="auto" w:fill="auto"/>
                  <w:noWrap/>
                  <w:vAlign w:val="center"/>
                  <w:hideMark/>
                </w:tcPr>
                <w:p w14:paraId="4774D04D" w14:textId="77777777" w:rsidR="009C238D" w:rsidRPr="00AC2B5B" w:rsidRDefault="009C238D" w:rsidP="00AB0350">
                  <w:pPr>
                    <w:spacing w:after="0" w:line="240" w:lineRule="auto"/>
                    <w:jc w:val="center"/>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2021 S</w:t>
                  </w:r>
                </w:p>
              </w:tc>
              <w:tc>
                <w:tcPr>
                  <w:tcW w:w="1340" w:type="dxa"/>
                  <w:tcBorders>
                    <w:top w:val="single" w:sz="4" w:space="0" w:color="auto"/>
                    <w:left w:val="nil"/>
                    <w:bottom w:val="single" w:sz="4" w:space="0" w:color="auto"/>
                    <w:right w:val="nil"/>
                  </w:tcBorders>
                  <w:shd w:val="clear" w:color="auto" w:fill="auto"/>
                  <w:noWrap/>
                  <w:vAlign w:val="center"/>
                  <w:hideMark/>
                </w:tcPr>
                <w:p w14:paraId="676805DE" w14:textId="77777777" w:rsidR="009C238D" w:rsidRPr="00AC2B5B" w:rsidRDefault="009C238D" w:rsidP="00AB0350">
                  <w:pPr>
                    <w:spacing w:after="0" w:line="240" w:lineRule="auto"/>
                    <w:jc w:val="center"/>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2022 S</w:t>
                  </w:r>
                </w:p>
              </w:tc>
            </w:tr>
            <w:tr w:rsidR="009C238D" w:rsidRPr="00AC2B5B" w14:paraId="04ABBCDC" w14:textId="77777777" w:rsidTr="00AC2B5B">
              <w:trPr>
                <w:trHeight w:val="289"/>
              </w:trPr>
              <w:tc>
                <w:tcPr>
                  <w:tcW w:w="4440" w:type="dxa"/>
                  <w:tcBorders>
                    <w:top w:val="nil"/>
                    <w:left w:val="nil"/>
                    <w:bottom w:val="nil"/>
                    <w:right w:val="nil"/>
                  </w:tcBorders>
                  <w:shd w:val="clear" w:color="auto" w:fill="auto"/>
                  <w:noWrap/>
                  <w:vAlign w:val="center"/>
                  <w:hideMark/>
                </w:tcPr>
                <w:p w14:paraId="0DED3AD7" w14:textId="77777777" w:rsidR="009C238D" w:rsidRPr="00AC2B5B" w:rsidRDefault="009C238D" w:rsidP="00AB0350">
                  <w:pPr>
                    <w:spacing w:after="0" w:line="240" w:lineRule="auto"/>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Príjmy</w:t>
                  </w:r>
                </w:p>
              </w:tc>
              <w:tc>
                <w:tcPr>
                  <w:tcW w:w="1400" w:type="dxa"/>
                  <w:tcBorders>
                    <w:top w:val="nil"/>
                    <w:left w:val="nil"/>
                    <w:bottom w:val="nil"/>
                    <w:right w:val="nil"/>
                  </w:tcBorders>
                  <w:shd w:val="clear" w:color="auto" w:fill="auto"/>
                  <w:vAlign w:val="center"/>
                  <w:hideMark/>
                </w:tcPr>
                <w:p w14:paraId="60F6FF87" w14:textId="77777777" w:rsidR="009C238D" w:rsidRPr="00AC2B5B" w:rsidRDefault="009C238D" w:rsidP="00AB0350">
                  <w:pPr>
                    <w:spacing w:after="0" w:line="240" w:lineRule="auto"/>
                    <w:jc w:val="right"/>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542 142</w:t>
                  </w:r>
                </w:p>
              </w:tc>
              <w:tc>
                <w:tcPr>
                  <w:tcW w:w="1300" w:type="dxa"/>
                  <w:tcBorders>
                    <w:top w:val="nil"/>
                    <w:left w:val="nil"/>
                    <w:bottom w:val="nil"/>
                    <w:right w:val="nil"/>
                  </w:tcBorders>
                  <w:shd w:val="clear" w:color="auto" w:fill="auto"/>
                  <w:vAlign w:val="center"/>
                  <w:hideMark/>
                </w:tcPr>
                <w:p w14:paraId="7EB5CB6F" w14:textId="77777777" w:rsidR="009C238D" w:rsidRPr="00AC2B5B" w:rsidRDefault="009C238D" w:rsidP="00AB0350">
                  <w:pPr>
                    <w:spacing w:after="0" w:line="240" w:lineRule="auto"/>
                    <w:jc w:val="right"/>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575 543</w:t>
                  </w:r>
                </w:p>
              </w:tc>
              <w:tc>
                <w:tcPr>
                  <w:tcW w:w="1340" w:type="dxa"/>
                  <w:tcBorders>
                    <w:top w:val="nil"/>
                    <w:left w:val="nil"/>
                    <w:bottom w:val="nil"/>
                    <w:right w:val="nil"/>
                  </w:tcBorders>
                  <w:shd w:val="clear" w:color="auto" w:fill="auto"/>
                  <w:vAlign w:val="center"/>
                  <w:hideMark/>
                </w:tcPr>
                <w:p w14:paraId="1F4A6906" w14:textId="77777777" w:rsidR="009C238D" w:rsidRPr="00AC2B5B" w:rsidRDefault="009C238D" w:rsidP="00AB0350">
                  <w:pPr>
                    <w:spacing w:after="0" w:line="240" w:lineRule="auto"/>
                    <w:jc w:val="right"/>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127 184</w:t>
                  </w:r>
                </w:p>
              </w:tc>
            </w:tr>
            <w:tr w:rsidR="009C238D" w:rsidRPr="00AC2B5B" w14:paraId="44F890C8" w14:textId="77777777" w:rsidTr="00AC2B5B">
              <w:trPr>
                <w:trHeight w:val="289"/>
              </w:trPr>
              <w:tc>
                <w:tcPr>
                  <w:tcW w:w="4440" w:type="dxa"/>
                  <w:tcBorders>
                    <w:top w:val="nil"/>
                    <w:left w:val="nil"/>
                    <w:bottom w:val="nil"/>
                    <w:right w:val="nil"/>
                  </w:tcBorders>
                  <w:shd w:val="clear" w:color="auto" w:fill="auto"/>
                  <w:noWrap/>
                  <w:vAlign w:val="center"/>
                  <w:hideMark/>
                </w:tcPr>
                <w:p w14:paraId="4B7907CE" w14:textId="77777777" w:rsidR="009C238D" w:rsidRPr="00AC2B5B" w:rsidRDefault="009C238D" w:rsidP="00AB0350">
                  <w:pPr>
                    <w:spacing w:after="0" w:line="240" w:lineRule="auto"/>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Výdavky spolu</w:t>
                  </w:r>
                </w:p>
              </w:tc>
              <w:tc>
                <w:tcPr>
                  <w:tcW w:w="1400" w:type="dxa"/>
                  <w:tcBorders>
                    <w:top w:val="nil"/>
                    <w:left w:val="nil"/>
                    <w:bottom w:val="nil"/>
                    <w:right w:val="nil"/>
                  </w:tcBorders>
                  <w:shd w:val="clear" w:color="auto" w:fill="auto"/>
                  <w:vAlign w:val="center"/>
                  <w:hideMark/>
                </w:tcPr>
                <w:p w14:paraId="7D2D5967" w14:textId="77777777" w:rsidR="009C238D" w:rsidRPr="00AC2B5B" w:rsidRDefault="009C238D" w:rsidP="00AB0350">
                  <w:pPr>
                    <w:spacing w:after="0" w:line="240" w:lineRule="auto"/>
                    <w:jc w:val="right"/>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1 338 845</w:t>
                  </w:r>
                </w:p>
              </w:tc>
              <w:tc>
                <w:tcPr>
                  <w:tcW w:w="1300" w:type="dxa"/>
                  <w:tcBorders>
                    <w:top w:val="nil"/>
                    <w:left w:val="nil"/>
                    <w:bottom w:val="nil"/>
                    <w:right w:val="nil"/>
                  </w:tcBorders>
                  <w:shd w:val="clear" w:color="auto" w:fill="auto"/>
                  <w:vAlign w:val="center"/>
                  <w:hideMark/>
                </w:tcPr>
                <w:p w14:paraId="4FCBB004" w14:textId="77777777" w:rsidR="009C238D" w:rsidRPr="00AC2B5B" w:rsidRDefault="009C238D" w:rsidP="00AB0350">
                  <w:pPr>
                    <w:spacing w:after="0" w:line="240" w:lineRule="auto"/>
                    <w:jc w:val="right"/>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1 232 761</w:t>
                  </w:r>
                </w:p>
              </w:tc>
              <w:tc>
                <w:tcPr>
                  <w:tcW w:w="1340" w:type="dxa"/>
                  <w:tcBorders>
                    <w:top w:val="nil"/>
                    <w:left w:val="nil"/>
                    <w:bottom w:val="nil"/>
                    <w:right w:val="nil"/>
                  </w:tcBorders>
                  <w:shd w:val="clear" w:color="auto" w:fill="auto"/>
                  <w:vAlign w:val="center"/>
                  <w:hideMark/>
                </w:tcPr>
                <w:p w14:paraId="542C5CFF" w14:textId="77777777" w:rsidR="009C238D" w:rsidRPr="00AC2B5B" w:rsidRDefault="009C238D" w:rsidP="00AB0350">
                  <w:pPr>
                    <w:spacing w:after="0" w:line="240" w:lineRule="auto"/>
                    <w:jc w:val="right"/>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1 186 245</w:t>
                  </w:r>
                </w:p>
              </w:tc>
            </w:tr>
            <w:tr w:rsidR="009C238D" w:rsidRPr="00AC2B5B" w14:paraId="6C007D77" w14:textId="77777777" w:rsidTr="00AC2B5B">
              <w:trPr>
                <w:trHeight w:val="289"/>
              </w:trPr>
              <w:tc>
                <w:tcPr>
                  <w:tcW w:w="4440" w:type="dxa"/>
                  <w:tcBorders>
                    <w:top w:val="nil"/>
                    <w:left w:val="nil"/>
                    <w:bottom w:val="nil"/>
                    <w:right w:val="nil"/>
                  </w:tcBorders>
                  <w:shd w:val="clear" w:color="auto" w:fill="auto"/>
                  <w:noWrap/>
                  <w:vAlign w:val="center"/>
                  <w:hideMark/>
                </w:tcPr>
                <w:p w14:paraId="0ED722F3" w14:textId="77777777" w:rsidR="009C238D" w:rsidRPr="00AC2B5B" w:rsidRDefault="009C238D" w:rsidP="00AB0350">
                  <w:pPr>
                    <w:spacing w:after="0" w:line="240" w:lineRule="auto"/>
                    <w:rPr>
                      <w:rFonts w:eastAsia="Times New Roman" w:cs="Times New Roman"/>
                      <w:color w:val="000000"/>
                      <w:sz w:val="20"/>
                      <w:szCs w:val="20"/>
                      <w:lang w:eastAsia="sk-SK"/>
                    </w:rPr>
                  </w:pPr>
                  <w:r w:rsidRPr="00AC2B5B">
                    <w:rPr>
                      <w:rFonts w:eastAsia="Times New Roman" w:cs="Times New Roman"/>
                      <w:color w:val="000000"/>
                      <w:sz w:val="20"/>
                      <w:szCs w:val="20"/>
                      <w:lang w:eastAsia="sk-SK"/>
                    </w:rPr>
                    <w:t xml:space="preserve">v tom: </w:t>
                  </w:r>
                </w:p>
              </w:tc>
              <w:tc>
                <w:tcPr>
                  <w:tcW w:w="1400" w:type="dxa"/>
                  <w:tcBorders>
                    <w:top w:val="nil"/>
                    <w:left w:val="nil"/>
                    <w:bottom w:val="nil"/>
                    <w:right w:val="nil"/>
                  </w:tcBorders>
                  <w:shd w:val="clear" w:color="auto" w:fill="auto"/>
                  <w:noWrap/>
                  <w:vAlign w:val="center"/>
                  <w:hideMark/>
                </w:tcPr>
                <w:p w14:paraId="6E647308" w14:textId="77777777" w:rsidR="009C238D" w:rsidRPr="00AC2B5B" w:rsidRDefault="009C238D" w:rsidP="00AB0350">
                  <w:pPr>
                    <w:spacing w:after="0" w:line="240" w:lineRule="auto"/>
                    <w:rPr>
                      <w:rFonts w:eastAsia="Times New Roman" w:cs="Times New Roman"/>
                      <w:color w:val="000000"/>
                      <w:sz w:val="20"/>
                      <w:szCs w:val="20"/>
                      <w:lang w:eastAsia="sk-SK"/>
                    </w:rPr>
                  </w:pPr>
                </w:p>
              </w:tc>
              <w:tc>
                <w:tcPr>
                  <w:tcW w:w="1300" w:type="dxa"/>
                  <w:tcBorders>
                    <w:top w:val="nil"/>
                    <w:left w:val="nil"/>
                    <w:bottom w:val="nil"/>
                    <w:right w:val="nil"/>
                  </w:tcBorders>
                  <w:shd w:val="clear" w:color="auto" w:fill="auto"/>
                  <w:vAlign w:val="center"/>
                  <w:hideMark/>
                </w:tcPr>
                <w:p w14:paraId="1E9DE0EF" w14:textId="77777777" w:rsidR="009C238D" w:rsidRPr="00AC2B5B" w:rsidRDefault="009C238D" w:rsidP="00AB0350">
                  <w:pPr>
                    <w:spacing w:after="0" w:line="240" w:lineRule="auto"/>
                    <w:rPr>
                      <w:rFonts w:eastAsia="Times New Roman" w:cs="Times New Roman"/>
                      <w:sz w:val="20"/>
                      <w:szCs w:val="20"/>
                      <w:lang w:eastAsia="sk-SK"/>
                    </w:rPr>
                  </w:pPr>
                </w:p>
              </w:tc>
              <w:tc>
                <w:tcPr>
                  <w:tcW w:w="1340" w:type="dxa"/>
                  <w:tcBorders>
                    <w:top w:val="nil"/>
                    <w:left w:val="nil"/>
                    <w:bottom w:val="nil"/>
                    <w:right w:val="nil"/>
                  </w:tcBorders>
                  <w:shd w:val="clear" w:color="auto" w:fill="auto"/>
                  <w:vAlign w:val="center"/>
                  <w:hideMark/>
                </w:tcPr>
                <w:p w14:paraId="29CB0160" w14:textId="77777777" w:rsidR="009C238D" w:rsidRPr="00AC2B5B" w:rsidRDefault="009C238D" w:rsidP="00AB0350">
                  <w:pPr>
                    <w:spacing w:after="0" w:line="240" w:lineRule="auto"/>
                    <w:rPr>
                      <w:rFonts w:eastAsia="Times New Roman" w:cs="Times New Roman"/>
                      <w:sz w:val="20"/>
                      <w:szCs w:val="20"/>
                      <w:lang w:eastAsia="sk-SK"/>
                    </w:rPr>
                  </w:pPr>
                </w:p>
              </w:tc>
            </w:tr>
            <w:tr w:rsidR="009C238D" w:rsidRPr="00AC2B5B" w14:paraId="20E26FE6" w14:textId="77777777" w:rsidTr="00AC2B5B">
              <w:trPr>
                <w:trHeight w:val="289"/>
              </w:trPr>
              <w:tc>
                <w:tcPr>
                  <w:tcW w:w="4440" w:type="dxa"/>
                  <w:tcBorders>
                    <w:top w:val="nil"/>
                    <w:left w:val="nil"/>
                    <w:bottom w:val="nil"/>
                    <w:right w:val="nil"/>
                  </w:tcBorders>
                  <w:shd w:val="clear" w:color="auto" w:fill="auto"/>
                  <w:noWrap/>
                  <w:vAlign w:val="center"/>
                  <w:hideMark/>
                </w:tcPr>
                <w:p w14:paraId="69DA23E8" w14:textId="77777777" w:rsidR="009C238D" w:rsidRPr="00AC2B5B" w:rsidRDefault="009C238D" w:rsidP="00AB0350">
                  <w:pPr>
                    <w:spacing w:after="0" w:line="240" w:lineRule="auto"/>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 xml:space="preserve">   úroky zo štátnych dlhopisov + obchodov + úverov</w:t>
                  </w:r>
                </w:p>
              </w:tc>
              <w:tc>
                <w:tcPr>
                  <w:tcW w:w="1400" w:type="dxa"/>
                  <w:tcBorders>
                    <w:top w:val="nil"/>
                    <w:left w:val="nil"/>
                    <w:bottom w:val="nil"/>
                    <w:right w:val="nil"/>
                  </w:tcBorders>
                  <w:shd w:val="clear" w:color="auto" w:fill="auto"/>
                  <w:noWrap/>
                  <w:vAlign w:val="center"/>
                  <w:hideMark/>
                </w:tcPr>
                <w:p w14:paraId="70A067DA"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1 206 625</w:t>
                  </w:r>
                </w:p>
              </w:tc>
              <w:tc>
                <w:tcPr>
                  <w:tcW w:w="1300" w:type="dxa"/>
                  <w:tcBorders>
                    <w:top w:val="nil"/>
                    <w:left w:val="nil"/>
                    <w:bottom w:val="nil"/>
                    <w:right w:val="nil"/>
                  </w:tcBorders>
                  <w:shd w:val="clear" w:color="auto" w:fill="auto"/>
                  <w:vAlign w:val="center"/>
                  <w:hideMark/>
                </w:tcPr>
                <w:p w14:paraId="54BCF79A"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1 189 919</w:t>
                  </w:r>
                </w:p>
              </w:tc>
              <w:tc>
                <w:tcPr>
                  <w:tcW w:w="1340" w:type="dxa"/>
                  <w:tcBorders>
                    <w:top w:val="nil"/>
                    <w:left w:val="nil"/>
                    <w:bottom w:val="nil"/>
                    <w:right w:val="nil"/>
                  </w:tcBorders>
                  <w:shd w:val="clear" w:color="auto" w:fill="auto"/>
                  <w:vAlign w:val="center"/>
                  <w:hideMark/>
                </w:tcPr>
                <w:p w14:paraId="7073ADE0"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1 142 785</w:t>
                  </w:r>
                </w:p>
              </w:tc>
            </w:tr>
            <w:tr w:rsidR="009C238D" w:rsidRPr="00AC2B5B" w14:paraId="3B738D1E" w14:textId="77777777" w:rsidTr="00AC2B5B">
              <w:trPr>
                <w:trHeight w:val="289"/>
              </w:trPr>
              <w:tc>
                <w:tcPr>
                  <w:tcW w:w="4440" w:type="dxa"/>
                  <w:tcBorders>
                    <w:top w:val="nil"/>
                    <w:left w:val="nil"/>
                    <w:bottom w:val="nil"/>
                    <w:right w:val="nil"/>
                  </w:tcBorders>
                  <w:shd w:val="clear" w:color="auto" w:fill="auto"/>
                  <w:noWrap/>
                  <w:vAlign w:val="center"/>
                  <w:hideMark/>
                </w:tcPr>
                <w:p w14:paraId="29EB9868" w14:textId="77777777" w:rsidR="009C238D" w:rsidRPr="00AC2B5B" w:rsidRDefault="009C238D" w:rsidP="00AB0350">
                  <w:pPr>
                    <w:spacing w:after="0" w:line="240" w:lineRule="auto"/>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 xml:space="preserve">   úroky z refinančného systému - ŠP</w:t>
                  </w:r>
                </w:p>
              </w:tc>
              <w:tc>
                <w:tcPr>
                  <w:tcW w:w="1400" w:type="dxa"/>
                  <w:tcBorders>
                    <w:top w:val="nil"/>
                    <w:left w:val="nil"/>
                    <w:bottom w:val="nil"/>
                    <w:right w:val="nil"/>
                  </w:tcBorders>
                  <w:shd w:val="clear" w:color="auto" w:fill="auto"/>
                  <w:noWrap/>
                  <w:vAlign w:val="center"/>
                  <w:hideMark/>
                </w:tcPr>
                <w:p w14:paraId="4E429D0E"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54 798</w:t>
                  </w:r>
                </w:p>
              </w:tc>
              <w:tc>
                <w:tcPr>
                  <w:tcW w:w="1300" w:type="dxa"/>
                  <w:tcBorders>
                    <w:top w:val="nil"/>
                    <w:left w:val="nil"/>
                    <w:bottom w:val="nil"/>
                    <w:right w:val="nil"/>
                  </w:tcBorders>
                  <w:shd w:val="clear" w:color="auto" w:fill="auto"/>
                  <w:vAlign w:val="center"/>
                  <w:hideMark/>
                </w:tcPr>
                <w:p w14:paraId="6C9002AB"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28 378</w:t>
                  </w:r>
                </w:p>
              </w:tc>
              <w:tc>
                <w:tcPr>
                  <w:tcW w:w="1340" w:type="dxa"/>
                  <w:tcBorders>
                    <w:top w:val="nil"/>
                    <w:left w:val="nil"/>
                    <w:bottom w:val="nil"/>
                    <w:right w:val="nil"/>
                  </w:tcBorders>
                  <w:shd w:val="clear" w:color="auto" w:fill="auto"/>
                  <w:vAlign w:val="center"/>
                  <w:hideMark/>
                </w:tcPr>
                <w:p w14:paraId="6BC33921"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25 161</w:t>
                  </w:r>
                </w:p>
              </w:tc>
            </w:tr>
            <w:tr w:rsidR="009C238D" w:rsidRPr="00AC2B5B" w14:paraId="06219D4D" w14:textId="77777777" w:rsidTr="00AC2B5B">
              <w:trPr>
                <w:trHeight w:val="289"/>
              </w:trPr>
              <w:tc>
                <w:tcPr>
                  <w:tcW w:w="4440" w:type="dxa"/>
                  <w:tcBorders>
                    <w:top w:val="nil"/>
                    <w:left w:val="nil"/>
                    <w:bottom w:val="nil"/>
                    <w:right w:val="nil"/>
                  </w:tcBorders>
                  <w:shd w:val="clear" w:color="auto" w:fill="auto"/>
                  <w:noWrap/>
                  <w:vAlign w:val="center"/>
                  <w:hideMark/>
                </w:tcPr>
                <w:p w14:paraId="5AF9818D" w14:textId="77777777" w:rsidR="009C238D" w:rsidRPr="00AC2B5B" w:rsidRDefault="009C238D" w:rsidP="00AB0350">
                  <w:pPr>
                    <w:spacing w:after="0" w:line="240" w:lineRule="auto"/>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 xml:space="preserve">   </w:t>
                  </w:r>
                  <w:proofErr w:type="spellStart"/>
                  <w:r w:rsidRPr="00AC2B5B">
                    <w:rPr>
                      <w:rFonts w:eastAsia="Times New Roman" w:cs="Times New Roman"/>
                      <w:i/>
                      <w:iCs/>
                      <w:color w:val="000000"/>
                      <w:sz w:val="20"/>
                      <w:szCs w:val="20"/>
                      <w:lang w:eastAsia="sk-SK"/>
                    </w:rPr>
                    <w:t>disážio</w:t>
                  </w:r>
                  <w:proofErr w:type="spellEnd"/>
                  <w:r w:rsidRPr="00AC2B5B">
                    <w:rPr>
                      <w:rFonts w:eastAsia="Times New Roman" w:cs="Times New Roman"/>
                      <w:i/>
                      <w:iCs/>
                      <w:color w:val="000000"/>
                      <w:sz w:val="20"/>
                      <w:szCs w:val="20"/>
                      <w:lang w:eastAsia="sk-SK"/>
                    </w:rPr>
                    <w:t xml:space="preserve"> (diskont CP)</w:t>
                  </w:r>
                </w:p>
              </w:tc>
              <w:tc>
                <w:tcPr>
                  <w:tcW w:w="1400" w:type="dxa"/>
                  <w:tcBorders>
                    <w:top w:val="nil"/>
                    <w:left w:val="nil"/>
                    <w:bottom w:val="nil"/>
                    <w:right w:val="nil"/>
                  </w:tcBorders>
                  <w:shd w:val="clear" w:color="auto" w:fill="auto"/>
                  <w:noWrap/>
                  <w:vAlign w:val="center"/>
                  <w:hideMark/>
                </w:tcPr>
                <w:p w14:paraId="30EBED45"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60 687</w:t>
                  </w:r>
                </w:p>
              </w:tc>
              <w:tc>
                <w:tcPr>
                  <w:tcW w:w="1300" w:type="dxa"/>
                  <w:tcBorders>
                    <w:top w:val="nil"/>
                    <w:left w:val="nil"/>
                    <w:bottom w:val="nil"/>
                    <w:right w:val="nil"/>
                  </w:tcBorders>
                  <w:shd w:val="clear" w:color="auto" w:fill="auto"/>
                  <w:vAlign w:val="center"/>
                  <w:hideMark/>
                </w:tcPr>
                <w:p w14:paraId="65FA2AE2"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5 100</w:t>
                  </w:r>
                </w:p>
              </w:tc>
              <w:tc>
                <w:tcPr>
                  <w:tcW w:w="1340" w:type="dxa"/>
                  <w:tcBorders>
                    <w:top w:val="nil"/>
                    <w:left w:val="nil"/>
                    <w:bottom w:val="nil"/>
                    <w:right w:val="nil"/>
                  </w:tcBorders>
                  <w:shd w:val="clear" w:color="auto" w:fill="auto"/>
                  <w:vAlign w:val="center"/>
                  <w:hideMark/>
                </w:tcPr>
                <w:p w14:paraId="494C107E"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13 524</w:t>
                  </w:r>
                </w:p>
              </w:tc>
            </w:tr>
            <w:tr w:rsidR="009C238D" w:rsidRPr="00AC2B5B" w14:paraId="2CED2F46" w14:textId="77777777" w:rsidTr="00AC2B5B">
              <w:trPr>
                <w:trHeight w:val="289"/>
              </w:trPr>
              <w:tc>
                <w:tcPr>
                  <w:tcW w:w="4440" w:type="dxa"/>
                  <w:tcBorders>
                    <w:top w:val="nil"/>
                    <w:left w:val="nil"/>
                    <w:bottom w:val="nil"/>
                    <w:right w:val="nil"/>
                  </w:tcBorders>
                  <w:shd w:val="clear" w:color="auto" w:fill="auto"/>
                  <w:noWrap/>
                  <w:vAlign w:val="center"/>
                  <w:hideMark/>
                </w:tcPr>
                <w:p w14:paraId="529C392F" w14:textId="77777777" w:rsidR="009C238D" w:rsidRPr="00AC2B5B" w:rsidRDefault="009C238D" w:rsidP="00AB0350">
                  <w:pPr>
                    <w:spacing w:after="0" w:line="240" w:lineRule="auto"/>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 xml:space="preserve">   poplatky </w:t>
                  </w:r>
                </w:p>
              </w:tc>
              <w:tc>
                <w:tcPr>
                  <w:tcW w:w="1400" w:type="dxa"/>
                  <w:tcBorders>
                    <w:top w:val="nil"/>
                    <w:left w:val="nil"/>
                    <w:bottom w:val="single" w:sz="4" w:space="0" w:color="auto"/>
                    <w:right w:val="nil"/>
                  </w:tcBorders>
                  <w:shd w:val="clear" w:color="auto" w:fill="auto"/>
                  <w:noWrap/>
                  <w:vAlign w:val="center"/>
                  <w:hideMark/>
                </w:tcPr>
                <w:p w14:paraId="4E4AB257"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16 735</w:t>
                  </w:r>
                </w:p>
              </w:tc>
              <w:tc>
                <w:tcPr>
                  <w:tcW w:w="1300" w:type="dxa"/>
                  <w:tcBorders>
                    <w:top w:val="nil"/>
                    <w:left w:val="nil"/>
                    <w:bottom w:val="single" w:sz="4" w:space="0" w:color="auto"/>
                    <w:right w:val="nil"/>
                  </w:tcBorders>
                  <w:shd w:val="clear" w:color="auto" w:fill="auto"/>
                  <w:vAlign w:val="center"/>
                  <w:hideMark/>
                </w:tcPr>
                <w:p w14:paraId="22A88D86"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9 364</w:t>
                  </w:r>
                </w:p>
              </w:tc>
              <w:tc>
                <w:tcPr>
                  <w:tcW w:w="1340" w:type="dxa"/>
                  <w:tcBorders>
                    <w:top w:val="nil"/>
                    <w:left w:val="nil"/>
                    <w:bottom w:val="single" w:sz="4" w:space="0" w:color="auto"/>
                    <w:right w:val="nil"/>
                  </w:tcBorders>
                  <w:shd w:val="clear" w:color="auto" w:fill="auto"/>
                  <w:vAlign w:val="center"/>
                  <w:hideMark/>
                </w:tcPr>
                <w:p w14:paraId="3749FFF5" w14:textId="77777777" w:rsidR="009C238D" w:rsidRPr="00AC2B5B" w:rsidRDefault="009C238D" w:rsidP="00AB0350">
                  <w:pPr>
                    <w:spacing w:after="0" w:line="240" w:lineRule="auto"/>
                    <w:jc w:val="right"/>
                    <w:rPr>
                      <w:rFonts w:eastAsia="Times New Roman" w:cs="Times New Roman"/>
                      <w:i/>
                      <w:iCs/>
                      <w:color w:val="000000"/>
                      <w:sz w:val="20"/>
                      <w:szCs w:val="20"/>
                      <w:lang w:eastAsia="sk-SK"/>
                    </w:rPr>
                  </w:pPr>
                  <w:r w:rsidRPr="00AC2B5B">
                    <w:rPr>
                      <w:rFonts w:eastAsia="Times New Roman" w:cs="Times New Roman"/>
                      <w:i/>
                      <w:iCs/>
                      <w:color w:val="000000"/>
                      <w:sz w:val="20"/>
                      <w:szCs w:val="20"/>
                      <w:lang w:eastAsia="sk-SK"/>
                    </w:rPr>
                    <w:t>4 775</w:t>
                  </w:r>
                </w:p>
              </w:tc>
            </w:tr>
            <w:tr w:rsidR="009C238D" w:rsidRPr="00AC2B5B" w14:paraId="7B79A2AD" w14:textId="77777777" w:rsidTr="00AC2B5B">
              <w:trPr>
                <w:trHeight w:val="289"/>
              </w:trPr>
              <w:tc>
                <w:tcPr>
                  <w:tcW w:w="4440" w:type="dxa"/>
                  <w:tcBorders>
                    <w:top w:val="single" w:sz="4" w:space="0" w:color="auto"/>
                    <w:left w:val="nil"/>
                    <w:bottom w:val="single" w:sz="4" w:space="0" w:color="auto"/>
                    <w:right w:val="nil"/>
                  </w:tcBorders>
                  <w:shd w:val="clear" w:color="auto" w:fill="auto"/>
                  <w:noWrap/>
                  <w:vAlign w:val="center"/>
                  <w:hideMark/>
                </w:tcPr>
                <w:p w14:paraId="223B5F08" w14:textId="77777777" w:rsidR="009C238D" w:rsidRPr="00AC2B5B" w:rsidRDefault="009C238D" w:rsidP="00AB0350">
                  <w:pPr>
                    <w:spacing w:after="0" w:line="240" w:lineRule="auto"/>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Spolu saldo</w:t>
                  </w:r>
                </w:p>
              </w:tc>
              <w:tc>
                <w:tcPr>
                  <w:tcW w:w="1400" w:type="dxa"/>
                  <w:tcBorders>
                    <w:top w:val="nil"/>
                    <w:left w:val="nil"/>
                    <w:bottom w:val="single" w:sz="4" w:space="0" w:color="auto"/>
                    <w:right w:val="nil"/>
                  </w:tcBorders>
                  <w:shd w:val="clear" w:color="auto" w:fill="auto"/>
                  <w:noWrap/>
                  <w:vAlign w:val="center"/>
                  <w:hideMark/>
                </w:tcPr>
                <w:p w14:paraId="5AB97E23" w14:textId="77777777" w:rsidR="009C238D" w:rsidRPr="00AC2B5B" w:rsidRDefault="009C238D" w:rsidP="00AB0350">
                  <w:pPr>
                    <w:spacing w:after="0" w:line="240" w:lineRule="auto"/>
                    <w:jc w:val="right"/>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796 703</w:t>
                  </w:r>
                </w:p>
              </w:tc>
              <w:tc>
                <w:tcPr>
                  <w:tcW w:w="1300" w:type="dxa"/>
                  <w:tcBorders>
                    <w:top w:val="nil"/>
                    <w:left w:val="nil"/>
                    <w:bottom w:val="single" w:sz="4" w:space="0" w:color="auto"/>
                    <w:right w:val="nil"/>
                  </w:tcBorders>
                  <w:shd w:val="clear" w:color="auto" w:fill="auto"/>
                  <w:vAlign w:val="center"/>
                  <w:hideMark/>
                </w:tcPr>
                <w:p w14:paraId="1928E274" w14:textId="77777777" w:rsidR="009C238D" w:rsidRPr="00AC2B5B" w:rsidRDefault="009C238D" w:rsidP="00AB0350">
                  <w:pPr>
                    <w:spacing w:after="0" w:line="240" w:lineRule="auto"/>
                    <w:jc w:val="right"/>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657 218</w:t>
                  </w:r>
                </w:p>
              </w:tc>
              <w:tc>
                <w:tcPr>
                  <w:tcW w:w="1340" w:type="dxa"/>
                  <w:tcBorders>
                    <w:top w:val="nil"/>
                    <w:left w:val="nil"/>
                    <w:bottom w:val="single" w:sz="4" w:space="0" w:color="auto"/>
                    <w:right w:val="nil"/>
                  </w:tcBorders>
                  <w:shd w:val="clear" w:color="auto" w:fill="auto"/>
                  <w:vAlign w:val="center"/>
                  <w:hideMark/>
                </w:tcPr>
                <w:p w14:paraId="50843888" w14:textId="77777777" w:rsidR="009C238D" w:rsidRPr="00AC2B5B" w:rsidRDefault="009C238D" w:rsidP="00AB0350">
                  <w:pPr>
                    <w:spacing w:after="0" w:line="240" w:lineRule="auto"/>
                    <w:jc w:val="right"/>
                    <w:rPr>
                      <w:rFonts w:eastAsia="Times New Roman" w:cs="Times New Roman"/>
                      <w:b/>
                      <w:bCs/>
                      <w:color w:val="000000"/>
                      <w:sz w:val="20"/>
                      <w:szCs w:val="20"/>
                      <w:lang w:eastAsia="sk-SK"/>
                    </w:rPr>
                  </w:pPr>
                  <w:r w:rsidRPr="00AC2B5B">
                    <w:rPr>
                      <w:rFonts w:eastAsia="Times New Roman" w:cs="Times New Roman"/>
                      <w:b/>
                      <w:bCs/>
                      <w:color w:val="000000"/>
                      <w:sz w:val="20"/>
                      <w:szCs w:val="20"/>
                      <w:lang w:eastAsia="sk-SK"/>
                    </w:rPr>
                    <w:t>1 059 061</w:t>
                  </w:r>
                </w:p>
              </w:tc>
            </w:tr>
          </w:tbl>
          <w:p w14:paraId="0462CEEC" w14:textId="77777777" w:rsidR="009C238D" w:rsidRPr="00AC2B5B" w:rsidRDefault="009C238D" w:rsidP="00AB0350">
            <w:pPr>
              <w:spacing w:after="0" w:line="240" w:lineRule="auto"/>
              <w:rPr>
                <w:rFonts w:eastAsia="Times New Roman" w:cs="Times New Roman"/>
                <w:color w:val="FF0000"/>
                <w:sz w:val="20"/>
                <w:szCs w:val="20"/>
                <w:lang w:eastAsia="sk-SK"/>
              </w:rPr>
            </w:pPr>
          </w:p>
        </w:tc>
      </w:tr>
    </w:tbl>
    <w:p w14:paraId="1DA12C26" w14:textId="1C4C61FA" w:rsidR="00697268" w:rsidRPr="00AC2B5B" w:rsidRDefault="00697268" w:rsidP="00A640D5">
      <w:pPr>
        <w:pStyle w:val="Bezriadkovania"/>
        <w:jc w:val="right"/>
        <w:rPr>
          <w:b/>
          <w:sz w:val="20"/>
          <w:szCs w:val="20"/>
        </w:rPr>
      </w:pPr>
      <w:r w:rsidRPr="00AC2B5B">
        <w:rPr>
          <w:sz w:val="20"/>
          <w:szCs w:val="20"/>
        </w:rPr>
        <w:t>Zdroj: MF SR</w:t>
      </w:r>
    </w:p>
    <w:p w14:paraId="4B27610E" w14:textId="7C8F818E" w:rsidR="00697268" w:rsidRPr="00E67F21" w:rsidRDefault="00697268" w:rsidP="00697268">
      <w:pPr>
        <w:spacing w:before="120" w:line="240" w:lineRule="auto"/>
        <w:rPr>
          <w:rFonts w:cs="Times New Roman"/>
          <w:sz w:val="24"/>
          <w:szCs w:val="24"/>
        </w:rPr>
      </w:pPr>
      <w:r w:rsidRPr="00E67F21">
        <w:rPr>
          <w:rFonts w:cs="Times New Roman"/>
          <w:sz w:val="24"/>
          <w:szCs w:val="24"/>
        </w:rPr>
        <w:t xml:space="preserve">Druhé najvyššie čerpanie finančných prostriedkov v rámci položky transfery verejnej správy bolo najviac na podpoložke </w:t>
      </w:r>
      <w:r w:rsidRPr="00E67F21">
        <w:rPr>
          <w:rFonts w:cs="Times New Roman"/>
          <w:b/>
          <w:i/>
          <w:sz w:val="24"/>
          <w:szCs w:val="24"/>
        </w:rPr>
        <w:t>transfery obciam,</w:t>
      </w:r>
      <w:r w:rsidRPr="00E67F21">
        <w:rPr>
          <w:rFonts w:cs="Times New Roman"/>
          <w:i/>
          <w:sz w:val="24"/>
          <w:szCs w:val="24"/>
        </w:rPr>
        <w:t xml:space="preserve"> </w:t>
      </w:r>
      <w:r w:rsidRPr="00E67F21">
        <w:rPr>
          <w:rFonts w:cs="Times New Roman"/>
          <w:sz w:val="24"/>
          <w:szCs w:val="24"/>
        </w:rPr>
        <w:t xml:space="preserve">a to suma 1 485 099 tis. eur, čo je v porovnaní s rokom 2021 o 63 934 tis. eur menej. Na úhradu nákladov preneseného výkonu štátnej správy sa vyčerpalo 1 270 357 tis. eur (2021: 1 203 418 tis. eur). </w:t>
      </w:r>
    </w:p>
    <w:p w14:paraId="40C33937" w14:textId="77777777" w:rsidR="00697268" w:rsidRDefault="00697268" w:rsidP="00697268">
      <w:pPr>
        <w:spacing w:before="120" w:line="240" w:lineRule="auto"/>
        <w:rPr>
          <w:rFonts w:cs="Times New Roman"/>
          <w:b/>
          <w:sz w:val="24"/>
          <w:szCs w:val="24"/>
        </w:rPr>
      </w:pPr>
      <w:r w:rsidRPr="00BA6C5E">
        <w:rPr>
          <w:rFonts w:cs="Times New Roman"/>
          <w:b/>
          <w:i/>
        </w:rPr>
        <w:t>Podrobnejšie údaje o transferoch obciam sú uvedené v časti 3.2.3. Vzťahy štátneho rozpočtu k obciam.</w:t>
      </w:r>
    </w:p>
    <w:p w14:paraId="1C76D8BC" w14:textId="77777777" w:rsidR="00697268" w:rsidRPr="001A7552" w:rsidRDefault="00697268" w:rsidP="00697268">
      <w:pPr>
        <w:spacing w:line="240" w:lineRule="auto"/>
        <w:rPr>
          <w:rFonts w:cs="Times New Roman"/>
          <w:sz w:val="24"/>
          <w:szCs w:val="24"/>
        </w:rPr>
      </w:pPr>
      <w:r w:rsidRPr="00FC5F7E">
        <w:rPr>
          <w:rFonts w:cs="Times New Roman"/>
          <w:b/>
          <w:i/>
          <w:sz w:val="24"/>
          <w:szCs w:val="24"/>
        </w:rPr>
        <w:t>Príspevkovej organizácii</w:t>
      </w:r>
      <w:r w:rsidRPr="00FC5F7E">
        <w:rPr>
          <w:rFonts w:cs="Times New Roman"/>
          <w:sz w:val="24"/>
          <w:szCs w:val="24"/>
        </w:rPr>
        <w:t xml:space="preserve"> sa poukázali rozpočtové prostriedky vo výške 854 439 tis. eur (2021: </w:t>
      </w:r>
      <w:r w:rsidRPr="00FC5F7E">
        <w:rPr>
          <w:rFonts w:eastAsia="Calibri" w:cs="Times New Roman"/>
          <w:sz w:val="24"/>
          <w:szCs w:val="24"/>
        </w:rPr>
        <w:t>774 977</w:t>
      </w:r>
      <w:r w:rsidRPr="00FC5F7E">
        <w:rPr>
          <w:rFonts w:cs="Times New Roman"/>
          <w:sz w:val="24"/>
          <w:szCs w:val="24"/>
        </w:rPr>
        <w:t xml:space="preserve"> tis. eur), pričom ide o čerpanie prostriedkov príspevkových organizácií ústrednej správy, ktoré sú v gescii jednotlivých ministerstiev. Bežnými transfermi sa spolufinancuje </w:t>
      </w:r>
      <w:r w:rsidRPr="00FC5F7E">
        <w:rPr>
          <w:rFonts w:cs="Times New Roman"/>
          <w:sz w:val="24"/>
          <w:szCs w:val="24"/>
        </w:rPr>
        <w:lastRenderedPageBreak/>
        <w:t xml:space="preserve">činnosť štátnych príspevkových organizácií v oblasti kultúry, školstva, vedy a výskumu či zdravotníctva. Skutočné čerpanie transferov príspevkovým organizáciám bolo oproti schválenému rozpočtu vyššie o 546 749 tis. eur, na čom sa najviac podieľalo </w:t>
      </w:r>
      <w:r w:rsidRPr="001A7552">
        <w:rPr>
          <w:rFonts w:cs="Times New Roman"/>
          <w:sz w:val="24"/>
          <w:szCs w:val="24"/>
        </w:rPr>
        <w:t>Ministerstvo zdravotníctva SR (o 285 711 tis. eur), Ministerstvo školstva, vedy, výskumu a športu SR (o 126 948</w:t>
      </w:r>
      <w:r>
        <w:rPr>
          <w:rFonts w:cs="Times New Roman"/>
          <w:sz w:val="24"/>
          <w:szCs w:val="24"/>
        </w:rPr>
        <w:t xml:space="preserve"> tis. eur), </w:t>
      </w:r>
      <w:r w:rsidRPr="001A7552">
        <w:rPr>
          <w:rFonts w:cs="Times New Roman"/>
          <w:sz w:val="24"/>
          <w:szCs w:val="24"/>
        </w:rPr>
        <w:t>Ministerstvo životného prostredia SR (o 86 907 tis. eur), Ministerstvo pôdohospodárstva a rozvoja vidieka SR (o 28 030 tis. eur), Ministerstvo obrany SR (o 22 686 tis. eur)</w:t>
      </w:r>
      <w:r>
        <w:rPr>
          <w:rFonts w:cs="Times New Roman"/>
          <w:sz w:val="24"/>
          <w:szCs w:val="24"/>
        </w:rPr>
        <w:t xml:space="preserve">, </w:t>
      </w:r>
      <w:r w:rsidRPr="001A7552">
        <w:rPr>
          <w:rFonts w:cs="Times New Roman"/>
          <w:sz w:val="24"/>
          <w:szCs w:val="24"/>
        </w:rPr>
        <w:t>Ministerstvo hospodárstva SR (o 18 012 tis. eur),</w:t>
      </w:r>
      <w:r w:rsidRPr="00B51948">
        <w:rPr>
          <w:rFonts w:cs="Times New Roman"/>
          <w:color w:val="FF0000"/>
          <w:sz w:val="24"/>
          <w:szCs w:val="24"/>
        </w:rPr>
        <w:t xml:space="preserve"> </w:t>
      </w:r>
      <w:r w:rsidRPr="001A7552">
        <w:rPr>
          <w:rFonts w:cs="Times New Roman"/>
          <w:sz w:val="24"/>
          <w:szCs w:val="24"/>
        </w:rPr>
        <w:t>Ministerstvo kultúry SR (o 13 573 tis. eur)</w:t>
      </w:r>
      <w:r>
        <w:rPr>
          <w:rFonts w:cs="Times New Roman"/>
          <w:sz w:val="24"/>
          <w:szCs w:val="24"/>
        </w:rPr>
        <w:t xml:space="preserve"> a</w:t>
      </w:r>
      <w:r w:rsidRPr="001A7552">
        <w:rPr>
          <w:rFonts w:cs="Times New Roman"/>
          <w:sz w:val="24"/>
          <w:szCs w:val="24"/>
        </w:rPr>
        <w:t xml:space="preserve"> </w:t>
      </w:r>
      <w:r w:rsidRPr="008C44F1">
        <w:rPr>
          <w:rFonts w:cs="Times New Roman"/>
          <w:sz w:val="24"/>
          <w:szCs w:val="24"/>
        </w:rPr>
        <w:t>Ministerstvo vnútra SR (o 11 947 tis. eur)</w:t>
      </w:r>
      <w:r w:rsidRPr="001A7552">
        <w:rPr>
          <w:rFonts w:cs="Times New Roman"/>
          <w:sz w:val="24"/>
          <w:szCs w:val="24"/>
        </w:rPr>
        <w:t>.</w:t>
      </w:r>
    </w:p>
    <w:p w14:paraId="16657167" w14:textId="77777777" w:rsidR="00697268" w:rsidRPr="008C44F1" w:rsidRDefault="00697268" w:rsidP="00697268">
      <w:pPr>
        <w:spacing w:line="240" w:lineRule="auto"/>
        <w:rPr>
          <w:rFonts w:cs="Times New Roman"/>
          <w:sz w:val="24"/>
          <w:szCs w:val="24"/>
        </w:rPr>
      </w:pPr>
      <w:r w:rsidRPr="008C44F1">
        <w:rPr>
          <w:rFonts w:cs="Times New Roman"/>
          <w:sz w:val="24"/>
          <w:szCs w:val="24"/>
        </w:rPr>
        <w:t>Vyššie čerpanie vyplynulo z rozpočtových opatrení najmä z potreby dofinancovania činností vyplývajúcich z finančného zabezpečenia povinností vyplývajúcich z osobitných predpisov, ako aj zo zmlúv o poskytnutí nenávratného finančného príspevku v rámci operačných programov.</w:t>
      </w:r>
    </w:p>
    <w:p w14:paraId="4CBC2C5F" w14:textId="2902708E" w:rsidR="00697268" w:rsidRDefault="00697268" w:rsidP="00697268">
      <w:pPr>
        <w:spacing w:line="240" w:lineRule="auto"/>
        <w:rPr>
          <w:rFonts w:eastAsia="Calibri" w:cs="Times New Roman"/>
          <w:color w:val="1F497D"/>
          <w:sz w:val="24"/>
          <w:szCs w:val="24"/>
        </w:rPr>
      </w:pPr>
      <w:r w:rsidRPr="00237F30">
        <w:rPr>
          <w:rFonts w:eastAsia="Calibri" w:cs="Times New Roman"/>
          <w:sz w:val="24"/>
          <w:szCs w:val="24"/>
        </w:rPr>
        <w:t xml:space="preserve">Najvyššiu hodnotu v rámci týchto transferov čerpalo </w:t>
      </w:r>
      <w:r w:rsidRPr="00237F30">
        <w:rPr>
          <w:rFonts w:eastAsia="Calibri" w:cs="Times New Roman"/>
          <w:sz w:val="24"/>
          <w:szCs w:val="24"/>
          <w:u w:val="single"/>
        </w:rPr>
        <w:t>Ministerstvo zdravotníctva SR</w:t>
      </w:r>
      <w:r w:rsidRPr="00237F30">
        <w:rPr>
          <w:rFonts w:eastAsia="Calibri" w:cs="Times New Roman"/>
          <w:color w:val="1F497D"/>
          <w:sz w:val="24"/>
          <w:szCs w:val="24"/>
        </w:rPr>
        <w:t xml:space="preserve">, </w:t>
      </w:r>
      <w:r w:rsidRPr="00237F30">
        <w:rPr>
          <w:rFonts w:eastAsia="Calibri" w:cs="Times New Roman"/>
          <w:color w:val="000000"/>
          <w:sz w:val="24"/>
          <w:szCs w:val="24"/>
        </w:rPr>
        <w:t xml:space="preserve">ktoré </w:t>
      </w:r>
      <w:r w:rsidRPr="00237F30">
        <w:rPr>
          <w:rFonts w:eastAsia="Calibri" w:cs="Times New Roman"/>
          <w:sz w:val="24"/>
          <w:szCs w:val="24"/>
        </w:rPr>
        <w:t>poukázalo príspevkovým organizáciám v zriaďovateľskej pôsobnosti sumu</w:t>
      </w:r>
      <w:r w:rsidRPr="00237F30">
        <w:rPr>
          <w:rFonts w:eastAsia="Calibri" w:cs="Times New Roman"/>
          <w:color w:val="FF0000"/>
          <w:sz w:val="24"/>
          <w:szCs w:val="24"/>
        </w:rPr>
        <w:t xml:space="preserve"> </w:t>
      </w:r>
      <w:r w:rsidRPr="00237F30">
        <w:rPr>
          <w:rFonts w:eastAsia="Calibri" w:cs="Times New Roman"/>
          <w:sz w:val="24"/>
          <w:szCs w:val="24"/>
        </w:rPr>
        <w:t>336 862 tis. eur</w:t>
      </w:r>
      <w:r w:rsidRPr="00237F30">
        <w:rPr>
          <w:rFonts w:eastAsia="Calibri" w:cs="Times New Roman"/>
          <w:color w:val="1F497D"/>
          <w:sz w:val="24"/>
          <w:szCs w:val="24"/>
        </w:rPr>
        <w:t xml:space="preserve"> </w:t>
      </w:r>
      <w:r w:rsidRPr="00237F30">
        <w:rPr>
          <w:rFonts w:eastAsia="Calibri" w:cs="Times New Roman"/>
          <w:color w:val="000000"/>
          <w:sz w:val="24"/>
          <w:szCs w:val="24"/>
        </w:rPr>
        <w:t>najmä na realizáciu plnenia úloh v rámci Akčných plánov Národného onkologického programu, na nákup ANTIDOT do pohotovostnej zásoby pre Národný ústav detských chorôb, na poskytnutie jednorazového finančného príspevku zdravotnícky</w:t>
      </w:r>
      <w:r w:rsidR="00A640D5">
        <w:rPr>
          <w:rFonts w:eastAsia="Calibri" w:cs="Times New Roman"/>
          <w:color w:val="000000"/>
          <w:sz w:val="24"/>
          <w:szCs w:val="24"/>
        </w:rPr>
        <w:t>m pracovníkom vo výške 500 eur,</w:t>
      </w:r>
      <w:r w:rsidRPr="00237F30">
        <w:rPr>
          <w:rFonts w:eastAsia="Calibri" w:cs="Times New Roman"/>
          <w:sz w:val="24"/>
          <w:szCs w:val="24"/>
        </w:rPr>
        <w:t xml:space="preserve"> pre subjekty hospodárskej mobilizácie v súlade s Nariadením vlády </w:t>
      </w:r>
      <w:r w:rsidRPr="00237F30">
        <w:rPr>
          <w:rFonts w:eastAsia="Calibri" w:cs="Times New Roman"/>
          <w:color w:val="000000"/>
          <w:sz w:val="24"/>
          <w:szCs w:val="24"/>
        </w:rPr>
        <w:t xml:space="preserve">SR </w:t>
      </w:r>
      <w:r w:rsidRPr="00237F30">
        <w:rPr>
          <w:rFonts w:eastAsia="Calibri" w:cs="Times New Roman"/>
          <w:sz w:val="24"/>
          <w:szCs w:val="24"/>
        </w:rPr>
        <w:t xml:space="preserve">číslo 183/2022 Z. z. na vykonanie niektorých opatrení hospodárskej mobilizácie v súvislosti s vyhlásenou mimoriadnou situáciou na zabezpečenie riešenia </w:t>
      </w:r>
      <w:proofErr w:type="spellStart"/>
      <w:r w:rsidRPr="00237F30">
        <w:rPr>
          <w:rFonts w:eastAsia="Calibri" w:cs="Times New Roman"/>
          <w:sz w:val="24"/>
          <w:szCs w:val="24"/>
        </w:rPr>
        <w:t>koronavírusu</w:t>
      </w:r>
      <w:proofErr w:type="spellEnd"/>
      <w:r w:rsidRPr="00237F30">
        <w:rPr>
          <w:rFonts w:eastAsia="Calibri" w:cs="Times New Roman"/>
          <w:sz w:val="24"/>
          <w:szCs w:val="24"/>
        </w:rPr>
        <w:t xml:space="preserve"> COVID-19, pre subjekty hospodárskej mobilizácie v súlade s Nariadením vlády </w:t>
      </w:r>
      <w:r w:rsidRPr="00237F30">
        <w:rPr>
          <w:rFonts w:eastAsia="Calibri" w:cs="Times New Roman"/>
          <w:color w:val="000000"/>
          <w:sz w:val="24"/>
          <w:szCs w:val="24"/>
        </w:rPr>
        <w:t>SR</w:t>
      </w:r>
      <w:r w:rsidRPr="00237F30">
        <w:rPr>
          <w:rFonts w:eastAsia="Calibri" w:cs="Times New Roman"/>
          <w:sz w:val="24"/>
          <w:szCs w:val="24"/>
        </w:rPr>
        <w:t xml:space="preserve"> číslo 59/2022 Z. z. na vykonanie niektorých opatrení hospodárskej mobilizácie vo vzťahu k vyhlásenej mimoriadnej situácii v</w:t>
      </w:r>
      <w:r>
        <w:rPr>
          <w:rFonts w:eastAsia="Calibri" w:cs="Times New Roman"/>
          <w:sz w:val="24"/>
          <w:szCs w:val="24"/>
        </w:rPr>
        <w:t> </w:t>
      </w:r>
      <w:r w:rsidRPr="00237F30">
        <w:rPr>
          <w:rFonts w:eastAsia="Calibri" w:cs="Times New Roman"/>
          <w:sz w:val="24"/>
          <w:szCs w:val="24"/>
        </w:rPr>
        <w:t>súvislosti s hromadným prílevom cudzincov na územie Slovenskej republiky spôsobeným ozbrojeným konfliktom na území Ukrajiny, na stabilizáciu zdravotníckych pracovníkov v rámci ústavnej zdravotnej starostlivosti a ambulancií záchrannej zdravotnej služby prostredníctvo</w:t>
      </w:r>
      <w:r w:rsidRPr="00237F30">
        <w:rPr>
          <w:rFonts w:eastAsia="Calibri" w:cs="Times New Roman"/>
          <w:color w:val="1F497D"/>
          <w:sz w:val="24"/>
          <w:szCs w:val="24"/>
        </w:rPr>
        <w:t>m</w:t>
      </w:r>
      <w:r w:rsidRPr="00237F30">
        <w:rPr>
          <w:rFonts w:eastAsia="Calibri" w:cs="Times New Roman"/>
          <w:sz w:val="24"/>
          <w:szCs w:val="24"/>
        </w:rPr>
        <w:t xml:space="preserve"> stabilizačného príspevku</w:t>
      </w:r>
      <w:r w:rsidRPr="00237F30">
        <w:rPr>
          <w:rFonts w:eastAsia="Calibri" w:cs="Times New Roman"/>
          <w:color w:val="1F497D"/>
          <w:sz w:val="24"/>
          <w:szCs w:val="24"/>
        </w:rPr>
        <w:t xml:space="preserve"> </w:t>
      </w:r>
      <w:r w:rsidRPr="00237F30">
        <w:rPr>
          <w:rFonts w:eastAsia="Calibri" w:cs="Times New Roman"/>
          <w:sz w:val="24"/>
          <w:szCs w:val="24"/>
        </w:rPr>
        <w:t>a na poskytnutie finančných prostriedkov v súvislosti s prijatou novelou zákona č. 534/2021 Z. z. o štátnom rozpočte na rok 2022 v reakcii na prudký nárast cien energií a výrazný nárast inflácie</w:t>
      </w:r>
      <w:r w:rsidRPr="00237F30">
        <w:rPr>
          <w:rFonts w:eastAsia="Calibri" w:cs="Times New Roman"/>
          <w:color w:val="1F497D"/>
          <w:sz w:val="24"/>
          <w:szCs w:val="24"/>
        </w:rPr>
        <w:t>.</w:t>
      </w:r>
    </w:p>
    <w:p w14:paraId="69FF1BF0" w14:textId="4A5088A0" w:rsidR="00697268" w:rsidRDefault="00697268" w:rsidP="00697268">
      <w:pPr>
        <w:spacing w:line="240" w:lineRule="auto"/>
        <w:rPr>
          <w:rFonts w:cs="Times New Roman"/>
          <w:color w:val="FF0000"/>
          <w:sz w:val="24"/>
          <w:szCs w:val="24"/>
        </w:rPr>
      </w:pPr>
      <w:r w:rsidRPr="00BF3CC4">
        <w:rPr>
          <w:rFonts w:eastAsia="Calibri" w:cs="Times New Roman"/>
          <w:sz w:val="24"/>
          <w:szCs w:val="24"/>
          <w:u w:val="single"/>
        </w:rPr>
        <w:t>Ministerstvo školstva, vedy, výskumu a športu SR</w:t>
      </w:r>
      <w:r w:rsidRPr="00BF3CC4">
        <w:rPr>
          <w:rFonts w:eastAsia="Calibri" w:cs="Times New Roman"/>
          <w:sz w:val="24"/>
          <w:szCs w:val="24"/>
        </w:rPr>
        <w:t xml:space="preserve"> vynaložilo sumu 146 771 tis. eur na bežné transfery príspevkovým organizáciám vo svojej zriaďovateľskej pôsobnosti, </w:t>
      </w:r>
      <w:r w:rsidRPr="00BF3CC4">
        <w:rPr>
          <w:rFonts w:eastAsia="Calibri" w:cs="Times New Roman"/>
          <w:color w:val="000000"/>
          <w:sz w:val="24"/>
          <w:szCs w:val="24"/>
        </w:rPr>
        <w:t xml:space="preserve">a to sumu 108 312 tis. eur </w:t>
      </w:r>
      <w:r>
        <w:rPr>
          <w:rFonts w:eastAsia="Calibri" w:cs="Times New Roman"/>
          <w:color w:val="212121"/>
          <w:sz w:val="24"/>
          <w:szCs w:val="24"/>
          <w:lang w:eastAsia="sk-SK"/>
        </w:rPr>
        <w:t>na </w:t>
      </w:r>
      <w:r w:rsidRPr="00BF3CC4">
        <w:rPr>
          <w:rFonts w:eastAsia="Calibri" w:cs="Times New Roman"/>
          <w:color w:val="212121"/>
          <w:sz w:val="24"/>
          <w:szCs w:val="24"/>
          <w:lang w:eastAsia="sk-SK"/>
        </w:rPr>
        <w:t>základný výskum a vývoj v oblasti všeobecných verejných služieb a vyššie sekundárne</w:t>
      </w:r>
      <w:r w:rsidRPr="00E80EB5">
        <w:rPr>
          <w:rFonts w:eastAsia="Calibri" w:cs="Times New Roman"/>
          <w:color w:val="212121"/>
          <w:sz w:val="24"/>
          <w:szCs w:val="24"/>
          <w:lang w:eastAsia="sk-SK"/>
        </w:rPr>
        <w:t xml:space="preserve"> </w:t>
      </w:r>
      <w:r w:rsidRPr="00BF3CC4">
        <w:rPr>
          <w:rFonts w:eastAsia="Calibri" w:cs="Times New Roman"/>
          <w:color w:val="212121"/>
          <w:sz w:val="24"/>
          <w:szCs w:val="24"/>
          <w:lang w:eastAsia="sk-SK"/>
        </w:rPr>
        <w:t>odborné vzdelávanie</w:t>
      </w:r>
      <w:r>
        <w:rPr>
          <w:rFonts w:eastAsia="Calibri" w:cs="Times New Roman"/>
          <w:color w:val="212121"/>
          <w:sz w:val="24"/>
          <w:szCs w:val="24"/>
          <w:lang w:eastAsia="sk-SK"/>
        </w:rPr>
        <w:t xml:space="preserve">, </w:t>
      </w:r>
      <w:r w:rsidRPr="00BF3CC4">
        <w:rPr>
          <w:rFonts w:eastAsia="Calibri" w:cs="Times New Roman"/>
          <w:color w:val="212121"/>
          <w:sz w:val="24"/>
          <w:szCs w:val="24"/>
          <w:lang w:eastAsia="sk-SK"/>
        </w:rPr>
        <w:t xml:space="preserve">sumu 28 411 tis. eur </w:t>
      </w:r>
      <w:r w:rsidRPr="00BF3CC4">
        <w:rPr>
          <w:rFonts w:eastAsia="Calibri" w:cs="Times New Roman"/>
          <w:sz w:val="24"/>
          <w:szCs w:val="24"/>
          <w:lang w:eastAsia="sk-SK"/>
        </w:rPr>
        <w:t>šiestim priamo riadeným príspevkovým organizáciám, sumu 5 318 tis. eur na normatívne a nenormatívne výdavky pre školy a školské zariadenia a iné.</w:t>
      </w:r>
    </w:p>
    <w:p w14:paraId="7ADFC7CF" w14:textId="77777777" w:rsidR="00697268" w:rsidRDefault="00697268" w:rsidP="00697268">
      <w:pPr>
        <w:spacing w:line="240" w:lineRule="auto"/>
        <w:rPr>
          <w:rFonts w:cs="Times New Roman"/>
          <w:sz w:val="24"/>
          <w:szCs w:val="24"/>
          <w:u w:val="single"/>
        </w:rPr>
      </w:pPr>
      <w:r w:rsidRPr="00237F30">
        <w:rPr>
          <w:rFonts w:cs="Times New Roman"/>
          <w:sz w:val="24"/>
          <w:szCs w:val="24"/>
        </w:rPr>
        <w:t xml:space="preserve">Kapitola </w:t>
      </w:r>
      <w:r w:rsidRPr="00237F30">
        <w:rPr>
          <w:rFonts w:cs="Times New Roman"/>
          <w:sz w:val="24"/>
          <w:szCs w:val="24"/>
          <w:u w:val="single"/>
        </w:rPr>
        <w:t>Ministerstva životného prostredia SR</w:t>
      </w:r>
      <w:r w:rsidRPr="00237F30">
        <w:rPr>
          <w:rFonts w:cs="Times New Roman"/>
          <w:sz w:val="24"/>
          <w:szCs w:val="24"/>
        </w:rPr>
        <w:t xml:space="preserve"> čerpala sumu 114 151 tis. eur. Tieto finančné prostriedky boli určené najmä na úhrady príspevkov na činnosť príspevkovým organizáciám</w:t>
      </w:r>
      <w:r>
        <w:rPr>
          <w:rFonts w:cs="Times New Roman"/>
          <w:sz w:val="24"/>
          <w:szCs w:val="24"/>
        </w:rPr>
        <w:t xml:space="preserve"> vo svojej zriaďovateľskej pôsobnosti</w:t>
      </w:r>
      <w:r w:rsidRPr="00237F30">
        <w:rPr>
          <w:rFonts w:cs="Times New Roman"/>
          <w:sz w:val="24"/>
          <w:szCs w:val="24"/>
        </w:rPr>
        <w:t xml:space="preserve">, </w:t>
      </w:r>
      <w:r w:rsidRPr="00237F30">
        <w:rPr>
          <w:rFonts w:cs="Times New Roman"/>
          <w:sz w:val="24"/>
          <w:szCs w:val="24"/>
          <w:shd w:val="clear" w:color="auto" w:fill="FFFFFF"/>
        </w:rPr>
        <w:t>najmä pre účely z</w:t>
      </w:r>
      <w:r w:rsidRPr="00237F30">
        <w:rPr>
          <w:rFonts w:cs="Times New Roman"/>
          <w:sz w:val="24"/>
          <w:szCs w:val="24"/>
        </w:rPr>
        <w:t>lepšovania kvality životného prostredia na Slovensku, na spracovanie dokumentov miestnych územných systémov ekologickej stability pre potreby vytvorenia základnej východiskovej bázy pre reguláciu návrhu budovania zelenej infraštruktúry.</w:t>
      </w:r>
      <w:r w:rsidRPr="00BF3CC4">
        <w:rPr>
          <w:rFonts w:cs="Times New Roman"/>
          <w:sz w:val="24"/>
          <w:szCs w:val="24"/>
          <w:u w:val="single"/>
        </w:rPr>
        <w:t xml:space="preserve"> </w:t>
      </w:r>
    </w:p>
    <w:p w14:paraId="7601598A" w14:textId="71D7550B" w:rsidR="00697268" w:rsidRPr="00327BED" w:rsidRDefault="00697268" w:rsidP="00AA652C">
      <w:pPr>
        <w:spacing w:line="240" w:lineRule="auto"/>
        <w:rPr>
          <w:rFonts w:cs="Times New Roman"/>
          <w:sz w:val="24"/>
          <w:szCs w:val="24"/>
        </w:rPr>
      </w:pPr>
      <w:r w:rsidRPr="00BF3CC4">
        <w:rPr>
          <w:rFonts w:cs="Times New Roman"/>
          <w:sz w:val="24"/>
          <w:szCs w:val="24"/>
          <w:u w:val="single"/>
        </w:rPr>
        <w:t>Ministerstvo kultúry SR</w:t>
      </w:r>
      <w:r w:rsidRPr="00BF3CC4">
        <w:rPr>
          <w:rFonts w:cs="Times New Roman"/>
          <w:sz w:val="24"/>
          <w:szCs w:val="24"/>
        </w:rPr>
        <w:t xml:space="preserve"> vynaložilo sumu 101 185 tis. eur, ktorú použilo na bežnú činnosť príspevkových organizácií vo svojej zriaďovateľskej pôsobnosti</w:t>
      </w:r>
      <w:r>
        <w:rPr>
          <w:rFonts w:cs="Times New Roman"/>
          <w:sz w:val="24"/>
          <w:szCs w:val="24"/>
        </w:rPr>
        <w:t xml:space="preserve">, najmä na </w:t>
      </w:r>
      <w:r w:rsidRPr="00FB6D83">
        <w:rPr>
          <w:rFonts w:eastAsia="Calibri" w:cs="Times New Roman"/>
          <w:sz w:val="24"/>
          <w:szCs w:val="24"/>
        </w:rPr>
        <w:t>divadeln</w:t>
      </w:r>
      <w:r>
        <w:rPr>
          <w:rFonts w:eastAsia="Calibri" w:cs="Times New Roman"/>
          <w:sz w:val="24"/>
          <w:szCs w:val="24"/>
        </w:rPr>
        <w:t>ú</w:t>
      </w:r>
      <w:r w:rsidRPr="00FB6D83">
        <w:rPr>
          <w:rFonts w:eastAsia="Calibri" w:cs="Times New Roman"/>
          <w:sz w:val="24"/>
          <w:szCs w:val="24"/>
        </w:rPr>
        <w:t xml:space="preserve"> činnosť, hudb</w:t>
      </w:r>
      <w:r>
        <w:rPr>
          <w:rFonts w:eastAsia="Calibri" w:cs="Times New Roman"/>
          <w:sz w:val="24"/>
          <w:szCs w:val="24"/>
        </w:rPr>
        <w:t>u</w:t>
      </w:r>
      <w:r w:rsidRPr="00FB6D83">
        <w:rPr>
          <w:rFonts w:eastAsia="Calibri" w:cs="Times New Roman"/>
          <w:sz w:val="24"/>
          <w:szCs w:val="24"/>
        </w:rPr>
        <w:t>, koncertn</w:t>
      </w:r>
      <w:r>
        <w:rPr>
          <w:rFonts w:eastAsia="Calibri" w:cs="Times New Roman"/>
          <w:sz w:val="24"/>
          <w:szCs w:val="24"/>
        </w:rPr>
        <w:t>ú</w:t>
      </w:r>
      <w:r w:rsidRPr="00FB6D83">
        <w:rPr>
          <w:rFonts w:eastAsia="Calibri" w:cs="Times New Roman"/>
          <w:sz w:val="24"/>
          <w:szCs w:val="24"/>
        </w:rPr>
        <w:t xml:space="preserve"> činnosť a umelecké súbory, výtvarné umenie, fotografi</w:t>
      </w:r>
      <w:r>
        <w:rPr>
          <w:rFonts w:eastAsia="Calibri" w:cs="Times New Roman"/>
          <w:sz w:val="24"/>
          <w:szCs w:val="24"/>
        </w:rPr>
        <w:t>u</w:t>
      </w:r>
      <w:r w:rsidRPr="00FB6D83">
        <w:rPr>
          <w:rFonts w:eastAsia="Calibri" w:cs="Times New Roman"/>
          <w:sz w:val="24"/>
          <w:szCs w:val="24"/>
        </w:rPr>
        <w:t>, architektúr</w:t>
      </w:r>
      <w:r>
        <w:rPr>
          <w:rFonts w:eastAsia="Calibri" w:cs="Times New Roman"/>
          <w:sz w:val="24"/>
          <w:szCs w:val="24"/>
        </w:rPr>
        <w:t>u</w:t>
      </w:r>
      <w:r w:rsidRPr="00FB6D83">
        <w:rPr>
          <w:rFonts w:eastAsia="Calibri" w:cs="Times New Roman"/>
          <w:sz w:val="24"/>
          <w:szCs w:val="24"/>
        </w:rPr>
        <w:t xml:space="preserve"> a dizajn, knižničn</w:t>
      </w:r>
      <w:r>
        <w:rPr>
          <w:rFonts w:eastAsia="Calibri" w:cs="Times New Roman"/>
          <w:sz w:val="24"/>
          <w:szCs w:val="24"/>
        </w:rPr>
        <w:t>ú, múzejnú a galerijná činnosť,</w:t>
      </w:r>
      <w:r w:rsidRPr="00FB6D83">
        <w:rPr>
          <w:rFonts w:eastAsia="Calibri" w:cs="Times New Roman"/>
          <w:sz w:val="24"/>
          <w:szCs w:val="24"/>
        </w:rPr>
        <w:t xml:space="preserve"> osvetov</w:t>
      </w:r>
      <w:r>
        <w:rPr>
          <w:rFonts w:eastAsia="Calibri" w:cs="Times New Roman"/>
          <w:sz w:val="24"/>
          <w:szCs w:val="24"/>
        </w:rPr>
        <w:t>ú</w:t>
      </w:r>
      <w:r w:rsidRPr="00FB6D83">
        <w:rPr>
          <w:rFonts w:eastAsia="Calibri" w:cs="Times New Roman"/>
          <w:sz w:val="24"/>
          <w:szCs w:val="24"/>
        </w:rPr>
        <w:t xml:space="preserve"> činnosť</w:t>
      </w:r>
      <w:r>
        <w:rPr>
          <w:rFonts w:eastAsia="Calibri" w:cs="Times New Roman"/>
          <w:sz w:val="24"/>
          <w:szCs w:val="24"/>
        </w:rPr>
        <w:t>,</w:t>
      </w:r>
      <w:r w:rsidRPr="00FB6D83">
        <w:rPr>
          <w:rFonts w:eastAsia="Calibri" w:cs="Times New Roman"/>
          <w:sz w:val="24"/>
          <w:szCs w:val="24"/>
        </w:rPr>
        <w:t> tradičn</w:t>
      </w:r>
      <w:r>
        <w:rPr>
          <w:rFonts w:eastAsia="Calibri" w:cs="Times New Roman"/>
          <w:sz w:val="24"/>
          <w:szCs w:val="24"/>
        </w:rPr>
        <w:t>ú</w:t>
      </w:r>
      <w:r w:rsidRPr="00FB6D83">
        <w:rPr>
          <w:rFonts w:eastAsia="Calibri" w:cs="Times New Roman"/>
          <w:sz w:val="24"/>
          <w:szCs w:val="24"/>
        </w:rPr>
        <w:t xml:space="preserve"> ľudov</w:t>
      </w:r>
      <w:r>
        <w:rPr>
          <w:rFonts w:eastAsia="Calibri" w:cs="Times New Roman"/>
          <w:sz w:val="24"/>
          <w:szCs w:val="24"/>
        </w:rPr>
        <w:t>ú</w:t>
      </w:r>
      <w:r w:rsidRPr="00FB6D83">
        <w:rPr>
          <w:rFonts w:eastAsia="Calibri" w:cs="Times New Roman"/>
          <w:sz w:val="24"/>
          <w:szCs w:val="24"/>
        </w:rPr>
        <w:t xml:space="preserve"> kultúr</w:t>
      </w:r>
      <w:r>
        <w:rPr>
          <w:rFonts w:eastAsia="Calibri" w:cs="Times New Roman"/>
          <w:sz w:val="24"/>
          <w:szCs w:val="24"/>
        </w:rPr>
        <w:t>u,</w:t>
      </w:r>
      <w:r w:rsidRPr="00FB6D83">
        <w:rPr>
          <w:rFonts w:eastAsia="Calibri" w:cs="Times New Roman"/>
          <w:sz w:val="24"/>
          <w:szCs w:val="24"/>
        </w:rPr>
        <w:t xml:space="preserve"> ochran</w:t>
      </w:r>
      <w:r>
        <w:rPr>
          <w:rFonts w:eastAsia="Calibri" w:cs="Times New Roman"/>
          <w:sz w:val="24"/>
          <w:szCs w:val="24"/>
        </w:rPr>
        <w:t>u</w:t>
      </w:r>
      <w:r w:rsidRPr="00FB6D83">
        <w:rPr>
          <w:rFonts w:eastAsia="Calibri" w:cs="Times New Roman"/>
          <w:sz w:val="24"/>
          <w:szCs w:val="24"/>
        </w:rPr>
        <w:t xml:space="preserve"> pamiatkového fondu a </w:t>
      </w:r>
      <w:r>
        <w:rPr>
          <w:rFonts w:eastAsia="Calibri" w:cs="Times New Roman"/>
          <w:sz w:val="24"/>
          <w:szCs w:val="24"/>
        </w:rPr>
        <w:t>iné</w:t>
      </w:r>
      <w:r w:rsidRPr="00FB6D83">
        <w:rPr>
          <w:rFonts w:eastAsia="Calibri" w:cs="Times New Roman"/>
          <w:sz w:val="24"/>
          <w:szCs w:val="24"/>
        </w:rPr>
        <w:t>. Uvedená podpoložka tiež zahŕňa finančné prostriedky na</w:t>
      </w:r>
      <w:r>
        <w:rPr>
          <w:rFonts w:eastAsia="Calibri" w:cs="Times New Roman"/>
          <w:sz w:val="24"/>
          <w:szCs w:val="24"/>
        </w:rPr>
        <w:t> </w:t>
      </w:r>
      <w:r w:rsidRPr="00FB6D83">
        <w:rPr>
          <w:rFonts w:eastAsia="Calibri" w:cs="Times New Roman"/>
          <w:sz w:val="24"/>
          <w:szCs w:val="24"/>
        </w:rPr>
        <w:t>podporu prioritných projektov príspevkových organizácií v oblasti podpory kultúrnych aktivít doma a v zahraničí, akvizície zbierkových predmetov a knižničných fondov.</w:t>
      </w:r>
    </w:p>
    <w:p w14:paraId="2CD50163" w14:textId="77777777" w:rsidR="00697268" w:rsidRDefault="00697268" w:rsidP="00697268">
      <w:pPr>
        <w:spacing w:line="240" w:lineRule="auto"/>
        <w:rPr>
          <w:rFonts w:cs="Times New Roman"/>
          <w:color w:val="FF0000"/>
          <w:sz w:val="24"/>
          <w:szCs w:val="24"/>
        </w:rPr>
      </w:pPr>
      <w:r w:rsidRPr="00237F30">
        <w:rPr>
          <w:rFonts w:cs="Times New Roman"/>
          <w:sz w:val="24"/>
          <w:szCs w:val="24"/>
          <w:u w:val="single"/>
        </w:rPr>
        <w:t>Ministerstvo pôdohospodárstva a rozvoja vidieka SR</w:t>
      </w:r>
      <w:r w:rsidRPr="00237F30">
        <w:rPr>
          <w:rFonts w:cs="Times New Roman"/>
          <w:sz w:val="24"/>
          <w:szCs w:val="24"/>
        </w:rPr>
        <w:t xml:space="preserve"> vynaložilo na bežné transfery príspevkovým organizáciám vo svojej zriaďovateľskej pôsobnosti celkovú sumu 46 499 tis. eur </w:t>
      </w:r>
      <w:r w:rsidRPr="008F5CD9">
        <w:rPr>
          <w:rFonts w:cs="Times New Roman"/>
          <w:sz w:val="24"/>
          <w:szCs w:val="24"/>
        </w:rPr>
        <w:lastRenderedPageBreak/>
        <w:t>a najvýznamnejšie sumy poskytlo Národnému poľnohospodárskemu a potravinárskemu centru (30 933 tis. eur), Národnému lesníckemu centru (9 542</w:t>
      </w:r>
      <w:r>
        <w:rPr>
          <w:rFonts w:cs="Times New Roman"/>
          <w:sz w:val="24"/>
          <w:szCs w:val="24"/>
        </w:rPr>
        <w:t> tis. eur) a</w:t>
      </w:r>
      <w:r w:rsidRPr="008F5CD9">
        <w:rPr>
          <w:rFonts w:cs="Times New Roman"/>
          <w:sz w:val="24"/>
          <w:szCs w:val="24"/>
        </w:rPr>
        <w:t xml:space="preserve"> Štátnemu veterinárnemu a potravinovému ústavu (4 597 tis. eur)</w:t>
      </w:r>
      <w:r>
        <w:rPr>
          <w:rFonts w:cs="Times New Roman"/>
          <w:sz w:val="24"/>
          <w:szCs w:val="24"/>
        </w:rPr>
        <w:t>.</w:t>
      </w:r>
      <w:r w:rsidRPr="008F5CD9">
        <w:rPr>
          <w:rFonts w:cs="Times New Roman"/>
          <w:sz w:val="24"/>
          <w:szCs w:val="24"/>
        </w:rPr>
        <w:t xml:space="preserve"> </w:t>
      </w:r>
    </w:p>
    <w:p w14:paraId="02A30F5B" w14:textId="0AE9E248" w:rsidR="00697268" w:rsidRPr="0075442C" w:rsidRDefault="00697268" w:rsidP="00697268">
      <w:pPr>
        <w:spacing w:line="240" w:lineRule="auto"/>
        <w:rPr>
          <w:rFonts w:cs="Times New Roman"/>
          <w:sz w:val="24"/>
          <w:szCs w:val="24"/>
        </w:rPr>
      </w:pPr>
      <w:r w:rsidRPr="0075442C">
        <w:rPr>
          <w:rFonts w:cs="Times New Roman"/>
          <w:sz w:val="24"/>
          <w:szCs w:val="24"/>
          <w:u w:val="single"/>
        </w:rPr>
        <w:t>Ministerstvo investícií, regionálneho rozvoja a informatizácie SR</w:t>
      </w:r>
      <w:r w:rsidRPr="0075442C">
        <w:rPr>
          <w:rFonts w:cs="Times New Roman"/>
          <w:sz w:val="24"/>
          <w:szCs w:val="24"/>
        </w:rPr>
        <w:t xml:space="preserve"> poskytlo bežné transfery príspevkovej organizácii v sume 36 108 tis. eur.</w:t>
      </w:r>
      <w:r w:rsidRPr="0075442C">
        <w:rPr>
          <w:rFonts w:cs="Times New Roman"/>
          <w:color w:val="000000"/>
          <w:sz w:val="24"/>
          <w:szCs w:val="24"/>
        </w:rPr>
        <w:t xml:space="preserve"> Najväčšiu časť predstavoval transfer pre</w:t>
      </w:r>
      <w:r>
        <w:rPr>
          <w:rFonts w:cs="Times New Roman"/>
          <w:color w:val="000000"/>
          <w:sz w:val="24"/>
          <w:szCs w:val="24"/>
        </w:rPr>
        <w:t> </w:t>
      </w:r>
      <w:r w:rsidRPr="0075442C">
        <w:rPr>
          <w:rFonts w:cs="Times New Roman"/>
          <w:color w:val="000000"/>
          <w:sz w:val="24"/>
          <w:szCs w:val="24"/>
        </w:rPr>
        <w:t>príspevkovú organizáciu NASES (32 678 tis. eur), poskytnutý na základe Kontraktu na rok 2022 č. 1859/2021 v znení dodatkov č. 1 (3183/2022) a č. 2 (4355/2022), použitý najmä na</w:t>
      </w:r>
      <w:r>
        <w:rPr>
          <w:rFonts w:cs="Times New Roman"/>
          <w:color w:val="000000"/>
          <w:sz w:val="24"/>
          <w:szCs w:val="24"/>
        </w:rPr>
        <w:t> </w:t>
      </w:r>
      <w:r w:rsidRPr="0075442C">
        <w:rPr>
          <w:rFonts w:cs="Times New Roman"/>
          <w:sz w:val="24"/>
          <w:szCs w:val="24"/>
        </w:rPr>
        <w:t>správu, prevádzku a rozvoj vládnej dátovej siete GOVNET, na plnenie úloh národného prevádzkovateľa centrálnej informačnej infraštruktúry a centrálnej komunikačnej infraštruktúry Slovenskej republiky pre verejnú správu, na prevádzku a rozvoj Ústredného portálu verejnej správy portál slovensko.sk a iné.</w:t>
      </w:r>
    </w:p>
    <w:p w14:paraId="4490C81C" w14:textId="77777777" w:rsidR="00697268" w:rsidRPr="00657B60" w:rsidRDefault="00697268" w:rsidP="00697268">
      <w:pPr>
        <w:spacing w:line="240" w:lineRule="auto"/>
        <w:rPr>
          <w:rFonts w:cs="Times New Roman"/>
          <w:sz w:val="24"/>
          <w:szCs w:val="24"/>
        </w:rPr>
      </w:pPr>
      <w:r w:rsidRPr="0075442C">
        <w:rPr>
          <w:rFonts w:cs="Times New Roman"/>
          <w:b/>
          <w:i/>
          <w:sz w:val="24"/>
          <w:szCs w:val="24"/>
        </w:rPr>
        <w:t>Verejným vysokým školám</w:t>
      </w:r>
      <w:r w:rsidRPr="0075442C">
        <w:rPr>
          <w:rFonts w:cs="Times New Roman"/>
          <w:sz w:val="24"/>
          <w:szCs w:val="24"/>
        </w:rPr>
        <w:t xml:space="preserve"> boli poskytnuté finančné prostriedky v sume</w:t>
      </w:r>
      <w:r w:rsidRPr="00B51948">
        <w:rPr>
          <w:rFonts w:cs="Times New Roman"/>
          <w:color w:val="FF0000"/>
          <w:sz w:val="24"/>
          <w:szCs w:val="24"/>
        </w:rPr>
        <w:t xml:space="preserve"> </w:t>
      </w:r>
      <w:r w:rsidRPr="006B30CF">
        <w:rPr>
          <w:rFonts w:cs="Times New Roman"/>
          <w:sz w:val="24"/>
          <w:szCs w:val="24"/>
        </w:rPr>
        <w:t>662 248 tis. eur (2021: 683 903 tis. eur), a to predovšetkým prostredníctvom rezortu</w:t>
      </w:r>
      <w:r w:rsidRPr="00B51948">
        <w:rPr>
          <w:rFonts w:cs="Times New Roman"/>
          <w:color w:val="FF0000"/>
          <w:sz w:val="24"/>
          <w:szCs w:val="24"/>
        </w:rPr>
        <w:t xml:space="preserve"> </w:t>
      </w:r>
      <w:r w:rsidRPr="006B30CF">
        <w:rPr>
          <w:rFonts w:cs="Times New Roman"/>
          <w:sz w:val="24"/>
          <w:szCs w:val="24"/>
          <w:u w:val="single"/>
        </w:rPr>
        <w:t>Ministerstva školstva, vedy, výskumu a športu SR</w:t>
      </w:r>
      <w:r w:rsidRPr="006B30CF">
        <w:rPr>
          <w:rFonts w:cs="Times New Roman"/>
          <w:sz w:val="24"/>
          <w:szCs w:val="24"/>
        </w:rPr>
        <w:t xml:space="preserve"> v sume 654 263 tis. eur</w:t>
      </w:r>
      <w:r>
        <w:rPr>
          <w:rFonts w:cs="Times New Roman"/>
          <w:sz w:val="24"/>
          <w:szCs w:val="24"/>
        </w:rPr>
        <w:t>, najmä</w:t>
      </w:r>
      <w:r w:rsidRPr="00F20438">
        <w:rPr>
          <w:rFonts w:cs="Times New Roman"/>
          <w:sz w:val="24"/>
          <w:szCs w:val="24"/>
        </w:rPr>
        <w:t xml:space="preserve"> na uskutočňovanie akreditovaných študijných programov, na výskumnú, vývojovú </w:t>
      </w:r>
      <w:r>
        <w:rPr>
          <w:rFonts w:cs="Times New Roman"/>
          <w:sz w:val="24"/>
          <w:szCs w:val="24"/>
        </w:rPr>
        <w:t>a</w:t>
      </w:r>
      <w:r w:rsidRPr="00F20438">
        <w:rPr>
          <w:rFonts w:cs="Times New Roman"/>
          <w:sz w:val="24"/>
          <w:szCs w:val="24"/>
        </w:rPr>
        <w:t xml:space="preserve"> umeleckú činnosť, na rozvoj verejných vysokých škôl a sociálnu podporu študentov, na plnenie záväzkov z medzinárodných </w:t>
      </w:r>
      <w:r>
        <w:rPr>
          <w:rFonts w:cs="Times New Roman"/>
          <w:sz w:val="24"/>
          <w:szCs w:val="24"/>
        </w:rPr>
        <w:t>zmlúv</w:t>
      </w:r>
      <w:r w:rsidRPr="00F20438">
        <w:rPr>
          <w:rFonts w:cs="Times New Roman"/>
          <w:sz w:val="24"/>
          <w:szCs w:val="24"/>
        </w:rPr>
        <w:t xml:space="preserve">, </w:t>
      </w:r>
      <w:r>
        <w:rPr>
          <w:rFonts w:cs="Times New Roman"/>
          <w:sz w:val="24"/>
          <w:szCs w:val="24"/>
        </w:rPr>
        <w:t>na </w:t>
      </w:r>
      <w:r w:rsidRPr="00F20438">
        <w:rPr>
          <w:rFonts w:cs="Times New Roman"/>
          <w:sz w:val="24"/>
          <w:szCs w:val="24"/>
        </w:rPr>
        <w:t xml:space="preserve">štipendiá zahraničným študentom prijatým na štipendijné pobyty na slovenské vysoké školy, štipendiá študentom z radov Slovákov žijúcich v zahraničí poskytovaných formou vládnych štipendií, na zabezpečenie mobilít a záväzkov v oblasti vzdelávania a tiež na financovanie ukrajinských študentov v zmysle rozvojového projektu na zmiernenie negatívnych dôsledkov vojnového konfliktu na Ukrajine. </w:t>
      </w:r>
    </w:p>
    <w:p w14:paraId="0159C0E8" w14:textId="77777777" w:rsidR="00697268" w:rsidRPr="00BF3CC4" w:rsidRDefault="00697268" w:rsidP="00697268">
      <w:pPr>
        <w:spacing w:line="240" w:lineRule="auto"/>
        <w:rPr>
          <w:rFonts w:cs="Times New Roman"/>
          <w:sz w:val="24"/>
          <w:szCs w:val="24"/>
        </w:rPr>
      </w:pPr>
      <w:r w:rsidRPr="00BF3CC4">
        <w:rPr>
          <w:rFonts w:cs="Times New Roman"/>
          <w:b/>
          <w:i/>
          <w:sz w:val="24"/>
          <w:szCs w:val="24"/>
        </w:rPr>
        <w:t>Transfery vyšším územným celkom</w:t>
      </w:r>
      <w:r w:rsidRPr="00BF3CC4">
        <w:rPr>
          <w:rFonts w:cs="Times New Roman"/>
          <w:sz w:val="24"/>
          <w:szCs w:val="24"/>
        </w:rPr>
        <w:t xml:space="preserve"> dosiahli úhrnom 578 645 tis. eur, z toho na úhradu nákladov preneseného výkonu štátnej správy sa vyčerpalo 546 227 tis. eur. </w:t>
      </w:r>
    </w:p>
    <w:p w14:paraId="6B4A2985" w14:textId="77777777" w:rsidR="00697268" w:rsidRPr="00BF3CC4" w:rsidRDefault="00697268" w:rsidP="00697268">
      <w:pPr>
        <w:spacing w:line="240" w:lineRule="auto"/>
        <w:rPr>
          <w:rFonts w:cs="Times New Roman"/>
          <w:sz w:val="24"/>
          <w:szCs w:val="24"/>
        </w:rPr>
      </w:pPr>
      <w:r w:rsidRPr="00BF3CC4">
        <w:rPr>
          <w:rFonts w:cs="Times New Roman"/>
          <w:b/>
          <w:i/>
        </w:rPr>
        <w:t>Podrobnejšie údaje o transferoch vyšším územným celkom sú uvedené v časti 3.2.4. Vzťahy štátneho rozpočtu k vyšším územným celkom.</w:t>
      </w:r>
    </w:p>
    <w:p w14:paraId="1727B7B9" w14:textId="77777777" w:rsidR="00697268" w:rsidRPr="00B51948" w:rsidRDefault="00697268" w:rsidP="00697268">
      <w:pPr>
        <w:spacing w:line="240" w:lineRule="auto"/>
        <w:rPr>
          <w:rFonts w:cs="Times New Roman"/>
          <w:color w:val="FF0000"/>
        </w:rPr>
      </w:pPr>
      <w:r w:rsidRPr="00BF3CC4">
        <w:rPr>
          <w:rFonts w:cs="Times New Roman"/>
          <w:sz w:val="24"/>
          <w:szCs w:val="24"/>
        </w:rPr>
        <w:t xml:space="preserve">Transfery </w:t>
      </w:r>
      <w:r w:rsidRPr="00BF3CC4">
        <w:rPr>
          <w:rFonts w:cs="Times New Roman"/>
          <w:b/>
          <w:i/>
          <w:iCs/>
          <w:sz w:val="24"/>
          <w:szCs w:val="24"/>
        </w:rPr>
        <w:t>Železničnej spoločnosti Slovensko, a. s.,</w:t>
      </w:r>
      <w:r w:rsidRPr="00BF3CC4">
        <w:rPr>
          <w:rFonts w:cs="Times New Roman"/>
          <w:sz w:val="24"/>
          <w:szCs w:val="24"/>
        </w:rPr>
        <w:t xml:space="preserve"> boli poskytnuté f</w:t>
      </w:r>
      <w:r w:rsidRPr="00BF3CC4">
        <w:rPr>
          <w:rFonts w:cs="Times New Roman"/>
          <w:sz w:val="24"/>
          <w:szCs w:val="24"/>
          <w:shd w:val="clear" w:color="auto" w:fill="FFFFFF"/>
        </w:rPr>
        <w:t>inančné prostriedky</w:t>
      </w:r>
      <w:r w:rsidRPr="00BF3CC4">
        <w:rPr>
          <w:rFonts w:cs="Times New Roman"/>
          <w:sz w:val="24"/>
          <w:szCs w:val="24"/>
        </w:rPr>
        <w:t xml:space="preserve"> v sume </w:t>
      </w:r>
      <w:r>
        <w:rPr>
          <w:rFonts w:cs="Times New Roman"/>
          <w:sz w:val="24"/>
          <w:szCs w:val="24"/>
        </w:rPr>
        <w:t>379</w:t>
      </w:r>
      <w:r w:rsidRPr="00BF3CC4">
        <w:rPr>
          <w:rFonts w:cs="Times New Roman"/>
          <w:sz w:val="24"/>
          <w:szCs w:val="24"/>
        </w:rPr>
        <w:t> 548 tis. eur</w:t>
      </w:r>
      <w:r>
        <w:rPr>
          <w:rFonts w:cs="Times New Roman"/>
          <w:sz w:val="24"/>
          <w:szCs w:val="24"/>
        </w:rPr>
        <w:t xml:space="preserve">a, najmä prostredníctvom </w:t>
      </w:r>
      <w:r w:rsidRPr="00BF3CC4">
        <w:rPr>
          <w:rFonts w:cs="Times New Roman"/>
          <w:sz w:val="24"/>
          <w:szCs w:val="24"/>
          <w:u w:val="single"/>
        </w:rPr>
        <w:t>Ministerstva dopravy a výstavby SR</w:t>
      </w:r>
      <w:r>
        <w:rPr>
          <w:rFonts w:cs="Times New Roman"/>
          <w:sz w:val="24"/>
          <w:szCs w:val="24"/>
        </w:rPr>
        <w:t xml:space="preserve"> (379 095 tis. eur) a </w:t>
      </w:r>
      <w:r w:rsidRPr="00BF3CC4">
        <w:rPr>
          <w:rFonts w:cs="Times New Roman"/>
          <w:sz w:val="24"/>
          <w:szCs w:val="24"/>
          <w:shd w:val="clear" w:color="auto" w:fill="FFFFFF"/>
        </w:rPr>
        <w:t xml:space="preserve">boli použité </w:t>
      </w:r>
      <w:r w:rsidRPr="00BF3CC4">
        <w:rPr>
          <w:rFonts w:cs="Times New Roman"/>
          <w:sz w:val="24"/>
          <w:szCs w:val="24"/>
        </w:rPr>
        <w:t>na zabezpečenie</w:t>
      </w:r>
      <w:r w:rsidRPr="00BF3CC4">
        <w:rPr>
          <w:rFonts w:cs="Times New Roman"/>
          <w:sz w:val="24"/>
          <w:szCs w:val="24"/>
          <w:shd w:val="clear" w:color="auto" w:fill="FFFFFF"/>
        </w:rPr>
        <w:t xml:space="preserve"> dopravných služieb vo verejnom záujme pri prevádzkovaní osobnej dopravy na dráhe ZSSK.</w:t>
      </w:r>
    </w:p>
    <w:p w14:paraId="69C00281" w14:textId="77777777" w:rsidR="00697268" w:rsidRPr="00B51948" w:rsidRDefault="00697268" w:rsidP="00697268">
      <w:pPr>
        <w:spacing w:line="240" w:lineRule="auto"/>
        <w:rPr>
          <w:rFonts w:cs="Times New Roman"/>
          <w:color w:val="FF0000"/>
          <w:sz w:val="24"/>
          <w:szCs w:val="24"/>
        </w:rPr>
      </w:pPr>
      <w:r w:rsidRPr="00BF3CC4">
        <w:rPr>
          <w:rFonts w:cs="Times New Roman"/>
          <w:sz w:val="24"/>
          <w:szCs w:val="24"/>
        </w:rPr>
        <w:t xml:space="preserve">Transfery </w:t>
      </w:r>
      <w:r w:rsidRPr="00BF3CC4">
        <w:rPr>
          <w:rFonts w:cs="Times New Roman"/>
          <w:b/>
          <w:i/>
          <w:sz w:val="24"/>
          <w:szCs w:val="24"/>
        </w:rPr>
        <w:t>Železniciam SR</w:t>
      </w:r>
      <w:r w:rsidRPr="00BF3CC4">
        <w:rPr>
          <w:rFonts w:cs="Times New Roman"/>
          <w:b/>
          <w:sz w:val="24"/>
          <w:szCs w:val="24"/>
        </w:rPr>
        <w:t xml:space="preserve"> </w:t>
      </w:r>
      <w:r w:rsidRPr="00BF3CC4">
        <w:rPr>
          <w:rFonts w:cs="Times New Roman"/>
          <w:sz w:val="24"/>
          <w:szCs w:val="24"/>
        </w:rPr>
        <w:t>v sume</w:t>
      </w:r>
      <w:r w:rsidRPr="00B51948">
        <w:rPr>
          <w:rFonts w:cs="Times New Roman"/>
          <w:color w:val="FF0000"/>
          <w:sz w:val="24"/>
          <w:szCs w:val="24"/>
        </w:rPr>
        <w:t xml:space="preserve"> </w:t>
      </w:r>
      <w:r w:rsidRPr="00BF3CC4">
        <w:rPr>
          <w:rFonts w:cs="Times New Roman"/>
          <w:sz w:val="24"/>
          <w:szCs w:val="24"/>
        </w:rPr>
        <w:t>377 820 tis. eur poskytla</w:t>
      </w:r>
      <w:r>
        <w:rPr>
          <w:rFonts w:cs="Times New Roman"/>
          <w:sz w:val="24"/>
          <w:szCs w:val="24"/>
        </w:rPr>
        <w:t xml:space="preserve"> výlučne</w:t>
      </w:r>
      <w:r w:rsidRPr="00BF3CC4">
        <w:rPr>
          <w:rFonts w:cs="Times New Roman"/>
          <w:sz w:val="24"/>
          <w:szCs w:val="24"/>
        </w:rPr>
        <w:t xml:space="preserve"> kapitola </w:t>
      </w:r>
      <w:r w:rsidRPr="00BF3CC4">
        <w:rPr>
          <w:rFonts w:cs="Times New Roman"/>
          <w:sz w:val="24"/>
          <w:szCs w:val="24"/>
          <w:u w:val="single"/>
        </w:rPr>
        <w:t>Ministerstva dopravy a výstavby SR</w:t>
      </w:r>
      <w:r w:rsidRPr="00BF3CC4">
        <w:rPr>
          <w:rFonts w:cs="Times New Roman"/>
          <w:sz w:val="24"/>
          <w:szCs w:val="24"/>
        </w:rPr>
        <w:t xml:space="preserve">. </w:t>
      </w:r>
      <w:r w:rsidRPr="00657B60">
        <w:rPr>
          <w:rFonts w:cs="Times New Roman"/>
          <w:sz w:val="24"/>
          <w:szCs w:val="24"/>
        </w:rPr>
        <w:t xml:space="preserve">Finančné prostriedky boli použité v rámci podprogramu Podpora verejných služieb a prevádzkovanie dráh na prevádzkovanie železničnej infraštruktúry a na kompenzáciu finančných dopadov spojených so znížením úhrad za prístup k železničnej infraštruktúre pre železničných nákladných dopravcov. </w:t>
      </w:r>
      <w:r w:rsidRPr="00657B60">
        <w:rPr>
          <w:rFonts w:eastAsia="Calibri" w:cs="Times New Roman"/>
          <w:sz w:val="24"/>
          <w:szCs w:val="24"/>
        </w:rPr>
        <w:t>Okrem uvedeného boli Železniciam SR poskytnuté finančné prostriedky na krytie nákladov hospodárskej mobilizácie.</w:t>
      </w:r>
    </w:p>
    <w:p w14:paraId="062D07F4" w14:textId="77777777" w:rsidR="00697268" w:rsidRPr="00B51948" w:rsidRDefault="00697268" w:rsidP="00697268">
      <w:pPr>
        <w:spacing w:line="240" w:lineRule="auto"/>
        <w:rPr>
          <w:rFonts w:cs="Times New Roman"/>
          <w:color w:val="FF0000"/>
          <w:sz w:val="20"/>
          <w:szCs w:val="20"/>
        </w:rPr>
      </w:pPr>
      <w:r w:rsidRPr="00BF3CC4">
        <w:rPr>
          <w:rFonts w:cs="Times New Roman"/>
          <w:sz w:val="24"/>
          <w:szCs w:val="24"/>
        </w:rPr>
        <w:t xml:space="preserve">Transfery </w:t>
      </w:r>
      <w:r w:rsidRPr="00BF3CC4">
        <w:rPr>
          <w:rFonts w:cs="Times New Roman"/>
          <w:b/>
          <w:i/>
          <w:sz w:val="24"/>
          <w:szCs w:val="24"/>
        </w:rPr>
        <w:t>ostatným subjektom verejnej správy</w:t>
      </w:r>
      <w:r w:rsidRPr="00BF3CC4">
        <w:rPr>
          <w:rFonts w:cs="Times New Roman"/>
          <w:sz w:val="24"/>
          <w:szCs w:val="24"/>
        </w:rPr>
        <w:t xml:space="preserve"> predstavovali čerpanie v sume 183 281 tis. eur a boli realizované najmä </w:t>
      </w:r>
      <w:r w:rsidRPr="00BF3CC4">
        <w:rPr>
          <w:rFonts w:cs="Times New Roman"/>
          <w:sz w:val="24"/>
          <w:szCs w:val="24"/>
          <w:u w:val="single"/>
        </w:rPr>
        <w:t>Ministerstvom kultúry SR</w:t>
      </w:r>
      <w:r w:rsidRPr="00BF3CC4">
        <w:rPr>
          <w:rFonts w:cs="Times New Roman"/>
          <w:sz w:val="24"/>
          <w:szCs w:val="24"/>
        </w:rPr>
        <w:t xml:space="preserve"> (93 800 tis. eur), </w:t>
      </w:r>
      <w:r w:rsidRPr="00BF3CC4">
        <w:rPr>
          <w:rFonts w:cs="Times New Roman"/>
          <w:sz w:val="24"/>
          <w:szCs w:val="24"/>
          <w:u w:val="single"/>
        </w:rPr>
        <w:t>Ministerstvom zdravotníctva SR</w:t>
      </w:r>
      <w:r w:rsidRPr="00BF3CC4">
        <w:rPr>
          <w:rFonts w:cs="Times New Roman"/>
          <w:sz w:val="24"/>
          <w:szCs w:val="24"/>
        </w:rPr>
        <w:t xml:space="preserve"> (50 903 tis. eur) a </w:t>
      </w:r>
      <w:r w:rsidRPr="00BF3CC4">
        <w:rPr>
          <w:rFonts w:cs="Times New Roman"/>
          <w:sz w:val="24"/>
          <w:szCs w:val="24"/>
          <w:u w:val="single"/>
        </w:rPr>
        <w:t>Ministerstvom školstva, vedy, výskumu a športu SR</w:t>
      </w:r>
      <w:r w:rsidRPr="00BF3CC4">
        <w:rPr>
          <w:rFonts w:cs="Times New Roman"/>
          <w:sz w:val="24"/>
          <w:szCs w:val="24"/>
        </w:rPr>
        <w:t xml:space="preserve"> (24 159 tis. eur). </w:t>
      </w:r>
    </w:p>
    <w:p w14:paraId="0896BD23" w14:textId="77777777" w:rsidR="00697268" w:rsidRPr="00997DCE" w:rsidRDefault="00697268" w:rsidP="00697268">
      <w:pPr>
        <w:spacing w:before="120" w:line="240" w:lineRule="auto"/>
        <w:rPr>
          <w:rFonts w:eastAsia="Times New Roman" w:cs="Times New Roman"/>
          <w:iCs/>
          <w:sz w:val="24"/>
          <w:szCs w:val="24"/>
          <w:lang w:eastAsia="sk-SK"/>
        </w:rPr>
      </w:pPr>
      <w:r w:rsidRPr="00BF3CC4">
        <w:rPr>
          <w:rFonts w:cs="Times New Roman"/>
          <w:sz w:val="24"/>
          <w:szCs w:val="24"/>
        </w:rPr>
        <w:t xml:space="preserve">Transfery </w:t>
      </w:r>
      <w:r w:rsidRPr="00BF3CC4">
        <w:rPr>
          <w:rFonts w:cs="Times New Roman"/>
          <w:b/>
          <w:i/>
          <w:sz w:val="24"/>
          <w:szCs w:val="24"/>
        </w:rPr>
        <w:t>štátnym účelovým fondom</w:t>
      </w:r>
      <w:r w:rsidRPr="00BF3CC4">
        <w:rPr>
          <w:rFonts w:cs="Times New Roman"/>
          <w:sz w:val="24"/>
          <w:szCs w:val="24"/>
        </w:rPr>
        <w:t xml:space="preserve"> sa čerpali v objeme 154 976 tis. eur, </w:t>
      </w:r>
      <w:r w:rsidRPr="0002769D">
        <w:rPr>
          <w:rFonts w:cs="Times New Roman"/>
          <w:sz w:val="24"/>
          <w:szCs w:val="24"/>
        </w:rPr>
        <w:t xml:space="preserve">z toho prostredníctvom </w:t>
      </w:r>
      <w:r w:rsidRPr="0002769D">
        <w:rPr>
          <w:rFonts w:cs="Times New Roman"/>
          <w:sz w:val="24"/>
          <w:szCs w:val="24"/>
          <w:u w:val="single"/>
        </w:rPr>
        <w:t>Ministerstva hospodárstva SR</w:t>
      </w:r>
      <w:r w:rsidRPr="0002769D">
        <w:rPr>
          <w:rFonts w:cs="Times New Roman"/>
          <w:sz w:val="24"/>
          <w:szCs w:val="24"/>
        </w:rPr>
        <w:t xml:space="preserve"> bolo poskytnutých 62 619 tis. eur,</w:t>
      </w:r>
      <w:r w:rsidRPr="00B51948">
        <w:rPr>
          <w:rFonts w:cs="Times New Roman"/>
          <w:color w:val="FF0000"/>
          <w:sz w:val="24"/>
          <w:szCs w:val="24"/>
        </w:rPr>
        <w:t xml:space="preserve"> </w:t>
      </w:r>
      <w:r w:rsidRPr="00997DCE">
        <w:rPr>
          <w:rFonts w:cs="Times New Roman"/>
          <w:sz w:val="24"/>
          <w:szCs w:val="24"/>
        </w:rPr>
        <w:t xml:space="preserve">a to výlučne </w:t>
      </w:r>
      <w:r w:rsidRPr="00997DCE">
        <w:rPr>
          <w:rFonts w:eastAsia="Times New Roman" w:cs="Times New Roman"/>
          <w:iCs/>
          <w:sz w:val="24"/>
          <w:szCs w:val="24"/>
          <w:lang w:eastAsia="sk-SK"/>
        </w:rPr>
        <w:t>Národnému jadrovému fondu – odvody od prenosovej sústavy a distribučných sústav.</w:t>
      </w:r>
    </w:p>
    <w:p w14:paraId="19E2A29C" w14:textId="77777777" w:rsidR="00697268" w:rsidRPr="00997DCE" w:rsidRDefault="00697268" w:rsidP="00697268">
      <w:pPr>
        <w:spacing w:before="120" w:line="240" w:lineRule="auto"/>
        <w:rPr>
          <w:rFonts w:cs="Times New Roman"/>
          <w:sz w:val="24"/>
          <w:szCs w:val="24"/>
          <w:shd w:val="clear" w:color="auto" w:fill="FFFFFF"/>
        </w:rPr>
      </w:pPr>
      <w:r w:rsidRPr="0002769D">
        <w:rPr>
          <w:rFonts w:eastAsia="Times New Roman" w:cs="Times New Roman"/>
          <w:sz w:val="24"/>
          <w:szCs w:val="24"/>
          <w:u w:val="single"/>
          <w:lang w:eastAsia="sk-SK"/>
        </w:rPr>
        <w:t>Ministerstvo investícií, regionálneho rozvoja a informatizácie SR</w:t>
      </w:r>
      <w:r w:rsidRPr="00B51948">
        <w:rPr>
          <w:rFonts w:eastAsia="Times New Roman" w:cs="Times New Roman"/>
          <w:color w:val="FF0000"/>
          <w:sz w:val="24"/>
          <w:szCs w:val="24"/>
          <w:lang w:eastAsia="sk-SK"/>
        </w:rPr>
        <w:t xml:space="preserve"> </w:t>
      </w:r>
      <w:r w:rsidRPr="00997DCE">
        <w:rPr>
          <w:rFonts w:eastAsia="Times New Roman" w:cs="Times New Roman"/>
          <w:sz w:val="24"/>
          <w:szCs w:val="24"/>
          <w:lang w:eastAsia="sk-SK"/>
        </w:rPr>
        <w:t xml:space="preserve">poskytlo </w:t>
      </w:r>
      <w:r w:rsidRPr="00997DCE">
        <w:rPr>
          <w:rFonts w:cs="Times New Roman"/>
          <w:sz w:val="24"/>
          <w:szCs w:val="24"/>
          <w:shd w:val="clear" w:color="auto" w:fill="FFFFFF"/>
        </w:rPr>
        <w:t>v rámci Integrovaného regionálneho operačného programu sumu</w:t>
      </w:r>
      <w:r w:rsidRPr="00997DCE">
        <w:rPr>
          <w:rFonts w:eastAsia="Times New Roman" w:cs="Times New Roman"/>
          <w:sz w:val="24"/>
          <w:szCs w:val="24"/>
          <w:lang w:eastAsia="sk-SK"/>
        </w:rPr>
        <w:t xml:space="preserve"> 67 357 tis. eur</w:t>
      </w:r>
      <w:r w:rsidRPr="00997DCE">
        <w:rPr>
          <w:rFonts w:cs="Times New Roman"/>
          <w:sz w:val="24"/>
          <w:szCs w:val="24"/>
          <w:shd w:val="clear" w:color="auto" w:fill="FFFFFF"/>
        </w:rPr>
        <w:t xml:space="preserve"> Štátnemu fondu rozvoja bývania prostredníctvom finančného nástroja zameraného na poskytovanie úverov na zlepšenie energetickej efektívnosti existujúcich bytových domov.</w:t>
      </w:r>
      <w:r>
        <w:rPr>
          <w:rFonts w:cs="Times New Roman"/>
          <w:sz w:val="24"/>
          <w:szCs w:val="24"/>
          <w:shd w:val="clear" w:color="auto" w:fill="FFFFFF"/>
        </w:rPr>
        <w:t xml:space="preserve"> </w:t>
      </w:r>
      <w:r w:rsidRPr="00997DCE">
        <w:rPr>
          <w:rFonts w:eastAsia="Times New Roman" w:cs="Times New Roman"/>
          <w:sz w:val="24"/>
          <w:szCs w:val="24"/>
          <w:u w:val="single"/>
          <w:lang w:eastAsia="sk-SK"/>
        </w:rPr>
        <w:t>Ministerstvo dopravy a výstavby SR</w:t>
      </w:r>
      <w:r w:rsidRPr="00997DCE">
        <w:rPr>
          <w:rFonts w:eastAsia="Times New Roman" w:cs="Times New Roman"/>
          <w:sz w:val="24"/>
          <w:szCs w:val="24"/>
          <w:lang w:eastAsia="sk-SK"/>
        </w:rPr>
        <w:t xml:space="preserve"> </w:t>
      </w:r>
      <w:r w:rsidRPr="00997DCE">
        <w:rPr>
          <w:rFonts w:eastAsia="Times New Roman" w:cs="Times New Roman"/>
          <w:sz w:val="24"/>
          <w:szCs w:val="24"/>
          <w:lang w:eastAsia="sk-SK"/>
        </w:rPr>
        <w:lastRenderedPageBreak/>
        <w:t>čerpalo z tejto podpoložky 25 000 tis. eur pre Štátny fond rozvoja bývania na financovanie obnovy bytových budov. </w:t>
      </w:r>
    </w:p>
    <w:p w14:paraId="26850BAC" w14:textId="77777777" w:rsidR="00697268" w:rsidRDefault="00697268" w:rsidP="00697268">
      <w:pPr>
        <w:spacing w:before="120" w:line="240" w:lineRule="auto"/>
        <w:rPr>
          <w:rFonts w:cs="Times New Roman"/>
          <w:b/>
          <w:sz w:val="24"/>
          <w:szCs w:val="24"/>
        </w:rPr>
      </w:pPr>
      <w:r w:rsidRPr="0002769D">
        <w:rPr>
          <w:rFonts w:cs="Times New Roman"/>
          <w:sz w:val="24"/>
          <w:szCs w:val="24"/>
        </w:rPr>
        <w:t xml:space="preserve">Na transfery </w:t>
      </w:r>
      <w:r w:rsidRPr="0002769D">
        <w:rPr>
          <w:rFonts w:cs="Times New Roman"/>
          <w:b/>
          <w:i/>
          <w:iCs/>
          <w:sz w:val="24"/>
          <w:szCs w:val="24"/>
        </w:rPr>
        <w:t>sociálnej poisťovni a zdravotným poisťovniam</w:t>
      </w:r>
      <w:r w:rsidRPr="0002769D">
        <w:rPr>
          <w:rFonts w:cs="Times New Roman"/>
          <w:sz w:val="24"/>
          <w:szCs w:val="24"/>
        </w:rPr>
        <w:t xml:space="preserve"> </w:t>
      </w:r>
      <w:r w:rsidRPr="00EB45D1">
        <w:rPr>
          <w:rFonts w:cs="Times New Roman"/>
          <w:sz w:val="24"/>
          <w:szCs w:val="24"/>
        </w:rPr>
        <w:t>bolo vynaložených 107 735 t</w:t>
      </w:r>
      <w:r>
        <w:rPr>
          <w:rFonts w:cs="Times New Roman"/>
          <w:sz w:val="24"/>
          <w:szCs w:val="24"/>
        </w:rPr>
        <w:t xml:space="preserve">is. eur. Na tejto podpoložke sa podieľala najmä </w:t>
      </w:r>
      <w:r w:rsidRPr="00EB45D1">
        <w:rPr>
          <w:rFonts w:cs="Times New Roman"/>
          <w:sz w:val="24"/>
          <w:szCs w:val="24"/>
          <w:u w:val="single"/>
        </w:rPr>
        <w:t>Všeobecná pokladničná správa</w:t>
      </w:r>
      <w:r w:rsidRPr="00EB45D1">
        <w:rPr>
          <w:rFonts w:cs="Times New Roman"/>
          <w:sz w:val="24"/>
          <w:szCs w:val="24"/>
        </w:rPr>
        <w:t xml:space="preserve"> sumou 103 488 tis. eur, ktorá poskytla transfer </w:t>
      </w:r>
      <w:r>
        <w:rPr>
          <w:rFonts w:cs="Times New Roman"/>
          <w:sz w:val="24"/>
          <w:szCs w:val="24"/>
        </w:rPr>
        <w:t xml:space="preserve">na zabezpečenie platobnej schopnosti </w:t>
      </w:r>
      <w:r w:rsidRPr="005A707B">
        <w:rPr>
          <w:rFonts w:eastAsia="Calibri" w:cs="Times New Roman"/>
          <w:sz w:val="24"/>
          <w:szCs w:val="24"/>
        </w:rPr>
        <w:t>Sociálnej poisťovne</w:t>
      </w:r>
      <w:r w:rsidRPr="005A707B">
        <w:rPr>
          <w:rFonts w:ascii="Arial Narrow" w:eastAsia="Calibri" w:hAnsi="Arial Narrow" w:cs="Times New Roman"/>
        </w:rPr>
        <w:t xml:space="preserve"> </w:t>
      </w:r>
      <w:r w:rsidRPr="00EB45D1">
        <w:rPr>
          <w:rFonts w:eastAsia="Calibri" w:cs="Times New Roman"/>
          <w:sz w:val="24"/>
          <w:szCs w:val="24"/>
        </w:rPr>
        <w:t>v súlade s § 157 ods. 4 zákona č. 461/2003 Z. z. o sociálnom poistení v znení neskorších predpisov</w:t>
      </w:r>
      <w:r>
        <w:rPr>
          <w:rFonts w:eastAsia="Calibri" w:cs="Times New Roman"/>
          <w:sz w:val="24"/>
          <w:szCs w:val="24"/>
        </w:rPr>
        <w:t>.</w:t>
      </w:r>
    </w:p>
    <w:p w14:paraId="591D8685" w14:textId="3BF3B0EA" w:rsidR="00697268" w:rsidRPr="00282E95" w:rsidRDefault="00697268" w:rsidP="00697268">
      <w:pPr>
        <w:spacing w:before="120" w:line="240" w:lineRule="auto"/>
        <w:rPr>
          <w:rFonts w:cs="Times New Roman"/>
          <w:sz w:val="24"/>
          <w:szCs w:val="24"/>
        </w:rPr>
      </w:pPr>
      <w:r w:rsidRPr="00282E95">
        <w:rPr>
          <w:rFonts w:cs="Times New Roman"/>
          <w:b/>
          <w:i/>
          <w:sz w:val="24"/>
          <w:szCs w:val="24"/>
        </w:rPr>
        <w:t>Verejnej výskumnej i</w:t>
      </w:r>
      <w:r>
        <w:rPr>
          <w:rFonts w:cs="Times New Roman"/>
          <w:b/>
          <w:i/>
          <w:sz w:val="24"/>
          <w:szCs w:val="24"/>
        </w:rPr>
        <w:t>n</w:t>
      </w:r>
      <w:r w:rsidRPr="00282E95">
        <w:rPr>
          <w:rFonts w:cs="Times New Roman"/>
          <w:b/>
          <w:i/>
          <w:sz w:val="24"/>
          <w:szCs w:val="24"/>
        </w:rPr>
        <w:t>štitúcii</w:t>
      </w:r>
      <w:r>
        <w:rPr>
          <w:rFonts w:cs="Times New Roman"/>
          <w:b/>
          <w:i/>
          <w:sz w:val="24"/>
          <w:szCs w:val="24"/>
        </w:rPr>
        <w:t xml:space="preserve"> </w:t>
      </w:r>
      <w:r>
        <w:rPr>
          <w:rFonts w:cs="Times New Roman"/>
          <w:sz w:val="24"/>
          <w:szCs w:val="24"/>
        </w:rPr>
        <w:t xml:space="preserve">boli poskytnuté transfery v sume 99 023 tis. eur najmä prostredníctvom </w:t>
      </w:r>
      <w:r w:rsidRPr="00282E95">
        <w:rPr>
          <w:rFonts w:cs="Times New Roman"/>
          <w:sz w:val="24"/>
          <w:szCs w:val="24"/>
          <w:u w:val="single"/>
        </w:rPr>
        <w:t>Slovenskej akadémie vied</w:t>
      </w:r>
      <w:r>
        <w:rPr>
          <w:rFonts w:cs="Times New Roman"/>
          <w:sz w:val="24"/>
          <w:szCs w:val="24"/>
        </w:rPr>
        <w:t xml:space="preserve"> (84 783 tis. eur) a </w:t>
      </w:r>
      <w:r w:rsidRPr="00282E95">
        <w:rPr>
          <w:rFonts w:cs="Times New Roman"/>
          <w:sz w:val="24"/>
          <w:szCs w:val="24"/>
          <w:u w:val="single"/>
        </w:rPr>
        <w:t>Ministerstva školstva, vedy, výskumu a športu SR</w:t>
      </w:r>
      <w:r>
        <w:rPr>
          <w:rFonts w:cs="Times New Roman"/>
          <w:sz w:val="24"/>
          <w:szCs w:val="24"/>
        </w:rPr>
        <w:t xml:space="preserve"> (13 846 tis. eur).</w:t>
      </w:r>
    </w:p>
    <w:p w14:paraId="5CBE8FA1" w14:textId="77777777" w:rsidR="00697268" w:rsidRDefault="00697268" w:rsidP="00697268">
      <w:pPr>
        <w:spacing w:before="120" w:line="240" w:lineRule="auto"/>
        <w:rPr>
          <w:rFonts w:cs="Times New Roman"/>
          <w:b/>
          <w:sz w:val="24"/>
          <w:szCs w:val="24"/>
        </w:rPr>
      </w:pPr>
      <w:r w:rsidRPr="0047762F">
        <w:rPr>
          <w:rFonts w:cs="Times New Roman"/>
          <w:sz w:val="24"/>
          <w:szCs w:val="24"/>
        </w:rPr>
        <w:t xml:space="preserve">Transfery </w:t>
      </w:r>
      <w:r w:rsidRPr="0047762F">
        <w:rPr>
          <w:rFonts w:cs="Times New Roman"/>
          <w:b/>
          <w:i/>
          <w:iCs/>
          <w:sz w:val="24"/>
          <w:szCs w:val="24"/>
        </w:rPr>
        <w:t>Národnej diaľničnej spoločnosti, a. s.</w:t>
      </w:r>
      <w:r w:rsidRPr="0047762F">
        <w:rPr>
          <w:rFonts w:cs="Times New Roman"/>
          <w:i/>
          <w:iCs/>
          <w:sz w:val="24"/>
          <w:szCs w:val="24"/>
        </w:rPr>
        <w:t>,</w:t>
      </w:r>
      <w:r w:rsidRPr="0047762F">
        <w:rPr>
          <w:rFonts w:cs="Times New Roman"/>
          <w:sz w:val="24"/>
          <w:szCs w:val="24"/>
        </w:rPr>
        <w:t xml:space="preserve"> boli poskytnuté</w:t>
      </w:r>
      <w:r w:rsidRPr="00B51948">
        <w:rPr>
          <w:rFonts w:cs="Times New Roman"/>
          <w:color w:val="FF0000"/>
          <w:sz w:val="24"/>
          <w:szCs w:val="24"/>
        </w:rPr>
        <w:t xml:space="preserve"> </w:t>
      </w:r>
      <w:r w:rsidRPr="0047762F">
        <w:rPr>
          <w:rFonts w:cs="Times New Roman"/>
          <w:sz w:val="24"/>
          <w:szCs w:val="24"/>
        </w:rPr>
        <w:t>v sume 15 851 tis. eur na prípravu a realizáciu opráv a údržby diaľnic a rýchlostných ciest na základe Zmluvy o poskytnutí dotácií z rozpočtovej kapitoly Ministerstva dopravy a výstavby SR.</w:t>
      </w:r>
    </w:p>
    <w:p w14:paraId="1599023C" w14:textId="77777777" w:rsidR="00697268" w:rsidRPr="007176FC" w:rsidRDefault="00697268" w:rsidP="00697268">
      <w:pPr>
        <w:spacing w:before="120" w:line="240" w:lineRule="auto"/>
        <w:rPr>
          <w:rFonts w:cs="Times New Roman"/>
          <w:sz w:val="24"/>
          <w:szCs w:val="24"/>
        </w:rPr>
      </w:pPr>
      <w:r w:rsidRPr="007176FC">
        <w:rPr>
          <w:rFonts w:cs="Times New Roman"/>
          <w:b/>
          <w:sz w:val="24"/>
          <w:szCs w:val="24"/>
        </w:rPr>
        <w:t xml:space="preserve">Transfery jednotlivcom a neziskovým právnickým osobám </w:t>
      </w:r>
      <w:r w:rsidRPr="007176FC">
        <w:rPr>
          <w:rFonts w:cs="Times New Roman"/>
          <w:sz w:val="24"/>
          <w:szCs w:val="24"/>
        </w:rPr>
        <w:t>boli rozpočtované vo výške 5 492 4</w:t>
      </w:r>
      <w:r>
        <w:rPr>
          <w:rFonts w:cs="Times New Roman"/>
          <w:sz w:val="24"/>
          <w:szCs w:val="24"/>
        </w:rPr>
        <w:t>59</w:t>
      </w:r>
      <w:r w:rsidRPr="007176FC">
        <w:rPr>
          <w:rFonts w:cs="Times New Roman"/>
          <w:sz w:val="24"/>
          <w:szCs w:val="24"/>
        </w:rPr>
        <w:t> tis. eur a ich skutočné čerpanie predstavovalo 5 687 424 tis. eur, a to najmä na platby vo forme sociálnych príspevkov a dávok, dôchodkov, transferov občianskym združeniam, neziskovým organizáciám, cirkvám a podobne.</w:t>
      </w:r>
    </w:p>
    <w:tbl>
      <w:tblPr>
        <w:tblW w:w="10005" w:type="dxa"/>
        <w:tblCellMar>
          <w:left w:w="70" w:type="dxa"/>
          <w:right w:w="70" w:type="dxa"/>
        </w:tblCellMar>
        <w:tblLook w:val="04A0" w:firstRow="1" w:lastRow="0" w:firstColumn="1" w:lastColumn="0" w:noHBand="0" w:noVBand="1"/>
      </w:tblPr>
      <w:tblGrid>
        <w:gridCol w:w="3080"/>
        <w:gridCol w:w="1120"/>
        <w:gridCol w:w="1140"/>
        <w:gridCol w:w="1060"/>
        <w:gridCol w:w="1100"/>
        <w:gridCol w:w="960"/>
        <w:gridCol w:w="680"/>
        <w:gridCol w:w="24"/>
        <w:gridCol w:w="841"/>
      </w:tblGrid>
      <w:tr w:rsidR="00697268" w:rsidRPr="00B51948" w14:paraId="5FFAE6D0" w14:textId="77777777" w:rsidTr="00AB0350">
        <w:trPr>
          <w:trHeight w:val="352"/>
        </w:trPr>
        <w:tc>
          <w:tcPr>
            <w:tcW w:w="9164" w:type="dxa"/>
            <w:gridSpan w:val="8"/>
            <w:tcBorders>
              <w:top w:val="nil"/>
              <w:left w:val="nil"/>
              <w:bottom w:val="nil"/>
              <w:right w:val="nil"/>
            </w:tcBorders>
            <w:shd w:val="clear" w:color="auto" w:fill="auto"/>
            <w:noWrap/>
            <w:vAlign w:val="bottom"/>
            <w:hideMark/>
          </w:tcPr>
          <w:p w14:paraId="29F77D1B" w14:textId="3D4AF683" w:rsidR="00697268" w:rsidRPr="00CE362A" w:rsidRDefault="00697268" w:rsidP="008B3212">
            <w:pPr>
              <w:pStyle w:val="Graf"/>
              <w:rPr>
                <w:color w:val="auto"/>
              </w:rPr>
            </w:pPr>
            <w:r w:rsidRPr="00C30B4B">
              <w:t xml:space="preserve">Tabuľka </w:t>
            </w:r>
            <w:r w:rsidR="00D50C99">
              <w:t>3</w:t>
            </w:r>
            <w:r w:rsidR="008B3212">
              <w:t>9</w:t>
            </w:r>
            <w:r w:rsidRPr="00C30B4B">
              <w:t xml:space="preserve"> - Transfery jednotlivcom a neziskovým právnickým osobám</w:t>
            </w:r>
          </w:p>
        </w:tc>
        <w:tc>
          <w:tcPr>
            <w:tcW w:w="841" w:type="dxa"/>
            <w:tcBorders>
              <w:top w:val="nil"/>
              <w:left w:val="nil"/>
              <w:bottom w:val="nil"/>
              <w:right w:val="nil"/>
            </w:tcBorders>
            <w:shd w:val="clear" w:color="auto" w:fill="auto"/>
            <w:noWrap/>
            <w:vAlign w:val="bottom"/>
            <w:hideMark/>
          </w:tcPr>
          <w:p w14:paraId="16874F53" w14:textId="77777777" w:rsidR="00697268" w:rsidRPr="00CE362A" w:rsidRDefault="00697268" w:rsidP="00AB0350">
            <w:pPr>
              <w:spacing w:after="0" w:line="240" w:lineRule="auto"/>
              <w:rPr>
                <w:rFonts w:eastAsia="Times New Roman" w:cs="Times New Roman"/>
                <w:sz w:val="20"/>
                <w:szCs w:val="20"/>
                <w:lang w:eastAsia="sk-SK"/>
              </w:rPr>
            </w:pPr>
          </w:p>
        </w:tc>
      </w:tr>
      <w:tr w:rsidR="009C238D" w:rsidRPr="0066557A" w14:paraId="1B3E7C03" w14:textId="77777777" w:rsidTr="00CE362A">
        <w:trPr>
          <w:gridAfter w:val="2"/>
          <w:wAfter w:w="865" w:type="dxa"/>
          <w:trHeight w:val="289"/>
        </w:trPr>
        <w:tc>
          <w:tcPr>
            <w:tcW w:w="3080" w:type="dxa"/>
            <w:vMerge w:val="restart"/>
            <w:tcBorders>
              <w:top w:val="single" w:sz="4" w:space="0" w:color="auto"/>
              <w:left w:val="nil"/>
              <w:right w:val="nil"/>
            </w:tcBorders>
            <w:shd w:val="clear" w:color="000000" w:fill="FFFFFF"/>
            <w:vAlign w:val="center"/>
            <w:hideMark/>
          </w:tcPr>
          <w:p w14:paraId="3775943A" w14:textId="4239966C" w:rsidR="009C238D" w:rsidRPr="0066557A" w:rsidRDefault="009C238D" w:rsidP="009C238D">
            <w:pPr>
              <w:spacing w:after="0" w:line="240" w:lineRule="auto"/>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v tis. eur </w:t>
            </w:r>
          </w:p>
        </w:tc>
        <w:tc>
          <w:tcPr>
            <w:tcW w:w="1120" w:type="dxa"/>
            <w:tcBorders>
              <w:top w:val="single" w:sz="4" w:space="0" w:color="auto"/>
              <w:left w:val="nil"/>
              <w:bottom w:val="nil"/>
              <w:right w:val="nil"/>
            </w:tcBorders>
            <w:shd w:val="clear" w:color="000000" w:fill="FFFFFF"/>
            <w:noWrap/>
            <w:vAlign w:val="center"/>
            <w:hideMark/>
          </w:tcPr>
          <w:p w14:paraId="34C446AB"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2020 S</w:t>
            </w:r>
          </w:p>
        </w:tc>
        <w:tc>
          <w:tcPr>
            <w:tcW w:w="1140" w:type="dxa"/>
            <w:tcBorders>
              <w:top w:val="single" w:sz="4" w:space="0" w:color="auto"/>
              <w:left w:val="nil"/>
              <w:bottom w:val="nil"/>
              <w:right w:val="nil"/>
            </w:tcBorders>
            <w:shd w:val="clear" w:color="000000" w:fill="FFFFFF"/>
            <w:noWrap/>
            <w:vAlign w:val="center"/>
            <w:hideMark/>
          </w:tcPr>
          <w:p w14:paraId="68D7E08A"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2021 S</w:t>
            </w:r>
          </w:p>
        </w:tc>
        <w:tc>
          <w:tcPr>
            <w:tcW w:w="1060" w:type="dxa"/>
            <w:tcBorders>
              <w:top w:val="single" w:sz="4" w:space="0" w:color="auto"/>
              <w:left w:val="nil"/>
              <w:bottom w:val="nil"/>
              <w:right w:val="nil"/>
            </w:tcBorders>
            <w:shd w:val="clear" w:color="000000" w:fill="FFFFFF"/>
            <w:noWrap/>
            <w:vAlign w:val="center"/>
            <w:hideMark/>
          </w:tcPr>
          <w:p w14:paraId="3CCE06D8"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2022 R</w:t>
            </w:r>
          </w:p>
        </w:tc>
        <w:tc>
          <w:tcPr>
            <w:tcW w:w="1100" w:type="dxa"/>
            <w:tcBorders>
              <w:top w:val="single" w:sz="4" w:space="0" w:color="auto"/>
              <w:left w:val="nil"/>
              <w:bottom w:val="nil"/>
              <w:right w:val="nil"/>
            </w:tcBorders>
            <w:shd w:val="clear" w:color="000000" w:fill="FFFFFF"/>
            <w:noWrap/>
            <w:vAlign w:val="center"/>
            <w:hideMark/>
          </w:tcPr>
          <w:p w14:paraId="46E957D9"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2022 S</w:t>
            </w:r>
          </w:p>
        </w:tc>
        <w:tc>
          <w:tcPr>
            <w:tcW w:w="960" w:type="dxa"/>
            <w:tcBorders>
              <w:top w:val="single" w:sz="4" w:space="0" w:color="auto"/>
              <w:left w:val="nil"/>
              <w:bottom w:val="nil"/>
              <w:right w:val="nil"/>
            </w:tcBorders>
            <w:shd w:val="clear" w:color="000000" w:fill="FFFFFF"/>
            <w:noWrap/>
            <w:vAlign w:val="center"/>
            <w:hideMark/>
          </w:tcPr>
          <w:p w14:paraId="00DBEF56"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Rozdiel</w:t>
            </w:r>
          </w:p>
        </w:tc>
        <w:tc>
          <w:tcPr>
            <w:tcW w:w="680" w:type="dxa"/>
            <w:tcBorders>
              <w:top w:val="single" w:sz="4" w:space="0" w:color="auto"/>
              <w:left w:val="nil"/>
              <w:bottom w:val="nil"/>
              <w:right w:val="nil"/>
            </w:tcBorders>
            <w:shd w:val="clear" w:color="000000" w:fill="FFFFFF"/>
            <w:noWrap/>
            <w:vAlign w:val="center"/>
            <w:hideMark/>
          </w:tcPr>
          <w:p w14:paraId="10795F02"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v %</w:t>
            </w:r>
          </w:p>
        </w:tc>
      </w:tr>
      <w:tr w:rsidR="009C238D" w:rsidRPr="0066557A" w14:paraId="08A7FB6D" w14:textId="77777777" w:rsidTr="00CE362A">
        <w:trPr>
          <w:gridAfter w:val="2"/>
          <w:wAfter w:w="865" w:type="dxa"/>
          <w:trHeight w:val="289"/>
        </w:trPr>
        <w:tc>
          <w:tcPr>
            <w:tcW w:w="3080" w:type="dxa"/>
            <w:vMerge/>
            <w:tcBorders>
              <w:left w:val="nil"/>
              <w:bottom w:val="single" w:sz="4" w:space="0" w:color="auto"/>
              <w:right w:val="nil"/>
            </w:tcBorders>
            <w:shd w:val="clear" w:color="000000" w:fill="FFFFFF"/>
            <w:vAlign w:val="center"/>
            <w:hideMark/>
          </w:tcPr>
          <w:p w14:paraId="47284B7B" w14:textId="380BAF20" w:rsidR="009C238D" w:rsidRPr="0066557A" w:rsidRDefault="009C238D" w:rsidP="00AB0350">
            <w:pPr>
              <w:spacing w:after="0" w:line="240" w:lineRule="auto"/>
              <w:jc w:val="center"/>
              <w:rPr>
                <w:rFonts w:eastAsia="Times New Roman" w:cs="Times New Roman"/>
                <w:b/>
                <w:bCs/>
                <w:color w:val="000000"/>
                <w:sz w:val="18"/>
                <w:szCs w:val="18"/>
                <w:lang w:eastAsia="sk-SK"/>
              </w:rPr>
            </w:pPr>
          </w:p>
        </w:tc>
        <w:tc>
          <w:tcPr>
            <w:tcW w:w="1120" w:type="dxa"/>
            <w:tcBorders>
              <w:top w:val="nil"/>
              <w:left w:val="nil"/>
              <w:bottom w:val="single" w:sz="4" w:space="0" w:color="auto"/>
              <w:right w:val="nil"/>
            </w:tcBorders>
            <w:shd w:val="clear" w:color="000000" w:fill="FFFFFF"/>
            <w:noWrap/>
            <w:vAlign w:val="center"/>
            <w:hideMark/>
          </w:tcPr>
          <w:p w14:paraId="6FE47B58"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2</w:t>
            </w:r>
          </w:p>
        </w:tc>
        <w:tc>
          <w:tcPr>
            <w:tcW w:w="1140" w:type="dxa"/>
            <w:tcBorders>
              <w:top w:val="nil"/>
              <w:left w:val="nil"/>
              <w:bottom w:val="single" w:sz="4" w:space="0" w:color="auto"/>
              <w:right w:val="nil"/>
            </w:tcBorders>
            <w:shd w:val="clear" w:color="000000" w:fill="FFFFFF"/>
            <w:noWrap/>
            <w:vAlign w:val="center"/>
            <w:hideMark/>
          </w:tcPr>
          <w:p w14:paraId="2B5CD668"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4</w:t>
            </w:r>
          </w:p>
        </w:tc>
        <w:tc>
          <w:tcPr>
            <w:tcW w:w="1060" w:type="dxa"/>
            <w:tcBorders>
              <w:top w:val="nil"/>
              <w:left w:val="nil"/>
              <w:bottom w:val="single" w:sz="4" w:space="0" w:color="auto"/>
              <w:right w:val="nil"/>
            </w:tcBorders>
            <w:shd w:val="clear" w:color="000000" w:fill="FFFFFF"/>
            <w:noWrap/>
            <w:vAlign w:val="center"/>
            <w:hideMark/>
          </w:tcPr>
          <w:p w14:paraId="239A1BF0"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3</w:t>
            </w:r>
          </w:p>
        </w:tc>
        <w:tc>
          <w:tcPr>
            <w:tcW w:w="1100" w:type="dxa"/>
            <w:tcBorders>
              <w:top w:val="nil"/>
              <w:left w:val="nil"/>
              <w:bottom w:val="single" w:sz="4" w:space="0" w:color="auto"/>
              <w:right w:val="nil"/>
            </w:tcBorders>
            <w:shd w:val="clear" w:color="000000" w:fill="FFFFFF"/>
            <w:noWrap/>
            <w:vAlign w:val="center"/>
            <w:hideMark/>
          </w:tcPr>
          <w:p w14:paraId="6A2E9CF4"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4</w:t>
            </w:r>
          </w:p>
        </w:tc>
        <w:tc>
          <w:tcPr>
            <w:tcW w:w="960" w:type="dxa"/>
            <w:tcBorders>
              <w:top w:val="nil"/>
              <w:left w:val="nil"/>
              <w:bottom w:val="single" w:sz="4" w:space="0" w:color="auto"/>
              <w:right w:val="nil"/>
            </w:tcBorders>
            <w:shd w:val="clear" w:color="000000" w:fill="FFFFFF"/>
            <w:noWrap/>
            <w:vAlign w:val="center"/>
            <w:hideMark/>
          </w:tcPr>
          <w:p w14:paraId="19482385"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5=4-3</w:t>
            </w:r>
          </w:p>
        </w:tc>
        <w:tc>
          <w:tcPr>
            <w:tcW w:w="680" w:type="dxa"/>
            <w:tcBorders>
              <w:top w:val="nil"/>
              <w:left w:val="nil"/>
              <w:bottom w:val="single" w:sz="4" w:space="0" w:color="auto"/>
              <w:right w:val="nil"/>
            </w:tcBorders>
            <w:shd w:val="clear" w:color="000000" w:fill="FFFFFF"/>
            <w:noWrap/>
            <w:vAlign w:val="center"/>
            <w:hideMark/>
          </w:tcPr>
          <w:p w14:paraId="7F8767D9" w14:textId="77777777" w:rsidR="009C238D" w:rsidRPr="0066557A" w:rsidRDefault="009C238D" w:rsidP="00AB0350">
            <w:pPr>
              <w:spacing w:after="0" w:line="240" w:lineRule="auto"/>
              <w:jc w:val="center"/>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6=4-3</w:t>
            </w:r>
          </w:p>
        </w:tc>
      </w:tr>
      <w:tr w:rsidR="00697268" w:rsidRPr="0066557A" w14:paraId="5E897047" w14:textId="77777777" w:rsidTr="00CE362A">
        <w:trPr>
          <w:gridAfter w:val="2"/>
          <w:wAfter w:w="865" w:type="dxa"/>
          <w:trHeight w:val="289"/>
        </w:trPr>
        <w:tc>
          <w:tcPr>
            <w:tcW w:w="3080" w:type="dxa"/>
            <w:tcBorders>
              <w:top w:val="nil"/>
              <w:left w:val="nil"/>
              <w:bottom w:val="nil"/>
              <w:right w:val="nil"/>
            </w:tcBorders>
            <w:shd w:val="clear" w:color="auto" w:fill="auto"/>
            <w:vAlign w:val="center"/>
            <w:hideMark/>
          </w:tcPr>
          <w:p w14:paraId="2F65475C" w14:textId="77777777" w:rsidR="00697268" w:rsidRPr="0066557A" w:rsidRDefault="00697268" w:rsidP="00AB0350">
            <w:pPr>
              <w:spacing w:after="0" w:line="240" w:lineRule="auto"/>
              <w:rPr>
                <w:rFonts w:eastAsia="Times New Roman" w:cs="Times New Roman"/>
                <w:color w:val="000000"/>
                <w:sz w:val="18"/>
                <w:szCs w:val="18"/>
                <w:lang w:eastAsia="sk-SK"/>
              </w:rPr>
            </w:pPr>
            <w:bookmarkStart w:id="46" w:name="RANGE!B5"/>
            <w:r w:rsidRPr="0066557A">
              <w:rPr>
                <w:rFonts w:eastAsia="Times New Roman" w:cs="Times New Roman"/>
                <w:color w:val="000000"/>
                <w:sz w:val="18"/>
                <w:szCs w:val="18"/>
                <w:lang w:eastAsia="sk-SK"/>
              </w:rPr>
              <w:t>Sociálne dávky</w:t>
            </w:r>
            <w:bookmarkEnd w:id="46"/>
          </w:p>
        </w:tc>
        <w:tc>
          <w:tcPr>
            <w:tcW w:w="1120" w:type="dxa"/>
            <w:tcBorders>
              <w:top w:val="nil"/>
              <w:left w:val="nil"/>
              <w:bottom w:val="nil"/>
              <w:right w:val="nil"/>
            </w:tcBorders>
            <w:shd w:val="clear" w:color="auto" w:fill="auto"/>
            <w:vAlign w:val="center"/>
            <w:hideMark/>
          </w:tcPr>
          <w:p w14:paraId="5B6F6831"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2 040 403</w:t>
            </w:r>
          </w:p>
        </w:tc>
        <w:tc>
          <w:tcPr>
            <w:tcW w:w="1140" w:type="dxa"/>
            <w:tcBorders>
              <w:top w:val="nil"/>
              <w:left w:val="nil"/>
              <w:bottom w:val="nil"/>
              <w:right w:val="nil"/>
            </w:tcBorders>
            <w:shd w:val="clear" w:color="000000" w:fill="FFFFFF"/>
            <w:vAlign w:val="center"/>
            <w:hideMark/>
          </w:tcPr>
          <w:p w14:paraId="5BFCFC7C"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2 369 906</w:t>
            </w:r>
          </w:p>
        </w:tc>
        <w:tc>
          <w:tcPr>
            <w:tcW w:w="1060" w:type="dxa"/>
            <w:tcBorders>
              <w:top w:val="nil"/>
              <w:left w:val="nil"/>
              <w:bottom w:val="nil"/>
              <w:right w:val="nil"/>
            </w:tcBorders>
            <w:shd w:val="clear" w:color="auto" w:fill="auto"/>
            <w:vAlign w:val="center"/>
            <w:hideMark/>
          </w:tcPr>
          <w:p w14:paraId="136F1557"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2 414 642</w:t>
            </w:r>
          </w:p>
        </w:tc>
        <w:tc>
          <w:tcPr>
            <w:tcW w:w="1100" w:type="dxa"/>
            <w:tcBorders>
              <w:top w:val="nil"/>
              <w:left w:val="nil"/>
              <w:bottom w:val="nil"/>
              <w:right w:val="nil"/>
            </w:tcBorders>
            <w:shd w:val="clear" w:color="auto" w:fill="auto"/>
            <w:vAlign w:val="center"/>
            <w:hideMark/>
          </w:tcPr>
          <w:p w14:paraId="27925A7D" w14:textId="49A135F6" w:rsidR="00697268" w:rsidRPr="0066557A" w:rsidRDefault="00697268" w:rsidP="003A3F12">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w:t>
            </w:r>
            <w:r>
              <w:rPr>
                <w:rFonts w:eastAsia="Times New Roman" w:cs="Times New Roman"/>
                <w:color w:val="000000"/>
                <w:sz w:val="18"/>
                <w:szCs w:val="18"/>
                <w:lang w:eastAsia="sk-SK"/>
              </w:rPr>
              <w:t> </w:t>
            </w:r>
            <w:r w:rsidR="003A3F12">
              <w:rPr>
                <w:rFonts w:eastAsia="Times New Roman" w:cs="Times New Roman"/>
                <w:color w:val="000000"/>
                <w:sz w:val="18"/>
                <w:szCs w:val="18"/>
                <w:lang w:eastAsia="sk-SK"/>
              </w:rPr>
              <w:t>473</w:t>
            </w:r>
            <w:r>
              <w:rPr>
                <w:rFonts w:eastAsia="Times New Roman" w:cs="Times New Roman"/>
                <w:color w:val="000000"/>
                <w:sz w:val="18"/>
                <w:szCs w:val="18"/>
                <w:lang w:eastAsia="sk-SK"/>
              </w:rPr>
              <w:t xml:space="preserve"> </w:t>
            </w:r>
            <w:r w:rsidR="003A3F12">
              <w:rPr>
                <w:rFonts w:eastAsia="Times New Roman" w:cs="Times New Roman"/>
                <w:color w:val="000000"/>
                <w:sz w:val="18"/>
                <w:szCs w:val="18"/>
                <w:lang w:eastAsia="sk-SK"/>
              </w:rPr>
              <w:t>116</w:t>
            </w:r>
          </w:p>
        </w:tc>
        <w:tc>
          <w:tcPr>
            <w:tcW w:w="960" w:type="dxa"/>
            <w:tcBorders>
              <w:top w:val="nil"/>
              <w:left w:val="nil"/>
              <w:bottom w:val="nil"/>
              <w:right w:val="nil"/>
            </w:tcBorders>
            <w:shd w:val="clear" w:color="auto" w:fill="auto"/>
            <w:vAlign w:val="center"/>
            <w:hideMark/>
          </w:tcPr>
          <w:p w14:paraId="34A62382" w14:textId="03809F5C" w:rsidR="00697268" w:rsidRPr="0066557A" w:rsidRDefault="003A3F12" w:rsidP="003A3F12">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58</w:t>
            </w:r>
            <w:r w:rsidR="00697268">
              <w:rPr>
                <w:rFonts w:eastAsia="Times New Roman" w:cs="Times New Roman"/>
                <w:color w:val="000000"/>
                <w:sz w:val="18"/>
                <w:szCs w:val="18"/>
                <w:lang w:eastAsia="sk-SK"/>
              </w:rPr>
              <w:t xml:space="preserve"> </w:t>
            </w:r>
            <w:r>
              <w:rPr>
                <w:rFonts w:eastAsia="Times New Roman" w:cs="Times New Roman"/>
                <w:color w:val="000000"/>
                <w:sz w:val="18"/>
                <w:szCs w:val="18"/>
                <w:lang w:eastAsia="sk-SK"/>
              </w:rPr>
              <w:t>474</w:t>
            </w:r>
          </w:p>
        </w:tc>
        <w:tc>
          <w:tcPr>
            <w:tcW w:w="680" w:type="dxa"/>
            <w:tcBorders>
              <w:top w:val="nil"/>
              <w:left w:val="nil"/>
              <w:bottom w:val="nil"/>
              <w:right w:val="nil"/>
            </w:tcBorders>
            <w:shd w:val="clear" w:color="auto" w:fill="auto"/>
            <w:vAlign w:val="center"/>
            <w:hideMark/>
          </w:tcPr>
          <w:p w14:paraId="64AD119C" w14:textId="7A460BAE" w:rsidR="00697268" w:rsidRPr="0066557A" w:rsidRDefault="003A3F12" w:rsidP="003A3F12">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2</w:t>
            </w:r>
            <w:r w:rsidR="00697268">
              <w:rPr>
                <w:rFonts w:eastAsia="Times New Roman" w:cs="Times New Roman"/>
                <w:color w:val="000000"/>
                <w:sz w:val="18"/>
                <w:szCs w:val="18"/>
                <w:lang w:eastAsia="sk-SK"/>
              </w:rPr>
              <w:t>,</w:t>
            </w:r>
            <w:r>
              <w:rPr>
                <w:rFonts w:eastAsia="Times New Roman" w:cs="Times New Roman"/>
                <w:color w:val="000000"/>
                <w:sz w:val="18"/>
                <w:szCs w:val="18"/>
                <w:lang w:eastAsia="sk-SK"/>
              </w:rPr>
              <w:t>4</w:t>
            </w:r>
          </w:p>
        </w:tc>
      </w:tr>
      <w:tr w:rsidR="00697268" w:rsidRPr="0066557A" w14:paraId="4DD12BF9" w14:textId="77777777" w:rsidTr="00CE362A">
        <w:trPr>
          <w:gridAfter w:val="2"/>
          <w:wAfter w:w="865" w:type="dxa"/>
          <w:trHeight w:val="289"/>
        </w:trPr>
        <w:tc>
          <w:tcPr>
            <w:tcW w:w="3080" w:type="dxa"/>
            <w:tcBorders>
              <w:top w:val="nil"/>
              <w:left w:val="nil"/>
              <w:bottom w:val="nil"/>
              <w:right w:val="nil"/>
            </w:tcBorders>
            <w:shd w:val="clear" w:color="auto" w:fill="auto"/>
            <w:vAlign w:val="center"/>
            <w:hideMark/>
          </w:tcPr>
          <w:p w14:paraId="59A52F21" w14:textId="77777777" w:rsidR="00697268" w:rsidRPr="0066557A" w:rsidRDefault="00697268" w:rsidP="00AB0350">
            <w:pPr>
              <w:spacing w:after="0" w:line="240" w:lineRule="auto"/>
              <w:rPr>
                <w:rFonts w:eastAsia="Times New Roman" w:cs="Times New Roman"/>
                <w:color w:val="000000"/>
                <w:sz w:val="18"/>
                <w:szCs w:val="18"/>
                <w:lang w:eastAsia="sk-SK"/>
              </w:rPr>
            </w:pPr>
            <w:r w:rsidRPr="0066557A">
              <w:rPr>
                <w:rFonts w:eastAsia="Times New Roman" w:cs="Times New Roman"/>
                <w:color w:val="000000"/>
                <w:sz w:val="18"/>
                <w:szCs w:val="18"/>
                <w:lang w:eastAsia="sk-SK"/>
              </w:rPr>
              <w:t xml:space="preserve">Transfery na platené poistné za skupiny osôb ustanovené zákonom </w:t>
            </w:r>
          </w:p>
        </w:tc>
        <w:tc>
          <w:tcPr>
            <w:tcW w:w="1120" w:type="dxa"/>
            <w:tcBorders>
              <w:top w:val="nil"/>
              <w:left w:val="nil"/>
              <w:bottom w:val="nil"/>
              <w:right w:val="nil"/>
            </w:tcBorders>
            <w:shd w:val="clear" w:color="auto" w:fill="auto"/>
            <w:vAlign w:val="center"/>
            <w:hideMark/>
          </w:tcPr>
          <w:p w14:paraId="310DEEF0"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1 487 289</w:t>
            </w:r>
          </w:p>
        </w:tc>
        <w:tc>
          <w:tcPr>
            <w:tcW w:w="1140" w:type="dxa"/>
            <w:tcBorders>
              <w:top w:val="nil"/>
              <w:left w:val="nil"/>
              <w:bottom w:val="nil"/>
              <w:right w:val="nil"/>
            </w:tcBorders>
            <w:shd w:val="clear" w:color="000000" w:fill="FFFFFF"/>
            <w:vAlign w:val="center"/>
            <w:hideMark/>
          </w:tcPr>
          <w:p w14:paraId="7E9440E1"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1 708 414</w:t>
            </w:r>
          </w:p>
        </w:tc>
        <w:tc>
          <w:tcPr>
            <w:tcW w:w="1060" w:type="dxa"/>
            <w:tcBorders>
              <w:top w:val="nil"/>
              <w:left w:val="nil"/>
              <w:bottom w:val="nil"/>
              <w:right w:val="nil"/>
            </w:tcBorders>
            <w:shd w:val="clear" w:color="auto" w:fill="auto"/>
            <w:vAlign w:val="center"/>
            <w:hideMark/>
          </w:tcPr>
          <w:p w14:paraId="1889F3D2"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1 484 317</w:t>
            </w:r>
          </w:p>
        </w:tc>
        <w:tc>
          <w:tcPr>
            <w:tcW w:w="1100" w:type="dxa"/>
            <w:tcBorders>
              <w:top w:val="nil"/>
              <w:left w:val="nil"/>
              <w:bottom w:val="nil"/>
              <w:right w:val="nil"/>
            </w:tcBorders>
            <w:shd w:val="clear" w:color="auto" w:fill="auto"/>
            <w:vAlign w:val="center"/>
            <w:hideMark/>
          </w:tcPr>
          <w:p w14:paraId="7F5B9155"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1 718 317</w:t>
            </w:r>
          </w:p>
        </w:tc>
        <w:tc>
          <w:tcPr>
            <w:tcW w:w="960" w:type="dxa"/>
            <w:tcBorders>
              <w:top w:val="nil"/>
              <w:left w:val="nil"/>
              <w:bottom w:val="nil"/>
              <w:right w:val="nil"/>
            </w:tcBorders>
            <w:shd w:val="clear" w:color="auto" w:fill="auto"/>
            <w:vAlign w:val="center"/>
            <w:hideMark/>
          </w:tcPr>
          <w:p w14:paraId="76E3661B"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234 000</w:t>
            </w:r>
          </w:p>
        </w:tc>
        <w:tc>
          <w:tcPr>
            <w:tcW w:w="680" w:type="dxa"/>
            <w:tcBorders>
              <w:top w:val="nil"/>
              <w:left w:val="nil"/>
              <w:bottom w:val="nil"/>
              <w:right w:val="nil"/>
            </w:tcBorders>
            <w:shd w:val="clear" w:color="auto" w:fill="auto"/>
            <w:vAlign w:val="center"/>
            <w:hideMark/>
          </w:tcPr>
          <w:p w14:paraId="0CD1204F"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15,</w:t>
            </w:r>
            <w:r>
              <w:rPr>
                <w:rFonts w:eastAsia="Times New Roman" w:cs="Times New Roman"/>
                <w:color w:val="000000"/>
                <w:sz w:val="18"/>
                <w:szCs w:val="18"/>
                <w:lang w:eastAsia="sk-SK"/>
              </w:rPr>
              <w:t>8</w:t>
            </w:r>
          </w:p>
        </w:tc>
      </w:tr>
      <w:tr w:rsidR="00697268" w:rsidRPr="0066557A" w14:paraId="0B5F8914" w14:textId="77777777" w:rsidTr="00CE362A">
        <w:trPr>
          <w:gridAfter w:val="2"/>
          <w:wAfter w:w="865" w:type="dxa"/>
          <w:trHeight w:val="289"/>
        </w:trPr>
        <w:tc>
          <w:tcPr>
            <w:tcW w:w="3080" w:type="dxa"/>
            <w:tcBorders>
              <w:top w:val="nil"/>
              <w:left w:val="nil"/>
              <w:bottom w:val="nil"/>
              <w:right w:val="nil"/>
            </w:tcBorders>
            <w:shd w:val="clear" w:color="auto" w:fill="auto"/>
            <w:vAlign w:val="center"/>
            <w:hideMark/>
          </w:tcPr>
          <w:p w14:paraId="6C90CEEA" w14:textId="77777777" w:rsidR="00697268" w:rsidRPr="0066557A" w:rsidRDefault="00697268" w:rsidP="00AB0350">
            <w:pPr>
              <w:spacing w:after="0" w:line="240" w:lineRule="auto"/>
              <w:rPr>
                <w:rFonts w:eastAsia="Times New Roman" w:cs="Times New Roman"/>
                <w:color w:val="000000"/>
                <w:sz w:val="18"/>
                <w:szCs w:val="18"/>
                <w:lang w:eastAsia="sk-SK"/>
              </w:rPr>
            </w:pPr>
            <w:r w:rsidRPr="0066557A">
              <w:rPr>
                <w:rFonts w:eastAsia="Times New Roman" w:cs="Times New Roman"/>
                <w:color w:val="000000"/>
                <w:sz w:val="18"/>
                <w:szCs w:val="18"/>
                <w:lang w:eastAsia="sk-SK"/>
              </w:rPr>
              <w:t>Transfery OZ, nadáciám, neziskovým organizáciám, polit. stranám a hnutia</w:t>
            </w:r>
            <w:r>
              <w:rPr>
                <w:rFonts w:eastAsia="Times New Roman" w:cs="Times New Roman"/>
                <w:color w:val="000000"/>
                <w:sz w:val="18"/>
                <w:szCs w:val="18"/>
                <w:lang w:eastAsia="sk-SK"/>
              </w:rPr>
              <w:t>m, odborovým organizáciám, cirk</w:t>
            </w:r>
            <w:r w:rsidRPr="0066557A">
              <w:rPr>
                <w:rFonts w:eastAsia="Times New Roman" w:cs="Times New Roman"/>
                <w:color w:val="000000"/>
                <w:sz w:val="18"/>
                <w:szCs w:val="18"/>
                <w:lang w:eastAsia="sk-SK"/>
              </w:rPr>
              <w:t>v</w:t>
            </w:r>
            <w:r>
              <w:rPr>
                <w:rFonts w:eastAsia="Times New Roman" w:cs="Times New Roman"/>
                <w:color w:val="000000"/>
                <w:sz w:val="18"/>
                <w:szCs w:val="18"/>
                <w:lang w:eastAsia="sk-SK"/>
              </w:rPr>
              <w:t>i</w:t>
            </w:r>
            <w:r w:rsidRPr="0066557A">
              <w:rPr>
                <w:rFonts w:eastAsia="Times New Roman" w:cs="Times New Roman"/>
                <w:color w:val="000000"/>
                <w:sz w:val="18"/>
                <w:szCs w:val="18"/>
                <w:lang w:eastAsia="sk-SK"/>
              </w:rPr>
              <w:t>. a</w:t>
            </w:r>
            <w:r>
              <w:rPr>
                <w:rFonts w:eastAsia="Times New Roman" w:cs="Times New Roman"/>
                <w:color w:val="000000"/>
                <w:sz w:val="18"/>
                <w:szCs w:val="18"/>
                <w:lang w:eastAsia="sk-SK"/>
              </w:rPr>
              <w:t> </w:t>
            </w:r>
            <w:r w:rsidRPr="0066557A">
              <w:rPr>
                <w:rFonts w:eastAsia="Times New Roman" w:cs="Times New Roman"/>
                <w:color w:val="000000"/>
                <w:sz w:val="18"/>
                <w:szCs w:val="18"/>
                <w:lang w:eastAsia="sk-SK"/>
              </w:rPr>
              <w:t>súkrom</w:t>
            </w:r>
            <w:r>
              <w:rPr>
                <w:rFonts w:eastAsia="Times New Roman" w:cs="Times New Roman"/>
                <w:color w:val="000000"/>
                <w:sz w:val="18"/>
                <w:szCs w:val="18"/>
                <w:lang w:eastAsia="sk-SK"/>
              </w:rPr>
              <w:t xml:space="preserve">ným </w:t>
            </w:r>
            <w:r w:rsidRPr="0066557A">
              <w:rPr>
                <w:rFonts w:eastAsia="Times New Roman" w:cs="Times New Roman"/>
                <w:color w:val="000000"/>
                <w:sz w:val="18"/>
                <w:szCs w:val="18"/>
                <w:lang w:eastAsia="sk-SK"/>
              </w:rPr>
              <w:t>školám, cirkvám, náboženským spoločnostiam...</w:t>
            </w:r>
          </w:p>
        </w:tc>
        <w:tc>
          <w:tcPr>
            <w:tcW w:w="1120" w:type="dxa"/>
            <w:tcBorders>
              <w:top w:val="nil"/>
              <w:left w:val="nil"/>
              <w:bottom w:val="nil"/>
              <w:right w:val="nil"/>
            </w:tcBorders>
            <w:shd w:val="clear" w:color="auto" w:fill="auto"/>
            <w:vAlign w:val="center"/>
            <w:hideMark/>
          </w:tcPr>
          <w:p w14:paraId="0A5ED096"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596 282</w:t>
            </w:r>
          </w:p>
        </w:tc>
        <w:tc>
          <w:tcPr>
            <w:tcW w:w="1140" w:type="dxa"/>
            <w:tcBorders>
              <w:top w:val="nil"/>
              <w:left w:val="nil"/>
              <w:bottom w:val="nil"/>
              <w:right w:val="nil"/>
            </w:tcBorders>
            <w:shd w:val="clear" w:color="000000" w:fill="FFFFFF"/>
            <w:vAlign w:val="center"/>
            <w:hideMark/>
          </w:tcPr>
          <w:p w14:paraId="7274BB6B"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630 894</w:t>
            </w:r>
          </w:p>
        </w:tc>
        <w:tc>
          <w:tcPr>
            <w:tcW w:w="1060" w:type="dxa"/>
            <w:tcBorders>
              <w:top w:val="nil"/>
              <w:left w:val="nil"/>
              <w:bottom w:val="nil"/>
              <w:right w:val="nil"/>
            </w:tcBorders>
            <w:shd w:val="clear" w:color="auto" w:fill="auto"/>
            <w:vAlign w:val="center"/>
            <w:hideMark/>
          </w:tcPr>
          <w:p w14:paraId="0346E92B"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575 481</w:t>
            </w:r>
          </w:p>
        </w:tc>
        <w:tc>
          <w:tcPr>
            <w:tcW w:w="1100" w:type="dxa"/>
            <w:tcBorders>
              <w:top w:val="nil"/>
              <w:left w:val="nil"/>
              <w:bottom w:val="nil"/>
              <w:right w:val="nil"/>
            </w:tcBorders>
            <w:shd w:val="clear" w:color="auto" w:fill="auto"/>
            <w:vAlign w:val="center"/>
            <w:hideMark/>
          </w:tcPr>
          <w:p w14:paraId="526BBC4F"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696 633</w:t>
            </w:r>
          </w:p>
        </w:tc>
        <w:tc>
          <w:tcPr>
            <w:tcW w:w="960" w:type="dxa"/>
            <w:tcBorders>
              <w:top w:val="nil"/>
              <w:left w:val="nil"/>
              <w:bottom w:val="nil"/>
              <w:right w:val="nil"/>
            </w:tcBorders>
            <w:shd w:val="clear" w:color="auto" w:fill="auto"/>
            <w:vAlign w:val="center"/>
            <w:hideMark/>
          </w:tcPr>
          <w:p w14:paraId="0A240A8E"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121 152</w:t>
            </w:r>
          </w:p>
        </w:tc>
        <w:tc>
          <w:tcPr>
            <w:tcW w:w="680" w:type="dxa"/>
            <w:tcBorders>
              <w:top w:val="nil"/>
              <w:left w:val="nil"/>
              <w:bottom w:val="nil"/>
              <w:right w:val="nil"/>
            </w:tcBorders>
            <w:shd w:val="clear" w:color="auto" w:fill="auto"/>
            <w:vAlign w:val="center"/>
            <w:hideMark/>
          </w:tcPr>
          <w:p w14:paraId="23B5AAA0"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21,1</w:t>
            </w:r>
          </w:p>
        </w:tc>
      </w:tr>
      <w:tr w:rsidR="00697268" w:rsidRPr="0066557A" w14:paraId="382C31F7" w14:textId="77777777" w:rsidTr="00CE362A">
        <w:trPr>
          <w:gridAfter w:val="2"/>
          <w:wAfter w:w="865" w:type="dxa"/>
          <w:trHeight w:val="289"/>
        </w:trPr>
        <w:tc>
          <w:tcPr>
            <w:tcW w:w="3080" w:type="dxa"/>
            <w:tcBorders>
              <w:top w:val="nil"/>
              <w:left w:val="nil"/>
              <w:bottom w:val="nil"/>
              <w:right w:val="nil"/>
            </w:tcBorders>
            <w:shd w:val="clear" w:color="auto" w:fill="auto"/>
            <w:vAlign w:val="center"/>
            <w:hideMark/>
          </w:tcPr>
          <w:p w14:paraId="6B1A8CA5" w14:textId="4E805D63" w:rsidR="00697268" w:rsidRPr="0066557A" w:rsidRDefault="003A3F12" w:rsidP="003A3F12">
            <w:pPr>
              <w:spacing w:after="0" w:line="240" w:lineRule="auto"/>
              <w:rPr>
                <w:rFonts w:eastAsia="Times New Roman" w:cs="Times New Roman"/>
                <w:color w:val="000000"/>
                <w:sz w:val="18"/>
                <w:szCs w:val="18"/>
                <w:lang w:eastAsia="sk-SK"/>
              </w:rPr>
            </w:pPr>
            <w:r>
              <w:rPr>
                <w:rFonts w:eastAsia="Times New Roman" w:cs="Times New Roman"/>
                <w:color w:val="000000"/>
                <w:sz w:val="18"/>
                <w:szCs w:val="18"/>
                <w:lang w:eastAsia="sk-SK"/>
              </w:rPr>
              <w:t xml:space="preserve">Projekt </w:t>
            </w:r>
            <w:r w:rsidR="00697268" w:rsidRPr="0066557A">
              <w:rPr>
                <w:rFonts w:eastAsia="Times New Roman" w:cs="Times New Roman"/>
                <w:color w:val="000000"/>
                <w:sz w:val="18"/>
                <w:szCs w:val="18"/>
                <w:lang w:eastAsia="sk-SK"/>
              </w:rPr>
              <w:t xml:space="preserve">Prvá pomoc </w:t>
            </w:r>
          </w:p>
        </w:tc>
        <w:tc>
          <w:tcPr>
            <w:tcW w:w="1120" w:type="dxa"/>
            <w:tcBorders>
              <w:top w:val="nil"/>
              <w:left w:val="nil"/>
              <w:bottom w:val="nil"/>
              <w:right w:val="nil"/>
            </w:tcBorders>
            <w:shd w:val="clear" w:color="auto" w:fill="auto"/>
            <w:vAlign w:val="center"/>
            <w:hideMark/>
          </w:tcPr>
          <w:p w14:paraId="7492819C"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774 866</w:t>
            </w:r>
          </w:p>
        </w:tc>
        <w:tc>
          <w:tcPr>
            <w:tcW w:w="1140" w:type="dxa"/>
            <w:tcBorders>
              <w:top w:val="nil"/>
              <w:left w:val="nil"/>
              <w:bottom w:val="nil"/>
              <w:right w:val="nil"/>
            </w:tcBorders>
            <w:shd w:val="clear" w:color="000000" w:fill="FFFFFF"/>
            <w:vAlign w:val="center"/>
            <w:hideMark/>
          </w:tcPr>
          <w:p w14:paraId="33833EA0"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1 179 802</w:t>
            </w:r>
          </w:p>
        </w:tc>
        <w:tc>
          <w:tcPr>
            <w:tcW w:w="1060" w:type="dxa"/>
            <w:tcBorders>
              <w:top w:val="nil"/>
              <w:left w:val="nil"/>
              <w:bottom w:val="nil"/>
              <w:right w:val="nil"/>
            </w:tcBorders>
            <w:shd w:val="clear" w:color="auto" w:fill="auto"/>
            <w:vAlign w:val="center"/>
            <w:hideMark/>
          </w:tcPr>
          <w:p w14:paraId="4D064AD4"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0</w:t>
            </w:r>
          </w:p>
        </w:tc>
        <w:tc>
          <w:tcPr>
            <w:tcW w:w="1100" w:type="dxa"/>
            <w:tcBorders>
              <w:top w:val="nil"/>
              <w:left w:val="nil"/>
              <w:bottom w:val="nil"/>
              <w:right w:val="nil"/>
            </w:tcBorders>
            <w:shd w:val="clear" w:color="auto" w:fill="auto"/>
            <w:vAlign w:val="center"/>
            <w:hideMark/>
          </w:tcPr>
          <w:p w14:paraId="05718488"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278 130</w:t>
            </w:r>
          </w:p>
        </w:tc>
        <w:tc>
          <w:tcPr>
            <w:tcW w:w="960" w:type="dxa"/>
            <w:tcBorders>
              <w:top w:val="nil"/>
              <w:left w:val="nil"/>
              <w:bottom w:val="nil"/>
              <w:right w:val="nil"/>
            </w:tcBorders>
            <w:shd w:val="clear" w:color="auto" w:fill="auto"/>
            <w:vAlign w:val="center"/>
            <w:hideMark/>
          </w:tcPr>
          <w:p w14:paraId="6EF5FCE4"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278 130</w:t>
            </w:r>
          </w:p>
        </w:tc>
        <w:tc>
          <w:tcPr>
            <w:tcW w:w="680" w:type="dxa"/>
            <w:tcBorders>
              <w:top w:val="nil"/>
              <w:left w:val="nil"/>
              <w:bottom w:val="nil"/>
              <w:right w:val="nil"/>
            </w:tcBorders>
            <w:shd w:val="clear" w:color="auto" w:fill="auto"/>
            <w:vAlign w:val="center"/>
            <w:hideMark/>
          </w:tcPr>
          <w:p w14:paraId="6DF3AC77"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x</w:t>
            </w:r>
          </w:p>
        </w:tc>
      </w:tr>
      <w:tr w:rsidR="00697268" w:rsidRPr="0066557A" w14:paraId="39DD4D12" w14:textId="77777777" w:rsidTr="00CE362A">
        <w:trPr>
          <w:gridAfter w:val="2"/>
          <w:wAfter w:w="865" w:type="dxa"/>
          <w:trHeight w:val="289"/>
        </w:trPr>
        <w:tc>
          <w:tcPr>
            <w:tcW w:w="3080" w:type="dxa"/>
            <w:tcBorders>
              <w:top w:val="nil"/>
              <w:left w:val="nil"/>
              <w:bottom w:val="nil"/>
              <w:right w:val="nil"/>
            </w:tcBorders>
            <w:shd w:val="clear" w:color="auto" w:fill="auto"/>
            <w:vAlign w:val="center"/>
            <w:hideMark/>
          </w:tcPr>
          <w:p w14:paraId="12859764" w14:textId="77777777" w:rsidR="00697268" w:rsidRPr="0066557A" w:rsidRDefault="00697268" w:rsidP="00AB0350">
            <w:pPr>
              <w:spacing w:after="0" w:line="240" w:lineRule="auto"/>
              <w:rPr>
                <w:rFonts w:eastAsia="Times New Roman" w:cs="Times New Roman"/>
                <w:color w:val="000000"/>
                <w:sz w:val="18"/>
                <w:szCs w:val="18"/>
                <w:lang w:eastAsia="sk-SK"/>
              </w:rPr>
            </w:pPr>
            <w:r w:rsidRPr="0066557A">
              <w:rPr>
                <w:rFonts w:eastAsia="Times New Roman" w:cs="Times New Roman"/>
                <w:color w:val="000000"/>
                <w:sz w:val="18"/>
                <w:szCs w:val="18"/>
                <w:lang w:eastAsia="sk-SK"/>
              </w:rPr>
              <w:t>Ostatné transfery</w:t>
            </w:r>
          </w:p>
        </w:tc>
        <w:tc>
          <w:tcPr>
            <w:tcW w:w="1120" w:type="dxa"/>
            <w:tcBorders>
              <w:top w:val="nil"/>
              <w:left w:val="nil"/>
              <w:bottom w:val="nil"/>
              <w:right w:val="nil"/>
            </w:tcBorders>
            <w:shd w:val="clear" w:color="auto" w:fill="auto"/>
            <w:vAlign w:val="center"/>
            <w:hideMark/>
          </w:tcPr>
          <w:p w14:paraId="2A0D95D2"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223 649</w:t>
            </w:r>
          </w:p>
        </w:tc>
        <w:tc>
          <w:tcPr>
            <w:tcW w:w="1140" w:type="dxa"/>
            <w:tcBorders>
              <w:top w:val="nil"/>
              <w:left w:val="nil"/>
              <w:bottom w:val="nil"/>
              <w:right w:val="nil"/>
            </w:tcBorders>
            <w:shd w:val="clear" w:color="000000" w:fill="FFFFFF"/>
            <w:vAlign w:val="center"/>
            <w:hideMark/>
          </w:tcPr>
          <w:p w14:paraId="66395F7F"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529 899</w:t>
            </w:r>
          </w:p>
        </w:tc>
        <w:tc>
          <w:tcPr>
            <w:tcW w:w="1060" w:type="dxa"/>
            <w:tcBorders>
              <w:top w:val="nil"/>
              <w:left w:val="nil"/>
              <w:bottom w:val="nil"/>
              <w:right w:val="nil"/>
            </w:tcBorders>
            <w:shd w:val="clear" w:color="auto" w:fill="auto"/>
            <w:vAlign w:val="center"/>
            <w:hideMark/>
          </w:tcPr>
          <w:p w14:paraId="42116C8B" w14:textId="640A597A" w:rsidR="00697268" w:rsidRPr="0066557A" w:rsidRDefault="00697268" w:rsidP="0054373F">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752 13</w:t>
            </w:r>
            <w:r w:rsidR="0054373F">
              <w:rPr>
                <w:rFonts w:eastAsia="Times New Roman" w:cs="Times New Roman"/>
                <w:color w:val="000000"/>
                <w:sz w:val="18"/>
                <w:szCs w:val="18"/>
                <w:lang w:eastAsia="sk-SK"/>
              </w:rPr>
              <w:t>1</w:t>
            </w:r>
          </w:p>
        </w:tc>
        <w:tc>
          <w:tcPr>
            <w:tcW w:w="1100" w:type="dxa"/>
            <w:tcBorders>
              <w:top w:val="nil"/>
              <w:left w:val="nil"/>
              <w:bottom w:val="nil"/>
              <w:right w:val="nil"/>
            </w:tcBorders>
            <w:shd w:val="clear" w:color="auto" w:fill="auto"/>
            <w:vAlign w:val="center"/>
            <w:hideMark/>
          </w:tcPr>
          <w:p w14:paraId="317DEF6E"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217 775</w:t>
            </w:r>
          </w:p>
        </w:tc>
        <w:tc>
          <w:tcPr>
            <w:tcW w:w="960" w:type="dxa"/>
            <w:tcBorders>
              <w:top w:val="nil"/>
              <w:left w:val="nil"/>
              <w:bottom w:val="nil"/>
              <w:right w:val="nil"/>
            </w:tcBorders>
            <w:shd w:val="clear" w:color="auto" w:fill="auto"/>
            <w:vAlign w:val="center"/>
            <w:hideMark/>
          </w:tcPr>
          <w:p w14:paraId="47572E1F" w14:textId="3F7E2E49" w:rsidR="00697268" w:rsidRPr="0066557A" w:rsidRDefault="00697268" w:rsidP="0054373F">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-534 35</w:t>
            </w:r>
            <w:r w:rsidR="0054373F">
              <w:rPr>
                <w:rFonts w:eastAsia="Times New Roman" w:cs="Times New Roman"/>
                <w:color w:val="000000"/>
                <w:sz w:val="18"/>
                <w:szCs w:val="18"/>
                <w:lang w:eastAsia="sk-SK"/>
              </w:rPr>
              <w:t>6</w:t>
            </w:r>
          </w:p>
        </w:tc>
        <w:tc>
          <w:tcPr>
            <w:tcW w:w="680" w:type="dxa"/>
            <w:tcBorders>
              <w:top w:val="nil"/>
              <w:left w:val="nil"/>
              <w:bottom w:val="nil"/>
              <w:right w:val="nil"/>
            </w:tcBorders>
            <w:shd w:val="clear" w:color="auto" w:fill="auto"/>
            <w:vAlign w:val="center"/>
            <w:hideMark/>
          </w:tcPr>
          <w:p w14:paraId="769128F6"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-71,0</w:t>
            </w:r>
          </w:p>
        </w:tc>
      </w:tr>
      <w:tr w:rsidR="00697268" w:rsidRPr="0066557A" w14:paraId="1680C18B" w14:textId="77777777" w:rsidTr="00CE362A">
        <w:trPr>
          <w:gridAfter w:val="2"/>
          <w:wAfter w:w="865" w:type="dxa"/>
          <w:trHeight w:val="289"/>
        </w:trPr>
        <w:tc>
          <w:tcPr>
            <w:tcW w:w="3080" w:type="dxa"/>
            <w:tcBorders>
              <w:top w:val="nil"/>
              <w:left w:val="nil"/>
              <w:bottom w:val="nil"/>
              <w:right w:val="nil"/>
            </w:tcBorders>
            <w:shd w:val="clear" w:color="auto" w:fill="auto"/>
            <w:vAlign w:val="center"/>
            <w:hideMark/>
          </w:tcPr>
          <w:p w14:paraId="79E26DFF" w14:textId="77777777" w:rsidR="00697268" w:rsidRPr="0066557A" w:rsidRDefault="00697268" w:rsidP="00AB0350">
            <w:pPr>
              <w:spacing w:after="0" w:line="240" w:lineRule="auto"/>
              <w:rPr>
                <w:rFonts w:eastAsia="Times New Roman" w:cs="Times New Roman"/>
                <w:color w:val="000000"/>
                <w:sz w:val="18"/>
                <w:szCs w:val="18"/>
                <w:lang w:eastAsia="sk-SK"/>
              </w:rPr>
            </w:pPr>
            <w:r w:rsidRPr="0066557A">
              <w:rPr>
                <w:rFonts w:eastAsia="Times New Roman" w:cs="Times New Roman"/>
                <w:color w:val="000000"/>
                <w:sz w:val="18"/>
                <w:szCs w:val="18"/>
                <w:lang w:eastAsia="sk-SK"/>
              </w:rPr>
              <w:t>Na aktívne opatrenia trhu práce</w:t>
            </w:r>
          </w:p>
        </w:tc>
        <w:tc>
          <w:tcPr>
            <w:tcW w:w="1120" w:type="dxa"/>
            <w:tcBorders>
              <w:top w:val="nil"/>
              <w:left w:val="nil"/>
              <w:bottom w:val="nil"/>
              <w:right w:val="nil"/>
            </w:tcBorders>
            <w:shd w:val="clear" w:color="auto" w:fill="auto"/>
            <w:vAlign w:val="center"/>
            <w:hideMark/>
          </w:tcPr>
          <w:p w14:paraId="7EA2D442"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167 506</w:t>
            </w:r>
          </w:p>
        </w:tc>
        <w:tc>
          <w:tcPr>
            <w:tcW w:w="1140" w:type="dxa"/>
            <w:tcBorders>
              <w:top w:val="nil"/>
              <w:left w:val="nil"/>
              <w:bottom w:val="nil"/>
              <w:right w:val="nil"/>
            </w:tcBorders>
            <w:shd w:val="clear" w:color="000000" w:fill="FFFFFF"/>
            <w:vAlign w:val="center"/>
            <w:hideMark/>
          </w:tcPr>
          <w:p w14:paraId="47B5D54C"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105 626</w:t>
            </w:r>
          </w:p>
        </w:tc>
        <w:tc>
          <w:tcPr>
            <w:tcW w:w="1060" w:type="dxa"/>
            <w:tcBorders>
              <w:top w:val="nil"/>
              <w:left w:val="nil"/>
              <w:bottom w:val="nil"/>
              <w:right w:val="nil"/>
            </w:tcBorders>
            <w:shd w:val="clear" w:color="auto" w:fill="auto"/>
            <w:vAlign w:val="center"/>
            <w:hideMark/>
          </w:tcPr>
          <w:p w14:paraId="25C49F0D"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186 049</w:t>
            </w:r>
          </w:p>
        </w:tc>
        <w:tc>
          <w:tcPr>
            <w:tcW w:w="1100" w:type="dxa"/>
            <w:tcBorders>
              <w:top w:val="nil"/>
              <w:left w:val="nil"/>
              <w:bottom w:val="nil"/>
              <w:right w:val="nil"/>
            </w:tcBorders>
            <w:shd w:val="clear" w:color="auto" w:fill="auto"/>
            <w:vAlign w:val="center"/>
            <w:hideMark/>
          </w:tcPr>
          <w:p w14:paraId="0316726B"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143 078</w:t>
            </w:r>
          </w:p>
        </w:tc>
        <w:tc>
          <w:tcPr>
            <w:tcW w:w="960" w:type="dxa"/>
            <w:tcBorders>
              <w:top w:val="nil"/>
              <w:left w:val="nil"/>
              <w:bottom w:val="nil"/>
              <w:right w:val="nil"/>
            </w:tcBorders>
            <w:shd w:val="clear" w:color="auto" w:fill="auto"/>
            <w:vAlign w:val="center"/>
            <w:hideMark/>
          </w:tcPr>
          <w:p w14:paraId="0F302B4C"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-42 971</w:t>
            </w:r>
          </w:p>
        </w:tc>
        <w:tc>
          <w:tcPr>
            <w:tcW w:w="680" w:type="dxa"/>
            <w:tcBorders>
              <w:top w:val="nil"/>
              <w:left w:val="nil"/>
              <w:bottom w:val="nil"/>
              <w:right w:val="nil"/>
            </w:tcBorders>
            <w:shd w:val="clear" w:color="auto" w:fill="auto"/>
            <w:vAlign w:val="center"/>
            <w:hideMark/>
          </w:tcPr>
          <w:p w14:paraId="45F9AD78"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w:t>
            </w:r>
            <w:r>
              <w:rPr>
                <w:rFonts w:eastAsia="Times New Roman" w:cs="Times New Roman"/>
                <w:color w:val="000000"/>
                <w:sz w:val="18"/>
                <w:szCs w:val="18"/>
                <w:lang w:eastAsia="sk-SK"/>
              </w:rPr>
              <w:t>2</w:t>
            </w:r>
            <w:r w:rsidRPr="0066557A">
              <w:rPr>
                <w:rFonts w:eastAsia="Times New Roman" w:cs="Times New Roman"/>
                <w:color w:val="000000"/>
                <w:sz w:val="18"/>
                <w:szCs w:val="18"/>
                <w:lang w:eastAsia="sk-SK"/>
              </w:rPr>
              <w:t>3,</w:t>
            </w:r>
            <w:r>
              <w:rPr>
                <w:rFonts w:eastAsia="Times New Roman" w:cs="Times New Roman"/>
                <w:color w:val="000000"/>
                <w:sz w:val="18"/>
                <w:szCs w:val="18"/>
                <w:lang w:eastAsia="sk-SK"/>
              </w:rPr>
              <w:t>1</w:t>
            </w:r>
          </w:p>
        </w:tc>
      </w:tr>
      <w:tr w:rsidR="00697268" w:rsidRPr="0066557A" w14:paraId="024606AF" w14:textId="77777777" w:rsidTr="00CE362A">
        <w:trPr>
          <w:gridAfter w:val="2"/>
          <w:wAfter w:w="865" w:type="dxa"/>
          <w:trHeight w:val="289"/>
        </w:trPr>
        <w:tc>
          <w:tcPr>
            <w:tcW w:w="3080" w:type="dxa"/>
            <w:tcBorders>
              <w:top w:val="nil"/>
              <w:left w:val="nil"/>
              <w:bottom w:val="nil"/>
              <w:right w:val="nil"/>
            </w:tcBorders>
            <w:shd w:val="clear" w:color="auto" w:fill="auto"/>
            <w:vAlign w:val="center"/>
            <w:hideMark/>
          </w:tcPr>
          <w:p w14:paraId="648DA904" w14:textId="77777777" w:rsidR="00697268" w:rsidRPr="0066557A" w:rsidRDefault="00697268" w:rsidP="00AB0350">
            <w:pPr>
              <w:spacing w:after="0" w:line="240" w:lineRule="auto"/>
              <w:rPr>
                <w:rFonts w:eastAsia="Times New Roman" w:cs="Times New Roman"/>
                <w:color w:val="000000"/>
                <w:sz w:val="18"/>
                <w:szCs w:val="18"/>
                <w:lang w:eastAsia="sk-SK"/>
              </w:rPr>
            </w:pPr>
            <w:r w:rsidRPr="0066557A">
              <w:rPr>
                <w:rFonts w:eastAsia="Times New Roman" w:cs="Times New Roman"/>
                <w:color w:val="000000"/>
                <w:sz w:val="18"/>
                <w:szCs w:val="18"/>
                <w:lang w:eastAsia="sk-SK"/>
              </w:rPr>
              <w:t>Jednotlivcom</w:t>
            </w:r>
          </w:p>
        </w:tc>
        <w:tc>
          <w:tcPr>
            <w:tcW w:w="1120" w:type="dxa"/>
            <w:tcBorders>
              <w:top w:val="nil"/>
              <w:left w:val="nil"/>
              <w:bottom w:val="nil"/>
              <w:right w:val="nil"/>
            </w:tcBorders>
            <w:shd w:val="clear" w:color="auto" w:fill="auto"/>
            <w:vAlign w:val="center"/>
            <w:hideMark/>
          </w:tcPr>
          <w:p w14:paraId="2999EF26"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63 495</w:t>
            </w:r>
          </w:p>
        </w:tc>
        <w:tc>
          <w:tcPr>
            <w:tcW w:w="1140" w:type="dxa"/>
            <w:tcBorders>
              <w:top w:val="nil"/>
              <w:left w:val="nil"/>
              <w:bottom w:val="nil"/>
              <w:right w:val="nil"/>
            </w:tcBorders>
            <w:shd w:val="clear" w:color="000000" w:fill="FFFFFF"/>
            <w:vAlign w:val="center"/>
            <w:hideMark/>
          </w:tcPr>
          <w:p w14:paraId="11783F7A"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428 348</w:t>
            </w:r>
          </w:p>
        </w:tc>
        <w:tc>
          <w:tcPr>
            <w:tcW w:w="1060" w:type="dxa"/>
            <w:tcBorders>
              <w:top w:val="nil"/>
              <w:left w:val="nil"/>
              <w:bottom w:val="nil"/>
              <w:right w:val="nil"/>
            </w:tcBorders>
            <w:shd w:val="clear" w:color="auto" w:fill="auto"/>
            <w:vAlign w:val="center"/>
            <w:hideMark/>
          </w:tcPr>
          <w:p w14:paraId="4D27E76A"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22 545</w:t>
            </w:r>
          </w:p>
        </w:tc>
        <w:tc>
          <w:tcPr>
            <w:tcW w:w="1100" w:type="dxa"/>
            <w:tcBorders>
              <w:top w:val="nil"/>
              <w:left w:val="nil"/>
              <w:bottom w:val="nil"/>
              <w:right w:val="nil"/>
            </w:tcBorders>
            <w:shd w:val="clear" w:color="auto" w:fill="auto"/>
            <w:vAlign w:val="center"/>
            <w:hideMark/>
          </w:tcPr>
          <w:p w14:paraId="0EE59AE9"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97 705</w:t>
            </w:r>
          </w:p>
        </w:tc>
        <w:tc>
          <w:tcPr>
            <w:tcW w:w="960" w:type="dxa"/>
            <w:tcBorders>
              <w:top w:val="nil"/>
              <w:left w:val="nil"/>
              <w:bottom w:val="nil"/>
              <w:right w:val="nil"/>
            </w:tcBorders>
            <w:shd w:val="clear" w:color="auto" w:fill="auto"/>
            <w:vAlign w:val="center"/>
            <w:hideMark/>
          </w:tcPr>
          <w:p w14:paraId="1974A87A"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75 160</w:t>
            </w:r>
          </w:p>
        </w:tc>
        <w:tc>
          <w:tcPr>
            <w:tcW w:w="680" w:type="dxa"/>
            <w:tcBorders>
              <w:top w:val="nil"/>
              <w:left w:val="nil"/>
              <w:bottom w:val="nil"/>
              <w:right w:val="nil"/>
            </w:tcBorders>
            <w:shd w:val="clear" w:color="auto" w:fill="auto"/>
            <w:vAlign w:val="center"/>
            <w:hideMark/>
          </w:tcPr>
          <w:p w14:paraId="2B6FFCE7"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333,4</w:t>
            </w:r>
          </w:p>
        </w:tc>
      </w:tr>
      <w:tr w:rsidR="00697268" w:rsidRPr="0066557A" w14:paraId="447CEFB2" w14:textId="77777777" w:rsidTr="00CE362A">
        <w:trPr>
          <w:gridAfter w:val="2"/>
          <w:wAfter w:w="865" w:type="dxa"/>
          <w:trHeight w:val="289"/>
        </w:trPr>
        <w:tc>
          <w:tcPr>
            <w:tcW w:w="3080" w:type="dxa"/>
            <w:tcBorders>
              <w:top w:val="nil"/>
              <w:left w:val="nil"/>
              <w:bottom w:val="nil"/>
              <w:right w:val="nil"/>
            </w:tcBorders>
            <w:shd w:val="clear" w:color="auto" w:fill="auto"/>
            <w:vAlign w:val="center"/>
            <w:hideMark/>
          </w:tcPr>
          <w:p w14:paraId="537B161B" w14:textId="77777777" w:rsidR="00697268" w:rsidRPr="0066557A" w:rsidRDefault="00697268" w:rsidP="00AB0350">
            <w:pPr>
              <w:spacing w:after="0" w:line="240" w:lineRule="auto"/>
              <w:rPr>
                <w:rFonts w:eastAsia="Times New Roman" w:cs="Times New Roman"/>
                <w:color w:val="000000"/>
                <w:sz w:val="18"/>
                <w:szCs w:val="18"/>
                <w:lang w:eastAsia="sk-SK"/>
              </w:rPr>
            </w:pPr>
            <w:r w:rsidRPr="0066557A">
              <w:rPr>
                <w:rFonts w:eastAsia="Times New Roman" w:cs="Times New Roman"/>
                <w:color w:val="000000"/>
                <w:sz w:val="18"/>
                <w:szCs w:val="18"/>
                <w:lang w:eastAsia="sk-SK"/>
              </w:rPr>
              <w:t>Príspevok na osobitný účet</w:t>
            </w:r>
          </w:p>
        </w:tc>
        <w:tc>
          <w:tcPr>
            <w:tcW w:w="1120" w:type="dxa"/>
            <w:tcBorders>
              <w:top w:val="nil"/>
              <w:left w:val="nil"/>
              <w:bottom w:val="nil"/>
              <w:right w:val="nil"/>
            </w:tcBorders>
            <w:shd w:val="clear" w:color="auto" w:fill="auto"/>
            <w:vAlign w:val="center"/>
            <w:hideMark/>
          </w:tcPr>
          <w:p w14:paraId="340BDBEF"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46 694</w:t>
            </w:r>
          </w:p>
        </w:tc>
        <w:tc>
          <w:tcPr>
            <w:tcW w:w="1140" w:type="dxa"/>
            <w:tcBorders>
              <w:top w:val="nil"/>
              <w:left w:val="nil"/>
              <w:bottom w:val="nil"/>
              <w:right w:val="nil"/>
            </w:tcBorders>
            <w:shd w:val="clear" w:color="000000" w:fill="FFFFFF"/>
            <w:vAlign w:val="center"/>
            <w:hideMark/>
          </w:tcPr>
          <w:p w14:paraId="46012D4D"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52 293</w:t>
            </w:r>
          </w:p>
        </w:tc>
        <w:tc>
          <w:tcPr>
            <w:tcW w:w="1060" w:type="dxa"/>
            <w:tcBorders>
              <w:top w:val="nil"/>
              <w:left w:val="nil"/>
              <w:bottom w:val="nil"/>
              <w:right w:val="nil"/>
            </w:tcBorders>
            <w:shd w:val="clear" w:color="auto" w:fill="auto"/>
            <w:vAlign w:val="center"/>
            <w:hideMark/>
          </w:tcPr>
          <w:p w14:paraId="3633B5C5"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57 294</w:t>
            </w:r>
          </w:p>
        </w:tc>
        <w:tc>
          <w:tcPr>
            <w:tcW w:w="1100" w:type="dxa"/>
            <w:tcBorders>
              <w:top w:val="nil"/>
              <w:left w:val="nil"/>
              <w:bottom w:val="nil"/>
              <w:right w:val="nil"/>
            </w:tcBorders>
            <w:shd w:val="clear" w:color="auto" w:fill="auto"/>
            <w:vAlign w:val="center"/>
            <w:hideMark/>
          </w:tcPr>
          <w:p w14:paraId="78D11563"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62 669</w:t>
            </w:r>
          </w:p>
        </w:tc>
        <w:tc>
          <w:tcPr>
            <w:tcW w:w="960" w:type="dxa"/>
            <w:tcBorders>
              <w:top w:val="nil"/>
              <w:left w:val="nil"/>
              <w:bottom w:val="single" w:sz="4" w:space="0" w:color="auto"/>
              <w:right w:val="nil"/>
            </w:tcBorders>
            <w:shd w:val="clear" w:color="auto" w:fill="auto"/>
            <w:vAlign w:val="center"/>
            <w:hideMark/>
          </w:tcPr>
          <w:p w14:paraId="082E7A78"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sidRPr="0066557A">
              <w:rPr>
                <w:rFonts w:eastAsia="Times New Roman" w:cs="Times New Roman"/>
                <w:color w:val="000000"/>
                <w:sz w:val="18"/>
                <w:szCs w:val="18"/>
                <w:lang w:eastAsia="sk-SK"/>
              </w:rPr>
              <w:t>5 375</w:t>
            </w:r>
          </w:p>
        </w:tc>
        <w:tc>
          <w:tcPr>
            <w:tcW w:w="680" w:type="dxa"/>
            <w:tcBorders>
              <w:top w:val="nil"/>
              <w:left w:val="nil"/>
              <w:bottom w:val="nil"/>
              <w:right w:val="nil"/>
            </w:tcBorders>
            <w:shd w:val="clear" w:color="auto" w:fill="auto"/>
            <w:vAlign w:val="center"/>
            <w:hideMark/>
          </w:tcPr>
          <w:p w14:paraId="7A1CF8AD" w14:textId="77777777" w:rsidR="00697268" w:rsidRPr="0066557A" w:rsidRDefault="00697268" w:rsidP="00AB0350">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9,4</w:t>
            </w:r>
          </w:p>
        </w:tc>
      </w:tr>
      <w:tr w:rsidR="00697268" w:rsidRPr="0066557A" w14:paraId="48266F24" w14:textId="77777777" w:rsidTr="00CE362A">
        <w:trPr>
          <w:gridAfter w:val="2"/>
          <w:wAfter w:w="865" w:type="dxa"/>
          <w:trHeight w:val="289"/>
        </w:trPr>
        <w:tc>
          <w:tcPr>
            <w:tcW w:w="3080" w:type="dxa"/>
            <w:tcBorders>
              <w:top w:val="single" w:sz="4" w:space="0" w:color="auto"/>
              <w:left w:val="nil"/>
              <w:bottom w:val="single" w:sz="4" w:space="0" w:color="auto"/>
              <w:right w:val="nil"/>
            </w:tcBorders>
            <w:shd w:val="clear" w:color="auto" w:fill="auto"/>
            <w:vAlign w:val="center"/>
            <w:hideMark/>
          </w:tcPr>
          <w:p w14:paraId="08045A68" w14:textId="77777777" w:rsidR="00697268" w:rsidRPr="0066557A" w:rsidRDefault="00697268" w:rsidP="00AB0350">
            <w:pPr>
              <w:spacing w:after="0" w:line="240" w:lineRule="auto"/>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Spolu</w:t>
            </w:r>
          </w:p>
        </w:tc>
        <w:tc>
          <w:tcPr>
            <w:tcW w:w="1120" w:type="dxa"/>
            <w:tcBorders>
              <w:top w:val="single" w:sz="4" w:space="0" w:color="auto"/>
              <w:left w:val="nil"/>
              <w:bottom w:val="single" w:sz="4" w:space="0" w:color="auto"/>
              <w:right w:val="nil"/>
            </w:tcBorders>
            <w:shd w:val="clear" w:color="auto" w:fill="auto"/>
            <w:vAlign w:val="center"/>
            <w:hideMark/>
          </w:tcPr>
          <w:p w14:paraId="2A0CF9FC" w14:textId="77777777" w:rsidR="00697268" w:rsidRPr="0066557A" w:rsidRDefault="00697268" w:rsidP="00AB0350">
            <w:pPr>
              <w:spacing w:after="0" w:line="240" w:lineRule="auto"/>
              <w:jc w:val="right"/>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5 400 184</w:t>
            </w:r>
          </w:p>
        </w:tc>
        <w:tc>
          <w:tcPr>
            <w:tcW w:w="1140" w:type="dxa"/>
            <w:tcBorders>
              <w:top w:val="single" w:sz="4" w:space="0" w:color="auto"/>
              <w:left w:val="nil"/>
              <w:bottom w:val="single" w:sz="4" w:space="0" w:color="auto"/>
              <w:right w:val="nil"/>
            </w:tcBorders>
            <w:shd w:val="clear" w:color="auto" w:fill="auto"/>
            <w:vAlign w:val="center"/>
            <w:hideMark/>
          </w:tcPr>
          <w:p w14:paraId="4EDF06D9" w14:textId="77777777" w:rsidR="00697268" w:rsidRPr="0066557A" w:rsidRDefault="00697268" w:rsidP="00AB0350">
            <w:pPr>
              <w:spacing w:after="0" w:line="240" w:lineRule="auto"/>
              <w:jc w:val="right"/>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7 005 182</w:t>
            </w:r>
          </w:p>
        </w:tc>
        <w:tc>
          <w:tcPr>
            <w:tcW w:w="1060" w:type="dxa"/>
            <w:tcBorders>
              <w:top w:val="single" w:sz="4" w:space="0" w:color="auto"/>
              <w:left w:val="nil"/>
              <w:bottom w:val="single" w:sz="4" w:space="0" w:color="auto"/>
              <w:right w:val="nil"/>
            </w:tcBorders>
            <w:shd w:val="clear" w:color="auto" w:fill="auto"/>
            <w:vAlign w:val="center"/>
            <w:hideMark/>
          </w:tcPr>
          <w:p w14:paraId="5D16858D" w14:textId="77083DF0" w:rsidR="00697268" w:rsidRPr="0066557A" w:rsidRDefault="00697268" w:rsidP="0054373F">
            <w:pPr>
              <w:spacing w:after="0" w:line="240" w:lineRule="auto"/>
              <w:jc w:val="right"/>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5 492 4</w:t>
            </w:r>
            <w:r w:rsidR="0054373F">
              <w:rPr>
                <w:rFonts w:eastAsia="Times New Roman" w:cs="Times New Roman"/>
                <w:b/>
                <w:bCs/>
                <w:color w:val="000000"/>
                <w:sz w:val="18"/>
                <w:szCs w:val="18"/>
                <w:lang w:eastAsia="sk-SK"/>
              </w:rPr>
              <w:t>59</w:t>
            </w:r>
          </w:p>
        </w:tc>
        <w:tc>
          <w:tcPr>
            <w:tcW w:w="1100" w:type="dxa"/>
            <w:tcBorders>
              <w:top w:val="single" w:sz="4" w:space="0" w:color="auto"/>
              <w:left w:val="nil"/>
              <w:bottom w:val="single" w:sz="4" w:space="0" w:color="auto"/>
              <w:right w:val="nil"/>
            </w:tcBorders>
            <w:shd w:val="clear" w:color="auto" w:fill="auto"/>
            <w:vAlign w:val="center"/>
            <w:hideMark/>
          </w:tcPr>
          <w:p w14:paraId="440E6071" w14:textId="3C7E7AD1" w:rsidR="00697268" w:rsidRPr="0066557A" w:rsidRDefault="00697268" w:rsidP="003A3F12">
            <w:pPr>
              <w:spacing w:after="0" w:line="240" w:lineRule="auto"/>
              <w:jc w:val="right"/>
              <w:rPr>
                <w:rFonts w:eastAsia="Times New Roman" w:cs="Times New Roman"/>
                <w:b/>
                <w:bCs/>
                <w:color w:val="000000"/>
                <w:sz w:val="18"/>
                <w:szCs w:val="18"/>
                <w:lang w:eastAsia="sk-SK"/>
              </w:rPr>
            </w:pPr>
            <w:r w:rsidRPr="0066557A">
              <w:rPr>
                <w:rFonts w:eastAsia="Times New Roman" w:cs="Times New Roman"/>
                <w:b/>
                <w:bCs/>
                <w:color w:val="000000"/>
                <w:sz w:val="18"/>
                <w:szCs w:val="18"/>
                <w:lang w:eastAsia="sk-SK"/>
              </w:rPr>
              <w:t xml:space="preserve">5 </w:t>
            </w:r>
            <w:r w:rsidR="003A3F12">
              <w:rPr>
                <w:rFonts w:eastAsia="Times New Roman" w:cs="Times New Roman"/>
                <w:b/>
                <w:bCs/>
                <w:color w:val="000000"/>
                <w:sz w:val="18"/>
                <w:szCs w:val="18"/>
                <w:lang w:eastAsia="sk-SK"/>
              </w:rPr>
              <w:t>687</w:t>
            </w:r>
            <w:r w:rsidRPr="0066557A">
              <w:rPr>
                <w:rFonts w:eastAsia="Times New Roman" w:cs="Times New Roman"/>
                <w:b/>
                <w:bCs/>
                <w:color w:val="000000"/>
                <w:sz w:val="18"/>
                <w:szCs w:val="18"/>
                <w:lang w:eastAsia="sk-SK"/>
              </w:rPr>
              <w:t xml:space="preserve"> </w:t>
            </w:r>
            <w:r w:rsidR="003A3F12">
              <w:rPr>
                <w:rFonts w:eastAsia="Times New Roman" w:cs="Times New Roman"/>
                <w:b/>
                <w:bCs/>
                <w:color w:val="000000"/>
                <w:sz w:val="18"/>
                <w:szCs w:val="18"/>
                <w:lang w:eastAsia="sk-SK"/>
              </w:rPr>
              <w:t>423</w:t>
            </w:r>
          </w:p>
        </w:tc>
        <w:tc>
          <w:tcPr>
            <w:tcW w:w="960" w:type="dxa"/>
            <w:tcBorders>
              <w:top w:val="nil"/>
              <w:left w:val="nil"/>
              <w:bottom w:val="single" w:sz="4" w:space="0" w:color="auto"/>
              <w:right w:val="nil"/>
            </w:tcBorders>
            <w:shd w:val="clear" w:color="auto" w:fill="auto"/>
            <w:vAlign w:val="center"/>
            <w:hideMark/>
          </w:tcPr>
          <w:p w14:paraId="7696B04E" w14:textId="47760432" w:rsidR="00697268" w:rsidRPr="0066557A" w:rsidRDefault="003A3F12" w:rsidP="003A3F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194</w:t>
            </w:r>
            <w:r w:rsidR="00697268" w:rsidRPr="0066557A">
              <w:rPr>
                <w:rFonts w:eastAsia="Times New Roman" w:cs="Times New Roman"/>
                <w:b/>
                <w:bCs/>
                <w:color w:val="000000"/>
                <w:sz w:val="18"/>
                <w:szCs w:val="18"/>
                <w:lang w:eastAsia="sk-SK"/>
              </w:rPr>
              <w:t xml:space="preserve"> </w:t>
            </w:r>
            <w:r>
              <w:rPr>
                <w:rFonts w:eastAsia="Times New Roman" w:cs="Times New Roman"/>
                <w:b/>
                <w:bCs/>
                <w:color w:val="000000"/>
                <w:sz w:val="18"/>
                <w:szCs w:val="18"/>
                <w:lang w:eastAsia="sk-SK"/>
              </w:rPr>
              <w:t>964</w:t>
            </w:r>
          </w:p>
        </w:tc>
        <w:tc>
          <w:tcPr>
            <w:tcW w:w="680" w:type="dxa"/>
            <w:tcBorders>
              <w:top w:val="single" w:sz="4" w:space="0" w:color="auto"/>
              <w:left w:val="nil"/>
              <w:bottom w:val="single" w:sz="4" w:space="0" w:color="auto"/>
              <w:right w:val="nil"/>
            </w:tcBorders>
            <w:shd w:val="clear" w:color="auto" w:fill="auto"/>
            <w:vAlign w:val="center"/>
            <w:hideMark/>
          </w:tcPr>
          <w:p w14:paraId="0DF697B3" w14:textId="7F578FFA" w:rsidR="00697268" w:rsidRPr="0066557A" w:rsidRDefault="003A3F12" w:rsidP="003A3F12">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3</w:t>
            </w:r>
            <w:r w:rsidR="00697268">
              <w:rPr>
                <w:rFonts w:eastAsia="Times New Roman" w:cs="Times New Roman"/>
                <w:b/>
                <w:bCs/>
                <w:color w:val="000000"/>
                <w:sz w:val="18"/>
                <w:szCs w:val="18"/>
                <w:lang w:eastAsia="sk-SK"/>
              </w:rPr>
              <w:t>,</w:t>
            </w:r>
            <w:r>
              <w:rPr>
                <w:rFonts w:eastAsia="Times New Roman" w:cs="Times New Roman"/>
                <w:b/>
                <w:bCs/>
                <w:color w:val="000000"/>
                <w:sz w:val="18"/>
                <w:szCs w:val="18"/>
                <w:lang w:eastAsia="sk-SK"/>
              </w:rPr>
              <w:t>5</w:t>
            </w:r>
          </w:p>
        </w:tc>
      </w:tr>
    </w:tbl>
    <w:p w14:paraId="05828C00" w14:textId="2EC89897" w:rsidR="00697268" w:rsidRPr="00C30B4B" w:rsidRDefault="00697268" w:rsidP="00A640D5">
      <w:pPr>
        <w:tabs>
          <w:tab w:val="left" w:pos="7797"/>
        </w:tabs>
        <w:jc w:val="right"/>
        <w:rPr>
          <w:rFonts w:cs="Times New Roman"/>
        </w:rPr>
      </w:pPr>
      <w:r w:rsidRPr="00B51948">
        <w:rPr>
          <w:rFonts w:cs="Times New Roman"/>
          <w:color w:val="FF0000"/>
          <w:sz w:val="18"/>
          <w:szCs w:val="18"/>
        </w:rPr>
        <w:tab/>
      </w:r>
      <w:r w:rsidRPr="00C30B4B">
        <w:rPr>
          <w:rFonts w:cs="Times New Roman"/>
          <w:sz w:val="18"/>
          <w:szCs w:val="18"/>
        </w:rPr>
        <w:t>Zdroj: MF SR</w:t>
      </w:r>
    </w:p>
    <w:p w14:paraId="7C41A042" w14:textId="19B91031" w:rsidR="00697268" w:rsidRPr="00B51948" w:rsidRDefault="00697268" w:rsidP="00697268">
      <w:pPr>
        <w:spacing w:line="240" w:lineRule="auto"/>
        <w:rPr>
          <w:rFonts w:cs="Times New Roman"/>
          <w:color w:val="FF0000"/>
          <w:sz w:val="24"/>
          <w:szCs w:val="24"/>
        </w:rPr>
      </w:pPr>
      <w:r w:rsidRPr="0047762F">
        <w:rPr>
          <w:rFonts w:cs="Times New Roman"/>
          <w:b/>
          <w:i/>
          <w:sz w:val="24"/>
          <w:szCs w:val="24"/>
        </w:rPr>
        <w:t>Sociálne dávky</w:t>
      </w:r>
      <w:r w:rsidRPr="0047762F">
        <w:rPr>
          <w:rFonts w:cs="Times New Roman"/>
          <w:i/>
          <w:sz w:val="24"/>
          <w:szCs w:val="24"/>
        </w:rPr>
        <w:t xml:space="preserve"> </w:t>
      </w:r>
      <w:r w:rsidRPr="0047762F">
        <w:rPr>
          <w:rFonts w:cs="Times New Roman"/>
          <w:sz w:val="24"/>
          <w:szCs w:val="24"/>
        </w:rPr>
        <w:t xml:space="preserve">boli čerpané v objeme </w:t>
      </w:r>
      <w:r w:rsidRPr="00C30B4B">
        <w:rPr>
          <w:rFonts w:cs="Times New Roman"/>
          <w:sz w:val="24"/>
          <w:szCs w:val="24"/>
        </w:rPr>
        <w:t>2 </w:t>
      </w:r>
      <w:r w:rsidR="003A3F12">
        <w:rPr>
          <w:rFonts w:cs="Times New Roman"/>
          <w:sz w:val="24"/>
          <w:szCs w:val="24"/>
        </w:rPr>
        <w:t>473</w:t>
      </w:r>
      <w:r w:rsidRPr="00C30B4B">
        <w:rPr>
          <w:rFonts w:cs="Times New Roman"/>
          <w:sz w:val="24"/>
          <w:szCs w:val="24"/>
        </w:rPr>
        <w:t> </w:t>
      </w:r>
      <w:r w:rsidR="003A3F12">
        <w:rPr>
          <w:rFonts w:cs="Times New Roman"/>
          <w:sz w:val="24"/>
          <w:szCs w:val="24"/>
        </w:rPr>
        <w:t>116</w:t>
      </w:r>
      <w:r w:rsidRPr="00C30B4B">
        <w:rPr>
          <w:rFonts w:cs="Times New Roman"/>
          <w:sz w:val="24"/>
          <w:szCs w:val="24"/>
        </w:rPr>
        <w:t xml:space="preserve"> tis. eur. Najväčší objem výdavkov v rámci sociálnych dávok realizovala kapitola </w:t>
      </w:r>
      <w:r w:rsidRPr="00C30B4B">
        <w:rPr>
          <w:rFonts w:cs="Times New Roman"/>
          <w:sz w:val="24"/>
          <w:szCs w:val="24"/>
          <w:u w:val="single"/>
        </w:rPr>
        <w:t>Ministerstva práce, sociálnych vecí a rodiny SR</w:t>
      </w:r>
      <w:r w:rsidRPr="00C30B4B">
        <w:rPr>
          <w:rFonts w:cs="Times New Roman"/>
          <w:sz w:val="24"/>
          <w:szCs w:val="24"/>
        </w:rPr>
        <w:t xml:space="preserve">, </w:t>
      </w:r>
      <w:r w:rsidRPr="00307C4D">
        <w:rPr>
          <w:rFonts w:cs="Times New Roman"/>
          <w:sz w:val="24"/>
          <w:szCs w:val="24"/>
        </w:rPr>
        <w:t>napríklad na </w:t>
      </w:r>
      <w:r w:rsidR="00164536">
        <w:rPr>
          <w:rFonts w:cs="Times New Roman"/>
          <w:sz w:val="24"/>
          <w:szCs w:val="24"/>
        </w:rPr>
        <w:t xml:space="preserve">peňažné príspevky na </w:t>
      </w:r>
      <w:r w:rsidRPr="00307C4D">
        <w:rPr>
          <w:rFonts w:cs="Times New Roman"/>
          <w:sz w:val="24"/>
          <w:szCs w:val="24"/>
        </w:rPr>
        <w:t>kompenzáciu 811 002 tis. eur</w:t>
      </w:r>
      <w:r w:rsidR="00164536">
        <w:rPr>
          <w:rFonts w:cs="Times New Roman"/>
          <w:sz w:val="24"/>
          <w:szCs w:val="24"/>
        </w:rPr>
        <w:t xml:space="preserve"> (</w:t>
      </w:r>
      <w:r w:rsidR="00653CDF">
        <w:rPr>
          <w:rFonts w:cs="Times New Roman"/>
          <w:sz w:val="24"/>
          <w:szCs w:val="24"/>
        </w:rPr>
        <w:t>v čom je zahrnutá suma 278 130 tis. eur, čerpaná v rámci Projektu Prvá Pomoc</w:t>
      </w:r>
      <w:r w:rsidR="00164536">
        <w:rPr>
          <w:rFonts w:cs="Times New Roman"/>
          <w:sz w:val="24"/>
          <w:szCs w:val="24"/>
        </w:rPr>
        <w:t xml:space="preserve">, tzv. </w:t>
      </w:r>
      <w:proofErr w:type="spellStart"/>
      <w:r w:rsidR="00164536">
        <w:rPr>
          <w:rFonts w:cs="Times New Roman"/>
          <w:sz w:val="24"/>
          <w:szCs w:val="24"/>
        </w:rPr>
        <w:t>kurzarbeit</w:t>
      </w:r>
      <w:proofErr w:type="spellEnd"/>
      <w:r w:rsidR="00653CDF">
        <w:rPr>
          <w:rFonts w:cs="Times New Roman"/>
          <w:sz w:val="24"/>
          <w:szCs w:val="24"/>
        </w:rPr>
        <w:t>).</w:t>
      </w:r>
      <w:r w:rsidRPr="00307C4D">
        <w:rPr>
          <w:rFonts w:cs="Times New Roman"/>
          <w:sz w:val="24"/>
          <w:szCs w:val="24"/>
        </w:rPr>
        <w:t xml:space="preserve"> </w:t>
      </w:r>
      <w:r w:rsidR="00653CDF">
        <w:rPr>
          <w:rFonts w:cs="Times New Roman"/>
          <w:sz w:val="24"/>
          <w:szCs w:val="24"/>
          <w:shd w:val="clear" w:color="auto" w:fill="FFFFFF"/>
        </w:rPr>
        <w:t>Išlo</w:t>
      </w:r>
      <w:r w:rsidRPr="00307C4D">
        <w:rPr>
          <w:rFonts w:cs="Times New Roman"/>
          <w:sz w:val="24"/>
          <w:szCs w:val="24"/>
          <w:shd w:val="clear" w:color="auto" w:fill="FFFFFF"/>
        </w:rPr>
        <w:t xml:space="preserve"> najmä</w:t>
      </w:r>
      <w:r w:rsidR="00653CDF">
        <w:rPr>
          <w:rFonts w:cs="Times New Roman"/>
          <w:sz w:val="24"/>
          <w:szCs w:val="24"/>
          <w:shd w:val="clear" w:color="auto" w:fill="FFFFFF"/>
        </w:rPr>
        <w:t xml:space="preserve"> o</w:t>
      </w:r>
      <w:r w:rsidRPr="00307C4D">
        <w:rPr>
          <w:rFonts w:cs="Times New Roman"/>
          <w:sz w:val="24"/>
          <w:szCs w:val="24"/>
          <w:shd w:val="clear" w:color="auto" w:fill="FFFFFF"/>
        </w:rPr>
        <w:t xml:space="preserve"> peňažné príspevky na osobnú asistenciu, na kúpu </w:t>
      </w:r>
      <w:r w:rsidR="00653CDF">
        <w:rPr>
          <w:rFonts w:cs="Times New Roman"/>
          <w:sz w:val="24"/>
          <w:szCs w:val="24"/>
          <w:shd w:val="clear" w:color="auto" w:fill="FFFFFF"/>
        </w:rPr>
        <w:t>a</w:t>
      </w:r>
      <w:r w:rsidRPr="00307C4D">
        <w:rPr>
          <w:rFonts w:cs="Times New Roman"/>
          <w:sz w:val="24"/>
          <w:szCs w:val="24"/>
          <w:shd w:val="clear" w:color="auto" w:fill="FFFFFF"/>
        </w:rPr>
        <w:t> úpravu pomôc</w:t>
      </w:r>
      <w:r w:rsidR="00653CDF">
        <w:rPr>
          <w:rFonts w:cs="Times New Roman"/>
          <w:sz w:val="24"/>
          <w:szCs w:val="24"/>
          <w:shd w:val="clear" w:color="auto" w:fill="FFFFFF"/>
        </w:rPr>
        <w:t>ok</w:t>
      </w:r>
      <w:r w:rsidRPr="00307C4D">
        <w:rPr>
          <w:rFonts w:cs="Times New Roman"/>
          <w:sz w:val="24"/>
          <w:szCs w:val="24"/>
          <w:shd w:val="clear" w:color="auto" w:fill="FFFFFF"/>
        </w:rPr>
        <w:t>, na kúpu zdvíhacieho zariadenia, osobného motorového vozidla, na úpravu bytu, garáže alebo rodinného domu (bezbariérové stavby), na kompenzáciu zvýšených výdavkov na diétne stravovanie, zvýšené výdavky súvisiace so starostlivosťou o psa so špeciálnym výcvikom a iné</w:t>
      </w:r>
      <w:r w:rsidRPr="00164536">
        <w:rPr>
          <w:rFonts w:cs="Times New Roman"/>
          <w:sz w:val="24"/>
          <w:szCs w:val="24"/>
          <w:shd w:val="clear" w:color="auto" w:fill="FFFFFF"/>
        </w:rPr>
        <w:t xml:space="preserve">. </w:t>
      </w:r>
      <w:r w:rsidR="00164536" w:rsidRPr="00164536">
        <w:rPr>
          <w:rFonts w:cs="Times New Roman"/>
          <w:sz w:val="24"/>
          <w:szCs w:val="24"/>
          <w:shd w:val="clear" w:color="auto" w:fill="FFFFFF"/>
        </w:rPr>
        <w:t>Ďalej bola v</w:t>
      </w:r>
      <w:r w:rsidRPr="00164536">
        <w:rPr>
          <w:rFonts w:cs="Times New Roman"/>
          <w:sz w:val="24"/>
          <w:szCs w:val="24"/>
          <w:shd w:val="clear" w:color="auto" w:fill="FFFFFF"/>
        </w:rPr>
        <w:t xml:space="preserve">ýznamná suma </w:t>
      </w:r>
      <w:r w:rsidRPr="00307C4D">
        <w:rPr>
          <w:rFonts w:cs="Times New Roman"/>
          <w:sz w:val="24"/>
          <w:szCs w:val="24"/>
          <w:shd w:val="clear" w:color="auto" w:fill="FFFFFF"/>
        </w:rPr>
        <w:t>poskytnutá</w:t>
      </w:r>
      <w:r w:rsidRPr="00307C4D">
        <w:rPr>
          <w:rFonts w:cs="Times New Roman"/>
          <w:color w:val="FF0000"/>
          <w:sz w:val="24"/>
          <w:szCs w:val="24"/>
        </w:rPr>
        <w:t xml:space="preserve"> </w:t>
      </w:r>
      <w:r w:rsidRPr="00307C4D">
        <w:rPr>
          <w:rFonts w:cs="Times New Roman"/>
          <w:sz w:val="24"/>
          <w:szCs w:val="24"/>
        </w:rPr>
        <w:t>na</w:t>
      </w:r>
      <w:r w:rsidR="00653CDF">
        <w:rPr>
          <w:rFonts w:cs="Times New Roman"/>
          <w:sz w:val="24"/>
          <w:szCs w:val="24"/>
        </w:rPr>
        <w:t> </w:t>
      </w:r>
      <w:r w:rsidRPr="00307C4D">
        <w:rPr>
          <w:rFonts w:cs="Times New Roman"/>
          <w:sz w:val="24"/>
          <w:szCs w:val="24"/>
        </w:rPr>
        <w:t>ostatné dávky poskytované štátom (679 569 tis. eur)</w:t>
      </w:r>
      <w:r>
        <w:rPr>
          <w:rFonts w:cs="Times New Roman"/>
          <w:sz w:val="24"/>
          <w:szCs w:val="24"/>
          <w:shd w:val="clear" w:color="auto" w:fill="FFFFFF"/>
        </w:rPr>
        <w:t>,</w:t>
      </w:r>
      <w:r w:rsidRPr="00307C4D">
        <w:rPr>
          <w:rFonts w:cs="Times New Roman"/>
          <w:sz w:val="24"/>
          <w:szCs w:val="24"/>
          <w:shd w:val="clear" w:color="auto" w:fill="FFFFFF"/>
        </w:rPr>
        <w:t xml:space="preserve"> na</w:t>
      </w:r>
      <w:r w:rsidRPr="00307C4D">
        <w:rPr>
          <w:rFonts w:cs="Times New Roman"/>
          <w:sz w:val="24"/>
          <w:szCs w:val="24"/>
        </w:rPr>
        <w:t xml:space="preserve"> rodičovský príspevok (605 723 tis. eur)</w:t>
      </w:r>
      <w:r w:rsidRPr="00B51948">
        <w:rPr>
          <w:rFonts w:cs="Times New Roman"/>
          <w:color w:val="FF0000"/>
          <w:sz w:val="24"/>
          <w:szCs w:val="24"/>
        </w:rPr>
        <w:t xml:space="preserve"> </w:t>
      </w:r>
      <w:r w:rsidRPr="00307C4D">
        <w:rPr>
          <w:rFonts w:cs="Times New Roman"/>
          <w:sz w:val="24"/>
          <w:szCs w:val="24"/>
        </w:rPr>
        <w:t>a prídavok na dieťa (</w:t>
      </w:r>
      <w:r w:rsidR="005C58EE">
        <w:rPr>
          <w:rFonts w:cs="Times New Roman"/>
          <w:sz w:val="24"/>
          <w:szCs w:val="24"/>
        </w:rPr>
        <w:t>457 848 tis. eur</w:t>
      </w:r>
      <w:r w:rsidRPr="00307C4D">
        <w:rPr>
          <w:rFonts w:cs="Times New Roman"/>
          <w:sz w:val="24"/>
          <w:szCs w:val="24"/>
        </w:rPr>
        <w:t>).</w:t>
      </w:r>
      <w:r w:rsidRPr="00B51948">
        <w:rPr>
          <w:rFonts w:cs="Times New Roman"/>
          <w:color w:val="FF0000"/>
          <w:sz w:val="24"/>
          <w:szCs w:val="24"/>
        </w:rPr>
        <w:t xml:space="preserve"> </w:t>
      </w:r>
      <w:r w:rsidRPr="00307C4D">
        <w:rPr>
          <w:rFonts w:cs="Times New Roman"/>
          <w:sz w:val="24"/>
          <w:szCs w:val="24"/>
        </w:rPr>
        <w:t>Významnú časť sociálnych dávok tvorí dávka v hmotnej núdzi</w:t>
      </w:r>
      <w:r w:rsidRPr="00307C4D">
        <w:rPr>
          <w:rFonts w:cs="Times New Roman"/>
          <w:i/>
          <w:sz w:val="24"/>
          <w:szCs w:val="24"/>
        </w:rPr>
        <w:t xml:space="preserve"> </w:t>
      </w:r>
      <w:r w:rsidRPr="00307C4D">
        <w:rPr>
          <w:rFonts w:cs="Times New Roman"/>
          <w:sz w:val="24"/>
          <w:szCs w:val="24"/>
        </w:rPr>
        <w:t xml:space="preserve">a príspevky k dávke (106 746 tis. eur), vyplácaná na základe zákona č. 417/2013 Z. z. o pomoci v hmotnej núdzi. Je tu tiež zahrnutý resocializačný príspevok </w:t>
      </w:r>
      <w:r w:rsidRPr="00307C4D">
        <w:rPr>
          <w:rFonts w:cs="Times New Roman"/>
          <w:sz w:val="24"/>
          <w:szCs w:val="24"/>
        </w:rPr>
        <w:lastRenderedPageBreak/>
        <w:t>a osobitný príspevok, ktorý sa poskytuje dlhodobo nezamestnaným osobám, ktoré si nájdu zamestnanie.</w:t>
      </w:r>
    </w:p>
    <w:p w14:paraId="7CADF005" w14:textId="77777777" w:rsidR="00697268" w:rsidRPr="00307C4D" w:rsidRDefault="00697268" w:rsidP="00697268">
      <w:pPr>
        <w:spacing w:line="240" w:lineRule="auto"/>
        <w:rPr>
          <w:rFonts w:cs="Times New Roman"/>
          <w:sz w:val="24"/>
          <w:szCs w:val="24"/>
        </w:rPr>
      </w:pPr>
      <w:r w:rsidRPr="009B518B">
        <w:rPr>
          <w:rFonts w:cs="Times New Roman"/>
          <w:sz w:val="24"/>
          <w:szCs w:val="24"/>
        </w:rPr>
        <w:t xml:space="preserve">Transfery </w:t>
      </w:r>
      <w:r w:rsidRPr="0047762F">
        <w:rPr>
          <w:rFonts w:cs="Times New Roman"/>
          <w:b/>
          <w:i/>
          <w:sz w:val="24"/>
          <w:szCs w:val="24"/>
        </w:rPr>
        <w:t>na platené poistné za skupiny osôb ustanovené zákonom</w:t>
      </w:r>
      <w:r w:rsidRPr="0047762F">
        <w:rPr>
          <w:rFonts w:cs="Times New Roman"/>
          <w:i/>
          <w:sz w:val="24"/>
          <w:szCs w:val="24"/>
          <w:vertAlign w:val="superscript"/>
        </w:rPr>
        <w:footnoteReference w:id="29"/>
      </w:r>
      <w:r w:rsidRPr="00B51948">
        <w:rPr>
          <w:rFonts w:cs="Times New Roman"/>
          <w:color w:val="FF0000"/>
          <w:sz w:val="24"/>
          <w:szCs w:val="24"/>
        </w:rPr>
        <w:t xml:space="preserve"> </w:t>
      </w:r>
      <w:r w:rsidRPr="00307C4D">
        <w:rPr>
          <w:rFonts w:cs="Times New Roman"/>
          <w:sz w:val="24"/>
          <w:szCs w:val="24"/>
        </w:rPr>
        <w:t xml:space="preserve">dosiahli súhrnne 1 718 317 tis. eur a boli v prevažnej miere poskytované prostredníctvom </w:t>
      </w:r>
      <w:r w:rsidRPr="00307C4D">
        <w:rPr>
          <w:rFonts w:cs="Times New Roman"/>
          <w:sz w:val="24"/>
          <w:szCs w:val="24"/>
          <w:u w:val="single"/>
        </w:rPr>
        <w:t>Ministerstva zdravotníctva SR</w:t>
      </w:r>
      <w:r w:rsidRPr="00307C4D">
        <w:rPr>
          <w:rFonts w:cs="Times New Roman"/>
          <w:sz w:val="24"/>
          <w:szCs w:val="24"/>
        </w:rPr>
        <w:t xml:space="preserve"> v sume 1 288 969 tis. eur na úhradu zdravotnej starostlivosti za poistencov štátu, za poistencov, ktorí nie sú zamestnancami alebo samostatne zárobkovo činnými osobami, a to napríklad nezaopatrené deti, fyzické osoby poberajúce dôchodok, fyzické osoby poberajúce rodičovský príspevok, fyzické osoby obvinené vo väzbe alebo vo výkone trestu odňatia slobody a iné.</w:t>
      </w:r>
    </w:p>
    <w:p w14:paraId="37DDED52" w14:textId="77777777" w:rsidR="00697268" w:rsidRDefault="00697268" w:rsidP="00697268">
      <w:pPr>
        <w:spacing w:line="240" w:lineRule="auto"/>
        <w:rPr>
          <w:rFonts w:cs="Times New Roman"/>
          <w:sz w:val="24"/>
          <w:szCs w:val="24"/>
        </w:rPr>
      </w:pPr>
      <w:r w:rsidRPr="009B518B">
        <w:rPr>
          <w:rFonts w:cs="Times New Roman"/>
          <w:sz w:val="24"/>
          <w:szCs w:val="24"/>
        </w:rPr>
        <w:t xml:space="preserve">Transfery </w:t>
      </w:r>
      <w:r w:rsidRPr="00BA6C5E">
        <w:rPr>
          <w:rFonts w:cs="Times New Roman"/>
          <w:b/>
          <w:i/>
          <w:sz w:val="24"/>
          <w:szCs w:val="24"/>
        </w:rPr>
        <w:t>občianskym združeniam, nadáciám, neziskovým organizáciám, politickým stranám a hnutiam, odborovým organizáciám, cirkevným a súkromným školám, cirkvám, náboženským spoločnostiam a cirkevnej charite</w:t>
      </w:r>
      <w:r w:rsidRPr="00BA6C5E">
        <w:rPr>
          <w:rFonts w:cs="Times New Roman"/>
          <w:sz w:val="24"/>
          <w:szCs w:val="24"/>
        </w:rPr>
        <w:t xml:space="preserve"> boli poskytnuté vo výške</w:t>
      </w:r>
      <w:r w:rsidRPr="00B51948">
        <w:rPr>
          <w:rFonts w:cs="Times New Roman"/>
          <w:color w:val="FF0000"/>
          <w:sz w:val="24"/>
          <w:szCs w:val="24"/>
        </w:rPr>
        <w:t xml:space="preserve"> </w:t>
      </w:r>
      <w:r w:rsidRPr="0080429A">
        <w:rPr>
          <w:rFonts w:cs="Times New Roman"/>
          <w:sz w:val="24"/>
          <w:szCs w:val="24"/>
        </w:rPr>
        <w:t>696 633 tis. eur, čo je o 55 413 tis. eur viac ako bolo rozpočtované.</w:t>
      </w:r>
      <w:r w:rsidRPr="00B51948">
        <w:rPr>
          <w:rFonts w:cs="Times New Roman"/>
          <w:color w:val="FF0000"/>
          <w:sz w:val="24"/>
          <w:szCs w:val="24"/>
        </w:rPr>
        <w:t xml:space="preserve"> </w:t>
      </w:r>
      <w:r w:rsidRPr="0080429A">
        <w:rPr>
          <w:rFonts w:cs="Times New Roman"/>
          <w:sz w:val="24"/>
          <w:szCs w:val="24"/>
        </w:rPr>
        <w:t xml:space="preserve">Z celkovej výšky transferov poskytnutých </w:t>
      </w:r>
      <w:r w:rsidRPr="0080429A">
        <w:rPr>
          <w:rFonts w:cs="Times New Roman"/>
          <w:sz w:val="24"/>
          <w:szCs w:val="24"/>
          <w:u w:val="single"/>
        </w:rPr>
        <w:t>občianskym združeniam, nadáciám a neinvestičnému fondu</w:t>
      </w:r>
      <w:r w:rsidRPr="0080429A">
        <w:rPr>
          <w:rFonts w:cs="Times New Roman"/>
          <w:sz w:val="24"/>
          <w:szCs w:val="24"/>
        </w:rPr>
        <w:t xml:space="preserve"> vo výške</w:t>
      </w:r>
      <w:r w:rsidRPr="00B51948">
        <w:rPr>
          <w:rFonts w:cs="Times New Roman"/>
          <w:color w:val="FF0000"/>
          <w:sz w:val="24"/>
          <w:szCs w:val="24"/>
        </w:rPr>
        <w:t xml:space="preserve"> </w:t>
      </w:r>
      <w:r w:rsidRPr="0080429A">
        <w:rPr>
          <w:rFonts w:cs="Times New Roman"/>
          <w:sz w:val="24"/>
          <w:szCs w:val="24"/>
        </w:rPr>
        <w:t>197 951 tis. eur bolo vyčerpaných najviac v kapitole</w:t>
      </w:r>
      <w:r w:rsidRPr="00B51948">
        <w:rPr>
          <w:rFonts w:cs="Times New Roman"/>
          <w:color w:val="FF0000"/>
          <w:sz w:val="24"/>
          <w:szCs w:val="24"/>
        </w:rPr>
        <w:t xml:space="preserve"> </w:t>
      </w:r>
      <w:r w:rsidRPr="0080429A">
        <w:rPr>
          <w:rFonts w:cs="Times New Roman"/>
          <w:sz w:val="24"/>
          <w:szCs w:val="24"/>
          <w:u w:val="single"/>
        </w:rPr>
        <w:t>Ministerstva školstva, vedy, výskumu a športu SR</w:t>
      </w:r>
      <w:r w:rsidRPr="0080429A">
        <w:rPr>
          <w:rFonts w:cs="Times New Roman"/>
          <w:sz w:val="24"/>
          <w:szCs w:val="24"/>
        </w:rPr>
        <w:t xml:space="preserve">, a to 85 872 tis. eur. Najväčšie sumy boli použité najmä v oblasti športu v sume 72 163 tis. eur, najmä na príspevky uznanému športu, na národný športový projekt a na </w:t>
      </w:r>
      <w:r w:rsidRPr="0080429A">
        <w:rPr>
          <w:rFonts w:eastAsia="Calibri" w:cs="Times New Roman"/>
          <w:lang w:eastAsia="sk-SK"/>
        </w:rPr>
        <w:t>dotácie poskytnuté podľa § 70 zákona o športe na „MODULY – inovatívne formy vzdelávania na hodinách telesnej výchovy“.</w:t>
      </w:r>
      <w:r w:rsidRPr="0080429A">
        <w:rPr>
          <w:rFonts w:cs="Times New Roman"/>
          <w:sz w:val="24"/>
          <w:szCs w:val="24"/>
        </w:rPr>
        <w:t xml:space="preserve"> </w:t>
      </w:r>
    </w:p>
    <w:p w14:paraId="57E64638" w14:textId="77777777" w:rsidR="00697268" w:rsidRDefault="00697268" w:rsidP="00697268">
      <w:pPr>
        <w:spacing w:line="240" w:lineRule="auto"/>
        <w:rPr>
          <w:rFonts w:cs="Times New Roman"/>
          <w:color w:val="FF0000"/>
          <w:sz w:val="24"/>
          <w:szCs w:val="24"/>
          <w:shd w:val="clear" w:color="auto" w:fill="FFFFFF"/>
        </w:rPr>
      </w:pPr>
      <w:r w:rsidRPr="00462F64">
        <w:rPr>
          <w:rFonts w:eastAsia="Calibri" w:cs="Times New Roman"/>
          <w:sz w:val="24"/>
          <w:szCs w:val="24"/>
        </w:rPr>
        <w:t xml:space="preserve">Druhé najvyššie čerpanie v rámci tejto podpoložky čerpalo </w:t>
      </w:r>
      <w:r w:rsidRPr="00462F64">
        <w:rPr>
          <w:rFonts w:eastAsia="Calibri" w:cs="Times New Roman"/>
          <w:sz w:val="24"/>
          <w:szCs w:val="24"/>
          <w:u w:val="single"/>
        </w:rPr>
        <w:t>Ministerstvo práce sociálnych vecí a rodiny SR</w:t>
      </w:r>
      <w:r w:rsidRPr="00462F64">
        <w:rPr>
          <w:rFonts w:eastAsia="Calibri" w:cs="Times New Roman"/>
          <w:sz w:val="24"/>
          <w:szCs w:val="24"/>
        </w:rPr>
        <w:t xml:space="preserve"> v objeme 51 805 tis. eur najmä </w:t>
      </w:r>
      <w:r w:rsidRPr="00462F64">
        <w:rPr>
          <w:rFonts w:eastAsia="Calibri" w:cs="Times New Roman"/>
          <w:sz w:val="24"/>
          <w:szCs w:val="24"/>
          <w:shd w:val="clear" w:color="auto" w:fill="FFFFFF"/>
        </w:rPr>
        <w:t>na podporu sociálnych služieb (19 807 tis. eur), na</w:t>
      </w:r>
      <w:r>
        <w:rPr>
          <w:rFonts w:eastAsia="Calibri" w:cs="Times New Roman"/>
          <w:sz w:val="24"/>
          <w:szCs w:val="24"/>
          <w:shd w:val="clear" w:color="auto" w:fill="FFFFFF"/>
        </w:rPr>
        <w:t> </w:t>
      </w:r>
      <w:r w:rsidRPr="00462F64">
        <w:rPr>
          <w:rFonts w:eastAsia="Calibri" w:cs="Times New Roman"/>
          <w:sz w:val="24"/>
          <w:szCs w:val="24"/>
          <w:shd w:val="clear" w:color="auto" w:fill="FFFFFF"/>
        </w:rPr>
        <w:t xml:space="preserve">dotácie z prostriedkov Operačného programu Ľudské zdroje (18 189 tis. eur), na príspevky pre neštátne centrá pre deti a rodiny (8 019 tis. eur), </w:t>
      </w:r>
      <w:r w:rsidRPr="00462F64">
        <w:rPr>
          <w:rFonts w:eastAsia="Calibri" w:cs="Times New Roman"/>
          <w:color w:val="000000"/>
          <w:sz w:val="24"/>
          <w:szCs w:val="24"/>
          <w:shd w:val="clear" w:color="auto" w:fill="FFFFFF"/>
        </w:rPr>
        <w:t xml:space="preserve">na </w:t>
      </w:r>
      <w:r w:rsidRPr="00462F64">
        <w:rPr>
          <w:rFonts w:eastAsia="Calibri" w:cs="Times New Roman"/>
          <w:color w:val="000000"/>
          <w:sz w:val="24"/>
          <w:szCs w:val="24"/>
        </w:rPr>
        <w:t xml:space="preserve">prostriedky v súlade s nariadeniami vlády SR prijatými z dôvodu riešenia mimoriadnej situácie - inflačná pomoc, energie, odmeny zamestnancom sociálnych služieb (3 620 tis. eur) a iné. Rozdiel medzi schváleným rozpočtom a skutočnosťou v sume </w:t>
      </w:r>
      <w:r>
        <w:rPr>
          <w:rFonts w:eastAsia="Calibri" w:cs="Times New Roman"/>
          <w:color w:val="000000"/>
          <w:sz w:val="24"/>
          <w:szCs w:val="24"/>
        </w:rPr>
        <w:t>31 525 tis. eur</w:t>
      </w:r>
      <w:r w:rsidRPr="00462F64">
        <w:rPr>
          <w:rFonts w:eastAsia="Calibri" w:cs="Times New Roman"/>
          <w:color w:val="000000"/>
          <w:sz w:val="24"/>
          <w:szCs w:val="24"/>
        </w:rPr>
        <w:t xml:space="preserve"> bol z dôvodu, že súčasťou schváleného rozpočtu na tejto podpoložke neboli prostriedky EÚ ako aj prostriedky určené na dodatočnú pomoc v nadväznosti na prijaté právne úpravy. Finančné prostriedky boli poskytnuté v priebehu roku 2022 rozpočtovými opatreniami. Taktiež EÚ zdroje boli v schválenom rozpočte rozpočtované len na niektorých podpoložkách, presunom z roku 2021 vchádzali až do upraveného rozpočtu.</w:t>
      </w:r>
    </w:p>
    <w:p w14:paraId="3820AD9B" w14:textId="77777777" w:rsidR="00697268" w:rsidRDefault="00697268" w:rsidP="00697268">
      <w:pPr>
        <w:spacing w:line="240" w:lineRule="auto"/>
        <w:rPr>
          <w:rFonts w:cs="Times New Roman"/>
          <w:sz w:val="24"/>
          <w:szCs w:val="24"/>
        </w:rPr>
      </w:pPr>
      <w:r w:rsidRPr="00C30B4B">
        <w:rPr>
          <w:rFonts w:eastAsia="Times New Roman" w:cs="Times New Roman"/>
          <w:b/>
          <w:i/>
          <w:sz w:val="24"/>
          <w:szCs w:val="24"/>
          <w:lang w:eastAsia="sk-SK"/>
        </w:rPr>
        <w:t xml:space="preserve">Prvá pomoc </w:t>
      </w:r>
      <w:r w:rsidRPr="00C30B4B">
        <w:rPr>
          <w:rFonts w:eastAsia="Times New Roman" w:cs="Times New Roman"/>
          <w:sz w:val="24"/>
          <w:szCs w:val="24"/>
          <w:lang w:eastAsia="sk-SK"/>
        </w:rPr>
        <w:t xml:space="preserve">v rámci programu APTP COVID, bola poskytnutá v hodnote 278 130 tis. eur prostredníctvom </w:t>
      </w:r>
      <w:r w:rsidRPr="00C30B4B">
        <w:rPr>
          <w:rFonts w:cs="Times New Roman"/>
          <w:sz w:val="24"/>
          <w:szCs w:val="24"/>
          <w:u w:val="single"/>
        </w:rPr>
        <w:t>Ministerstva práce sociálnych vecí a rodiny SR</w:t>
      </w:r>
      <w:r w:rsidRPr="00C30B4B">
        <w:rPr>
          <w:rFonts w:cs="Times New Roman"/>
          <w:sz w:val="24"/>
          <w:szCs w:val="24"/>
        </w:rPr>
        <w:t xml:space="preserve"> na zmiernenie dopadov vyhlásenej mimoriadnej situácie alebo núdzového stavu v súvislosti s pandémiou COVID-19 na zamestnanosť a trh práce na území Slovenskej republiky, prostredníctvom finančnej podpory pre zamestnávateľov, resp. SZČO, ktorí udržia pracovné miesta aj napriek povinnosti prerušenia alebo obmedzenia svojej prevádzkovej činnosti na základe opatrenia Úradu verejného zdravotníctva.</w:t>
      </w:r>
    </w:p>
    <w:p w14:paraId="58B0F64A" w14:textId="70F73E1B" w:rsidR="00697268" w:rsidRPr="002F7AFE" w:rsidRDefault="00697268" w:rsidP="00697268">
      <w:pPr>
        <w:spacing w:line="240" w:lineRule="auto"/>
        <w:rPr>
          <w:rFonts w:cs="Times New Roman"/>
          <w:color w:val="FF0000"/>
          <w:sz w:val="24"/>
          <w:szCs w:val="24"/>
        </w:rPr>
      </w:pPr>
      <w:r w:rsidRPr="00C14B66">
        <w:rPr>
          <w:rFonts w:cs="Times New Roman"/>
          <w:sz w:val="24"/>
          <w:szCs w:val="24"/>
        </w:rPr>
        <w:t xml:space="preserve">Na celkovú výšku </w:t>
      </w:r>
      <w:r w:rsidRPr="00C14B66">
        <w:rPr>
          <w:rFonts w:cs="Times New Roman"/>
          <w:b/>
          <w:i/>
          <w:sz w:val="24"/>
          <w:szCs w:val="24"/>
        </w:rPr>
        <w:t>ostatných transferov</w:t>
      </w:r>
      <w:r w:rsidRPr="00C14B66">
        <w:rPr>
          <w:rFonts w:cs="Times New Roman"/>
          <w:sz w:val="24"/>
          <w:szCs w:val="24"/>
        </w:rPr>
        <w:t xml:space="preserve"> 217 775 tis. eur mali podstatný vplyv transfery</w:t>
      </w:r>
      <w:r>
        <w:rPr>
          <w:rFonts w:cs="Times New Roman"/>
          <w:sz w:val="24"/>
          <w:szCs w:val="24"/>
        </w:rPr>
        <w:t xml:space="preserve"> na peňažné náležitosti v ozbrojených silách a ozbrojených zboroch (75 114 tis. eur), realizované najmä prostredníctvom Ministerstva obrany SR (55 085 tis. eur), na nemocenské dávky</w:t>
      </w:r>
      <w:r w:rsidRPr="00C14B66">
        <w:rPr>
          <w:rFonts w:cs="Times New Roman"/>
          <w:sz w:val="24"/>
          <w:szCs w:val="24"/>
        </w:rPr>
        <w:t xml:space="preserve"> </w:t>
      </w:r>
      <w:r>
        <w:rPr>
          <w:rFonts w:cs="Times New Roman"/>
          <w:sz w:val="24"/>
          <w:szCs w:val="24"/>
        </w:rPr>
        <w:t>(29 182 tis. eur), na príplatky a príspevky (25 548 tis. eur), na náhradu (24 569 tis. eur), v rámci podpoložky ostatné (20 469 tis. eur), nefinančnej právnickej osobe (18 239 tis. eur) a iné.</w:t>
      </w:r>
    </w:p>
    <w:p w14:paraId="17E54CB4" w14:textId="77777777" w:rsidR="00697268" w:rsidRPr="00462F64" w:rsidRDefault="00697268" w:rsidP="00697268">
      <w:pPr>
        <w:spacing w:line="240" w:lineRule="auto"/>
        <w:rPr>
          <w:rFonts w:cs="Times New Roman"/>
          <w:sz w:val="24"/>
          <w:szCs w:val="24"/>
        </w:rPr>
      </w:pPr>
      <w:r>
        <w:rPr>
          <w:rFonts w:cs="Times New Roman"/>
          <w:sz w:val="24"/>
          <w:szCs w:val="24"/>
        </w:rPr>
        <w:t xml:space="preserve">Transfery poskytnuté </w:t>
      </w:r>
      <w:r w:rsidRPr="00D1190B">
        <w:rPr>
          <w:rFonts w:cs="Times New Roman"/>
          <w:b/>
          <w:i/>
          <w:sz w:val="24"/>
          <w:szCs w:val="24"/>
        </w:rPr>
        <w:t>na aktívne opatrenia trhu práce</w:t>
      </w:r>
      <w:r>
        <w:rPr>
          <w:rFonts w:cs="Times New Roman"/>
          <w:sz w:val="24"/>
          <w:szCs w:val="24"/>
        </w:rPr>
        <w:t xml:space="preserve"> boli poskytnuté v sume 143 078 tis. eur, výlučne prostredníctvom </w:t>
      </w:r>
      <w:r w:rsidRPr="00C30B4B">
        <w:rPr>
          <w:rFonts w:cs="Times New Roman"/>
          <w:sz w:val="24"/>
          <w:szCs w:val="24"/>
          <w:u w:val="single"/>
        </w:rPr>
        <w:t>Ministerstva práce sociálnych vecí a rodiny SR</w:t>
      </w:r>
      <w:r w:rsidRPr="00D1190B">
        <w:rPr>
          <w:rFonts w:cs="Times New Roman"/>
          <w:sz w:val="24"/>
          <w:szCs w:val="24"/>
        </w:rPr>
        <w:t>, ktoré</w:t>
      </w:r>
      <w:r>
        <w:rPr>
          <w:rFonts w:cs="Times New Roman"/>
          <w:sz w:val="24"/>
          <w:szCs w:val="24"/>
        </w:rPr>
        <w:t xml:space="preserve"> poskytlo </w:t>
      </w:r>
      <w:r w:rsidRPr="00462F64">
        <w:rPr>
          <w:rFonts w:cs="Times New Roman"/>
          <w:sz w:val="24"/>
          <w:szCs w:val="24"/>
        </w:rPr>
        <w:t xml:space="preserve">dotácie z prostriedkov Operačného programu Ľudské zdroje + Európsky sociálny fond REACT-EÚ </w:t>
      </w:r>
      <w:r w:rsidRPr="00462F64">
        <w:rPr>
          <w:rFonts w:cs="Times New Roman"/>
          <w:sz w:val="24"/>
          <w:szCs w:val="24"/>
        </w:rPr>
        <w:lastRenderedPageBreak/>
        <w:t>(90 752 tis. eur) a taktiež poskytlo prostriedky na opatrenia trhu práce v súlade so</w:t>
      </w:r>
      <w:r>
        <w:rPr>
          <w:rFonts w:cs="Times New Roman"/>
          <w:sz w:val="24"/>
          <w:szCs w:val="24"/>
        </w:rPr>
        <w:t> </w:t>
      </w:r>
      <w:r w:rsidRPr="00462F64">
        <w:rPr>
          <w:rFonts w:cs="Times New Roman"/>
          <w:sz w:val="24"/>
          <w:szCs w:val="24"/>
        </w:rPr>
        <w:t>zákonom o službách zamestnanosti (50 723 tis. eur).</w:t>
      </w:r>
    </w:p>
    <w:p w14:paraId="52BC445F" w14:textId="28C815E2" w:rsidR="00697268" w:rsidRPr="00B51948" w:rsidRDefault="00697268" w:rsidP="00697268">
      <w:pPr>
        <w:spacing w:line="240" w:lineRule="auto"/>
        <w:rPr>
          <w:rFonts w:cs="Times New Roman"/>
          <w:color w:val="FF0000"/>
          <w:sz w:val="24"/>
          <w:szCs w:val="24"/>
        </w:rPr>
      </w:pPr>
      <w:r w:rsidRPr="00462F64">
        <w:rPr>
          <w:rFonts w:cs="Times New Roman"/>
          <w:sz w:val="24"/>
          <w:szCs w:val="24"/>
        </w:rPr>
        <w:t xml:space="preserve">Transfery </w:t>
      </w:r>
      <w:r w:rsidRPr="005656BD">
        <w:rPr>
          <w:rFonts w:cs="Times New Roman"/>
          <w:b/>
          <w:i/>
          <w:sz w:val="24"/>
          <w:szCs w:val="24"/>
        </w:rPr>
        <w:t>neziskovým organizáciám poskytujúcim všeobecne prospešné služby</w:t>
      </w:r>
      <w:r w:rsidRPr="00462F64">
        <w:rPr>
          <w:rFonts w:cs="Times New Roman"/>
          <w:sz w:val="24"/>
          <w:szCs w:val="24"/>
        </w:rPr>
        <w:t xml:space="preserve"> boli poskytnuté v celkovej výške 151 293 tis. eur. Najvýznamnejšiu časť výdavkov čerpalo </w:t>
      </w:r>
      <w:r w:rsidRPr="00462F64">
        <w:rPr>
          <w:rFonts w:cs="Times New Roman"/>
          <w:sz w:val="24"/>
          <w:szCs w:val="24"/>
          <w:u w:val="single"/>
        </w:rPr>
        <w:t>Ministerstvo práce, sociálnych vecí a rodiny SR</w:t>
      </w:r>
      <w:r w:rsidRPr="00462F64">
        <w:rPr>
          <w:rFonts w:cs="Times New Roman"/>
          <w:sz w:val="24"/>
          <w:szCs w:val="24"/>
        </w:rPr>
        <w:t xml:space="preserve"> (115 827 tis. eur), </w:t>
      </w:r>
      <w:r w:rsidRPr="00A85BEF">
        <w:rPr>
          <w:rFonts w:cs="Times New Roman"/>
          <w:sz w:val="24"/>
          <w:szCs w:val="24"/>
        </w:rPr>
        <w:t>a to prevažne na </w:t>
      </w:r>
      <w:r w:rsidRPr="00A85BEF">
        <w:rPr>
          <w:rFonts w:cs="Times New Roman"/>
          <w:sz w:val="24"/>
          <w:szCs w:val="24"/>
          <w:shd w:val="clear" w:color="auto" w:fill="FFFFFF"/>
        </w:rPr>
        <w:t>podporu sociálnych služieb a</w:t>
      </w:r>
      <w:r w:rsidR="0019687C">
        <w:rPr>
          <w:rFonts w:cs="Times New Roman"/>
          <w:sz w:val="24"/>
          <w:szCs w:val="24"/>
          <w:shd w:val="clear" w:color="auto" w:fill="FFFFFF"/>
        </w:rPr>
        <w:t> </w:t>
      </w:r>
      <w:r w:rsidRPr="00A85BEF">
        <w:rPr>
          <w:rFonts w:cs="Times New Roman"/>
          <w:sz w:val="24"/>
          <w:szCs w:val="24"/>
        </w:rPr>
        <w:t xml:space="preserve">ústavnej starostlivosti pre neštátne centrá pre deti a rodiny (83 497 tis. eur), </w:t>
      </w:r>
      <w:r>
        <w:rPr>
          <w:rFonts w:eastAsia="Calibri" w:cs="Times New Roman"/>
          <w:sz w:val="24"/>
          <w:szCs w:val="24"/>
        </w:rPr>
        <w:t>dotácie</w:t>
      </w:r>
      <w:r w:rsidRPr="00A85BEF">
        <w:rPr>
          <w:rFonts w:eastAsia="Calibri" w:cs="Times New Roman"/>
          <w:sz w:val="24"/>
          <w:szCs w:val="24"/>
        </w:rPr>
        <w:t xml:space="preserve"> v súlade s Nariadeniami vlády SR prijatými z dôvodu riešenia mimoriadnej situácie, ako napr.</w:t>
      </w:r>
      <w:r>
        <w:rPr>
          <w:rFonts w:eastAsia="Calibri" w:cs="Times New Roman"/>
          <w:sz w:val="24"/>
          <w:szCs w:val="24"/>
        </w:rPr>
        <w:t xml:space="preserve"> </w:t>
      </w:r>
      <w:r w:rsidRPr="00A85BEF">
        <w:rPr>
          <w:rFonts w:eastAsia="Calibri" w:cs="Times New Roman"/>
          <w:sz w:val="24"/>
          <w:szCs w:val="24"/>
        </w:rPr>
        <w:t>inflačná pomoc, energie, odmeny zamestnancom sociálnych služieb (11 478 tis. eur) a</w:t>
      </w:r>
      <w:r>
        <w:rPr>
          <w:rFonts w:eastAsia="Calibri" w:cs="Times New Roman"/>
          <w:sz w:val="24"/>
          <w:szCs w:val="24"/>
        </w:rPr>
        <w:t> </w:t>
      </w:r>
      <w:r w:rsidRPr="00A85BEF">
        <w:rPr>
          <w:rFonts w:eastAsia="Calibri" w:cs="Times New Roman"/>
          <w:sz w:val="24"/>
          <w:szCs w:val="24"/>
        </w:rPr>
        <w:t>iné</w:t>
      </w:r>
      <w:r>
        <w:rPr>
          <w:rFonts w:eastAsia="Calibri" w:cs="Times New Roman"/>
          <w:sz w:val="24"/>
          <w:szCs w:val="24"/>
        </w:rPr>
        <w:t xml:space="preserve">. </w:t>
      </w:r>
      <w:r w:rsidRPr="005656BD">
        <w:rPr>
          <w:rFonts w:cs="Times New Roman"/>
          <w:sz w:val="24"/>
          <w:szCs w:val="24"/>
          <w:u w:val="single"/>
        </w:rPr>
        <w:t>Ministerstvo zdravotníctva SR</w:t>
      </w:r>
      <w:r w:rsidRPr="00C14B66">
        <w:rPr>
          <w:rFonts w:cs="Times New Roman"/>
          <w:sz w:val="24"/>
          <w:szCs w:val="24"/>
        </w:rPr>
        <w:t xml:space="preserve"> sa podieľalo na tejto podpoložke </w:t>
      </w:r>
      <w:r>
        <w:rPr>
          <w:rFonts w:cs="Times New Roman"/>
          <w:sz w:val="24"/>
          <w:szCs w:val="24"/>
        </w:rPr>
        <w:t>s</w:t>
      </w:r>
      <w:r w:rsidRPr="00C14B66">
        <w:rPr>
          <w:rFonts w:cs="Times New Roman"/>
          <w:sz w:val="24"/>
          <w:szCs w:val="24"/>
        </w:rPr>
        <w:t>um</w:t>
      </w:r>
      <w:r>
        <w:rPr>
          <w:rFonts w:cs="Times New Roman"/>
          <w:sz w:val="24"/>
          <w:szCs w:val="24"/>
        </w:rPr>
        <w:t>ou</w:t>
      </w:r>
      <w:r w:rsidRPr="00C14B66">
        <w:rPr>
          <w:rFonts w:cs="Times New Roman"/>
          <w:sz w:val="24"/>
          <w:szCs w:val="24"/>
        </w:rPr>
        <w:t xml:space="preserve"> 10 566 tis. eur.</w:t>
      </w:r>
    </w:p>
    <w:p w14:paraId="1B97C615" w14:textId="77777777" w:rsidR="00697268" w:rsidRPr="00C14B66" w:rsidRDefault="00697268" w:rsidP="00697268">
      <w:pPr>
        <w:spacing w:line="240" w:lineRule="auto"/>
        <w:rPr>
          <w:rFonts w:cs="Times New Roman"/>
          <w:sz w:val="24"/>
          <w:szCs w:val="24"/>
        </w:rPr>
      </w:pPr>
      <w:r w:rsidRPr="00462F64">
        <w:rPr>
          <w:rFonts w:cs="Times New Roman"/>
          <w:sz w:val="24"/>
          <w:szCs w:val="24"/>
        </w:rPr>
        <w:t xml:space="preserve">Transfery </w:t>
      </w:r>
      <w:r>
        <w:rPr>
          <w:rFonts w:cs="Times New Roman"/>
          <w:b/>
          <w:i/>
          <w:sz w:val="24"/>
          <w:szCs w:val="24"/>
        </w:rPr>
        <w:t>c</w:t>
      </w:r>
      <w:r w:rsidRPr="005656BD">
        <w:rPr>
          <w:rFonts w:cs="Times New Roman"/>
          <w:b/>
          <w:i/>
          <w:sz w:val="24"/>
          <w:szCs w:val="24"/>
        </w:rPr>
        <w:t>irkevnej škole</w:t>
      </w:r>
      <w:r w:rsidRPr="00462F64">
        <w:rPr>
          <w:rFonts w:cs="Times New Roman"/>
          <w:sz w:val="24"/>
          <w:szCs w:val="24"/>
        </w:rPr>
        <w:t xml:space="preserve"> v sume 133 155 tis. eur a </w:t>
      </w:r>
      <w:r w:rsidRPr="005656BD">
        <w:rPr>
          <w:rFonts w:cs="Times New Roman"/>
          <w:b/>
          <w:i/>
          <w:sz w:val="24"/>
          <w:szCs w:val="24"/>
        </w:rPr>
        <w:t>súkromnej škole</w:t>
      </w:r>
      <w:r w:rsidRPr="00462F64">
        <w:rPr>
          <w:rFonts w:cs="Times New Roman"/>
          <w:sz w:val="24"/>
          <w:szCs w:val="24"/>
        </w:rPr>
        <w:t xml:space="preserve"> vo výške 123 224 tis. eur boli poskytnuté takmer výlučne </w:t>
      </w:r>
      <w:r w:rsidRPr="00462F64">
        <w:rPr>
          <w:rFonts w:cs="Times New Roman"/>
          <w:sz w:val="24"/>
          <w:szCs w:val="24"/>
          <w:u w:val="single"/>
        </w:rPr>
        <w:t>Ministerstvom školstva, vedy výskumu a športu SR</w:t>
      </w:r>
      <w:r w:rsidRPr="00462F64">
        <w:rPr>
          <w:rFonts w:cs="Times New Roman"/>
          <w:sz w:val="24"/>
          <w:szCs w:val="24"/>
        </w:rPr>
        <w:t xml:space="preserve"> </w:t>
      </w:r>
      <w:r w:rsidRPr="00C14B66">
        <w:rPr>
          <w:rFonts w:cs="Times New Roman"/>
          <w:sz w:val="24"/>
          <w:szCs w:val="24"/>
        </w:rPr>
        <w:t>na zabezpečenie výchovy a vzdelávania mládeže v základných a stredných školách, na zabezpečenie prevádzky škôl, na financovanie normatívnych výdavkov a na úhradu nenormatívnych výdavkov škôl a školských zariadení (najmä na vzdelávacie poukazy, príspevky pre asistentov učiteľov a príspevky na výchovu a vzdelávanie detí materských škôl).</w:t>
      </w:r>
    </w:p>
    <w:p w14:paraId="2896D7BE" w14:textId="77777777" w:rsidR="00697268" w:rsidRPr="00C14B66" w:rsidRDefault="00697268" w:rsidP="00697268">
      <w:pPr>
        <w:spacing w:line="240" w:lineRule="auto"/>
        <w:rPr>
          <w:rFonts w:cs="Times New Roman"/>
          <w:sz w:val="24"/>
          <w:szCs w:val="24"/>
          <w:shd w:val="clear" w:color="auto" w:fill="FFFFFF"/>
        </w:rPr>
      </w:pPr>
      <w:r w:rsidRPr="00C14B66">
        <w:rPr>
          <w:rFonts w:cs="Times New Roman"/>
          <w:sz w:val="24"/>
          <w:szCs w:val="24"/>
        </w:rPr>
        <w:t xml:space="preserve">Z celkového transferu </w:t>
      </w:r>
      <w:r w:rsidRPr="005656BD">
        <w:rPr>
          <w:rFonts w:cs="Times New Roman"/>
          <w:b/>
          <w:i/>
          <w:sz w:val="24"/>
          <w:szCs w:val="24"/>
        </w:rPr>
        <w:t>cirkvi, náboženskej spoločnosti a cirkevnej charite</w:t>
      </w:r>
      <w:r w:rsidRPr="00B51948">
        <w:rPr>
          <w:rFonts w:cs="Times New Roman"/>
          <w:color w:val="FF0000"/>
          <w:sz w:val="24"/>
          <w:szCs w:val="24"/>
        </w:rPr>
        <w:t xml:space="preserve"> </w:t>
      </w:r>
      <w:r w:rsidRPr="00C14B66">
        <w:rPr>
          <w:rFonts w:cs="Times New Roman"/>
          <w:sz w:val="24"/>
          <w:szCs w:val="24"/>
        </w:rPr>
        <w:t xml:space="preserve">vo výške 78 256 tis. eur boli v najväčšej miere poukázané prostriedky prostredníctvom kapitoly </w:t>
      </w:r>
      <w:r w:rsidRPr="00C14B66">
        <w:rPr>
          <w:rFonts w:cs="Times New Roman"/>
          <w:sz w:val="24"/>
          <w:szCs w:val="24"/>
          <w:u w:val="single"/>
        </w:rPr>
        <w:t>Ministerstva kultúry SR</w:t>
      </w:r>
      <w:r w:rsidRPr="00C14B66">
        <w:rPr>
          <w:rFonts w:cs="Times New Roman"/>
          <w:sz w:val="24"/>
          <w:szCs w:val="24"/>
        </w:rPr>
        <w:t xml:space="preserve"> v sume 55 337 tis. eur </w:t>
      </w:r>
      <w:r w:rsidRPr="00C14B66">
        <w:rPr>
          <w:rFonts w:cs="Times New Roman"/>
          <w:sz w:val="24"/>
          <w:szCs w:val="24"/>
          <w:shd w:val="clear" w:color="auto" w:fill="FFFFFF"/>
        </w:rPr>
        <w:t>na podporu cirkvám a náboženským spoločnostiam na realizáciu náboženských a duchovných potrieb obyvateľstva, starostlivosti a ochrany kultúrneho dedičstva, charitatívnych a sociálnych služieb prostredníctvom realizovaných náboženských úkonov.</w:t>
      </w:r>
    </w:p>
    <w:p w14:paraId="4472C90E" w14:textId="77777777" w:rsidR="00876587" w:rsidRDefault="00697268" w:rsidP="00876587">
      <w:pPr>
        <w:spacing w:line="240" w:lineRule="auto"/>
        <w:rPr>
          <w:rFonts w:cs="Times New Roman"/>
          <w:sz w:val="24"/>
          <w:szCs w:val="24"/>
          <w:shd w:val="clear" w:color="auto" w:fill="FFFFFF"/>
        </w:rPr>
      </w:pPr>
      <w:r w:rsidRPr="00F06AB5">
        <w:rPr>
          <w:rFonts w:cs="Times New Roman"/>
          <w:sz w:val="24"/>
          <w:szCs w:val="24"/>
        </w:rPr>
        <w:t>Transfery</w:t>
      </w:r>
      <w:r w:rsidRPr="00F06AB5">
        <w:rPr>
          <w:rFonts w:cs="Times New Roman"/>
          <w:b/>
          <w:i/>
          <w:sz w:val="24"/>
          <w:szCs w:val="24"/>
        </w:rPr>
        <w:t xml:space="preserve"> jednotlivcom</w:t>
      </w:r>
      <w:r w:rsidRPr="00F06AB5">
        <w:rPr>
          <w:rFonts w:cs="Times New Roman"/>
          <w:sz w:val="24"/>
          <w:szCs w:val="24"/>
        </w:rPr>
        <w:t xml:space="preserve"> dosiahli sumu 97 705 tis. eur</w:t>
      </w:r>
      <w:r>
        <w:rPr>
          <w:rFonts w:cs="Times New Roman"/>
          <w:sz w:val="24"/>
          <w:szCs w:val="24"/>
        </w:rPr>
        <w:t>,</w:t>
      </w:r>
      <w:r w:rsidRPr="00F06AB5">
        <w:rPr>
          <w:rFonts w:cs="Times New Roman"/>
          <w:sz w:val="24"/>
          <w:szCs w:val="24"/>
        </w:rPr>
        <w:t xml:space="preserve"> najmä prostredníctvom </w:t>
      </w:r>
      <w:r w:rsidRPr="00F06AB5">
        <w:rPr>
          <w:rFonts w:cs="Times New Roman"/>
          <w:sz w:val="24"/>
          <w:szCs w:val="24"/>
          <w:u w:val="single"/>
        </w:rPr>
        <w:t>Ministerstva financií SR</w:t>
      </w:r>
      <w:r w:rsidRPr="00F06AB5">
        <w:rPr>
          <w:rFonts w:cs="Times New Roman"/>
          <w:sz w:val="24"/>
          <w:szCs w:val="24"/>
        </w:rPr>
        <w:t xml:space="preserve"> (34 295 tis. eur), </w:t>
      </w:r>
      <w:r w:rsidRPr="00F06AB5">
        <w:rPr>
          <w:rFonts w:cs="Times New Roman"/>
          <w:sz w:val="24"/>
          <w:szCs w:val="24"/>
          <w:u w:val="single"/>
        </w:rPr>
        <w:t>Ministerstv</w:t>
      </w:r>
      <w:r>
        <w:rPr>
          <w:rFonts w:cs="Times New Roman"/>
          <w:sz w:val="24"/>
          <w:szCs w:val="24"/>
          <w:u w:val="single"/>
        </w:rPr>
        <w:t>a</w:t>
      </w:r>
      <w:r w:rsidRPr="00F06AB5">
        <w:rPr>
          <w:rFonts w:cs="Times New Roman"/>
          <w:sz w:val="24"/>
          <w:szCs w:val="24"/>
          <w:u w:val="single"/>
        </w:rPr>
        <w:t xml:space="preserve"> práce, sociálnych vecí a rodiny SR</w:t>
      </w:r>
      <w:r w:rsidRPr="00F06AB5">
        <w:rPr>
          <w:rFonts w:cs="Times New Roman"/>
          <w:sz w:val="24"/>
          <w:szCs w:val="24"/>
        </w:rPr>
        <w:t xml:space="preserve"> </w:t>
      </w:r>
      <w:r>
        <w:rPr>
          <w:rFonts w:cs="Times New Roman"/>
          <w:sz w:val="24"/>
          <w:szCs w:val="24"/>
        </w:rPr>
        <w:t>(</w:t>
      </w:r>
      <w:r w:rsidRPr="00F06AB5">
        <w:rPr>
          <w:rFonts w:cs="Times New Roman"/>
          <w:sz w:val="24"/>
          <w:szCs w:val="24"/>
        </w:rPr>
        <w:t>29 409 tis. eur</w:t>
      </w:r>
      <w:r>
        <w:rPr>
          <w:rFonts w:cs="Times New Roman"/>
          <w:sz w:val="24"/>
          <w:szCs w:val="24"/>
        </w:rPr>
        <w:t>)</w:t>
      </w:r>
      <w:r w:rsidRPr="00F06AB5">
        <w:rPr>
          <w:rFonts w:cs="Times New Roman"/>
          <w:sz w:val="24"/>
          <w:szCs w:val="24"/>
        </w:rPr>
        <w:t>,</w:t>
      </w:r>
      <w:r w:rsidRPr="00B51948">
        <w:rPr>
          <w:rFonts w:cs="Times New Roman"/>
          <w:color w:val="FF0000"/>
          <w:sz w:val="24"/>
          <w:szCs w:val="24"/>
        </w:rPr>
        <w:t xml:space="preserve"> </w:t>
      </w:r>
      <w:r w:rsidRPr="00823033">
        <w:rPr>
          <w:rFonts w:cs="Times New Roman"/>
          <w:sz w:val="24"/>
          <w:szCs w:val="24"/>
        </w:rPr>
        <w:t>ktoré realizovalo</w:t>
      </w:r>
      <w:r w:rsidRPr="00823033">
        <w:rPr>
          <w:rFonts w:cs="Times New Roman"/>
          <w:sz w:val="24"/>
          <w:szCs w:val="24"/>
          <w:shd w:val="clear" w:color="auto" w:fill="FFFFFF"/>
        </w:rPr>
        <w:t xml:space="preserve"> dotácie </w:t>
      </w:r>
      <w:r w:rsidRPr="00823033">
        <w:rPr>
          <w:rFonts w:eastAsia="Calibri" w:cs="Times New Roman"/>
          <w:sz w:val="24"/>
          <w:szCs w:val="24"/>
        </w:rPr>
        <w:t>na stravu pre dieťa v hmotnej núdzi a na školské potreby (11 208 tis. eur)</w:t>
      </w:r>
      <w:r>
        <w:rPr>
          <w:rFonts w:eastAsia="Calibri" w:cs="Times New Roman"/>
          <w:sz w:val="24"/>
          <w:szCs w:val="24"/>
        </w:rPr>
        <w:t xml:space="preserve">, na </w:t>
      </w:r>
      <w:r w:rsidRPr="00823033">
        <w:rPr>
          <w:rFonts w:eastAsia="Calibri" w:cs="Times New Roman"/>
          <w:sz w:val="24"/>
          <w:szCs w:val="24"/>
        </w:rPr>
        <w:t>dávky v hmotnej núdzi pre odídencov z Ukrajiny (7 357 tis.</w:t>
      </w:r>
      <w:r>
        <w:rPr>
          <w:rFonts w:eastAsia="Calibri" w:cs="Times New Roman"/>
          <w:sz w:val="24"/>
          <w:szCs w:val="24"/>
        </w:rPr>
        <w:t xml:space="preserve"> </w:t>
      </w:r>
      <w:r w:rsidRPr="00823033">
        <w:rPr>
          <w:rFonts w:cs="Times New Roman"/>
          <w:sz w:val="24"/>
          <w:szCs w:val="24"/>
        </w:rPr>
        <w:t>eur)</w:t>
      </w:r>
      <w:r w:rsidRPr="00823033">
        <w:rPr>
          <w:rFonts w:cs="Times New Roman"/>
          <w:sz w:val="24"/>
          <w:szCs w:val="24"/>
          <w:shd w:val="clear" w:color="auto" w:fill="FFFFFF"/>
        </w:rPr>
        <w:t xml:space="preserve"> a iné.</w:t>
      </w:r>
    </w:p>
    <w:p w14:paraId="3A6AA3CD" w14:textId="72F1E1DD" w:rsidR="00697268" w:rsidRPr="002F7AFE" w:rsidRDefault="00697268" w:rsidP="00876587">
      <w:pPr>
        <w:spacing w:line="240" w:lineRule="auto"/>
        <w:rPr>
          <w:rFonts w:cs="Times New Roman"/>
          <w:sz w:val="24"/>
          <w:szCs w:val="24"/>
        </w:rPr>
      </w:pPr>
      <w:r w:rsidRPr="00A17483">
        <w:rPr>
          <w:rFonts w:cs="Times New Roman"/>
          <w:b/>
          <w:i/>
          <w:sz w:val="24"/>
          <w:szCs w:val="24"/>
        </w:rPr>
        <w:t xml:space="preserve">Príspevok na osobitný účet </w:t>
      </w:r>
      <w:r w:rsidRPr="00A17483">
        <w:rPr>
          <w:rFonts w:cs="Times New Roman"/>
          <w:sz w:val="24"/>
          <w:szCs w:val="24"/>
        </w:rPr>
        <w:t xml:space="preserve">dosiahol súhrnne sumu 62 669 tis. eur a bol čerpaný výlučne </w:t>
      </w:r>
      <w:r w:rsidRPr="00A17483">
        <w:rPr>
          <w:rFonts w:cs="Times New Roman"/>
          <w:sz w:val="24"/>
          <w:szCs w:val="24"/>
          <w:u w:val="single"/>
        </w:rPr>
        <w:t>Ministerstvom obrany SR</w:t>
      </w:r>
      <w:r w:rsidRPr="00A17483">
        <w:rPr>
          <w:rFonts w:cs="Times New Roman"/>
          <w:sz w:val="24"/>
          <w:szCs w:val="24"/>
        </w:rPr>
        <w:t>, ktoré uskutočňuje úhrady v zmysle § 94 ods. 4 zákona č. 328/2002 Z. z. o sociálnom zabezpečení policajtov a vojakov a o zmene a doplnení niektorých zákonov.</w:t>
      </w:r>
    </w:p>
    <w:p w14:paraId="281AC425" w14:textId="77777777" w:rsidR="00697268" w:rsidRPr="0047762F" w:rsidRDefault="00697268" w:rsidP="00876587">
      <w:pPr>
        <w:spacing w:line="240" w:lineRule="auto"/>
        <w:rPr>
          <w:rFonts w:cs="Times New Roman"/>
          <w:sz w:val="24"/>
          <w:szCs w:val="24"/>
        </w:rPr>
      </w:pPr>
      <w:r w:rsidRPr="0047762F">
        <w:rPr>
          <w:rFonts w:cs="Times New Roman"/>
          <w:b/>
          <w:sz w:val="24"/>
          <w:szCs w:val="24"/>
        </w:rPr>
        <w:t xml:space="preserve">Transfery nefinančným subjektom </w:t>
      </w:r>
      <w:r w:rsidRPr="0047762F">
        <w:rPr>
          <w:rFonts w:cs="Times New Roman"/>
          <w:sz w:val="24"/>
          <w:szCs w:val="24"/>
        </w:rPr>
        <w:t>dosiahli skutočné čerpanie hodnotu 1 147 849 tis. eur, čo bolo v porovnaní s predchádzajúcim rokom o 298 261 tis. eur menej.</w:t>
      </w:r>
    </w:p>
    <w:tbl>
      <w:tblPr>
        <w:tblW w:w="9214" w:type="dxa"/>
        <w:tblCellMar>
          <w:left w:w="70" w:type="dxa"/>
          <w:right w:w="70" w:type="dxa"/>
        </w:tblCellMar>
        <w:tblLook w:val="04A0" w:firstRow="1" w:lastRow="0" w:firstColumn="1" w:lastColumn="0" w:noHBand="0" w:noVBand="1"/>
      </w:tblPr>
      <w:tblGrid>
        <w:gridCol w:w="9214"/>
      </w:tblGrid>
      <w:tr w:rsidR="00876587" w:rsidRPr="00B51948" w14:paraId="5068D9B4" w14:textId="77777777" w:rsidTr="009C238D">
        <w:trPr>
          <w:trHeight w:val="330"/>
        </w:trPr>
        <w:tc>
          <w:tcPr>
            <w:tcW w:w="8963" w:type="dxa"/>
            <w:tcBorders>
              <w:top w:val="nil"/>
              <w:left w:val="nil"/>
              <w:bottom w:val="nil"/>
              <w:right w:val="nil"/>
            </w:tcBorders>
            <w:shd w:val="clear" w:color="auto" w:fill="auto"/>
            <w:noWrap/>
            <w:vAlign w:val="center"/>
            <w:hideMark/>
          </w:tcPr>
          <w:p w14:paraId="25E37CA9" w14:textId="09EBB16F" w:rsidR="00876587" w:rsidRPr="0029369A" w:rsidRDefault="00D50C99" w:rsidP="003234A0">
            <w:pPr>
              <w:pStyle w:val="Graf"/>
            </w:pPr>
            <w:r>
              <w:t xml:space="preserve">Tabuľka </w:t>
            </w:r>
            <w:r w:rsidR="008B3212">
              <w:t>40</w:t>
            </w:r>
            <w:r w:rsidR="00876587" w:rsidRPr="0029369A">
              <w:t xml:space="preserve"> - Transfery nefinančným subjektom</w:t>
            </w:r>
          </w:p>
          <w:tbl>
            <w:tblPr>
              <w:tblW w:w="9214" w:type="dxa"/>
              <w:tblCellMar>
                <w:left w:w="70" w:type="dxa"/>
                <w:right w:w="70" w:type="dxa"/>
              </w:tblCellMar>
              <w:tblLook w:val="04A0" w:firstRow="1" w:lastRow="0" w:firstColumn="1" w:lastColumn="0" w:noHBand="0" w:noVBand="1"/>
            </w:tblPr>
            <w:tblGrid>
              <w:gridCol w:w="2722"/>
              <w:gridCol w:w="1119"/>
              <w:gridCol w:w="983"/>
              <w:gridCol w:w="1098"/>
              <w:gridCol w:w="983"/>
              <w:gridCol w:w="983"/>
              <w:gridCol w:w="1326"/>
            </w:tblGrid>
            <w:tr w:rsidR="009C238D" w:rsidRPr="006E1FFA" w14:paraId="72EC03EF" w14:textId="77777777" w:rsidTr="00CE362A">
              <w:trPr>
                <w:trHeight w:val="289"/>
              </w:trPr>
              <w:tc>
                <w:tcPr>
                  <w:tcW w:w="2607" w:type="dxa"/>
                  <w:vMerge w:val="restart"/>
                  <w:tcBorders>
                    <w:top w:val="single" w:sz="4" w:space="0" w:color="auto"/>
                    <w:left w:val="nil"/>
                    <w:right w:val="nil"/>
                  </w:tcBorders>
                  <w:shd w:val="clear" w:color="000000" w:fill="FFFFFF"/>
                  <w:vAlign w:val="center"/>
                  <w:hideMark/>
                </w:tcPr>
                <w:p w14:paraId="2332223C" w14:textId="43144275" w:rsidR="009C238D" w:rsidRPr="006E1FFA" w:rsidRDefault="009C238D" w:rsidP="009C238D">
                  <w:pPr>
                    <w:spacing w:after="0" w:line="240" w:lineRule="auto"/>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v tis. eur </w:t>
                  </w:r>
                </w:p>
              </w:tc>
              <w:tc>
                <w:tcPr>
                  <w:tcW w:w="1072" w:type="dxa"/>
                  <w:tcBorders>
                    <w:top w:val="single" w:sz="4" w:space="0" w:color="auto"/>
                    <w:left w:val="nil"/>
                    <w:bottom w:val="nil"/>
                    <w:right w:val="nil"/>
                  </w:tcBorders>
                  <w:shd w:val="clear" w:color="000000" w:fill="FFFFFF"/>
                  <w:noWrap/>
                  <w:vAlign w:val="center"/>
                  <w:hideMark/>
                </w:tcPr>
                <w:p w14:paraId="55580C2C"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2020 S</w:t>
                  </w:r>
                </w:p>
              </w:tc>
              <w:tc>
                <w:tcPr>
                  <w:tcW w:w="941" w:type="dxa"/>
                  <w:tcBorders>
                    <w:top w:val="single" w:sz="4" w:space="0" w:color="auto"/>
                    <w:left w:val="nil"/>
                    <w:bottom w:val="nil"/>
                    <w:right w:val="nil"/>
                  </w:tcBorders>
                  <w:shd w:val="clear" w:color="000000" w:fill="FFFFFF"/>
                  <w:noWrap/>
                  <w:vAlign w:val="center"/>
                  <w:hideMark/>
                </w:tcPr>
                <w:p w14:paraId="2DD7CC8D"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2021 S</w:t>
                  </w:r>
                </w:p>
              </w:tc>
              <w:tc>
                <w:tcPr>
                  <w:tcW w:w="1051" w:type="dxa"/>
                  <w:tcBorders>
                    <w:top w:val="single" w:sz="4" w:space="0" w:color="auto"/>
                    <w:left w:val="nil"/>
                    <w:bottom w:val="nil"/>
                    <w:right w:val="nil"/>
                  </w:tcBorders>
                  <w:shd w:val="clear" w:color="000000" w:fill="FFFFFF"/>
                  <w:noWrap/>
                  <w:vAlign w:val="center"/>
                  <w:hideMark/>
                </w:tcPr>
                <w:p w14:paraId="4ACF0B86"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2022 R</w:t>
                  </w:r>
                </w:p>
              </w:tc>
              <w:tc>
                <w:tcPr>
                  <w:tcW w:w="941" w:type="dxa"/>
                  <w:tcBorders>
                    <w:top w:val="single" w:sz="4" w:space="0" w:color="auto"/>
                    <w:left w:val="nil"/>
                    <w:bottom w:val="nil"/>
                    <w:right w:val="nil"/>
                  </w:tcBorders>
                  <w:shd w:val="clear" w:color="000000" w:fill="FFFFFF"/>
                  <w:noWrap/>
                  <w:vAlign w:val="center"/>
                  <w:hideMark/>
                </w:tcPr>
                <w:p w14:paraId="03F9E668"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2022 S</w:t>
                  </w:r>
                </w:p>
              </w:tc>
              <w:tc>
                <w:tcPr>
                  <w:tcW w:w="941" w:type="dxa"/>
                  <w:tcBorders>
                    <w:top w:val="single" w:sz="4" w:space="0" w:color="auto"/>
                    <w:left w:val="nil"/>
                    <w:bottom w:val="nil"/>
                    <w:right w:val="nil"/>
                  </w:tcBorders>
                  <w:shd w:val="clear" w:color="000000" w:fill="FFFFFF"/>
                  <w:noWrap/>
                  <w:vAlign w:val="center"/>
                  <w:hideMark/>
                </w:tcPr>
                <w:p w14:paraId="2508C547"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Rozdiel</w:t>
                  </w:r>
                </w:p>
              </w:tc>
              <w:tc>
                <w:tcPr>
                  <w:tcW w:w="1270" w:type="dxa"/>
                  <w:tcBorders>
                    <w:top w:val="single" w:sz="4" w:space="0" w:color="auto"/>
                    <w:left w:val="nil"/>
                    <w:bottom w:val="nil"/>
                    <w:right w:val="nil"/>
                  </w:tcBorders>
                  <w:shd w:val="clear" w:color="000000" w:fill="FFFFFF"/>
                  <w:noWrap/>
                  <w:vAlign w:val="center"/>
                  <w:hideMark/>
                </w:tcPr>
                <w:p w14:paraId="5C84EFAF"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v %</w:t>
                  </w:r>
                </w:p>
              </w:tc>
            </w:tr>
            <w:tr w:rsidR="009C238D" w:rsidRPr="006E1FFA" w14:paraId="3F57F078" w14:textId="77777777" w:rsidTr="00CE362A">
              <w:trPr>
                <w:trHeight w:val="289"/>
              </w:trPr>
              <w:tc>
                <w:tcPr>
                  <w:tcW w:w="2607" w:type="dxa"/>
                  <w:vMerge/>
                  <w:tcBorders>
                    <w:left w:val="nil"/>
                    <w:bottom w:val="single" w:sz="4" w:space="0" w:color="auto"/>
                    <w:right w:val="nil"/>
                  </w:tcBorders>
                  <w:shd w:val="clear" w:color="000000" w:fill="FFFFFF"/>
                  <w:vAlign w:val="center"/>
                  <w:hideMark/>
                </w:tcPr>
                <w:p w14:paraId="635FCF39" w14:textId="7AEB9268" w:rsidR="009C238D" w:rsidRPr="006E1FFA" w:rsidRDefault="009C238D" w:rsidP="00AB0350">
                  <w:pPr>
                    <w:spacing w:after="0" w:line="240" w:lineRule="auto"/>
                    <w:jc w:val="center"/>
                    <w:rPr>
                      <w:rFonts w:eastAsia="Times New Roman" w:cs="Times New Roman"/>
                      <w:b/>
                      <w:bCs/>
                      <w:color w:val="000000"/>
                      <w:sz w:val="18"/>
                      <w:szCs w:val="18"/>
                      <w:lang w:eastAsia="sk-SK"/>
                    </w:rPr>
                  </w:pPr>
                </w:p>
              </w:tc>
              <w:tc>
                <w:tcPr>
                  <w:tcW w:w="1072" w:type="dxa"/>
                  <w:tcBorders>
                    <w:top w:val="nil"/>
                    <w:left w:val="nil"/>
                    <w:bottom w:val="single" w:sz="4" w:space="0" w:color="auto"/>
                    <w:right w:val="nil"/>
                  </w:tcBorders>
                  <w:shd w:val="clear" w:color="000000" w:fill="FFFFFF"/>
                  <w:noWrap/>
                  <w:vAlign w:val="center"/>
                  <w:hideMark/>
                </w:tcPr>
                <w:p w14:paraId="6D9DB105"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1</w:t>
                  </w:r>
                </w:p>
              </w:tc>
              <w:tc>
                <w:tcPr>
                  <w:tcW w:w="941" w:type="dxa"/>
                  <w:tcBorders>
                    <w:top w:val="nil"/>
                    <w:left w:val="nil"/>
                    <w:bottom w:val="single" w:sz="4" w:space="0" w:color="auto"/>
                    <w:right w:val="nil"/>
                  </w:tcBorders>
                  <w:shd w:val="clear" w:color="000000" w:fill="FFFFFF"/>
                  <w:noWrap/>
                  <w:vAlign w:val="center"/>
                  <w:hideMark/>
                </w:tcPr>
                <w:p w14:paraId="559CFB8F"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2</w:t>
                  </w:r>
                </w:p>
              </w:tc>
              <w:tc>
                <w:tcPr>
                  <w:tcW w:w="1051" w:type="dxa"/>
                  <w:tcBorders>
                    <w:top w:val="nil"/>
                    <w:left w:val="nil"/>
                    <w:bottom w:val="single" w:sz="4" w:space="0" w:color="auto"/>
                    <w:right w:val="nil"/>
                  </w:tcBorders>
                  <w:shd w:val="clear" w:color="000000" w:fill="FFFFFF"/>
                  <w:noWrap/>
                  <w:vAlign w:val="center"/>
                  <w:hideMark/>
                </w:tcPr>
                <w:p w14:paraId="026B88C6"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3</w:t>
                  </w:r>
                </w:p>
              </w:tc>
              <w:tc>
                <w:tcPr>
                  <w:tcW w:w="941" w:type="dxa"/>
                  <w:tcBorders>
                    <w:top w:val="nil"/>
                    <w:left w:val="nil"/>
                    <w:bottom w:val="single" w:sz="4" w:space="0" w:color="auto"/>
                    <w:right w:val="nil"/>
                  </w:tcBorders>
                  <w:shd w:val="clear" w:color="000000" w:fill="FFFFFF"/>
                  <w:noWrap/>
                  <w:vAlign w:val="center"/>
                  <w:hideMark/>
                </w:tcPr>
                <w:p w14:paraId="726AD604"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4</w:t>
                  </w:r>
                </w:p>
              </w:tc>
              <w:tc>
                <w:tcPr>
                  <w:tcW w:w="941" w:type="dxa"/>
                  <w:tcBorders>
                    <w:top w:val="nil"/>
                    <w:left w:val="nil"/>
                    <w:bottom w:val="single" w:sz="4" w:space="0" w:color="auto"/>
                    <w:right w:val="nil"/>
                  </w:tcBorders>
                  <w:shd w:val="clear" w:color="000000" w:fill="FFFFFF"/>
                  <w:noWrap/>
                  <w:vAlign w:val="center"/>
                  <w:hideMark/>
                </w:tcPr>
                <w:p w14:paraId="07A1393E"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5=4-3</w:t>
                  </w:r>
                </w:p>
              </w:tc>
              <w:tc>
                <w:tcPr>
                  <w:tcW w:w="1270" w:type="dxa"/>
                  <w:tcBorders>
                    <w:top w:val="nil"/>
                    <w:left w:val="nil"/>
                    <w:bottom w:val="single" w:sz="4" w:space="0" w:color="auto"/>
                    <w:right w:val="nil"/>
                  </w:tcBorders>
                  <w:shd w:val="clear" w:color="000000" w:fill="FFFFFF"/>
                  <w:noWrap/>
                  <w:vAlign w:val="center"/>
                  <w:hideMark/>
                </w:tcPr>
                <w:p w14:paraId="4F1DA536" w14:textId="77777777" w:rsidR="009C238D" w:rsidRPr="006E1FFA" w:rsidRDefault="009C238D" w:rsidP="00AB0350">
                  <w:pPr>
                    <w:spacing w:after="0" w:line="240" w:lineRule="auto"/>
                    <w:jc w:val="center"/>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6=4-3</w:t>
                  </w:r>
                </w:p>
              </w:tc>
            </w:tr>
            <w:tr w:rsidR="00876587" w:rsidRPr="006E1FFA" w14:paraId="1CEBC434" w14:textId="77777777" w:rsidTr="00CE362A">
              <w:trPr>
                <w:trHeight w:val="289"/>
              </w:trPr>
              <w:tc>
                <w:tcPr>
                  <w:tcW w:w="2607" w:type="dxa"/>
                  <w:tcBorders>
                    <w:top w:val="nil"/>
                    <w:left w:val="nil"/>
                    <w:bottom w:val="nil"/>
                    <w:right w:val="nil"/>
                  </w:tcBorders>
                  <w:shd w:val="clear" w:color="auto" w:fill="auto"/>
                  <w:vAlign w:val="center"/>
                  <w:hideMark/>
                </w:tcPr>
                <w:p w14:paraId="2BB0FBFE" w14:textId="77777777" w:rsidR="00876587" w:rsidRPr="006E1FFA" w:rsidRDefault="00876587" w:rsidP="00AB0350">
                  <w:pPr>
                    <w:spacing w:after="0" w:line="240" w:lineRule="auto"/>
                    <w:rPr>
                      <w:rFonts w:eastAsia="Times New Roman" w:cs="Times New Roman"/>
                      <w:color w:val="000000"/>
                      <w:sz w:val="18"/>
                      <w:szCs w:val="18"/>
                      <w:lang w:eastAsia="sk-SK"/>
                    </w:rPr>
                  </w:pPr>
                  <w:r w:rsidRPr="006E1FFA">
                    <w:rPr>
                      <w:rFonts w:eastAsia="Times New Roman" w:cs="Times New Roman"/>
                      <w:color w:val="000000"/>
                      <w:sz w:val="18"/>
                      <w:szCs w:val="18"/>
                      <w:lang w:eastAsia="sk-SK"/>
                    </w:rPr>
                    <w:t>Ostatnej právnickej osobe</w:t>
                  </w:r>
                </w:p>
              </w:tc>
              <w:tc>
                <w:tcPr>
                  <w:tcW w:w="1072" w:type="dxa"/>
                  <w:tcBorders>
                    <w:top w:val="nil"/>
                    <w:left w:val="nil"/>
                    <w:bottom w:val="nil"/>
                    <w:right w:val="nil"/>
                  </w:tcBorders>
                  <w:shd w:val="clear" w:color="auto" w:fill="auto"/>
                  <w:vAlign w:val="center"/>
                  <w:hideMark/>
                </w:tcPr>
                <w:p w14:paraId="3FC0154B"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867 591</w:t>
                  </w:r>
                </w:p>
              </w:tc>
              <w:tc>
                <w:tcPr>
                  <w:tcW w:w="941" w:type="dxa"/>
                  <w:tcBorders>
                    <w:top w:val="nil"/>
                    <w:left w:val="nil"/>
                    <w:bottom w:val="nil"/>
                    <w:right w:val="nil"/>
                  </w:tcBorders>
                  <w:shd w:val="clear" w:color="auto" w:fill="auto"/>
                  <w:vAlign w:val="center"/>
                  <w:hideMark/>
                </w:tcPr>
                <w:p w14:paraId="46FDA5CD"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903 469</w:t>
                  </w:r>
                </w:p>
              </w:tc>
              <w:tc>
                <w:tcPr>
                  <w:tcW w:w="1051" w:type="dxa"/>
                  <w:tcBorders>
                    <w:top w:val="nil"/>
                    <w:left w:val="nil"/>
                    <w:bottom w:val="nil"/>
                    <w:right w:val="nil"/>
                  </w:tcBorders>
                  <w:shd w:val="clear" w:color="auto" w:fill="auto"/>
                  <w:vAlign w:val="center"/>
                  <w:hideMark/>
                </w:tcPr>
                <w:p w14:paraId="0BCE9539"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1 428 259</w:t>
                  </w:r>
                </w:p>
              </w:tc>
              <w:tc>
                <w:tcPr>
                  <w:tcW w:w="941" w:type="dxa"/>
                  <w:tcBorders>
                    <w:top w:val="nil"/>
                    <w:left w:val="nil"/>
                    <w:bottom w:val="nil"/>
                    <w:right w:val="nil"/>
                  </w:tcBorders>
                  <w:shd w:val="clear" w:color="000000" w:fill="FFFFFF"/>
                  <w:vAlign w:val="center"/>
                  <w:hideMark/>
                </w:tcPr>
                <w:p w14:paraId="0F3F66D4"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861 418</w:t>
                  </w:r>
                </w:p>
              </w:tc>
              <w:tc>
                <w:tcPr>
                  <w:tcW w:w="941" w:type="dxa"/>
                  <w:tcBorders>
                    <w:top w:val="nil"/>
                    <w:left w:val="nil"/>
                    <w:bottom w:val="nil"/>
                    <w:right w:val="nil"/>
                  </w:tcBorders>
                  <w:shd w:val="clear" w:color="auto" w:fill="auto"/>
                  <w:vAlign w:val="center"/>
                  <w:hideMark/>
                </w:tcPr>
                <w:p w14:paraId="0E58928F"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-566 841</w:t>
                  </w:r>
                </w:p>
              </w:tc>
              <w:tc>
                <w:tcPr>
                  <w:tcW w:w="1270" w:type="dxa"/>
                  <w:tcBorders>
                    <w:top w:val="nil"/>
                    <w:left w:val="nil"/>
                    <w:bottom w:val="nil"/>
                    <w:right w:val="nil"/>
                  </w:tcBorders>
                  <w:shd w:val="clear" w:color="auto" w:fill="auto"/>
                  <w:vAlign w:val="center"/>
                  <w:hideMark/>
                </w:tcPr>
                <w:p w14:paraId="76FB2C9F"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-39,7</w:t>
                  </w:r>
                </w:p>
              </w:tc>
            </w:tr>
            <w:tr w:rsidR="00876587" w:rsidRPr="006E1FFA" w14:paraId="7AC389FF" w14:textId="77777777" w:rsidTr="00CE362A">
              <w:trPr>
                <w:trHeight w:val="289"/>
              </w:trPr>
              <w:tc>
                <w:tcPr>
                  <w:tcW w:w="2607" w:type="dxa"/>
                  <w:tcBorders>
                    <w:top w:val="nil"/>
                    <w:left w:val="nil"/>
                    <w:bottom w:val="nil"/>
                    <w:right w:val="nil"/>
                  </w:tcBorders>
                  <w:shd w:val="clear" w:color="auto" w:fill="auto"/>
                  <w:vAlign w:val="center"/>
                  <w:hideMark/>
                </w:tcPr>
                <w:p w14:paraId="1BD2BCDC" w14:textId="77777777" w:rsidR="00876587" w:rsidRPr="006E1FFA" w:rsidRDefault="00876587" w:rsidP="00AB0350">
                  <w:pPr>
                    <w:spacing w:after="0" w:line="240" w:lineRule="auto"/>
                    <w:rPr>
                      <w:rFonts w:eastAsia="Times New Roman" w:cs="Times New Roman"/>
                      <w:color w:val="000000"/>
                      <w:sz w:val="18"/>
                      <w:szCs w:val="18"/>
                      <w:lang w:eastAsia="sk-SK"/>
                    </w:rPr>
                  </w:pPr>
                  <w:r w:rsidRPr="006E1FFA">
                    <w:rPr>
                      <w:rFonts w:eastAsia="Times New Roman" w:cs="Times New Roman"/>
                      <w:color w:val="000000"/>
                      <w:sz w:val="18"/>
                      <w:szCs w:val="18"/>
                      <w:lang w:eastAsia="sk-SK"/>
                    </w:rPr>
                    <w:t>Právnickej osobe založenej štátom, obcou alebo VÚC</w:t>
                  </w:r>
                </w:p>
              </w:tc>
              <w:tc>
                <w:tcPr>
                  <w:tcW w:w="1072" w:type="dxa"/>
                  <w:tcBorders>
                    <w:top w:val="nil"/>
                    <w:left w:val="nil"/>
                    <w:bottom w:val="nil"/>
                    <w:right w:val="nil"/>
                  </w:tcBorders>
                  <w:shd w:val="clear" w:color="auto" w:fill="auto"/>
                  <w:vAlign w:val="center"/>
                  <w:hideMark/>
                </w:tcPr>
                <w:p w14:paraId="7EA3FFB6"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187 588</w:t>
                  </w:r>
                </w:p>
              </w:tc>
              <w:tc>
                <w:tcPr>
                  <w:tcW w:w="941" w:type="dxa"/>
                  <w:tcBorders>
                    <w:top w:val="nil"/>
                    <w:left w:val="nil"/>
                    <w:bottom w:val="nil"/>
                    <w:right w:val="nil"/>
                  </w:tcBorders>
                  <w:shd w:val="clear" w:color="auto" w:fill="auto"/>
                  <w:vAlign w:val="center"/>
                  <w:hideMark/>
                </w:tcPr>
                <w:p w14:paraId="7495E75E"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309 316</w:t>
                  </w:r>
                </w:p>
              </w:tc>
              <w:tc>
                <w:tcPr>
                  <w:tcW w:w="1051" w:type="dxa"/>
                  <w:tcBorders>
                    <w:top w:val="nil"/>
                    <w:left w:val="nil"/>
                    <w:bottom w:val="nil"/>
                    <w:right w:val="nil"/>
                  </w:tcBorders>
                  <w:shd w:val="clear" w:color="auto" w:fill="auto"/>
                  <w:vAlign w:val="center"/>
                  <w:hideMark/>
                </w:tcPr>
                <w:p w14:paraId="35DA03E6"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17 851</w:t>
                  </w:r>
                </w:p>
              </w:tc>
              <w:tc>
                <w:tcPr>
                  <w:tcW w:w="941" w:type="dxa"/>
                  <w:tcBorders>
                    <w:top w:val="nil"/>
                    <w:left w:val="nil"/>
                    <w:bottom w:val="nil"/>
                    <w:right w:val="nil"/>
                  </w:tcBorders>
                  <w:shd w:val="clear" w:color="000000" w:fill="FFFFFF"/>
                  <w:vAlign w:val="center"/>
                  <w:hideMark/>
                </w:tcPr>
                <w:p w14:paraId="07D4670C"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190 123</w:t>
                  </w:r>
                </w:p>
              </w:tc>
              <w:tc>
                <w:tcPr>
                  <w:tcW w:w="941" w:type="dxa"/>
                  <w:tcBorders>
                    <w:top w:val="nil"/>
                    <w:left w:val="nil"/>
                    <w:bottom w:val="nil"/>
                    <w:right w:val="nil"/>
                  </w:tcBorders>
                  <w:shd w:val="clear" w:color="auto" w:fill="auto"/>
                  <w:vAlign w:val="center"/>
                  <w:hideMark/>
                </w:tcPr>
                <w:p w14:paraId="7A81FEB0"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172 272</w:t>
                  </w:r>
                </w:p>
              </w:tc>
              <w:tc>
                <w:tcPr>
                  <w:tcW w:w="1270" w:type="dxa"/>
                  <w:tcBorders>
                    <w:top w:val="nil"/>
                    <w:left w:val="nil"/>
                    <w:bottom w:val="nil"/>
                    <w:right w:val="nil"/>
                  </w:tcBorders>
                  <w:shd w:val="clear" w:color="auto" w:fill="auto"/>
                  <w:vAlign w:val="center"/>
                  <w:hideMark/>
                </w:tcPr>
                <w:p w14:paraId="6814A324"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965,1</w:t>
                  </w:r>
                </w:p>
              </w:tc>
            </w:tr>
            <w:tr w:rsidR="00876587" w:rsidRPr="006E1FFA" w14:paraId="79934757" w14:textId="77777777" w:rsidTr="00CE362A">
              <w:trPr>
                <w:trHeight w:val="289"/>
              </w:trPr>
              <w:tc>
                <w:tcPr>
                  <w:tcW w:w="2607" w:type="dxa"/>
                  <w:tcBorders>
                    <w:top w:val="nil"/>
                    <w:left w:val="nil"/>
                    <w:bottom w:val="nil"/>
                    <w:right w:val="nil"/>
                  </w:tcBorders>
                  <w:shd w:val="clear" w:color="auto" w:fill="auto"/>
                  <w:vAlign w:val="center"/>
                  <w:hideMark/>
                </w:tcPr>
                <w:p w14:paraId="3A91E762" w14:textId="77777777" w:rsidR="00876587" w:rsidRPr="006E1FFA" w:rsidRDefault="00876587" w:rsidP="00AB0350">
                  <w:pPr>
                    <w:spacing w:after="0" w:line="240" w:lineRule="auto"/>
                    <w:rPr>
                      <w:rFonts w:eastAsia="Times New Roman" w:cs="Times New Roman"/>
                      <w:color w:val="000000"/>
                      <w:sz w:val="18"/>
                      <w:szCs w:val="18"/>
                      <w:lang w:eastAsia="sk-SK"/>
                    </w:rPr>
                  </w:pPr>
                  <w:r w:rsidRPr="006E1FFA">
                    <w:rPr>
                      <w:rFonts w:eastAsia="Times New Roman" w:cs="Times New Roman"/>
                      <w:color w:val="000000"/>
                      <w:sz w:val="18"/>
                      <w:szCs w:val="18"/>
                      <w:lang w:eastAsia="sk-SK"/>
                    </w:rPr>
                    <w:t>Fyzickej osobe podnikateľovi</w:t>
                  </w:r>
                </w:p>
              </w:tc>
              <w:tc>
                <w:tcPr>
                  <w:tcW w:w="1072" w:type="dxa"/>
                  <w:tcBorders>
                    <w:top w:val="nil"/>
                    <w:left w:val="nil"/>
                    <w:bottom w:val="nil"/>
                    <w:right w:val="nil"/>
                  </w:tcBorders>
                  <w:shd w:val="clear" w:color="auto" w:fill="auto"/>
                  <w:vAlign w:val="center"/>
                  <w:hideMark/>
                </w:tcPr>
                <w:p w14:paraId="0A667C3D"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107 950</w:t>
                  </w:r>
                </w:p>
              </w:tc>
              <w:tc>
                <w:tcPr>
                  <w:tcW w:w="941" w:type="dxa"/>
                  <w:tcBorders>
                    <w:top w:val="nil"/>
                    <w:left w:val="nil"/>
                    <w:bottom w:val="nil"/>
                    <w:right w:val="nil"/>
                  </w:tcBorders>
                  <w:shd w:val="clear" w:color="auto" w:fill="auto"/>
                  <w:vAlign w:val="center"/>
                  <w:hideMark/>
                </w:tcPr>
                <w:p w14:paraId="18B8D747"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131 243</w:t>
                  </w:r>
                </w:p>
              </w:tc>
              <w:tc>
                <w:tcPr>
                  <w:tcW w:w="1051" w:type="dxa"/>
                  <w:tcBorders>
                    <w:top w:val="nil"/>
                    <w:left w:val="nil"/>
                    <w:bottom w:val="nil"/>
                    <w:right w:val="nil"/>
                  </w:tcBorders>
                  <w:shd w:val="clear" w:color="auto" w:fill="auto"/>
                  <w:vAlign w:val="center"/>
                  <w:hideMark/>
                </w:tcPr>
                <w:p w14:paraId="06276B3B"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0</w:t>
                  </w:r>
                </w:p>
              </w:tc>
              <w:tc>
                <w:tcPr>
                  <w:tcW w:w="941" w:type="dxa"/>
                  <w:tcBorders>
                    <w:top w:val="nil"/>
                    <w:left w:val="nil"/>
                    <w:bottom w:val="nil"/>
                    <w:right w:val="nil"/>
                  </w:tcBorders>
                  <w:shd w:val="clear" w:color="000000" w:fill="FFFFFF"/>
                  <w:vAlign w:val="center"/>
                  <w:hideMark/>
                </w:tcPr>
                <w:p w14:paraId="31495EE5"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96 308</w:t>
                  </w:r>
                </w:p>
              </w:tc>
              <w:tc>
                <w:tcPr>
                  <w:tcW w:w="941" w:type="dxa"/>
                  <w:tcBorders>
                    <w:top w:val="nil"/>
                    <w:left w:val="nil"/>
                    <w:bottom w:val="nil"/>
                    <w:right w:val="nil"/>
                  </w:tcBorders>
                  <w:shd w:val="clear" w:color="auto" w:fill="auto"/>
                  <w:vAlign w:val="center"/>
                  <w:hideMark/>
                </w:tcPr>
                <w:p w14:paraId="66CA5453"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96 308</w:t>
                  </w:r>
                </w:p>
              </w:tc>
              <w:tc>
                <w:tcPr>
                  <w:tcW w:w="1270" w:type="dxa"/>
                  <w:tcBorders>
                    <w:top w:val="nil"/>
                    <w:left w:val="nil"/>
                    <w:bottom w:val="nil"/>
                    <w:right w:val="nil"/>
                  </w:tcBorders>
                  <w:shd w:val="clear" w:color="000000" w:fill="FFFFFF"/>
                  <w:vAlign w:val="center"/>
                  <w:hideMark/>
                </w:tcPr>
                <w:p w14:paraId="7B11EBE2" w14:textId="77777777" w:rsidR="00876587" w:rsidRPr="006E1FFA" w:rsidRDefault="00876587" w:rsidP="00AB0350">
                  <w:pPr>
                    <w:spacing w:after="0" w:line="240" w:lineRule="auto"/>
                    <w:jc w:val="right"/>
                    <w:rPr>
                      <w:rFonts w:eastAsia="Times New Roman" w:cs="Times New Roman"/>
                      <w:color w:val="000000"/>
                      <w:sz w:val="18"/>
                      <w:szCs w:val="18"/>
                      <w:lang w:eastAsia="sk-SK"/>
                    </w:rPr>
                  </w:pPr>
                  <w:r w:rsidRPr="006E1FFA">
                    <w:rPr>
                      <w:rFonts w:eastAsia="Times New Roman" w:cs="Times New Roman"/>
                      <w:color w:val="000000"/>
                      <w:sz w:val="18"/>
                      <w:szCs w:val="18"/>
                      <w:lang w:eastAsia="sk-SK"/>
                    </w:rPr>
                    <w:t>x</w:t>
                  </w:r>
                </w:p>
              </w:tc>
            </w:tr>
            <w:tr w:rsidR="00876587" w:rsidRPr="006E1FFA" w14:paraId="6843B856" w14:textId="77777777" w:rsidTr="00CE362A">
              <w:trPr>
                <w:trHeight w:val="289"/>
              </w:trPr>
              <w:tc>
                <w:tcPr>
                  <w:tcW w:w="2607" w:type="dxa"/>
                  <w:tcBorders>
                    <w:top w:val="single" w:sz="4" w:space="0" w:color="auto"/>
                    <w:left w:val="nil"/>
                    <w:bottom w:val="single" w:sz="4" w:space="0" w:color="auto"/>
                    <w:right w:val="nil"/>
                  </w:tcBorders>
                  <w:shd w:val="clear" w:color="auto" w:fill="auto"/>
                  <w:vAlign w:val="center"/>
                  <w:hideMark/>
                </w:tcPr>
                <w:p w14:paraId="2224D9C1" w14:textId="77777777" w:rsidR="00876587" w:rsidRPr="006E1FFA" w:rsidRDefault="00876587" w:rsidP="00AB0350">
                  <w:pPr>
                    <w:spacing w:after="0" w:line="240" w:lineRule="auto"/>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Spolu</w:t>
                  </w:r>
                </w:p>
              </w:tc>
              <w:tc>
                <w:tcPr>
                  <w:tcW w:w="1072" w:type="dxa"/>
                  <w:tcBorders>
                    <w:top w:val="single" w:sz="4" w:space="0" w:color="auto"/>
                    <w:left w:val="nil"/>
                    <w:bottom w:val="single" w:sz="4" w:space="0" w:color="auto"/>
                    <w:right w:val="nil"/>
                  </w:tcBorders>
                  <w:shd w:val="clear" w:color="auto" w:fill="auto"/>
                  <w:noWrap/>
                  <w:vAlign w:val="center"/>
                  <w:hideMark/>
                </w:tcPr>
                <w:p w14:paraId="7AC29268" w14:textId="77777777" w:rsidR="00876587" w:rsidRPr="006E1FFA" w:rsidRDefault="00876587" w:rsidP="00AB0350">
                  <w:pPr>
                    <w:spacing w:after="0" w:line="240" w:lineRule="auto"/>
                    <w:jc w:val="right"/>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1 163 129</w:t>
                  </w:r>
                </w:p>
              </w:tc>
              <w:tc>
                <w:tcPr>
                  <w:tcW w:w="941" w:type="dxa"/>
                  <w:tcBorders>
                    <w:top w:val="single" w:sz="4" w:space="0" w:color="auto"/>
                    <w:left w:val="nil"/>
                    <w:bottom w:val="single" w:sz="4" w:space="0" w:color="auto"/>
                    <w:right w:val="nil"/>
                  </w:tcBorders>
                  <w:shd w:val="clear" w:color="auto" w:fill="auto"/>
                  <w:noWrap/>
                  <w:vAlign w:val="center"/>
                  <w:hideMark/>
                </w:tcPr>
                <w:p w14:paraId="1577A30F" w14:textId="77777777" w:rsidR="00876587" w:rsidRPr="006E1FFA" w:rsidRDefault="00876587" w:rsidP="00AB0350">
                  <w:pPr>
                    <w:spacing w:after="0" w:line="240" w:lineRule="auto"/>
                    <w:jc w:val="right"/>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1 344 028</w:t>
                  </w:r>
                </w:p>
              </w:tc>
              <w:tc>
                <w:tcPr>
                  <w:tcW w:w="1051" w:type="dxa"/>
                  <w:tcBorders>
                    <w:top w:val="single" w:sz="4" w:space="0" w:color="auto"/>
                    <w:left w:val="nil"/>
                    <w:bottom w:val="single" w:sz="4" w:space="0" w:color="auto"/>
                    <w:right w:val="nil"/>
                  </w:tcBorders>
                  <w:shd w:val="clear" w:color="auto" w:fill="auto"/>
                  <w:noWrap/>
                  <w:vAlign w:val="center"/>
                  <w:hideMark/>
                </w:tcPr>
                <w:p w14:paraId="29B732EB" w14:textId="77777777" w:rsidR="00876587" w:rsidRPr="006E1FFA" w:rsidRDefault="00876587" w:rsidP="00AB0350">
                  <w:pPr>
                    <w:spacing w:after="0" w:line="240" w:lineRule="auto"/>
                    <w:jc w:val="right"/>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1 446 110</w:t>
                  </w:r>
                </w:p>
              </w:tc>
              <w:tc>
                <w:tcPr>
                  <w:tcW w:w="941" w:type="dxa"/>
                  <w:tcBorders>
                    <w:top w:val="single" w:sz="4" w:space="0" w:color="auto"/>
                    <w:left w:val="nil"/>
                    <w:bottom w:val="single" w:sz="4" w:space="0" w:color="auto"/>
                    <w:right w:val="nil"/>
                  </w:tcBorders>
                  <w:shd w:val="clear" w:color="auto" w:fill="auto"/>
                  <w:noWrap/>
                  <w:vAlign w:val="center"/>
                  <w:hideMark/>
                </w:tcPr>
                <w:p w14:paraId="74292B3F" w14:textId="77777777" w:rsidR="00876587" w:rsidRPr="006E1FFA" w:rsidRDefault="00876587" w:rsidP="00AB0350">
                  <w:pPr>
                    <w:spacing w:after="0" w:line="240" w:lineRule="auto"/>
                    <w:jc w:val="right"/>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1 147 849</w:t>
                  </w:r>
                </w:p>
              </w:tc>
              <w:tc>
                <w:tcPr>
                  <w:tcW w:w="941" w:type="dxa"/>
                  <w:tcBorders>
                    <w:top w:val="single" w:sz="4" w:space="0" w:color="auto"/>
                    <w:left w:val="nil"/>
                    <w:bottom w:val="single" w:sz="4" w:space="0" w:color="auto"/>
                    <w:right w:val="nil"/>
                  </w:tcBorders>
                  <w:shd w:val="clear" w:color="auto" w:fill="auto"/>
                  <w:vAlign w:val="center"/>
                  <w:hideMark/>
                </w:tcPr>
                <w:p w14:paraId="6A6D13D5" w14:textId="77777777" w:rsidR="00876587" w:rsidRPr="006E1FFA" w:rsidRDefault="00876587" w:rsidP="00AB0350">
                  <w:pPr>
                    <w:spacing w:after="0" w:line="240" w:lineRule="auto"/>
                    <w:jc w:val="right"/>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-298 261</w:t>
                  </w:r>
                </w:p>
              </w:tc>
              <w:tc>
                <w:tcPr>
                  <w:tcW w:w="1270" w:type="dxa"/>
                  <w:tcBorders>
                    <w:top w:val="single" w:sz="4" w:space="0" w:color="auto"/>
                    <w:left w:val="nil"/>
                    <w:bottom w:val="single" w:sz="4" w:space="0" w:color="auto"/>
                    <w:right w:val="nil"/>
                  </w:tcBorders>
                  <w:shd w:val="clear" w:color="auto" w:fill="auto"/>
                  <w:vAlign w:val="center"/>
                  <w:hideMark/>
                </w:tcPr>
                <w:p w14:paraId="759ECDA2" w14:textId="77777777" w:rsidR="00876587" w:rsidRPr="006E1FFA" w:rsidRDefault="00876587" w:rsidP="00AB0350">
                  <w:pPr>
                    <w:spacing w:after="0" w:line="240" w:lineRule="auto"/>
                    <w:jc w:val="right"/>
                    <w:rPr>
                      <w:rFonts w:eastAsia="Times New Roman" w:cs="Times New Roman"/>
                      <w:b/>
                      <w:bCs/>
                      <w:color w:val="000000"/>
                      <w:sz w:val="18"/>
                      <w:szCs w:val="18"/>
                      <w:lang w:eastAsia="sk-SK"/>
                    </w:rPr>
                  </w:pPr>
                  <w:r w:rsidRPr="006E1FFA">
                    <w:rPr>
                      <w:rFonts w:eastAsia="Times New Roman" w:cs="Times New Roman"/>
                      <w:b/>
                      <w:bCs/>
                      <w:color w:val="000000"/>
                      <w:sz w:val="18"/>
                      <w:szCs w:val="18"/>
                      <w:lang w:eastAsia="sk-SK"/>
                    </w:rPr>
                    <w:t>-20,6</w:t>
                  </w:r>
                </w:p>
              </w:tc>
            </w:tr>
          </w:tbl>
          <w:p w14:paraId="09039815" w14:textId="77777777" w:rsidR="00876587" w:rsidRPr="00B51948" w:rsidRDefault="00876587" w:rsidP="00AB0350">
            <w:pPr>
              <w:spacing w:line="240" w:lineRule="auto"/>
              <w:rPr>
                <w:rFonts w:eastAsia="Times New Roman" w:cs="Times New Roman"/>
                <w:b/>
                <w:bCs/>
                <w:color w:val="FF0000"/>
                <w:sz w:val="20"/>
                <w:szCs w:val="20"/>
                <w:lang w:eastAsia="sk-SK"/>
              </w:rPr>
            </w:pPr>
          </w:p>
        </w:tc>
      </w:tr>
    </w:tbl>
    <w:p w14:paraId="6174AD79" w14:textId="3E5DE2E8" w:rsidR="00697268" w:rsidRPr="006E1FFA" w:rsidRDefault="00697268" w:rsidP="009C238D">
      <w:pPr>
        <w:spacing w:line="240" w:lineRule="auto"/>
        <w:jc w:val="right"/>
        <w:rPr>
          <w:rFonts w:cs="Times New Roman"/>
          <w:sz w:val="20"/>
          <w:szCs w:val="20"/>
        </w:rPr>
      </w:pPr>
      <w:r w:rsidRPr="006E1FFA">
        <w:rPr>
          <w:rFonts w:cs="Times New Roman"/>
          <w:sz w:val="20"/>
          <w:szCs w:val="20"/>
        </w:rPr>
        <w:t>Zdroj MF SR</w:t>
      </w:r>
    </w:p>
    <w:p w14:paraId="542FE80D" w14:textId="0F6EE45D" w:rsidR="00697268" w:rsidRPr="00B51948" w:rsidRDefault="00697268" w:rsidP="00697268">
      <w:pPr>
        <w:spacing w:line="240" w:lineRule="auto"/>
        <w:rPr>
          <w:rFonts w:cs="Times New Roman"/>
          <w:color w:val="FF0000"/>
          <w:sz w:val="24"/>
          <w:szCs w:val="24"/>
        </w:rPr>
      </w:pPr>
      <w:r w:rsidRPr="005A707B">
        <w:rPr>
          <w:rFonts w:cs="Times New Roman"/>
          <w:sz w:val="24"/>
          <w:szCs w:val="24"/>
        </w:rPr>
        <w:t xml:space="preserve">Najvyšší podiel tvorili </w:t>
      </w:r>
      <w:r w:rsidRPr="005A707B">
        <w:rPr>
          <w:rFonts w:cs="Times New Roman"/>
          <w:bCs/>
          <w:sz w:val="24"/>
          <w:szCs w:val="24"/>
        </w:rPr>
        <w:t>transfery</w:t>
      </w:r>
      <w:r w:rsidRPr="0083211F">
        <w:rPr>
          <w:rFonts w:cs="Times New Roman"/>
          <w:b/>
          <w:bCs/>
          <w:sz w:val="24"/>
          <w:szCs w:val="24"/>
        </w:rPr>
        <w:t xml:space="preserve"> </w:t>
      </w:r>
      <w:r w:rsidRPr="0083211F">
        <w:rPr>
          <w:rFonts w:cs="Times New Roman"/>
          <w:b/>
          <w:bCs/>
          <w:i/>
          <w:sz w:val="24"/>
          <w:szCs w:val="24"/>
        </w:rPr>
        <w:t>ostatnej právnickej osobe</w:t>
      </w:r>
      <w:r w:rsidRPr="0083211F">
        <w:rPr>
          <w:rFonts w:cs="Times New Roman"/>
          <w:sz w:val="24"/>
          <w:szCs w:val="24"/>
        </w:rPr>
        <w:t xml:space="preserve"> </w:t>
      </w:r>
      <w:r w:rsidRPr="005A707B">
        <w:rPr>
          <w:rFonts w:cs="Times New Roman"/>
          <w:sz w:val="24"/>
          <w:szCs w:val="24"/>
        </w:rPr>
        <w:t xml:space="preserve">(861 418 tis. eur), ktoré boli v rozhodujúcej miere hradené rezortom </w:t>
      </w:r>
      <w:r w:rsidRPr="005A707B">
        <w:rPr>
          <w:rFonts w:cs="Times New Roman"/>
          <w:sz w:val="24"/>
          <w:szCs w:val="24"/>
          <w:u w:val="single"/>
        </w:rPr>
        <w:t>Ministerstva pôdohospodárstva a rozvoja vidieka SR</w:t>
      </w:r>
      <w:r w:rsidRPr="005A707B">
        <w:rPr>
          <w:rFonts w:cs="Times New Roman"/>
          <w:sz w:val="24"/>
          <w:szCs w:val="24"/>
        </w:rPr>
        <w:t xml:space="preserve"> v sume 464 274 tis. eur.</w:t>
      </w:r>
      <w:r w:rsidRPr="00B51948">
        <w:rPr>
          <w:rFonts w:cs="Times New Roman"/>
          <w:color w:val="FF0000"/>
          <w:sz w:val="24"/>
          <w:szCs w:val="24"/>
        </w:rPr>
        <w:t xml:space="preserve"> </w:t>
      </w:r>
      <w:r w:rsidRPr="007227A6">
        <w:rPr>
          <w:rFonts w:cs="Times New Roman"/>
          <w:sz w:val="24"/>
          <w:szCs w:val="24"/>
        </w:rPr>
        <w:t>Najväčší podiel na uvedenom čerpaní finančných prostriedkov malo vyplatenie</w:t>
      </w:r>
      <w:r w:rsidRPr="007227A6">
        <w:rPr>
          <w:rFonts w:cs="Times New Roman"/>
          <w:bCs/>
          <w:sz w:val="24"/>
          <w:szCs w:val="24"/>
        </w:rPr>
        <w:t xml:space="preserve"> priamych platieb z Európskeho poľnohospodárskeho záručného fondu (217 970 tis. eur), vyplatenie dotácií </w:t>
      </w:r>
      <w:r w:rsidRPr="007227A6">
        <w:rPr>
          <w:rFonts w:cs="Times New Roman"/>
          <w:sz w:val="24"/>
          <w:szCs w:val="24"/>
        </w:rPr>
        <w:t>z </w:t>
      </w:r>
      <w:r w:rsidRPr="007227A6">
        <w:rPr>
          <w:rFonts w:cs="Times New Roman"/>
          <w:bCs/>
          <w:sz w:val="24"/>
          <w:szCs w:val="24"/>
        </w:rPr>
        <w:t>Európskeho poľnohospodárskeho fondu pre rozvoj vidieka v rámci Programu rozvoja vidieka SR 2014-2022 (122 814 tis. eur) a</w:t>
      </w:r>
      <w:r w:rsidRPr="007227A6">
        <w:rPr>
          <w:rFonts w:cs="Times New Roman"/>
          <w:b/>
          <w:bCs/>
          <w:sz w:val="24"/>
          <w:szCs w:val="24"/>
        </w:rPr>
        <w:t xml:space="preserve"> </w:t>
      </w:r>
      <w:r w:rsidRPr="007227A6">
        <w:rPr>
          <w:rFonts w:cs="Times New Roman"/>
          <w:bCs/>
          <w:sz w:val="24"/>
          <w:szCs w:val="24"/>
        </w:rPr>
        <w:t xml:space="preserve">výdavky vyplatené v rámci Európskeho poľnohospodárskeho záručného fondu (28 470 tis. eur). </w:t>
      </w:r>
      <w:r w:rsidRPr="007227A6">
        <w:rPr>
          <w:rFonts w:eastAsia="Calibri" w:cs="Times New Roman"/>
          <w:bCs/>
          <w:sz w:val="24"/>
          <w:szCs w:val="24"/>
        </w:rPr>
        <w:t>Podľa vecného zamerania bolo n</w:t>
      </w:r>
      <w:r w:rsidRPr="007227A6">
        <w:rPr>
          <w:rFonts w:eastAsia="Calibri" w:cs="Times New Roman"/>
          <w:sz w:val="24"/>
          <w:szCs w:val="24"/>
        </w:rPr>
        <w:t xml:space="preserve">ajvyššie čerpanie dosiahnuté </w:t>
      </w:r>
      <w:r>
        <w:rPr>
          <w:rFonts w:eastAsia="Calibri" w:cs="Times New Roman"/>
          <w:sz w:val="24"/>
          <w:szCs w:val="24"/>
        </w:rPr>
        <w:t>v</w:t>
      </w:r>
      <w:r w:rsidRPr="007227A6">
        <w:rPr>
          <w:rFonts w:eastAsia="Calibri" w:cs="Times New Roman"/>
          <w:sz w:val="24"/>
          <w:szCs w:val="24"/>
        </w:rPr>
        <w:t xml:space="preserve"> dotačnom titule SAPS (Jednotná platba </w:t>
      </w:r>
      <w:r w:rsidRPr="007227A6">
        <w:rPr>
          <w:rFonts w:eastAsia="Calibri" w:cs="Times New Roman"/>
          <w:sz w:val="24"/>
          <w:szCs w:val="24"/>
        </w:rPr>
        <w:lastRenderedPageBreak/>
        <w:t>na</w:t>
      </w:r>
      <w:r w:rsidR="0019687C">
        <w:rPr>
          <w:rFonts w:eastAsia="Calibri" w:cs="Times New Roman"/>
          <w:sz w:val="24"/>
          <w:szCs w:val="24"/>
        </w:rPr>
        <w:t> </w:t>
      </w:r>
      <w:r w:rsidRPr="007227A6">
        <w:rPr>
          <w:rFonts w:eastAsia="Calibri" w:cs="Times New Roman"/>
          <w:sz w:val="24"/>
          <w:szCs w:val="24"/>
        </w:rPr>
        <w:t>plochu) v sume 107 85</w:t>
      </w:r>
      <w:r>
        <w:rPr>
          <w:rFonts w:eastAsia="Calibri" w:cs="Times New Roman"/>
          <w:sz w:val="24"/>
          <w:szCs w:val="24"/>
        </w:rPr>
        <w:t> </w:t>
      </w:r>
      <w:r w:rsidRPr="007227A6">
        <w:rPr>
          <w:rFonts w:eastAsia="Calibri" w:cs="Times New Roman"/>
          <w:sz w:val="24"/>
          <w:szCs w:val="24"/>
        </w:rPr>
        <w:t>tis. eur, GRE (</w:t>
      </w:r>
      <w:proofErr w:type="spellStart"/>
      <w:r w:rsidRPr="007227A6">
        <w:rPr>
          <w:rFonts w:eastAsia="Calibri" w:cs="Times New Roman"/>
          <w:sz w:val="24"/>
          <w:szCs w:val="24"/>
        </w:rPr>
        <w:t>Greening</w:t>
      </w:r>
      <w:proofErr w:type="spellEnd"/>
      <w:r w:rsidRPr="007227A6">
        <w:rPr>
          <w:rFonts w:eastAsia="Calibri" w:cs="Times New Roman"/>
          <w:sz w:val="24"/>
          <w:szCs w:val="24"/>
        </w:rPr>
        <w:t xml:space="preserve"> - poľnohospodárske postupy prospešné pre klímu a životné prostredie) v sume 63 370 tis. eur, ANC (Kompenzačná platba) v sume 42 370 tis. eur, ZPZP (Platba na dobré životné podmienky zvierat) v objeme 34 855 tis. eur a EKO (Platba na</w:t>
      </w:r>
      <w:r>
        <w:rPr>
          <w:rFonts w:eastAsia="Calibri" w:cs="Times New Roman"/>
          <w:sz w:val="24"/>
          <w:szCs w:val="24"/>
        </w:rPr>
        <w:t> </w:t>
      </w:r>
      <w:r w:rsidRPr="007227A6">
        <w:rPr>
          <w:rFonts w:eastAsia="Calibri" w:cs="Times New Roman"/>
          <w:sz w:val="24"/>
          <w:szCs w:val="24"/>
        </w:rPr>
        <w:t xml:space="preserve">udržiavanie postupov a metód ekologického poľnohospodárstva) v sume 24 793 tis. eur. </w:t>
      </w:r>
      <w:r w:rsidRPr="007227A6">
        <w:rPr>
          <w:rFonts w:cs="Times New Roman"/>
          <w:sz w:val="24"/>
          <w:szCs w:val="24"/>
        </w:rPr>
        <w:t xml:space="preserve">Dôvodom poklesu </w:t>
      </w:r>
      <w:r>
        <w:rPr>
          <w:rFonts w:cs="Times New Roman"/>
          <w:sz w:val="24"/>
          <w:szCs w:val="24"/>
        </w:rPr>
        <w:t xml:space="preserve">skutočne </w:t>
      </w:r>
      <w:r w:rsidRPr="007227A6">
        <w:rPr>
          <w:rFonts w:cs="Times New Roman"/>
          <w:sz w:val="24"/>
          <w:szCs w:val="24"/>
        </w:rPr>
        <w:t xml:space="preserve">čerpaných </w:t>
      </w:r>
      <w:r>
        <w:rPr>
          <w:rFonts w:cs="Times New Roman"/>
          <w:sz w:val="24"/>
          <w:szCs w:val="24"/>
        </w:rPr>
        <w:t>finančn</w:t>
      </w:r>
      <w:r w:rsidRPr="007227A6">
        <w:rPr>
          <w:rFonts w:cs="Times New Roman"/>
          <w:sz w:val="24"/>
          <w:szCs w:val="24"/>
        </w:rPr>
        <w:t>ých prostriedkov oproti schválenému rozpočtu bolo dočasné obmedzenie vyplácania platieb na</w:t>
      </w:r>
      <w:r>
        <w:rPr>
          <w:rFonts w:cs="Times New Roman"/>
          <w:sz w:val="24"/>
          <w:szCs w:val="24"/>
        </w:rPr>
        <w:t> </w:t>
      </w:r>
      <w:r w:rsidRPr="007227A6">
        <w:rPr>
          <w:rFonts w:cs="Times New Roman"/>
          <w:sz w:val="24"/>
          <w:szCs w:val="24"/>
        </w:rPr>
        <w:t>projektové opatrenia PRV SR 2014 – 2022 zo strany Pôdohospodárskej platobnej agentúry v súvislosti s kauzou „Dobytkár“ s cieľom zachovávania hospodárnosti, efektívnosti a účinnosti použitia verejných prostriedkov a zavedenie nápravných opatrení na riešenie zistených nedostatkov. Ďalším dôvodom nižšieho čerpania finančných prostriedkov bolo skrátenie oprávneného obdobia na</w:t>
      </w:r>
      <w:r w:rsidR="0019687C">
        <w:rPr>
          <w:rFonts w:cs="Times New Roman"/>
          <w:sz w:val="24"/>
          <w:szCs w:val="24"/>
        </w:rPr>
        <w:t> </w:t>
      </w:r>
      <w:r w:rsidRPr="007227A6">
        <w:rPr>
          <w:rFonts w:cs="Times New Roman"/>
          <w:sz w:val="24"/>
          <w:szCs w:val="24"/>
        </w:rPr>
        <w:t>vyplácanie dotačných prostriedkov na konci roka 2022. Z</w:t>
      </w:r>
      <w:r>
        <w:rPr>
          <w:rFonts w:cs="Times New Roman"/>
          <w:sz w:val="24"/>
          <w:szCs w:val="24"/>
        </w:rPr>
        <w:t> </w:t>
      </w:r>
      <w:r w:rsidRPr="007227A6">
        <w:rPr>
          <w:rFonts w:cs="Times New Roman"/>
          <w:sz w:val="24"/>
          <w:szCs w:val="24"/>
        </w:rPr>
        <w:t>dôvodu hroziaceho rozpočtového provizória pre rok 2023 bolo vyplácanie finančných prostriedkov predčasne pozastavené.</w:t>
      </w:r>
    </w:p>
    <w:p w14:paraId="4CE6268B" w14:textId="6EF78E20" w:rsidR="00697268" w:rsidRDefault="00697268" w:rsidP="00697268">
      <w:pPr>
        <w:spacing w:line="240" w:lineRule="auto"/>
        <w:rPr>
          <w:rFonts w:eastAsia="Times New Roman" w:cs="Times New Roman"/>
          <w:bCs/>
          <w:sz w:val="24"/>
          <w:szCs w:val="24"/>
          <w:lang w:eastAsia="sk-SK"/>
        </w:rPr>
      </w:pPr>
      <w:r w:rsidRPr="005A707B">
        <w:rPr>
          <w:rFonts w:cs="Times New Roman"/>
          <w:sz w:val="24"/>
          <w:szCs w:val="24"/>
        </w:rPr>
        <w:t xml:space="preserve">Ďalšie významné čerpanie v rámci tejto podpoložky uskutočnilo </w:t>
      </w:r>
      <w:r w:rsidRPr="005A707B">
        <w:rPr>
          <w:rFonts w:cs="Times New Roman"/>
          <w:sz w:val="24"/>
          <w:szCs w:val="24"/>
          <w:u w:val="single"/>
        </w:rPr>
        <w:t>Ministerstvo hospodárstva SR</w:t>
      </w:r>
      <w:r w:rsidRPr="005A707B">
        <w:rPr>
          <w:rFonts w:cs="Times New Roman"/>
          <w:sz w:val="24"/>
          <w:szCs w:val="24"/>
        </w:rPr>
        <w:t xml:space="preserve"> v sume</w:t>
      </w:r>
      <w:r w:rsidRPr="00B51948">
        <w:rPr>
          <w:rFonts w:cs="Times New Roman"/>
          <w:color w:val="FF0000"/>
          <w:sz w:val="24"/>
          <w:szCs w:val="24"/>
        </w:rPr>
        <w:t xml:space="preserve"> </w:t>
      </w:r>
      <w:r w:rsidRPr="005A707B">
        <w:rPr>
          <w:rFonts w:cs="Times New Roman"/>
          <w:sz w:val="24"/>
          <w:szCs w:val="24"/>
        </w:rPr>
        <w:t xml:space="preserve">221 470 tis. eur. </w:t>
      </w:r>
      <w:r>
        <w:rPr>
          <w:rFonts w:cs="Times New Roman"/>
          <w:sz w:val="24"/>
          <w:szCs w:val="24"/>
        </w:rPr>
        <w:t xml:space="preserve">Z toho </w:t>
      </w:r>
      <w:r w:rsidRPr="00235E7D">
        <w:rPr>
          <w:rFonts w:eastAsia="Times New Roman" w:cs="Times New Roman"/>
          <w:bCs/>
          <w:sz w:val="24"/>
          <w:szCs w:val="24"/>
          <w:lang w:eastAsia="sk-SK"/>
        </w:rPr>
        <w:t>76 168 </w:t>
      </w:r>
      <w:r>
        <w:rPr>
          <w:rFonts w:eastAsia="Times New Roman" w:cs="Times New Roman"/>
          <w:bCs/>
          <w:sz w:val="24"/>
          <w:szCs w:val="24"/>
          <w:lang w:eastAsia="sk-SK"/>
        </w:rPr>
        <w:t>tis. eur</w:t>
      </w:r>
      <w:r w:rsidRPr="00235E7D">
        <w:rPr>
          <w:rFonts w:eastAsia="Times New Roman" w:cs="Times New Roman"/>
          <w:bCs/>
          <w:sz w:val="24"/>
          <w:szCs w:val="24"/>
          <w:lang w:eastAsia="sk-SK"/>
        </w:rPr>
        <w:t xml:space="preserve"> </w:t>
      </w:r>
      <w:r>
        <w:rPr>
          <w:rFonts w:eastAsia="Times New Roman" w:cs="Times New Roman"/>
          <w:bCs/>
          <w:sz w:val="24"/>
          <w:szCs w:val="24"/>
          <w:lang w:eastAsia="sk-SK"/>
        </w:rPr>
        <w:t>bolo poskytnutých</w:t>
      </w:r>
      <w:r w:rsidRPr="00235E7D">
        <w:rPr>
          <w:rFonts w:eastAsia="Times New Roman" w:cs="Times New Roman"/>
          <w:bCs/>
          <w:sz w:val="24"/>
          <w:szCs w:val="24"/>
          <w:lang w:eastAsia="sk-SK"/>
        </w:rPr>
        <w:t xml:space="preserve"> s</w:t>
      </w:r>
      <w:r w:rsidRPr="00235E7D">
        <w:rPr>
          <w:rFonts w:eastAsia="Times" w:cs="Times New Roman"/>
          <w:sz w:val="24"/>
          <w:szCs w:val="24"/>
        </w:rPr>
        <w:t>poločnosti OKTE</w:t>
      </w:r>
      <w:r w:rsidRPr="00235E7D">
        <w:rPr>
          <w:rFonts w:eastAsia="Times New Roman" w:cs="Times New Roman"/>
          <w:bCs/>
          <w:sz w:val="24"/>
          <w:szCs w:val="24"/>
          <w:lang w:eastAsia="sk-SK"/>
        </w:rPr>
        <w:t xml:space="preserve"> na</w:t>
      </w:r>
      <w:r>
        <w:rPr>
          <w:rFonts w:eastAsia="Times New Roman" w:cs="Times New Roman"/>
          <w:bCs/>
          <w:sz w:val="24"/>
          <w:szCs w:val="24"/>
          <w:lang w:eastAsia="sk-SK"/>
        </w:rPr>
        <w:t> </w:t>
      </w:r>
      <w:r w:rsidRPr="00C764A3">
        <w:rPr>
          <w:rFonts w:eastAsia="Times New Roman" w:cs="Times New Roman"/>
          <w:bCs/>
          <w:sz w:val="24"/>
          <w:szCs w:val="24"/>
          <w:lang w:eastAsia="sk-SK"/>
        </w:rPr>
        <w:t>podpor</w:t>
      </w:r>
      <w:r w:rsidRPr="00235E7D">
        <w:rPr>
          <w:rFonts w:eastAsia="Times New Roman" w:cs="Times New Roman"/>
          <w:bCs/>
          <w:sz w:val="24"/>
          <w:szCs w:val="24"/>
          <w:lang w:eastAsia="sk-SK"/>
        </w:rPr>
        <w:t>u</w:t>
      </w:r>
      <w:r w:rsidRPr="00C764A3">
        <w:rPr>
          <w:rFonts w:eastAsia="Times New Roman" w:cs="Times New Roman"/>
          <w:bCs/>
          <w:sz w:val="24"/>
          <w:szCs w:val="24"/>
          <w:lang w:eastAsia="sk-SK"/>
        </w:rPr>
        <w:t xml:space="preserve"> podnikateľov na</w:t>
      </w:r>
      <w:r>
        <w:rPr>
          <w:rFonts w:eastAsia="Times New Roman" w:cs="Times New Roman"/>
          <w:bCs/>
          <w:sz w:val="24"/>
          <w:szCs w:val="24"/>
          <w:lang w:eastAsia="sk-SK"/>
        </w:rPr>
        <w:t> </w:t>
      </w:r>
      <w:r w:rsidRPr="00C764A3">
        <w:rPr>
          <w:rFonts w:eastAsia="Times New Roman" w:cs="Times New Roman"/>
          <w:bCs/>
          <w:sz w:val="24"/>
          <w:szCs w:val="24"/>
          <w:lang w:eastAsia="sk-SK"/>
        </w:rPr>
        <w:t xml:space="preserve">kompenzáciu zvýšených nákladov na energie, </w:t>
      </w:r>
      <w:r>
        <w:rPr>
          <w:rFonts w:eastAsia="Times" w:cs="Times New Roman"/>
          <w:sz w:val="24"/>
          <w:szCs w:val="24"/>
        </w:rPr>
        <w:t xml:space="preserve">suma </w:t>
      </w:r>
      <w:r w:rsidRPr="00235E7D">
        <w:rPr>
          <w:rFonts w:eastAsia="Times" w:cs="Times New Roman"/>
          <w:sz w:val="24"/>
          <w:szCs w:val="24"/>
        </w:rPr>
        <w:t>40 000 tis. eur</w:t>
      </w:r>
      <w:r>
        <w:rPr>
          <w:rFonts w:eastAsia="Times" w:cs="Times New Roman"/>
          <w:sz w:val="24"/>
          <w:szCs w:val="24"/>
        </w:rPr>
        <w:t xml:space="preserve"> </w:t>
      </w:r>
      <w:r>
        <w:rPr>
          <w:rFonts w:eastAsia="Times New Roman" w:cs="Times New Roman"/>
          <w:bCs/>
          <w:sz w:val="24"/>
          <w:szCs w:val="24"/>
          <w:lang w:eastAsia="sk-SK"/>
        </w:rPr>
        <w:t>n</w:t>
      </w:r>
      <w:r w:rsidRPr="00235E7D">
        <w:rPr>
          <w:rFonts w:eastAsia="Times" w:cs="Times New Roman"/>
          <w:sz w:val="24"/>
          <w:szCs w:val="24"/>
        </w:rPr>
        <w:t>a</w:t>
      </w:r>
      <w:r>
        <w:rPr>
          <w:rFonts w:eastAsia="Times" w:cs="Times New Roman"/>
          <w:sz w:val="24"/>
          <w:szCs w:val="24"/>
        </w:rPr>
        <w:t> </w:t>
      </w:r>
      <w:r w:rsidRPr="00C764A3">
        <w:rPr>
          <w:rFonts w:eastAsia="Times" w:cs="Times New Roman"/>
          <w:sz w:val="24"/>
          <w:szCs w:val="24"/>
        </w:rPr>
        <w:t>financovani</w:t>
      </w:r>
      <w:r w:rsidRPr="00235E7D">
        <w:rPr>
          <w:rFonts w:eastAsia="Times" w:cs="Times New Roman"/>
          <w:sz w:val="24"/>
          <w:szCs w:val="24"/>
        </w:rPr>
        <w:t>e</w:t>
      </w:r>
      <w:r w:rsidRPr="00C764A3">
        <w:rPr>
          <w:rFonts w:eastAsia="Times" w:cs="Times New Roman"/>
          <w:sz w:val="24"/>
          <w:szCs w:val="24"/>
        </w:rPr>
        <w:t xml:space="preserve"> nákladov vynaložených na</w:t>
      </w:r>
      <w:r>
        <w:rPr>
          <w:rFonts w:eastAsia="Times" w:cs="Times New Roman"/>
          <w:sz w:val="24"/>
          <w:szCs w:val="24"/>
        </w:rPr>
        <w:t> </w:t>
      </w:r>
      <w:r w:rsidRPr="00C764A3">
        <w:rPr>
          <w:rFonts w:eastAsia="Times" w:cs="Times New Roman"/>
          <w:sz w:val="24"/>
          <w:szCs w:val="24"/>
        </w:rPr>
        <w:t>podporu výroby elektriny</w:t>
      </w:r>
      <w:r w:rsidRPr="00235E7D">
        <w:rPr>
          <w:rFonts w:eastAsia="Times" w:cs="Times New Roman"/>
          <w:sz w:val="24"/>
          <w:szCs w:val="24"/>
        </w:rPr>
        <w:t xml:space="preserve">, 39 868 tis. eur na štátnu pomoc </w:t>
      </w:r>
      <w:r w:rsidRPr="00C764A3">
        <w:rPr>
          <w:rFonts w:eastAsia="Times New Roman" w:cs="Times New Roman"/>
          <w:bCs/>
          <w:sz w:val="24"/>
          <w:szCs w:val="24"/>
          <w:lang w:eastAsia="sk-SK"/>
        </w:rPr>
        <w:t>vo</w:t>
      </w:r>
      <w:r>
        <w:rPr>
          <w:rFonts w:eastAsia="Times New Roman" w:cs="Times New Roman"/>
          <w:bCs/>
          <w:sz w:val="24"/>
          <w:szCs w:val="24"/>
          <w:lang w:eastAsia="sk-SK"/>
        </w:rPr>
        <w:t> </w:t>
      </w:r>
      <w:r w:rsidRPr="00C764A3">
        <w:rPr>
          <w:rFonts w:eastAsia="Times New Roman" w:cs="Times New Roman"/>
          <w:bCs/>
          <w:sz w:val="24"/>
          <w:szCs w:val="24"/>
          <w:lang w:eastAsia="sk-SK"/>
        </w:rPr>
        <w:t>forme kompenzácií (</w:t>
      </w:r>
      <w:proofErr w:type="spellStart"/>
      <w:r w:rsidRPr="00C764A3">
        <w:rPr>
          <w:rFonts w:eastAsia="Times New Roman" w:cs="Times New Roman"/>
          <w:bCs/>
          <w:sz w:val="24"/>
          <w:szCs w:val="24"/>
          <w:lang w:eastAsia="sk-SK"/>
        </w:rPr>
        <w:t>vratiek</w:t>
      </w:r>
      <w:proofErr w:type="spellEnd"/>
      <w:r w:rsidRPr="00C764A3">
        <w:rPr>
          <w:rFonts w:eastAsia="Times New Roman" w:cs="Times New Roman"/>
          <w:bCs/>
          <w:sz w:val="24"/>
          <w:szCs w:val="24"/>
          <w:lang w:eastAsia="sk-SK"/>
        </w:rPr>
        <w:t>), tzn. vrátenie časti poplatkov súvisiacich s  financovaním  podpory výroby elektriny z obnoviteľných zdrojov v súlade s</w:t>
      </w:r>
      <w:r>
        <w:rPr>
          <w:rFonts w:eastAsia="Times New Roman" w:cs="Times New Roman"/>
          <w:bCs/>
          <w:sz w:val="24"/>
          <w:szCs w:val="24"/>
          <w:lang w:eastAsia="sk-SK"/>
        </w:rPr>
        <w:t> </w:t>
      </w:r>
      <w:r w:rsidRPr="00C764A3">
        <w:rPr>
          <w:rFonts w:eastAsia="Times New Roman" w:cs="Times New Roman"/>
          <w:bCs/>
          <w:sz w:val="24"/>
          <w:szCs w:val="24"/>
          <w:lang w:eastAsia="sk-SK"/>
        </w:rPr>
        <w:t>usmernením štátnej pomoci v oblasti ochrany životného prostredia a energetiky na roky 2014 – 2020, ktorého platnosť Európska komisia predĺžila.</w:t>
      </w:r>
      <w:r w:rsidRPr="00235E7D">
        <w:rPr>
          <w:rFonts w:eastAsia="Times New Roman" w:cs="Times New Roman"/>
          <w:bCs/>
          <w:sz w:val="24"/>
          <w:szCs w:val="24"/>
          <w:lang w:eastAsia="sk-SK"/>
        </w:rPr>
        <w:t xml:space="preserve"> Taktiež boli vynaložené finančné prostriedky na š</w:t>
      </w:r>
      <w:r w:rsidRPr="00C764A3">
        <w:rPr>
          <w:rFonts w:eastAsia="Times New Roman" w:cs="Times New Roman"/>
          <w:bCs/>
          <w:sz w:val="24"/>
          <w:szCs w:val="24"/>
          <w:lang w:eastAsia="sk-SK"/>
        </w:rPr>
        <w:t>tátn</w:t>
      </w:r>
      <w:r w:rsidRPr="00235E7D">
        <w:rPr>
          <w:rFonts w:eastAsia="Times New Roman" w:cs="Times New Roman"/>
          <w:bCs/>
          <w:sz w:val="24"/>
          <w:szCs w:val="24"/>
          <w:lang w:eastAsia="sk-SK"/>
        </w:rPr>
        <w:t>u</w:t>
      </w:r>
      <w:r w:rsidRPr="00C764A3">
        <w:rPr>
          <w:rFonts w:eastAsia="Times New Roman" w:cs="Times New Roman"/>
          <w:bCs/>
          <w:sz w:val="24"/>
          <w:szCs w:val="24"/>
          <w:lang w:eastAsia="sk-SK"/>
        </w:rPr>
        <w:t xml:space="preserve"> pomoc</w:t>
      </w:r>
      <w:r w:rsidRPr="00235E7D">
        <w:rPr>
          <w:rFonts w:eastAsia="Times New Roman" w:cs="Times New Roman"/>
          <w:bCs/>
          <w:sz w:val="24"/>
          <w:szCs w:val="24"/>
          <w:lang w:eastAsia="sk-SK"/>
        </w:rPr>
        <w:t>, ktorá</w:t>
      </w:r>
      <w:r w:rsidRPr="00C764A3">
        <w:rPr>
          <w:rFonts w:eastAsia="Times New Roman" w:cs="Times New Roman"/>
          <w:bCs/>
          <w:sz w:val="24"/>
          <w:szCs w:val="24"/>
          <w:lang w:eastAsia="sk-SK"/>
        </w:rPr>
        <w:t xml:space="preserve"> bola poskytnutá formou priamych dotácií určených na</w:t>
      </w:r>
      <w:r>
        <w:rPr>
          <w:rFonts w:eastAsia="Times New Roman" w:cs="Times New Roman"/>
          <w:bCs/>
          <w:sz w:val="24"/>
          <w:szCs w:val="24"/>
          <w:lang w:eastAsia="sk-SK"/>
        </w:rPr>
        <w:t> </w:t>
      </w:r>
      <w:r w:rsidRPr="00C764A3">
        <w:rPr>
          <w:rFonts w:eastAsia="Times New Roman" w:cs="Times New Roman"/>
          <w:bCs/>
          <w:sz w:val="24"/>
          <w:szCs w:val="24"/>
          <w:lang w:eastAsia="sk-SK"/>
        </w:rPr>
        <w:t>úhradu časti nákladov na nájomné príslušných subjektov v súvislosti s COVID-19</w:t>
      </w:r>
      <w:r w:rsidRPr="00235E7D">
        <w:rPr>
          <w:rFonts w:eastAsia="Times New Roman" w:cs="Times New Roman"/>
          <w:bCs/>
          <w:sz w:val="24"/>
          <w:szCs w:val="24"/>
          <w:lang w:eastAsia="sk-SK"/>
        </w:rPr>
        <w:t xml:space="preserve"> v sume 12 117 tis. eur.</w:t>
      </w:r>
      <w:r>
        <w:rPr>
          <w:rFonts w:eastAsia="Times New Roman" w:cs="Times New Roman"/>
          <w:bCs/>
          <w:sz w:val="24"/>
          <w:szCs w:val="24"/>
          <w:lang w:eastAsia="sk-SK"/>
        </w:rPr>
        <w:t xml:space="preserve"> </w:t>
      </w:r>
      <w:r w:rsidRPr="00C764A3">
        <w:rPr>
          <w:rFonts w:eastAsia="Calibri" w:cs="Times New Roman"/>
          <w:sz w:val="24"/>
          <w:szCs w:val="24"/>
        </w:rPr>
        <w:t>Navýšenie skutočnosti oproti schválenému rozpočtu spôsobila najmä situácia v</w:t>
      </w:r>
      <w:r>
        <w:rPr>
          <w:rFonts w:eastAsia="Calibri" w:cs="Times New Roman"/>
          <w:sz w:val="24"/>
          <w:szCs w:val="24"/>
        </w:rPr>
        <w:t> </w:t>
      </w:r>
      <w:r w:rsidRPr="00C764A3">
        <w:rPr>
          <w:rFonts w:eastAsia="Calibri" w:cs="Times New Roman"/>
          <w:sz w:val="24"/>
          <w:szCs w:val="24"/>
        </w:rPr>
        <w:t xml:space="preserve">súvislosti s uvoľnením prostriedkov viazaných v roku 2021 podľa zákona </w:t>
      </w:r>
      <w:r w:rsidR="00545BC2">
        <w:rPr>
          <w:rFonts w:eastAsia="Calibri" w:cs="Times New Roman"/>
          <w:sz w:val="24"/>
          <w:szCs w:val="24"/>
        </w:rPr>
        <w:t>o rozpočtových pravidlách</w:t>
      </w:r>
      <w:r w:rsidRPr="00C764A3">
        <w:rPr>
          <w:rFonts w:eastAsia="Calibri" w:cs="Times New Roman"/>
          <w:sz w:val="24"/>
          <w:szCs w:val="24"/>
        </w:rPr>
        <w:t>, ako aj situácia v súvislosti so zvýšenými cenami plynu a elektriny.</w:t>
      </w:r>
    </w:p>
    <w:p w14:paraId="34618AF2" w14:textId="6A6837D8" w:rsidR="00697268" w:rsidRPr="00B924C3" w:rsidRDefault="00697268" w:rsidP="00697268">
      <w:pPr>
        <w:spacing w:line="240" w:lineRule="auto"/>
        <w:rPr>
          <w:rFonts w:cs="Times New Roman"/>
          <w:sz w:val="24"/>
          <w:szCs w:val="24"/>
        </w:rPr>
      </w:pPr>
      <w:r w:rsidRPr="00B924C3">
        <w:rPr>
          <w:rFonts w:cs="Times New Roman"/>
          <w:sz w:val="24"/>
          <w:szCs w:val="24"/>
          <w:u w:val="single"/>
        </w:rPr>
        <w:t xml:space="preserve">Ministerstvo zdravotníctva SR </w:t>
      </w:r>
      <w:r w:rsidRPr="00B924C3">
        <w:rPr>
          <w:rFonts w:cs="Times New Roman"/>
          <w:sz w:val="24"/>
          <w:szCs w:val="24"/>
        </w:rPr>
        <w:t>čerpalo v rámci tejto podpoložky 72 981 tis. eur</w:t>
      </w:r>
      <w:r>
        <w:rPr>
          <w:rFonts w:cs="Times New Roman"/>
          <w:sz w:val="24"/>
          <w:szCs w:val="24"/>
        </w:rPr>
        <w:t xml:space="preserve"> </w:t>
      </w:r>
      <w:r w:rsidRPr="00D159E6">
        <w:rPr>
          <w:rFonts w:eastAsia="Calibri" w:cs="Times New Roman"/>
          <w:sz w:val="24"/>
          <w:szCs w:val="24"/>
          <w:lang w:eastAsia="sk-SK"/>
        </w:rPr>
        <w:t>na</w:t>
      </w:r>
      <w:r>
        <w:rPr>
          <w:rFonts w:eastAsia="Calibri" w:cs="Times New Roman"/>
          <w:sz w:val="24"/>
          <w:szCs w:val="24"/>
          <w:lang w:eastAsia="sk-SK"/>
        </w:rPr>
        <w:t> </w:t>
      </w:r>
      <w:r w:rsidRPr="00D159E6">
        <w:rPr>
          <w:rFonts w:eastAsia="Calibri" w:cs="Times New Roman"/>
          <w:sz w:val="24"/>
          <w:szCs w:val="24"/>
          <w:lang w:eastAsia="sk-SK"/>
        </w:rPr>
        <w:t>financovanie rezidentského programu pre subjekty hospodárskej mobilizácie v súlade s</w:t>
      </w:r>
      <w:r>
        <w:rPr>
          <w:rFonts w:eastAsia="Calibri" w:cs="Times New Roman"/>
          <w:sz w:val="24"/>
          <w:szCs w:val="24"/>
          <w:lang w:eastAsia="sk-SK"/>
        </w:rPr>
        <w:t> </w:t>
      </w:r>
      <w:r w:rsidRPr="00D159E6">
        <w:rPr>
          <w:rFonts w:eastAsia="Calibri" w:cs="Times New Roman"/>
          <w:sz w:val="24"/>
          <w:szCs w:val="24"/>
          <w:lang w:eastAsia="sk-SK"/>
        </w:rPr>
        <w:t>Nariadením vlády Slovenskej republiky č</w:t>
      </w:r>
      <w:r>
        <w:rPr>
          <w:rFonts w:eastAsia="Calibri" w:cs="Times New Roman"/>
          <w:sz w:val="24"/>
          <w:szCs w:val="24"/>
          <w:lang w:eastAsia="sk-SK"/>
        </w:rPr>
        <w:t>.</w:t>
      </w:r>
      <w:r w:rsidRPr="00D159E6">
        <w:rPr>
          <w:rFonts w:eastAsia="Calibri" w:cs="Times New Roman"/>
          <w:sz w:val="24"/>
          <w:szCs w:val="24"/>
          <w:lang w:eastAsia="sk-SK"/>
        </w:rPr>
        <w:t xml:space="preserve"> 183/2022 Z. z. na vykonanie niektorých opatrení hospodárskej mobilizácie v súvislosti s vyhlásenou mimoriadnou situáciou na zabezpečenie riešenia </w:t>
      </w:r>
      <w:proofErr w:type="spellStart"/>
      <w:r w:rsidRPr="00D159E6">
        <w:rPr>
          <w:rFonts w:eastAsia="Calibri" w:cs="Times New Roman"/>
          <w:sz w:val="24"/>
          <w:szCs w:val="24"/>
          <w:lang w:eastAsia="sk-SK"/>
        </w:rPr>
        <w:t>koronavírusu</w:t>
      </w:r>
      <w:proofErr w:type="spellEnd"/>
      <w:r w:rsidRPr="00D159E6">
        <w:rPr>
          <w:rFonts w:eastAsia="Calibri" w:cs="Times New Roman"/>
          <w:sz w:val="24"/>
          <w:szCs w:val="24"/>
          <w:lang w:eastAsia="sk-SK"/>
        </w:rPr>
        <w:t xml:space="preserve"> COVID-19 a na stabilizáciu zdravotníckych pracovníkov v rámci ústavnej zdravotnej starostlivosti a ambulancií záchrannej zdravotnej služby prostredníctvo</w:t>
      </w:r>
      <w:r>
        <w:rPr>
          <w:rFonts w:eastAsia="Calibri" w:cs="Times New Roman"/>
          <w:sz w:val="24"/>
          <w:szCs w:val="24"/>
          <w:lang w:eastAsia="sk-SK"/>
        </w:rPr>
        <w:t>m</w:t>
      </w:r>
      <w:r w:rsidRPr="00D159E6">
        <w:rPr>
          <w:rFonts w:eastAsia="Calibri" w:cs="Times New Roman"/>
          <w:sz w:val="24"/>
          <w:szCs w:val="24"/>
          <w:lang w:eastAsia="sk-SK"/>
        </w:rPr>
        <w:t xml:space="preserve"> stabilizačného príspevku</w:t>
      </w:r>
      <w:r>
        <w:rPr>
          <w:rFonts w:eastAsia="Calibri" w:cs="Times New Roman"/>
          <w:sz w:val="24"/>
          <w:szCs w:val="24"/>
          <w:lang w:eastAsia="sk-SK"/>
        </w:rPr>
        <w:t>.</w:t>
      </w:r>
      <w:r w:rsidRPr="00D159E6">
        <w:rPr>
          <w:rFonts w:eastAsia="Calibri" w:cs="Times New Roman"/>
          <w:sz w:val="24"/>
          <w:szCs w:val="24"/>
          <w:lang w:eastAsia="sk-SK"/>
        </w:rPr>
        <w:t xml:space="preserve"> Finančné prostriedky neboli rozpočtované, nakoľko sa nedali vopred stanoviť a rozpočtovými opatreniami </w:t>
      </w:r>
      <w:r>
        <w:rPr>
          <w:rFonts w:eastAsia="Calibri" w:cs="Times New Roman"/>
          <w:sz w:val="24"/>
          <w:szCs w:val="24"/>
          <w:lang w:eastAsia="sk-SK"/>
        </w:rPr>
        <w:t>boli</w:t>
      </w:r>
      <w:r w:rsidRPr="00D159E6">
        <w:rPr>
          <w:rFonts w:eastAsia="Calibri" w:cs="Times New Roman"/>
          <w:sz w:val="24"/>
          <w:szCs w:val="24"/>
          <w:lang w:eastAsia="sk-SK"/>
        </w:rPr>
        <w:t xml:space="preserve"> pridelen</w:t>
      </w:r>
      <w:r>
        <w:rPr>
          <w:rFonts w:eastAsia="Calibri" w:cs="Times New Roman"/>
          <w:sz w:val="24"/>
          <w:szCs w:val="24"/>
          <w:lang w:eastAsia="sk-SK"/>
        </w:rPr>
        <w:t>é</w:t>
      </w:r>
      <w:r w:rsidRPr="00D159E6">
        <w:rPr>
          <w:rFonts w:eastAsia="Calibri" w:cs="Times New Roman"/>
          <w:sz w:val="24"/>
          <w:szCs w:val="24"/>
          <w:lang w:eastAsia="sk-SK"/>
        </w:rPr>
        <w:t xml:space="preserve"> </w:t>
      </w:r>
      <w:r>
        <w:rPr>
          <w:rFonts w:eastAsia="Calibri" w:cs="Times New Roman"/>
          <w:sz w:val="24"/>
          <w:szCs w:val="24"/>
          <w:lang w:eastAsia="sk-SK"/>
        </w:rPr>
        <w:t>podľa vývoja pandémie COVID–</w:t>
      </w:r>
      <w:r w:rsidRPr="00D159E6">
        <w:rPr>
          <w:rFonts w:eastAsia="Calibri" w:cs="Times New Roman"/>
          <w:sz w:val="24"/>
          <w:szCs w:val="24"/>
          <w:lang w:eastAsia="sk-SK"/>
        </w:rPr>
        <w:t>19.</w:t>
      </w:r>
    </w:p>
    <w:p w14:paraId="1D1C47B3" w14:textId="77777777" w:rsidR="00697268" w:rsidRPr="00530233" w:rsidRDefault="00697268" w:rsidP="00697268">
      <w:pPr>
        <w:spacing w:line="240" w:lineRule="auto"/>
        <w:rPr>
          <w:rFonts w:cs="Times New Roman"/>
          <w:sz w:val="24"/>
          <w:szCs w:val="24"/>
        </w:rPr>
      </w:pPr>
      <w:r w:rsidRPr="00530233">
        <w:rPr>
          <w:rFonts w:cs="Times New Roman"/>
          <w:sz w:val="24"/>
          <w:szCs w:val="24"/>
          <w:u w:val="single"/>
        </w:rPr>
        <w:t>Ministerstvo dopravy a výstavby SR</w:t>
      </w:r>
      <w:r w:rsidRPr="00530233">
        <w:rPr>
          <w:rFonts w:cs="Times New Roman"/>
          <w:sz w:val="24"/>
          <w:szCs w:val="24"/>
        </w:rPr>
        <w:t xml:space="preserve"> čerpalo v rámci tejto podpoložky 66 317 tis. eur, n</w:t>
      </w:r>
      <w:r w:rsidRPr="00530233">
        <w:rPr>
          <w:rFonts w:eastAsia="Calibri" w:cs="Times New Roman"/>
          <w:sz w:val="24"/>
          <w:szCs w:val="24"/>
          <w:lang w:eastAsia="sk-SK"/>
        </w:rPr>
        <w:t xml:space="preserve">ajmä na podporu podnikov v odvetví cestovného ruchu a na zníženie negatívnych dopadov pandémie ochorenia COVID-19. </w:t>
      </w:r>
    </w:p>
    <w:p w14:paraId="60F75313" w14:textId="021DF406" w:rsidR="00697268" w:rsidRPr="00624699" w:rsidRDefault="00697268" w:rsidP="00697268">
      <w:pPr>
        <w:spacing w:line="240" w:lineRule="auto"/>
        <w:rPr>
          <w:rFonts w:cs="Times New Roman"/>
          <w:sz w:val="24"/>
          <w:szCs w:val="24"/>
        </w:rPr>
      </w:pPr>
      <w:r w:rsidRPr="007F40B8">
        <w:rPr>
          <w:rFonts w:cs="Times New Roman"/>
          <w:sz w:val="24"/>
          <w:szCs w:val="24"/>
        </w:rPr>
        <w:t>Na transferoch</w:t>
      </w:r>
      <w:r w:rsidRPr="007F40B8">
        <w:rPr>
          <w:rFonts w:cs="Times New Roman"/>
          <w:b/>
          <w:sz w:val="24"/>
          <w:szCs w:val="24"/>
        </w:rPr>
        <w:t xml:space="preserve"> </w:t>
      </w:r>
      <w:r w:rsidRPr="007F40B8">
        <w:rPr>
          <w:rFonts w:cs="Times New Roman"/>
          <w:b/>
          <w:i/>
          <w:sz w:val="24"/>
          <w:szCs w:val="24"/>
        </w:rPr>
        <w:t>právnickej osobe založenej štátom</w:t>
      </w:r>
      <w:r w:rsidRPr="007F40B8">
        <w:rPr>
          <w:rFonts w:cs="Times New Roman"/>
          <w:i/>
          <w:sz w:val="24"/>
          <w:szCs w:val="24"/>
        </w:rPr>
        <w:t xml:space="preserve"> </w:t>
      </w:r>
      <w:r w:rsidRPr="007F40B8">
        <w:rPr>
          <w:rFonts w:cs="Times New Roman"/>
          <w:sz w:val="24"/>
          <w:szCs w:val="24"/>
        </w:rPr>
        <w:t>(190 123 tis. eur),</w:t>
      </w:r>
      <w:r w:rsidRPr="007F40B8">
        <w:rPr>
          <w:rFonts w:cs="Times New Roman"/>
          <w:b/>
          <w:sz w:val="24"/>
          <w:szCs w:val="24"/>
        </w:rPr>
        <w:t xml:space="preserve"> </w:t>
      </w:r>
      <w:r w:rsidRPr="007F40B8">
        <w:rPr>
          <w:rFonts w:cs="Times New Roman"/>
          <w:sz w:val="24"/>
          <w:szCs w:val="24"/>
        </w:rPr>
        <w:t>sa</w:t>
      </w:r>
      <w:r w:rsidRPr="007F40B8">
        <w:rPr>
          <w:rFonts w:cs="Times New Roman"/>
          <w:b/>
          <w:sz w:val="24"/>
          <w:szCs w:val="24"/>
        </w:rPr>
        <w:t xml:space="preserve"> </w:t>
      </w:r>
      <w:r w:rsidRPr="007F40B8">
        <w:rPr>
          <w:rFonts w:cs="Times New Roman"/>
          <w:sz w:val="24"/>
          <w:szCs w:val="24"/>
        </w:rPr>
        <w:t>v</w:t>
      </w:r>
      <w:r w:rsidRPr="007F40B8">
        <w:rPr>
          <w:rFonts w:cs="Times New Roman"/>
          <w:b/>
          <w:sz w:val="24"/>
          <w:szCs w:val="24"/>
        </w:rPr>
        <w:t> </w:t>
      </w:r>
      <w:r w:rsidRPr="007F40B8">
        <w:rPr>
          <w:rFonts w:cs="Times New Roman"/>
          <w:sz w:val="24"/>
          <w:szCs w:val="24"/>
        </w:rPr>
        <w:t xml:space="preserve">najvyššej miere podieľala kapitola </w:t>
      </w:r>
      <w:r w:rsidRPr="007F40B8">
        <w:rPr>
          <w:rFonts w:cs="Times New Roman"/>
          <w:sz w:val="24"/>
          <w:szCs w:val="24"/>
          <w:u w:val="single"/>
        </w:rPr>
        <w:t>Ministerstva hospodárstva SR</w:t>
      </w:r>
      <w:r w:rsidRPr="007F40B8">
        <w:rPr>
          <w:rFonts w:cs="Times New Roman"/>
          <w:sz w:val="24"/>
          <w:szCs w:val="24"/>
        </w:rPr>
        <w:t xml:space="preserve"> sumou 166 338 tis. eur.</w:t>
      </w:r>
      <w:r w:rsidRPr="007F40B8">
        <w:rPr>
          <w:rFonts w:cs="Times New Roman"/>
          <w:color w:val="FF0000"/>
          <w:sz w:val="24"/>
          <w:szCs w:val="24"/>
        </w:rPr>
        <w:t xml:space="preserve"> </w:t>
      </w:r>
      <w:r w:rsidRPr="007F40B8">
        <w:rPr>
          <w:rFonts w:cs="Times New Roman"/>
          <w:sz w:val="24"/>
          <w:szCs w:val="24"/>
        </w:rPr>
        <w:t>Finančné prostriedky boli vynaložené najmä na financovanie programu Integrovaná infraštruktúra v sume 161 854 tis. eur za účelom posilnenia výskumu, technologického rozvoja a inovácií, na</w:t>
      </w:r>
      <w:r>
        <w:rPr>
          <w:rFonts w:cs="Times New Roman"/>
          <w:sz w:val="24"/>
          <w:szCs w:val="24"/>
        </w:rPr>
        <w:t> </w:t>
      </w:r>
      <w:r w:rsidRPr="007F40B8">
        <w:rPr>
          <w:rFonts w:cs="Times New Roman"/>
          <w:sz w:val="24"/>
          <w:szCs w:val="24"/>
        </w:rPr>
        <w:t>zvýšenie konkurencieschopnosti malých a stredných podnikov, na podporu výskumných, vývojových a</w:t>
      </w:r>
      <w:r w:rsidR="0019687C">
        <w:rPr>
          <w:rFonts w:cs="Times New Roman"/>
          <w:sz w:val="24"/>
          <w:szCs w:val="24"/>
        </w:rPr>
        <w:t> </w:t>
      </w:r>
      <w:r w:rsidRPr="007F40B8">
        <w:rPr>
          <w:rFonts w:cs="Times New Roman"/>
          <w:sz w:val="24"/>
          <w:szCs w:val="24"/>
        </w:rPr>
        <w:t xml:space="preserve">inovačných kapacít a na rozvoj malého a stredného podnikania. Schválený rozpočet na rok 2022 bol navýšený na základe </w:t>
      </w:r>
      <w:r w:rsidRPr="00624699">
        <w:rPr>
          <w:rFonts w:cs="Times New Roman"/>
          <w:sz w:val="24"/>
          <w:szCs w:val="24"/>
        </w:rPr>
        <w:t>rozpočtových opatrení z dôvodu financovania projektov na</w:t>
      </w:r>
      <w:r w:rsidR="0019687C">
        <w:rPr>
          <w:rFonts w:cs="Times New Roman"/>
          <w:sz w:val="24"/>
          <w:szCs w:val="24"/>
        </w:rPr>
        <w:t> </w:t>
      </w:r>
      <w:r w:rsidRPr="00624699">
        <w:rPr>
          <w:rFonts w:cs="Times New Roman"/>
          <w:sz w:val="24"/>
          <w:szCs w:val="24"/>
        </w:rPr>
        <w:t>základe predložených žiadostí o platbu prijímateľa.</w:t>
      </w:r>
    </w:p>
    <w:p w14:paraId="0B3AF0D3" w14:textId="06DC8FBE" w:rsidR="00697268" w:rsidRPr="00624699" w:rsidRDefault="00697268" w:rsidP="00697268">
      <w:pPr>
        <w:spacing w:before="120" w:line="240" w:lineRule="auto"/>
        <w:rPr>
          <w:rFonts w:cs="Times New Roman"/>
          <w:sz w:val="24"/>
          <w:szCs w:val="24"/>
        </w:rPr>
      </w:pPr>
      <w:r w:rsidRPr="00624699">
        <w:rPr>
          <w:rFonts w:cs="Times New Roman"/>
          <w:sz w:val="24"/>
          <w:szCs w:val="24"/>
        </w:rPr>
        <w:t xml:space="preserve">Transfery </w:t>
      </w:r>
      <w:r w:rsidRPr="00624699">
        <w:rPr>
          <w:rFonts w:cs="Times New Roman"/>
          <w:b/>
          <w:i/>
          <w:sz w:val="24"/>
          <w:szCs w:val="24"/>
        </w:rPr>
        <w:t>fyzickej osobe podnikateľovi</w:t>
      </w:r>
      <w:r w:rsidRPr="00624699">
        <w:rPr>
          <w:rFonts w:cs="Times New Roman"/>
          <w:b/>
          <w:sz w:val="24"/>
          <w:szCs w:val="24"/>
        </w:rPr>
        <w:t xml:space="preserve"> </w:t>
      </w:r>
      <w:r w:rsidRPr="00624699">
        <w:rPr>
          <w:rFonts w:cs="Times New Roman"/>
          <w:sz w:val="24"/>
          <w:szCs w:val="24"/>
        </w:rPr>
        <w:t>(96 308 tis. eur)</w:t>
      </w:r>
      <w:r w:rsidRPr="00624699">
        <w:rPr>
          <w:rFonts w:cs="Times New Roman"/>
          <w:b/>
          <w:sz w:val="24"/>
          <w:szCs w:val="24"/>
        </w:rPr>
        <w:t xml:space="preserve"> </w:t>
      </w:r>
      <w:r w:rsidRPr="00624699">
        <w:rPr>
          <w:rFonts w:cs="Times New Roman"/>
          <w:sz w:val="24"/>
          <w:szCs w:val="24"/>
        </w:rPr>
        <w:t xml:space="preserve">boli poskytnuté v rozhodujúcej miere </w:t>
      </w:r>
      <w:r w:rsidRPr="00624699">
        <w:rPr>
          <w:rFonts w:cs="Times New Roman"/>
          <w:sz w:val="24"/>
          <w:szCs w:val="24"/>
          <w:u w:val="single"/>
        </w:rPr>
        <w:t>Ministerstvom pôdohospodárstva a rozvoja vidieka SR</w:t>
      </w:r>
      <w:r w:rsidRPr="00624699">
        <w:rPr>
          <w:rFonts w:cs="Times New Roman"/>
          <w:sz w:val="24"/>
          <w:szCs w:val="24"/>
        </w:rPr>
        <w:t xml:space="preserve"> v sume 87 268 tis. eur. Najväčší podiel na uvedenom čerpaní finančných prostriedkov malo vyplatenie</w:t>
      </w:r>
      <w:r w:rsidRPr="00624699">
        <w:rPr>
          <w:rFonts w:cs="Times New Roman"/>
          <w:bCs/>
          <w:sz w:val="24"/>
          <w:szCs w:val="24"/>
        </w:rPr>
        <w:t xml:space="preserve"> prostriedkov EÚ a spolufinancovania zo štátneho rozpočtu formou priamych platieb z Európskeho </w:t>
      </w:r>
      <w:r w:rsidRPr="00624699">
        <w:rPr>
          <w:rFonts w:cs="Times New Roman"/>
          <w:bCs/>
          <w:sz w:val="24"/>
          <w:szCs w:val="24"/>
        </w:rPr>
        <w:lastRenderedPageBreak/>
        <w:t xml:space="preserve">poľnohospodárskeho záručného fondu (54 280 tis. eur) a čerpanie v zmysle Programu rozvoja vidieka SR 2014-2022 v rámci </w:t>
      </w:r>
      <w:r w:rsidRPr="00624699">
        <w:rPr>
          <w:rFonts w:cs="Times New Roman"/>
          <w:sz w:val="24"/>
          <w:szCs w:val="24"/>
        </w:rPr>
        <w:t xml:space="preserve">Európskeho poľnohospodárskeho fondu pre rozvoj vidieka (21 082 tis. eur). </w:t>
      </w:r>
      <w:r w:rsidRPr="00624699">
        <w:rPr>
          <w:rFonts w:cs="Times New Roman"/>
          <w:bCs/>
          <w:sz w:val="24"/>
          <w:szCs w:val="24"/>
        </w:rPr>
        <w:t>Ďalšie finančné prostriedky (9 088 tis. eur) boli vyplatené formou štátnej pomoci v poľnohospodárstve, v potravinárstve, v lesnom hospodárstve a v rybnom hospodárstve vo forme úľav na environmentálnych daniach (Zelená nafta). Finančné prostriedky na tejto podpoložke neboli rozpočtované, nakoľko sú</w:t>
      </w:r>
      <w:r w:rsidRPr="00624699">
        <w:rPr>
          <w:rFonts w:cs="Times New Roman"/>
          <w:sz w:val="24"/>
          <w:szCs w:val="24"/>
        </w:rPr>
        <w:t xml:space="preserve"> vyplácané až na základe uzatvorených zmlúv, ako aj z dôvodu vyplácania prostriedkov z prevodov z minulých období, ktoré vstupujú až do</w:t>
      </w:r>
      <w:r w:rsidR="0019687C">
        <w:rPr>
          <w:rFonts w:cs="Times New Roman"/>
          <w:sz w:val="24"/>
          <w:szCs w:val="24"/>
        </w:rPr>
        <w:t> </w:t>
      </w:r>
      <w:r w:rsidRPr="00624699">
        <w:rPr>
          <w:rFonts w:cs="Times New Roman"/>
          <w:sz w:val="24"/>
          <w:szCs w:val="24"/>
        </w:rPr>
        <w:t>upraveného rozpočtu.</w:t>
      </w:r>
    </w:p>
    <w:p w14:paraId="6F3577DC" w14:textId="77777777" w:rsidR="00697268" w:rsidRDefault="00697268" w:rsidP="00697268">
      <w:pPr>
        <w:spacing w:line="240" w:lineRule="auto"/>
        <w:rPr>
          <w:rFonts w:cs="Times New Roman"/>
          <w:sz w:val="24"/>
          <w:szCs w:val="24"/>
        </w:rPr>
      </w:pPr>
      <w:r w:rsidRPr="00624699">
        <w:rPr>
          <w:rFonts w:eastAsia="Calibri" w:cs="Times New Roman"/>
          <w:b/>
          <w:bCs/>
          <w:sz w:val="24"/>
          <w:szCs w:val="24"/>
        </w:rPr>
        <w:t xml:space="preserve">Transfery do zahraničia </w:t>
      </w:r>
      <w:r w:rsidRPr="00624699">
        <w:rPr>
          <w:rFonts w:eastAsia="Calibri" w:cs="Times New Roman"/>
          <w:sz w:val="24"/>
          <w:szCs w:val="24"/>
        </w:rPr>
        <w:t>boli poskytnuté</w:t>
      </w:r>
      <w:r w:rsidRPr="00624699">
        <w:rPr>
          <w:rFonts w:eastAsia="Calibri" w:cs="Times New Roman"/>
          <w:b/>
          <w:bCs/>
          <w:sz w:val="24"/>
          <w:szCs w:val="24"/>
        </w:rPr>
        <w:t xml:space="preserve"> </w:t>
      </w:r>
      <w:r w:rsidRPr="00624699">
        <w:rPr>
          <w:rFonts w:eastAsia="Calibri" w:cs="Times New Roman"/>
          <w:sz w:val="24"/>
          <w:szCs w:val="24"/>
        </w:rPr>
        <w:t xml:space="preserve">v celkovom objeme 1 028 943 tis. eur a zahŕňajú najmä </w:t>
      </w:r>
      <w:r w:rsidRPr="00624699">
        <w:rPr>
          <w:rFonts w:eastAsia="Calibri" w:cs="Times New Roman"/>
          <w:b/>
          <w:i/>
          <w:iCs/>
          <w:sz w:val="24"/>
          <w:szCs w:val="24"/>
        </w:rPr>
        <w:t>odvody Slovenskej republiky do rozpočtu Európskej únie</w:t>
      </w:r>
      <w:r w:rsidRPr="00624699">
        <w:rPr>
          <w:rFonts w:eastAsia="Calibri" w:cs="Times New Roman"/>
          <w:sz w:val="24"/>
          <w:szCs w:val="24"/>
        </w:rPr>
        <w:t xml:space="preserve"> na financovanie spoločných programov a politík EÚ. Tieto prostriedky boli </w:t>
      </w:r>
      <w:r w:rsidRPr="00131551">
        <w:rPr>
          <w:rFonts w:eastAsia="Calibri" w:cs="Times New Roman"/>
          <w:color w:val="000000"/>
          <w:sz w:val="24"/>
          <w:szCs w:val="24"/>
        </w:rPr>
        <w:t>poskytnuté výlučne prostredníctvom kapitoly Všeobecná pokladničná správa</w:t>
      </w:r>
      <w:r>
        <w:rPr>
          <w:rFonts w:eastAsia="Calibri" w:cs="Times New Roman"/>
          <w:color w:val="000000"/>
          <w:sz w:val="24"/>
          <w:szCs w:val="24"/>
        </w:rPr>
        <w:t xml:space="preserve"> v sume 940 226 tis. eur</w:t>
      </w:r>
      <w:r w:rsidRPr="00131551">
        <w:rPr>
          <w:rFonts w:eastAsia="Calibri" w:cs="Times New Roman"/>
          <w:color w:val="000000"/>
          <w:sz w:val="24"/>
          <w:szCs w:val="24"/>
        </w:rPr>
        <w:t xml:space="preserve"> a pôvodne boli rozpočtované v sume 1 026 568 tis. eur. </w:t>
      </w:r>
      <w:r>
        <w:rPr>
          <w:rFonts w:eastAsia="Calibri" w:cs="Times New Roman"/>
          <w:color w:val="000000"/>
          <w:sz w:val="24"/>
          <w:szCs w:val="24"/>
        </w:rPr>
        <w:t>Zníženie s</w:t>
      </w:r>
      <w:r w:rsidRPr="00131551">
        <w:rPr>
          <w:rFonts w:eastAsia="Calibri" w:cs="Times New Roman"/>
          <w:color w:val="000000"/>
          <w:sz w:val="24"/>
          <w:szCs w:val="24"/>
        </w:rPr>
        <w:t>kutočn</w:t>
      </w:r>
      <w:r>
        <w:rPr>
          <w:rFonts w:eastAsia="Calibri" w:cs="Times New Roman"/>
          <w:color w:val="000000"/>
          <w:sz w:val="24"/>
          <w:szCs w:val="24"/>
        </w:rPr>
        <w:t>ého</w:t>
      </w:r>
      <w:r w:rsidRPr="00131551">
        <w:rPr>
          <w:rFonts w:eastAsia="Calibri" w:cs="Times New Roman"/>
          <w:color w:val="000000"/>
          <w:sz w:val="24"/>
          <w:szCs w:val="24"/>
        </w:rPr>
        <w:t xml:space="preserve"> odvod</w:t>
      </w:r>
      <w:r>
        <w:rPr>
          <w:rFonts w:eastAsia="Calibri" w:cs="Times New Roman"/>
          <w:color w:val="000000"/>
          <w:sz w:val="24"/>
          <w:szCs w:val="24"/>
        </w:rPr>
        <w:t>u</w:t>
      </w:r>
      <w:r w:rsidRPr="00131551">
        <w:rPr>
          <w:rFonts w:eastAsia="Calibri" w:cs="Times New Roman"/>
          <w:color w:val="000000"/>
          <w:sz w:val="24"/>
          <w:szCs w:val="24"/>
        </w:rPr>
        <w:t xml:space="preserve"> SR z vlastných zdrojov </w:t>
      </w:r>
      <w:r>
        <w:rPr>
          <w:rFonts w:eastAsia="Calibri" w:cs="Times New Roman"/>
          <w:color w:val="000000"/>
          <w:sz w:val="24"/>
          <w:szCs w:val="24"/>
        </w:rPr>
        <w:t xml:space="preserve">do </w:t>
      </w:r>
      <w:r w:rsidRPr="00131551">
        <w:rPr>
          <w:rFonts w:eastAsia="Calibri" w:cs="Times New Roman"/>
          <w:color w:val="000000"/>
          <w:sz w:val="24"/>
          <w:szCs w:val="24"/>
        </w:rPr>
        <w:t>rozpočtu EÚ</w:t>
      </w:r>
      <w:r>
        <w:rPr>
          <w:rFonts w:eastAsia="Calibri" w:cs="Times New Roman"/>
          <w:color w:val="000000"/>
          <w:sz w:val="24"/>
          <w:szCs w:val="24"/>
        </w:rPr>
        <w:t xml:space="preserve"> oproti schválenému rozpočtu</w:t>
      </w:r>
      <w:r w:rsidRPr="00131551">
        <w:rPr>
          <w:rFonts w:eastAsia="Calibri" w:cs="Times New Roman"/>
          <w:color w:val="000000"/>
          <w:sz w:val="24"/>
          <w:szCs w:val="24"/>
        </w:rPr>
        <w:t xml:space="preserve"> </w:t>
      </w:r>
      <w:r>
        <w:rPr>
          <w:rFonts w:eastAsia="Calibri" w:cs="Times New Roman"/>
          <w:color w:val="000000"/>
          <w:sz w:val="24"/>
          <w:szCs w:val="24"/>
        </w:rPr>
        <w:t xml:space="preserve">bolo </w:t>
      </w:r>
      <w:r w:rsidRPr="00131551">
        <w:rPr>
          <w:rFonts w:eastAsia="Calibri" w:cs="Times New Roman"/>
          <w:color w:val="000000"/>
          <w:sz w:val="24"/>
          <w:szCs w:val="24"/>
        </w:rPr>
        <w:t>ovplyvnené novelami rozpočtu EÚ, ktoré upravovali základ vlastného zdroja založeného na hrubom národnom dôchodku smerom nadol, vďaka presunom prebytku z minulého rozpočtového roka, zohľadnením ekonomického vývoja členských štátov EÚ</w:t>
      </w:r>
      <w:r>
        <w:rPr>
          <w:rFonts w:eastAsia="Calibri" w:cs="Times New Roman"/>
          <w:color w:val="000000"/>
          <w:sz w:val="24"/>
          <w:szCs w:val="24"/>
        </w:rPr>
        <w:t>,</w:t>
      </w:r>
      <w:r w:rsidRPr="00131551">
        <w:rPr>
          <w:rFonts w:eastAsia="Calibri" w:cs="Times New Roman"/>
          <w:color w:val="000000"/>
          <w:sz w:val="24"/>
          <w:szCs w:val="24"/>
        </w:rPr>
        <w:t xml:space="preserve"> ako aj zvýšeného príjmu z tradičného vlastného zdroja (cla) do rozpočtu EÚ.</w:t>
      </w:r>
      <w:r>
        <w:rPr>
          <w:rFonts w:cs="Times New Roman"/>
          <w:sz w:val="24"/>
          <w:szCs w:val="24"/>
        </w:rPr>
        <w:t xml:space="preserve"> </w:t>
      </w:r>
    </w:p>
    <w:p w14:paraId="71442F60" w14:textId="77777777" w:rsidR="00697268" w:rsidRPr="007B5528" w:rsidRDefault="00697268" w:rsidP="00697268">
      <w:pPr>
        <w:spacing w:before="120" w:line="240" w:lineRule="auto"/>
        <w:rPr>
          <w:rFonts w:cs="Times New Roman"/>
          <w:sz w:val="24"/>
          <w:szCs w:val="24"/>
        </w:rPr>
      </w:pPr>
      <w:r w:rsidRPr="00FA7D27">
        <w:rPr>
          <w:rFonts w:cs="Times New Roman"/>
          <w:sz w:val="24"/>
          <w:szCs w:val="24"/>
        </w:rPr>
        <w:t xml:space="preserve">V rámci </w:t>
      </w:r>
      <w:r>
        <w:rPr>
          <w:rFonts w:cs="Times New Roman"/>
          <w:sz w:val="24"/>
          <w:szCs w:val="24"/>
        </w:rPr>
        <w:t>transferov do zahraničia</w:t>
      </w:r>
      <w:r w:rsidRPr="00FA7D27">
        <w:rPr>
          <w:rFonts w:cs="Times New Roman"/>
          <w:sz w:val="24"/>
          <w:szCs w:val="24"/>
        </w:rPr>
        <w:t xml:space="preserve"> bola poskytnutá </w:t>
      </w:r>
      <w:r w:rsidRPr="00951C81">
        <w:rPr>
          <w:rFonts w:cs="Times New Roman"/>
          <w:b/>
          <w:i/>
          <w:sz w:val="24"/>
          <w:szCs w:val="24"/>
        </w:rPr>
        <w:t>Medzinárodným organizáciám</w:t>
      </w:r>
      <w:r w:rsidRPr="00FA7D27">
        <w:rPr>
          <w:rFonts w:cs="Times New Roman"/>
          <w:sz w:val="24"/>
          <w:szCs w:val="24"/>
        </w:rPr>
        <w:t xml:space="preserve"> suma 75 340 tis. eur, na čom sa podieľalo najmä</w:t>
      </w:r>
      <w:r>
        <w:rPr>
          <w:rFonts w:cs="Times New Roman"/>
          <w:sz w:val="24"/>
          <w:szCs w:val="24"/>
        </w:rPr>
        <w:t xml:space="preserve"> </w:t>
      </w:r>
      <w:r w:rsidRPr="00951C81">
        <w:rPr>
          <w:rFonts w:cs="Times New Roman"/>
          <w:sz w:val="24"/>
          <w:szCs w:val="24"/>
          <w:u w:val="single"/>
        </w:rPr>
        <w:t>Ministerstvo školstva, vedy, výskumu a športu SR</w:t>
      </w:r>
      <w:r w:rsidRPr="00FA7D27">
        <w:rPr>
          <w:rFonts w:cs="Times New Roman"/>
          <w:sz w:val="24"/>
          <w:szCs w:val="24"/>
        </w:rPr>
        <w:t xml:space="preserve"> v objeme 16 638 tis. eur, ktoré realizovalo úhrady pravidelných príspevkov na členstvo v medzinárodných organizáciách, ako napr. </w:t>
      </w:r>
      <w:proofErr w:type="spellStart"/>
      <w:r w:rsidRPr="00FA7D27">
        <w:rPr>
          <w:rFonts w:cs="Times New Roman"/>
          <w:sz w:val="24"/>
          <w:szCs w:val="24"/>
        </w:rPr>
        <w:t>European</w:t>
      </w:r>
      <w:proofErr w:type="spellEnd"/>
      <w:r w:rsidRPr="00FA7D27">
        <w:rPr>
          <w:rFonts w:cs="Times New Roman"/>
          <w:sz w:val="24"/>
          <w:szCs w:val="24"/>
        </w:rPr>
        <w:t xml:space="preserve"> </w:t>
      </w:r>
      <w:proofErr w:type="spellStart"/>
      <w:r w:rsidRPr="00FA7D27">
        <w:rPr>
          <w:rFonts w:cs="Times New Roman"/>
          <w:sz w:val="24"/>
          <w:szCs w:val="24"/>
        </w:rPr>
        <w:t>Space</w:t>
      </w:r>
      <w:proofErr w:type="spellEnd"/>
      <w:r w:rsidRPr="00FA7D27">
        <w:rPr>
          <w:rFonts w:cs="Times New Roman"/>
          <w:sz w:val="24"/>
          <w:szCs w:val="24"/>
        </w:rPr>
        <w:t xml:space="preserve"> </w:t>
      </w:r>
      <w:proofErr w:type="spellStart"/>
      <w:r w:rsidRPr="00FA7D27">
        <w:rPr>
          <w:rFonts w:cs="Times New Roman"/>
          <w:sz w:val="24"/>
          <w:szCs w:val="24"/>
        </w:rPr>
        <w:t>Agency</w:t>
      </w:r>
      <w:proofErr w:type="spellEnd"/>
      <w:r w:rsidRPr="00FA7D27">
        <w:rPr>
          <w:rFonts w:cs="Times New Roman"/>
          <w:sz w:val="24"/>
          <w:szCs w:val="24"/>
        </w:rPr>
        <w:t xml:space="preserve"> (ESA) </w:t>
      </w:r>
      <w:proofErr w:type="spellStart"/>
      <w:r w:rsidRPr="00FA7D27">
        <w:rPr>
          <w:rFonts w:cs="Times New Roman"/>
          <w:sz w:val="24"/>
          <w:szCs w:val="24"/>
        </w:rPr>
        <w:t>Headquarters</w:t>
      </w:r>
      <w:proofErr w:type="spellEnd"/>
      <w:r w:rsidRPr="00FA7D27">
        <w:rPr>
          <w:rFonts w:cs="Times New Roman"/>
          <w:sz w:val="24"/>
          <w:szCs w:val="24"/>
        </w:rPr>
        <w:t xml:space="preserve">–PECS, </w:t>
      </w:r>
      <w:proofErr w:type="spellStart"/>
      <w:r w:rsidRPr="00FA7D27">
        <w:rPr>
          <w:rFonts w:cs="Times New Roman"/>
          <w:sz w:val="24"/>
          <w:szCs w:val="24"/>
        </w:rPr>
        <w:t>Paris</w:t>
      </w:r>
      <w:proofErr w:type="spellEnd"/>
      <w:r w:rsidRPr="00FA7D27">
        <w:rPr>
          <w:rFonts w:cs="Times New Roman"/>
          <w:sz w:val="24"/>
          <w:szCs w:val="24"/>
        </w:rPr>
        <w:t xml:space="preserve">, </w:t>
      </w:r>
      <w:proofErr w:type="spellStart"/>
      <w:r w:rsidRPr="00FA7D27">
        <w:rPr>
          <w:rFonts w:cs="Times New Roman"/>
          <w:sz w:val="24"/>
          <w:szCs w:val="24"/>
        </w:rPr>
        <w:t>France</w:t>
      </w:r>
      <w:proofErr w:type="spellEnd"/>
      <w:r w:rsidRPr="00FA7D27">
        <w:rPr>
          <w:rFonts w:cs="Times New Roman"/>
          <w:sz w:val="24"/>
          <w:szCs w:val="24"/>
        </w:rPr>
        <w:t xml:space="preserve">, CERN </w:t>
      </w:r>
      <w:proofErr w:type="spellStart"/>
      <w:r w:rsidRPr="00FA7D27">
        <w:rPr>
          <w:rFonts w:cs="Times New Roman"/>
          <w:sz w:val="24"/>
          <w:szCs w:val="24"/>
        </w:rPr>
        <w:t>Finances</w:t>
      </w:r>
      <w:proofErr w:type="spellEnd"/>
      <w:r w:rsidRPr="00FA7D27">
        <w:rPr>
          <w:rFonts w:cs="Times New Roman"/>
          <w:sz w:val="24"/>
          <w:szCs w:val="24"/>
        </w:rPr>
        <w:t xml:space="preserve">, </w:t>
      </w:r>
      <w:proofErr w:type="spellStart"/>
      <w:r w:rsidRPr="00FA7D27">
        <w:rPr>
          <w:rFonts w:cs="Times New Roman"/>
          <w:sz w:val="24"/>
          <w:szCs w:val="24"/>
        </w:rPr>
        <w:t>Geneve</w:t>
      </w:r>
      <w:proofErr w:type="spellEnd"/>
      <w:r w:rsidRPr="00FA7D27">
        <w:rPr>
          <w:rFonts w:cs="Times New Roman"/>
          <w:sz w:val="24"/>
          <w:szCs w:val="24"/>
        </w:rPr>
        <w:t xml:space="preserve">, konzorcium CESSDA ERIC a iné. </w:t>
      </w:r>
      <w:r w:rsidRPr="00FA7D27">
        <w:rPr>
          <w:rFonts w:cs="Times New Roman"/>
          <w:sz w:val="24"/>
          <w:szCs w:val="24"/>
          <w:u w:val="single"/>
        </w:rPr>
        <w:t>Ministerstvo zahraničných vecí a európskych záležitostí SR</w:t>
      </w:r>
      <w:r w:rsidRPr="00FA7D27">
        <w:rPr>
          <w:rFonts w:cs="Times New Roman"/>
          <w:sz w:val="24"/>
          <w:szCs w:val="24"/>
        </w:rPr>
        <w:t xml:space="preserve"> </w:t>
      </w:r>
      <w:r>
        <w:rPr>
          <w:rFonts w:cs="Times New Roman"/>
          <w:sz w:val="24"/>
          <w:szCs w:val="24"/>
        </w:rPr>
        <w:t xml:space="preserve">čerpalo a rámci tejto podpoložky </w:t>
      </w:r>
      <w:r w:rsidRPr="00FA7D27">
        <w:rPr>
          <w:rFonts w:cs="Times New Roman"/>
          <w:sz w:val="24"/>
          <w:szCs w:val="24"/>
        </w:rPr>
        <w:t>sumu 16 032</w:t>
      </w:r>
      <w:r>
        <w:rPr>
          <w:rFonts w:cs="Times New Roman"/>
          <w:sz w:val="24"/>
          <w:szCs w:val="24"/>
        </w:rPr>
        <w:t> tis. eur a</w:t>
      </w:r>
      <w:r>
        <w:rPr>
          <w:rFonts w:cs="Times New Roman"/>
          <w:color w:val="FF0000"/>
          <w:sz w:val="24"/>
          <w:szCs w:val="24"/>
        </w:rPr>
        <w:t xml:space="preserve"> </w:t>
      </w:r>
      <w:r w:rsidRPr="00FA7D27">
        <w:rPr>
          <w:rFonts w:cs="Times New Roman"/>
          <w:sz w:val="24"/>
          <w:szCs w:val="24"/>
        </w:rPr>
        <w:t>realizovalo najmä úhrady členských príspevkov do medzinárodných organizácií, ako napríklad Mierové operácie OSN, OECD, NATO a iné.</w:t>
      </w:r>
      <w:r w:rsidRPr="00B51948">
        <w:rPr>
          <w:rFonts w:cs="Times New Roman"/>
          <w:color w:val="FF0000"/>
          <w:sz w:val="24"/>
          <w:szCs w:val="24"/>
        </w:rPr>
        <w:t xml:space="preserve"> </w:t>
      </w:r>
      <w:r w:rsidRPr="00FA7D27">
        <w:rPr>
          <w:rFonts w:cs="Times New Roman"/>
          <w:sz w:val="24"/>
          <w:szCs w:val="24"/>
        </w:rPr>
        <w:t xml:space="preserve">Významná suma týchto transferov bola realizovaná </w:t>
      </w:r>
      <w:r w:rsidRPr="00951C81">
        <w:rPr>
          <w:rFonts w:cs="Times New Roman"/>
          <w:sz w:val="24"/>
          <w:szCs w:val="24"/>
          <w:u w:val="single"/>
        </w:rPr>
        <w:t>Ministerstvom obrany SR</w:t>
      </w:r>
      <w:r w:rsidRPr="00FA7D27">
        <w:rPr>
          <w:rFonts w:cs="Times New Roman"/>
          <w:sz w:val="24"/>
          <w:szCs w:val="24"/>
        </w:rPr>
        <w:t xml:space="preserve"> v objeme 14 977 tis. eur a </w:t>
      </w:r>
      <w:r w:rsidRPr="00951C81">
        <w:rPr>
          <w:rFonts w:cs="Times New Roman"/>
          <w:sz w:val="24"/>
          <w:szCs w:val="24"/>
          <w:u w:val="single"/>
        </w:rPr>
        <w:t>Všeobecnou pokladničnou správou</w:t>
      </w:r>
      <w:r w:rsidRPr="00FA7D27">
        <w:rPr>
          <w:rFonts w:cs="Times New Roman"/>
          <w:sz w:val="24"/>
          <w:szCs w:val="24"/>
        </w:rPr>
        <w:t xml:space="preserve"> vo výške 10 538 tis. eur.</w:t>
      </w:r>
    </w:p>
    <w:p w14:paraId="172A73BB" w14:textId="012B744C" w:rsidR="00697268" w:rsidRDefault="00697268" w:rsidP="00697268">
      <w:pPr>
        <w:suppressAutoHyphens/>
        <w:spacing w:line="240" w:lineRule="auto"/>
        <w:rPr>
          <w:rFonts w:cs="Times New Roman"/>
          <w:sz w:val="24"/>
          <w:szCs w:val="24"/>
        </w:rPr>
      </w:pPr>
      <w:r w:rsidRPr="005E759F">
        <w:rPr>
          <w:rFonts w:cs="Times New Roman"/>
          <w:b/>
          <w:bCs/>
          <w:sz w:val="24"/>
          <w:szCs w:val="24"/>
        </w:rPr>
        <w:t>Transfery do tuzemských finančných inštitúcií</w:t>
      </w:r>
      <w:r w:rsidRPr="005E759F">
        <w:rPr>
          <w:rFonts w:cs="Times New Roman"/>
          <w:sz w:val="24"/>
          <w:szCs w:val="24"/>
        </w:rPr>
        <w:t xml:space="preserve"> boli poskytnuté</w:t>
      </w:r>
      <w:r w:rsidRPr="00B51948">
        <w:rPr>
          <w:rFonts w:cs="Times New Roman"/>
          <w:color w:val="FF0000"/>
          <w:sz w:val="24"/>
          <w:szCs w:val="24"/>
        </w:rPr>
        <w:t xml:space="preserve"> </w:t>
      </w:r>
      <w:r w:rsidRPr="00C64055">
        <w:rPr>
          <w:rFonts w:cs="Times New Roman"/>
          <w:sz w:val="24"/>
          <w:szCs w:val="24"/>
        </w:rPr>
        <w:t xml:space="preserve">v celkovej sume 16 475 tis. eur </w:t>
      </w:r>
      <w:r w:rsidRPr="00C64055">
        <w:rPr>
          <w:rFonts w:cs="Times New Roman"/>
          <w:b/>
          <w:i/>
          <w:sz w:val="24"/>
          <w:szCs w:val="24"/>
        </w:rPr>
        <w:t xml:space="preserve">na implementáciu finančných nástrojov </w:t>
      </w:r>
      <w:r w:rsidRPr="00C64055">
        <w:rPr>
          <w:rFonts w:cs="Times New Roman"/>
          <w:sz w:val="24"/>
          <w:szCs w:val="24"/>
        </w:rPr>
        <w:t xml:space="preserve">v sume 13 274 tis. eur, výlučne prostredníctvom </w:t>
      </w:r>
      <w:r w:rsidRPr="00C64055">
        <w:rPr>
          <w:rFonts w:cs="Times New Roman"/>
          <w:sz w:val="24"/>
          <w:szCs w:val="24"/>
          <w:u w:val="single"/>
        </w:rPr>
        <w:t>Ministerstva dopravy a výstavby SR</w:t>
      </w:r>
      <w:r w:rsidRPr="00C64055">
        <w:rPr>
          <w:rFonts w:cs="Times New Roman"/>
          <w:sz w:val="24"/>
          <w:szCs w:val="24"/>
        </w:rPr>
        <w:t>,</w:t>
      </w:r>
      <w:r w:rsidR="00A640D5">
        <w:rPr>
          <w:rFonts w:cs="Times New Roman"/>
          <w:sz w:val="24"/>
          <w:szCs w:val="24"/>
        </w:rPr>
        <w:t xml:space="preserve"> </w:t>
      </w:r>
      <w:r w:rsidRPr="00C64055">
        <w:rPr>
          <w:rFonts w:eastAsia="Times New Roman" w:cs="Times New Roman"/>
          <w:sz w:val="24"/>
          <w:szCs w:val="24"/>
        </w:rPr>
        <w:t xml:space="preserve">na úhradu výdavkov </w:t>
      </w:r>
      <w:r w:rsidRPr="00C64055">
        <w:rPr>
          <w:rFonts w:eastAsia="Times New Roman" w:cs="Times New Roman"/>
          <w:b/>
          <w:i/>
          <w:sz w:val="24"/>
          <w:szCs w:val="24"/>
        </w:rPr>
        <w:t>na činnosť Kancelárie Rady pre rozpočtovú zodpovednosť</w:t>
      </w:r>
      <w:r w:rsidRPr="00C64055">
        <w:rPr>
          <w:rFonts w:eastAsia="Times New Roman" w:cs="Times New Roman"/>
          <w:sz w:val="24"/>
          <w:szCs w:val="24"/>
        </w:rPr>
        <w:t xml:space="preserve"> v objeme 1 874 tis. eur </w:t>
      </w:r>
      <w:r w:rsidRPr="00C64055">
        <w:rPr>
          <w:rFonts w:cs="Times New Roman"/>
          <w:sz w:val="24"/>
          <w:szCs w:val="24"/>
        </w:rPr>
        <w:t xml:space="preserve">prostredníctvom </w:t>
      </w:r>
      <w:r w:rsidRPr="00C64055">
        <w:rPr>
          <w:rFonts w:cs="Times New Roman"/>
          <w:sz w:val="24"/>
          <w:szCs w:val="24"/>
          <w:u w:val="single"/>
        </w:rPr>
        <w:t>Ministerstva financií SR</w:t>
      </w:r>
      <w:r w:rsidRPr="00C64055">
        <w:rPr>
          <w:rFonts w:cs="Times New Roman"/>
          <w:sz w:val="24"/>
          <w:szCs w:val="24"/>
        </w:rPr>
        <w:t xml:space="preserve"> a</w:t>
      </w:r>
      <w:r w:rsidRPr="002904EE">
        <w:rPr>
          <w:rFonts w:cs="Times New Roman"/>
          <w:sz w:val="24"/>
          <w:szCs w:val="24"/>
        </w:rPr>
        <w:t xml:space="preserve"> </w:t>
      </w:r>
      <w:r w:rsidRPr="00C64055">
        <w:rPr>
          <w:rFonts w:cs="Times New Roman"/>
          <w:b/>
          <w:i/>
          <w:sz w:val="24"/>
          <w:szCs w:val="24"/>
        </w:rPr>
        <w:t>na úhradu majetkovej ujmy</w:t>
      </w:r>
      <w:r w:rsidRPr="00C64055">
        <w:rPr>
          <w:rFonts w:cs="Times New Roman"/>
          <w:sz w:val="24"/>
          <w:szCs w:val="24"/>
        </w:rPr>
        <w:t xml:space="preserve"> v sume 1 327 tis. eur.</w:t>
      </w:r>
    </w:p>
    <w:p w14:paraId="44755170" w14:textId="77777777" w:rsidR="00697268" w:rsidRPr="00C718C5" w:rsidRDefault="00697268" w:rsidP="00697268">
      <w:pPr>
        <w:suppressAutoHyphens/>
        <w:spacing w:line="240" w:lineRule="auto"/>
        <w:rPr>
          <w:b/>
          <w:color w:val="5B9BD5" w:themeColor="accent1"/>
          <w:sz w:val="24"/>
          <w:szCs w:val="24"/>
        </w:rPr>
      </w:pPr>
    </w:p>
    <w:p w14:paraId="1396C814" w14:textId="10F59538" w:rsidR="0051484D" w:rsidRDefault="0051484D" w:rsidP="00F63BD6">
      <w:pPr>
        <w:pStyle w:val="Nadpis4"/>
        <w:spacing w:before="0"/>
        <w:rPr>
          <w:sz w:val="24"/>
          <w:szCs w:val="24"/>
        </w:rPr>
      </w:pPr>
      <w:bookmarkStart w:id="47" w:name="_Toc132929092"/>
      <w:r w:rsidRPr="00F638B4">
        <w:t>Kapitálové</w:t>
      </w:r>
      <w:r w:rsidRPr="00E1218F">
        <w:rPr>
          <w:sz w:val="24"/>
          <w:szCs w:val="24"/>
        </w:rPr>
        <w:t xml:space="preserve"> výdavky</w:t>
      </w:r>
      <w:bookmarkEnd w:id="47"/>
    </w:p>
    <w:p w14:paraId="14359D7C" w14:textId="77777777" w:rsidR="00574126" w:rsidRDefault="00574126" w:rsidP="00574126">
      <w:pPr>
        <w:spacing w:line="240" w:lineRule="auto"/>
        <w:rPr>
          <w:sz w:val="24"/>
          <w:szCs w:val="24"/>
        </w:rPr>
      </w:pPr>
      <w:r w:rsidRPr="00D715AF">
        <w:rPr>
          <w:sz w:val="24"/>
          <w:szCs w:val="24"/>
        </w:rPr>
        <w:t xml:space="preserve">Kapitálové výdavky tvoria výdavky na </w:t>
      </w:r>
      <w:r w:rsidRPr="00F86A21">
        <w:rPr>
          <w:sz w:val="24"/>
          <w:szCs w:val="24"/>
          <w:u w:val="single"/>
        </w:rPr>
        <w:t>obstaranie hmotného a nehmotného majetku</w:t>
      </w:r>
      <w:r w:rsidRPr="00D715AF">
        <w:rPr>
          <w:sz w:val="24"/>
          <w:szCs w:val="24"/>
        </w:rPr>
        <w:t xml:space="preserve">, vrátane výdavkov súvisiacich s obstaraním tohto majetku (napr. </w:t>
      </w:r>
      <w:r>
        <w:rPr>
          <w:sz w:val="24"/>
          <w:szCs w:val="24"/>
        </w:rPr>
        <w:t>projektová dokumentácia, výdavky s prípravou a zabezpečením obstarania majetku)</w:t>
      </w:r>
      <w:r w:rsidRPr="00D715AF">
        <w:rPr>
          <w:sz w:val="24"/>
          <w:szCs w:val="24"/>
        </w:rPr>
        <w:t xml:space="preserve"> a </w:t>
      </w:r>
      <w:r w:rsidRPr="00F86A21">
        <w:rPr>
          <w:sz w:val="24"/>
          <w:szCs w:val="24"/>
          <w:u w:val="single"/>
        </w:rPr>
        <w:t>kapitálové transfery</w:t>
      </w:r>
      <w:r w:rsidRPr="00D715AF">
        <w:rPr>
          <w:sz w:val="24"/>
          <w:szCs w:val="24"/>
        </w:rPr>
        <w:t>, teda platby vykonané s cieľom umožniť príjemcovi nadobudnúť kapitálové aktíva alebo kompenzovať</w:t>
      </w:r>
      <w:r>
        <w:rPr>
          <w:sz w:val="24"/>
          <w:szCs w:val="24"/>
        </w:rPr>
        <w:t xml:space="preserve"> ich poškodenie alebo trvalé zničenie.</w:t>
      </w:r>
    </w:p>
    <w:p w14:paraId="67E749E1" w14:textId="47F873C2" w:rsidR="00574126" w:rsidRDefault="00574126" w:rsidP="00574126">
      <w:pPr>
        <w:spacing w:line="240" w:lineRule="auto"/>
        <w:rPr>
          <w:sz w:val="24"/>
          <w:szCs w:val="24"/>
        </w:rPr>
      </w:pPr>
      <w:r w:rsidRPr="00D715AF">
        <w:rPr>
          <w:sz w:val="24"/>
          <w:szCs w:val="24"/>
        </w:rPr>
        <w:t>Rozpočet kapitálových výdavkov na rok 202</w:t>
      </w:r>
      <w:r>
        <w:rPr>
          <w:sz w:val="24"/>
          <w:szCs w:val="24"/>
        </w:rPr>
        <w:t>2</w:t>
      </w:r>
      <w:r w:rsidRPr="00D715AF">
        <w:rPr>
          <w:sz w:val="24"/>
          <w:szCs w:val="24"/>
        </w:rPr>
        <w:t xml:space="preserve"> predstavoval sumu </w:t>
      </w:r>
      <w:r>
        <w:rPr>
          <w:sz w:val="24"/>
          <w:szCs w:val="24"/>
        </w:rPr>
        <w:t>4</w:t>
      </w:r>
      <w:r w:rsidRPr="00D715AF">
        <w:rPr>
          <w:sz w:val="24"/>
          <w:szCs w:val="24"/>
        </w:rPr>
        <w:t> </w:t>
      </w:r>
      <w:r>
        <w:rPr>
          <w:sz w:val="24"/>
          <w:szCs w:val="24"/>
        </w:rPr>
        <w:t>113</w:t>
      </w:r>
      <w:r w:rsidRPr="00D715AF">
        <w:rPr>
          <w:sz w:val="24"/>
          <w:szCs w:val="24"/>
        </w:rPr>
        <w:t> </w:t>
      </w:r>
      <w:r>
        <w:rPr>
          <w:sz w:val="24"/>
          <w:szCs w:val="24"/>
        </w:rPr>
        <w:t>805</w:t>
      </w:r>
      <w:r w:rsidRPr="00D715AF">
        <w:rPr>
          <w:sz w:val="24"/>
          <w:szCs w:val="24"/>
        </w:rPr>
        <w:t> tis. eur, ktorá sa rozpočtovými opatreniami z</w:t>
      </w:r>
      <w:r>
        <w:rPr>
          <w:sz w:val="24"/>
          <w:szCs w:val="24"/>
        </w:rPr>
        <w:t>nížila</w:t>
      </w:r>
      <w:r w:rsidRPr="00D715AF">
        <w:rPr>
          <w:sz w:val="24"/>
          <w:szCs w:val="24"/>
        </w:rPr>
        <w:t xml:space="preserve"> </w:t>
      </w:r>
      <w:r>
        <w:rPr>
          <w:sz w:val="24"/>
          <w:szCs w:val="24"/>
        </w:rPr>
        <w:t xml:space="preserve">o sumu 1 307 430 tis. eur </w:t>
      </w:r>
      <w:r w:rsidRPr="00D715AF">
        <w:rPr>
          <w:sz w:val="24"/>
          <w:szCs w:val="24"/>
        </w:rPr>
        <w:t>na</w:t>
      </w:r>
      <w:r>
        <w:rPr>
          <w:sz w:val="24"/>
          <w:szCs w:val="24"/>
        </w:rPr>
        <w:t xml:space="preserve"> 2 806 375 </w:t>
      </w:r>
      <w:r w:rsidRPr="00D715AF">
        <w:rPr>
          <w:sz w:val="24"/>
          <w:szCs w:val="24"/>
        </w:rPr>
        <w:t xml:space="preserve">tis. eur. </w:t>
      </w:r>
      <w:r>
        <w:rPr>
          <w:sz w:val="24"/>
          <w:szCs w:val="24"/>
        </w:rPr>
        <w:t xml:space="preserve">Skutočné čerpanie dosiahlo takmer stopercentný upravený rozpočet, </w:t>
      </w:r>
      <w:r w:rsidRPr="00D715AF">
        <w:rPr>
          <w:sz w:val="24"/>
          <w:szCs w:val="24"/>
        </w:rPr>
        <w:t>2</w:t>
      </w:r>
      <w:r>
        <w:rPr>
          <w:sz w:val="24"/>
          <w:szCs w:val="24"/>
        </w:rPr>
        <w:t> 707 005 tis. eur a oproti predchádzajúcemu roku bolo vyššie o 266 844 tis. eur</w:t>
      </w:r>
      <w:r w:rsidRPr="00D715AF">
        <w:rPr>
          <w:sz w:val="24"/>
          <w:szCs w:val="24"/>
        </w:rPr>
        <w:t xml:space="preserve">. Podstatné zmeny v upravenom rozpočte vznikli v dôsledku realizácie § 8 zákona o rozpočtových pravidlách. V zmysle uvedeného paragrafu môže Ministerstvo financií SR na konci bežného rozpočtového roka viazať výdavky (znížiť upravený rozpočet) o nevyčerpané prostriedky, ktoré budú v nasledujúcom rozpočtovom roku použité a týmto spôsobom navýšia upravený rozpočet nasledujúceho rozpočtového roka. </w:t>
      </w:r>
      <w:r w:rsidRPr="00D715AF">
        <w:rPr>
          <w:sz w:val="24"/>
          <w:szCs w:val="24"/>
        </w:rPr>
        <w:lastRenderedPageBreak/>
        <w:t xml:space="preserve">O sumu viazaných prostriedkov Ministerstvo financií SR môže povoliť prekročenie limitu výdavkov v nasledujúcom rozpočtovom roku. </w:t>
      </w:r>
    </w:p>
    <w:p w14:paraId="2F0A208B" w14:textId="77777777" w:rsidR="00574126" w:rsidRDefault="00574126" w:rsidP="00574126">
      <w:pPr>
        <w:spacing w:line="240" w:lineRule="auto"/>
        <w:rPr>
          <w:sz w:val="24"/>
          <w:szCs w:val="24"/>
        </w:rPr>
      </w:pPr>
      <w:r w:rsidRPr="00631987">
        <w:rPr>
          <w:sz w:val="24"/>
          <w:szCs w:val="24"/>
        </w:rPr>
        <w:t>V roku 2022 sa spolu použili kapitálové výdavky rozpočtované pred rokom 202</w:t>
      </w:r>
      <w:r>
        <w:rPr>
          <w:sz w:val="24"/>
          <w:szCs w:val="24"/>
        </w:rPr>
        <w:t>2</w:t>
      </w:r>
      <w:r w:rsidRPr="00631987">
        <w:rPr>
          <w:sz w:val="24"/>
          <w:szCs w:val="24"/>
        </w:rPr>
        <w:t xml:space="preserve"> v sume </w:t>
      </w:r>
      <w:r>
        <w:rPr>
          <w:sz w:val="24"/>
          <w:szCs w:val="24"/>
        </w:rPr>
        <w:t>679 046 tis</w:t>
      </w:r>
      <w:r w:rsidRPr="00631987">
        <w:rPr>
          <w:sz w:val="24"/>
          <w:szCs w:val="24"/>
        </w:rPr>
        <w:t xml:space="preserve">. eur. </w:t>
      </w:r>
      <w:r>
        <w:rPr>
          <w:sz w:val="24"/>
          <w:szCs w:val="24"/>
        </w:rPr>
        <w:t>V takmer rovnakej výške</w:t>
      </w:r>
      <w:r w:rsidRPr="00631987">
        <w:rPr>
          <w:sz w:val="24"/>
          <w:szCs w:val="24"/>
        </w:rPr>
        <w:t xml:space="preserve"> </w:t>
      </w:r>
      <w:r>
        <w:rPr>
          <w:sz w:val="24"/>
          <w:szCs w:val="24"/>
        </w:rPr>
        <w:t xml:space="preserve">sa v </w:t>
      </w:r>
      <w:r w:rsidRPr="00631987">
        <w:rPr>
          <w:sz w:val="24"/>
          <w:szCs w:val="24"/>
        </w:rPr>
        <w:t>roku 2022 sa zaviazali kapitálové výdavky rozpočtované v rokoch 2021 a 2022</w:t>
      </w:r>
      <w:r>
        <w:rPr>
          <w:sz w:val="24"/>
          <w:szCs w:val="24"/>
        </w:rPr>
        <w:t>,</w:t>
      </w:r>
      <w:r w:rsidRPr="00631987">
        <w:rPr>
          <w:sz w:val="24"/>
          <w:szCs w:val="24"/>
        </w:rPr>
        <w:t xml:space="preserve"> </w:t>
      </w:r>
      <w:r>
        <w:rPr>
          <w:sz w:val="24"/>
          <w:szCs w:val="24"/>
        </w:rPr>
        <w:t>678 412</w:t>
      </w:r>
      <w:r w:rsidRPr="00631987">
        <w:rPr>
          <w:sz w:val="24"/>
          <w:szCs w:val="24"/>
        </w:rPr>
        <w:t xml:space="preserve"> tis. eur. </w:t>
      </w:r>
    </w:p>
    <w:p w14:paraId="328F4C3D" w14:textId="445125D3" w:rsidR="00574126" w:rsidRDefault="00574126" w:rsidP="00574126">
      <w:pPr>
        <w:spacing w:line="240" w:lineRule="auto"/>
        <w:rPr>
          <w:sz w:val="24"/>
          <w:szCs w:val="24"/>
        </w:rPr>
      </w:pPr>
      <w:r w:rsidRPr="00D60895">
        <w:rPr>
          <w:sz w:val="24"/>
          <w:szCs w:val="24"/>
        </w:rPr>
        <w:t xml:space="preserve">Prostriedky z Plánu obnovy a odolnosti boli použité v roku 2022 z predchádzajúceho obdobia v sume 12 813 tis. eur, z toho prostriedky na úhradu DPH v sume 847 tis. eur. V roku 2022 sa podľa § 8 zákona </w:t>
      </w:r>
      <w:r w:rsidR="00545BC2">
        <w:rPr>
          <w:sz w:val="24"/>
          <w:szCs w:val="24"/>
        </w:rPr>
        <w:t>o rozpočtových pravidlách</w:t>
      </w:r>
      <w:r w:rsidRPr="00D60895">
        <w:rPr>
          <w:sz w:val="24"/>
          <w:szCs w:val="24"/>
        </w:rPr>
        <w:t xml:space="preserve"> zaviazali výdavky z Plánu obnovy a odolnosti v</w:t>
      </w:r>
      <w:r w:rsidR="00545BC2">
        <w:rPr>
          <w:sz w:val="24"/>
          <w:szCs w:val="24"/>
        </w:rPr>
        <w:t> </w:t>
      </w:r>
      <w:r w:rsidRPr="00D60895">
        <w:rPr>
          <w:sz w:val="24"/>
          <w:szCs w:val="24"/>
        </w:rPr>
        <w:t>sume</w:t>
      </w:r>
      <w:r w:rsidR="00545BC2">
        <w:rPr>
          <w:sz w:val="24"/>
          <w:szCs w:val="24"/>
        </w:rPr>
        <w:t xml:space="preserve"> </w:t>
      </w:r>
      <w:r w:rsidRPr="00D60895">
        <w:rPr>
          <w:sz w:val="24"/>
          <w:szCs w:val="24"/>
        </w:rPr>
        <w:t>1 377 120 tis. eur (v tom kód zdroja 13 v sume 111 709 tis. eur a kód zdroja 11 v sume 1 265 411 eur). Prostriedky Plánu obnovy a odolnosti – prostriedky na úhradu DPH v sume 211 262 tis. eur (v tom kód zdroja 13 v sume 15 657 tis. eur a kód zdroja 11 v sume 195 605 tis. eur).</w:t>
      </w:r>
    </w:p>
    <w:tbl>
      <w:tblPr>
        <w:tblW w:w="9214" w:type="dxa"/>
        <w:tblCellMar>
          <w:left w:w="70" w:type="dxa"/>
          <w:right w:w="70" w:type="dxa"/>
        </w:tblCellMar>
        <w:tblLook w:val="04A0" w:firstRow="1" w:lastRow="0" w:firstColumn="1" w:lastColumn="0" w:noHBand="0" w:noVBand="1"/>
      </w:tblPr>
      <w:tblGrid>
        <w:gridCol w:w="3150"/>
        <w:gridCol w:w="998"/>
        <w:gridCol w:w="1022"/>
        <w:gridCol w:w="1104"/>
        <w:gridCol w:w="956"/>
        <w:gridCol w:w="1134"/>
        <w:gridCol w:w="850"/>
      </w:tblGrid>
      <w:tr w:rsidR="00F11BD2" w:rsidRPr="00F11BD2" w14:paraId="2CFA5318" w14:textId="77777777" w:rsidTr="00942D75">
        <w:trPr>
          <w:trHeight w:val="300"/>
        </w:trPr>
        <w:tc>
          <w:tcPr>
            <w:tcW w:w="9214" w:type="dxa"/>
            <w:gridSpan w:val="7"/>
            <w:tcBorders>
              <w:top w:val="nil"/>
              <w:left w:val="nil"/>
              <w:bottom w:val="single" w:sz="8" w:space="0" w:color="auto"/>
              <w:right w:val="nil"/>
            </w:tcBorders>
            <w:shd w:val="clear" w:color="auto" w:fill="auto"/>
            <w:vAlign w:val="center"/>
            <w:hideMark/>
          </w:tcPr>
          <w:p w14:paraId="1B1919AA" w14:textId="1C9A0EE8" w:rsidR="00F11BD2" w:rsidRPr="00F11BD2" w:rsidRDefault="00D50C99" w:rsidP="008B3212">
            <w:pPr>
              <w:spacing w:after="0" w:line="240" w:lineRule="auto"/>
              <w:rPr>
                <w:rFonts w:eastAsia="Times New Roman" w:cs="Times New Roman"/>
                <w:b/>
                <w:bCs/>
                <w:color w:val="5B9BD5"/>
                <w:sz w:val="20"/>
                <w:szCs w:val="20"/>
                <w:lang w:eastAsia="sk-SK"/>
              </w:rPr>
            </w:pPr>
            <w:r>
              <w:rPr>
                <w:rFonts w:eastAsia="Times New Roman" w:cs="Times New Roman"/>
                <w:b/>
                <w:bCs/>
                <w:color w:val="5B9BD5"/>
                <w:sz w:val="20"/>
                <w:szCs w:val="20"/>
                <w:lang w:eastAsia="sk-SK"/>
              </w:rPr>
              <w:t xml:space="preserve">Tabuľka </w:t>
            </w:r>
            <w:r w:rsidR="00240940">
              <w:rPr>
                <w:rFonts w:eastAsia="Times New Roman" w:cs="Times New Roman"/>
                <w:b/>
                <w:bCs/>
                <w:color w:val="5B9BD5"/>
                <w:sz w:val="20"/>
                <w:szCs w:val="20"/>
                <w:lang w:eastAsia="sk-SK"/>
              </w:rPr>
              <w:t>4</w:t>
            </w:r>
            <w:r w:rsidR="008B3212">
              <w:rPr>
                <w:rFonts w:eastAsia="Times New Roman" w:cs="Times New Roman"/>
                <w:b/>
                <w:bCs/>
                <w:color w:val="5B9BD5"/>
                <w:sz w:val="20"/>
                <w:szCs w:val="20"/>
                <w:lang w:eastAsia="sk-SK"/>
              </w:rPr>
              <w:t>1</w:t>
            </w:r>
            <w:r w:rsidR="00F11BD2" w:rsidRPr="00F11BD2">
              <w:rPr>
                <w:rFonts w:eastAsia="Times New Roman" w:cs="Times New Roman"/>
                <w:b/>
                <w:bCs/>
                <w:color w:val="5B9BD5"/>
                <w:sz w:val="20"/>
                <w:szCs w:val="20"/>
                <w:lang w:eastAsia="sk-SK"/>
              </w:rPr>
              <w:t xml:space="preserve"> - Kapitálové výdavky v základnej ekonomickej štruktúre</w:t>
            </w:r>
          </w:p>
        </w:tc>
      </w:tr>
      <w:tr w:rsidR="00F11BD2" w:rsidRPr="00F11BD2" w14:paraId="1A73DC0B" w14:textId="77777777" w:rsidTr="00CE362A">
        <w:trPr>
          <w:trHeight w:val="142"/>
        </w:trPr>
        <w:tc>
          <w:tcPr>
            <w:tcW w:w="3150" w:type="dxa"/>
            <w:vMerge w:val="restart"/>
            <w:tcBorders>
              <w:top w:val="nil"/>
              <w:left w:val="nil"/>
              <w:bottom w:val="single" w:sz="8" w:space="0" w:color="000000"/>
              <w:right w:val="nil"/>
            </w:tcBorders>
            <w:shd w:val="clear" w:color="auto" w:fill="auto"/>
            <w:vAlign w:val="center"/>
            <w:hideMark/>
          </w:tcPr>
          <w:p w14:paraId="1A528C5F" w14:textId="77777777" w:rsidR="00F11BD2" w:rsidRPr="00F11BD2" w:rsidRDefault="00F11BD2" w:rsidP="00F11BD2">
            <w:pPr>
              <w:spacing w:after="0" w:line="240" w:lineRule="auto"/>
              <w:jc w:val="lef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v tis. eur</w:t>
            </w:r>
            <w:r w:rsidRPr="00F11BD2">
              <w:rPr>
                <w:rFonts w:ascii="Arial Narrow" w:eastAsia="Times New Roman" w:hAnsi="Arial Narrow" w:cs="Times New Roman"/>
                <w:b/>
                <w:bCs/>
                <w:color w:val="000000"/>
                <w:sz w:val="20"/>
                <w:szCs w:val="20"/>
                <w:lang w:eastAsia="sk-SK"/>
              </w:rPr>
              <w:t> </w:t>
            </w:r>
          </w:p>
        </w:tc>
        <w:tc>
          <w:tcPr>
            <w:tcW w:w="998" w:type="dxa"/>
            <w:tcBorders>
              <w:top w:val="nil"/>
              <w:left w:val="nil"/>
              <w:bottom w:val="nil"/>
              <w:right w:val="nil"/>
            </w:tcBorders>
            <w:shd w:val="clear" w:color="auto" w:fill="auto"/>
            <w:vAlign w:val="center"/>
            <w:hideMark/>
          </w:tcPr>
          <w:p w14:paraId="6BDFEB61"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2020 S</w:t>
            </w:r>
          </w:p>
        </w:tc>
        <w:tc>
          <w:tcPr>
            <w:tcW w:w="1022" w:type="dxa"/>
            <w:tcBorders>
              <w:top w:val="nil"/>
              <w:left w:val="nil"/>
              <w:bottom w:val="nil"/>
              <w:right w:val="nil"/>
            </w:tcBorders>
            <w:shd w:val="clear" w:color="auto" w:fill="auto"/>
            <w:vAlign w:val="center"/>
            <w:hideMark/>
          </w:tcPr>
          <w:p w14:paraId="0855E466"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2021 S</w:t>
            </w:r>
          </w:p>
        </w:tc>
        <w:tc>
          <w:tcPr>
            <w:tcW w:w="1104" w:type="dxa"/>
            <w:tcBorders>
              <w:top w:val="nil"/>
              <w:left w:val="nil"/>
              <w:bottom w:val="nil"/>
              <w:right w:val="nil"/>
            </w:tcBorders>
            <w:shd w:val="clear" w:color="auto" w:fill="auto"/>
            <w:vAlign w:val="center"/>
            <w:hideMark/>
          </w:tcPr>
          <w:p w14:paraId="6227CFC8"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2022 R</w:t>
            </w:r>
          </w:p>
        </w:tc>
        <w:tc>
          <w:tcPr>
            <w:tcW w:w="956" w:type="dxa"/>
            <w:tcBorders>
              <w:top w:val="nil"/>
              <w:left w:val="nil"/>
              <w:bottom w:val="nil"/>
              <w:right w:val="nil"/>
            </w:tcBorders>
            <w:shd w:val="clear" w:color="auto" w:fill="auto"/>
            <w:vAlign w:val="center"/>
            <w:hideMark/>
          </w:tcPr>
          <w:p w14:paraId="2C5B045F"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2022 S</w:t>
            </w:r>
          </w:p>
        </w:tc>
        <w:tc>
          <w:tcPr>
            <w:tcW w:w="1134" w:type="dxa"/>
            <w:tcBorders>
              <w:top w:val="nil"/>
              <w:left w:val="nil"/>
              <w:bottom w:val="nil"/>
              <w:right w:val="nil"/>
            </w:tcBorders>
            <w:shd w:val="clear" w:color="auto" w:fill="auto"/>
            <w:vAlign w:val="center"/>
            <w:hideMark/>
          </w:tcPr>
          <w:p w14:paraId="3AC38CC0"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Rozdiel</w:t>
            </w:r>
          </w:p>
        </w:tc>
        <w:tc>
          <w:tcPr>
            <w:tcW w:w="850" w:type="dxa"/>
            <w:tcBorders>
              <w:top w:val="nil"/>
              <w:left w:val="nil"/>
              <w:bottom w:val="nil"/>
              <w:right w:val="nil"/>
            </w:tcBorders>
            <w:shd w:val="clear" w:color="auto" w:fill="auto"/>
            <w:vAlign w:val="center"/>
            <w:hideMark/>
          </w:tcPr>
          <w:p w14:paraId="7AFB6C3A"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v %</w:t>
            </w:r>
          </w:p>
        </w:tc>
      </w:tr>
      <w:tr w:rsidR="00F11BD2" w:rsidRPr="00F11BD2" w14:paraId="34998A20" w14:textId="77777777" w:rsidTr="00CE362A">
        <w:trPr>
          <w:trHeight w:val="142"/>
        </w:trPr>
        <w:tc>
          <w:tcPr>
            <w:tcW w:w="3150" w:type="dxa"/>
            <w:vMerge/>
            <w:tcBorders>
              <w:top w:val="nil"/>
              <w:left w:val="nil"/>
              <w:bottom w:val="single" w:sz="8" w:space="0" w:color="000000"/>
              <w:right w:val="nil"/>
            </w:tcBorders>
            <w:vAlign w:val="center"/>
            <w:hideMark/>
          </w:tcPr>
          <w:p w14:paraId="69CD45EB" w14:textId="77777777" w:rsidR="00F11BD2" w:rsidRPr="00F11BD2" w:rsidRDefault="00F11BD2" w:rsidP="00F11BD2">
            <w:pPr>
              <w:spacing w:after="0" w:line="240" w:lineRule="auto"/>
              <w:jc w:val="left"/>
              <w:rPr>
                <w:rFonts w:eastAsia="Times New Roman" w:cs="Times New Roman"/>
                <w:b/>
                <w:bCs/>
                <w:color w:val="000000"/>
                <w:sz w:val="20"/>
                <w:szCs w:val="20"/>
                <w:lang w:eastAsia="sk-SK"/>
              </w:rPr>
            </w:pPr>
          </w:p>
        </w:tc>
        <w:tc>
          <w:tcPr>
            <w:tcW w:w="998" w:type="dxa"/>
            <w:tcBorders>
              <w:top w:val="nil"/>
              <w:left w:val="nil"/>
              <w:bottom w:val="single" w:sz="8" w:space="0" w:color="auto"/>
              <w:right w:val="nil"/>
            </w:tcBorders>
            <w:shd w:val="clear" w:color="auto" w:fill="auto"/>
            <w:vAlign w:val="center"/>
            <w:hideMark/>
          </w:tcPr>
          <w:p w14:paraId="030043DB"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w:t>
            </w:r>
          </w:p>
        </w:tc>
        <w:tc>
          <w:tcPr>
            <w:tcW w:w="1022" w:type="dxa"/>
            <w:tcBorders>
              <w:top w:val="nil"/>
              <w:left w:val="nil"/>
              <w:bottom w:val="single" w:sz="8" w:space="0" w:color="auto"/>
              <w:right w:val="nil"/>
            </w:tcBorders>
            <w:shd w:val="clear" w:color="auto" w:fill="auto"/>
            <w:vAlign w:val="center"/>
            <w:hideMark/>
          </w:tcPr>
          <w:p w14:paraId="3C37E939"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2</w:t>
            </w:r>
          </w:p>
        </w:tc>
        <w:tc>
          <w:tcPr>
            <w:tcW w:w="1104" w:type="dxa"/>
            <w:tcBorders>
              <w:top w:val="nil"/>
              <w:left w:val="nil"/>
              <w:bottom w:val="single" w:sz="8" w:space="0" w:color="auto"/>
              <w:right w:val="nil"/>
            </w:tcBorders>
            <w:shd w:val="clear" w:color="auto" w:fill="auto"/>
            <w:vAlign w:val="center"/>
            <w:hideMark/>
          </w:tcPr>
          <w:p w14:paraId="47FB002F"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3</w:t>
            </w:r>
          </w:p>
        </w:tc>
        <w:tc>
          <w:tcPr>
            <w:tcW w:w="956" w:type="dxa"/>
            <w:tcBorders>
              <w:top w:val="nil"/>
              <w:left w:val="nil"/>
              <w:bottom w:val="single" w:sz="8" w:space="0" w:color="auto"/>
              <w:right w:val="nil"/>
            </w:tcBorders>
            <w:shd w:val="clear" w:color="auto" w:fill="auto"/>
            <w:vAlign w:val="center"/>
            <w:hideMark/>
          </w:tcPr>
          <w:p w14:paraId="0342D8B4"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4</w:t>
            </w:r>
          </w:p>
        </w:tc>
        <w:tc>
          <w:tcPr>
            <w:tcW w:w="1134" w:type="dxa"/>
            <w:tcBorders>
              <w:top w:val="nil"/>
              <w:left w:val="nil"/>
              <w:bottom w:val="single" w:sz="8" w:space="0" w:color="auto"/>
              <w:right w:val="nil"/>
            </w:tcBorders>
            <w:shd w:val="clear" w:color="auto" w:fill="auto"/>
            <w:vAlign w:val="center"/>
            <w:hideMark/>
          </w:tcPr>
          <w:p w14:paraId="36802BC3"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5=4-3</w:t>
            </w:r>
          </w:p>
        </w:tc>
        <w:tc>
          <w:tcPr>
            <w:tcW w:w="850" w:type="dxa"/>
            <w:tcBorders>
              <w:top w:val="nil"/>
              <w:left w:val="nil"/>
              <w:bottom w:val="single" w:sz="8" w:space="0" w:color="auto"/>
              <w:right w:val="nil"/>
            </w:tcBorders>
            <w:shd w:val="clear" w:color="auto" w:fill="auto"/>
            <w:vAlign w:val="center"/>
            <w:hideMark/>
          </w:tcPr>
          <w:p w14:paraId="6E1B9E6C" w14:textId="77777777" w:rsidR="00F11BD2" w:rsidRPr="00F11BD2" w:rsidRDefault="00F11BD2" w:rsidP="00F11BD2">
            <w:pPr>
              <w:spacing w:after="0" w:line="240" w:lineRule="auto"/>
              <w:jc w:val="center"/>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6=4-3</w:t>
            </w:r>
          </w:p>
        </w:tc>
      </w:tr>
      <w:tr w:rsidR="00F11BD2" w:rsidRPr="00F11BD2" w14:paraId="75A7AF6D" w14:textId="77777777" w:rsidTr="00CE362A">
        <w:trPr>
          <w:trHeight w:val="289"/>
        </w:trPr>
        <w:tc>
          <w:tcPr>
            <w:tcW w:w="3150" w:type="dxa"/>
            <w:tcBorders>
              <w:top w:val="nil"/>
              <w:left w:val="nil"/>
              <w:bottom w:val="nil"/>
              <w:right w:val="nil"/>
            </w:tcBorders>
            <w:shd w:val="clear" w:color="auto" w:fill="auto"/>
            <w:vAlign w:val="center"/>
            <w:hideMark/>
          </w:tcPr>
          <w:p w14:paraId="0154AEE4" w14:textId="77777777" w:rsidR="00F11BD2" w:rsidRPr="00F11BD2" w:rsidRDefault="00F11BD2" w:rsidP="00F11BD2">
            <w:pPr>
              <w:spacing w:after="0" w:line="240" w:lineRule="auto"/>
              <w:jc w:val="lef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Obstarávanie kapitálových aktív</w:t>
            </w:r>
          </w:p>
        </w:tc>
        <w:tc>
          <w:tcPr>
            <w:tcW w:w="998" w:type="dxa"/>
            <w:tcBorders>
              <w:top w:val="nil"/>
              <w:left w:val="nil"/>
              <w:bottom w:val="nil"/>
              <w:right w:val="nil"/>
            </w:tcBorders>
            <w:shd w:val="clear" w:color="auto" w:fill="auto"/>
            <w:noWrap/>
            <w:vAlign w:val="center"/>
            <w:hideMark/>
          </w:tcPr>
          <w:p w14:paraId="28C61C53"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1 053 912</w:t>
            </w:r>
          </w:p>
        </w:tc>
        <w:tc>
          <w:tcPr>
            <w:tcW w:w="1022" w:type="dxa"/>
            <w:tcBorders>
              <w:top w:val="nil"/>
              <w:left w:val="nil"/>
              <w:bottom w:val="nil"/>
              <w:right w:val="nil"/>
            </w:tcBorders>
            <w:shd w:val="clear" w:color="auto" w:fill="auto"/>
            <w:noWrap/>
            <w:vAlign w:val="center"/>
            <w:hideMark/>
          </w:tcPr>
          <w:p w14:paraId="5339582C"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1 025 607</w:t>
            </w:r>
          </w:p>
        </w:tc>
        <w:tc>
          <w:tcPr>
            <w:tcW w:w="1104" w:type="dxa"/>
            <w:tcBorders>
              <w:top w:val="nil"/>
              <w:left w:val="nil"/>
              <w:bottom w:val="nil"/>
              <w:right w:val="nil"/>
            </w:tcBorders>
            <w:shd w:val="clear" w:color="auto" w:fill="auto"/>
            <w:noWrap/>
            <w:vAlign w:val="center"/>
            <w:hideMark/>
          </w:tcPr>
          <w:p w14:paraId="59F861EB"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2 258 374</w:t>
            </w:r>
          </w:p>
        </w:tc>
        <w:tc>
          <w:tcPr>
            <w:tcW w:w="956" w:type="dxa"/>
            <w:tcBorders>
              <w:top w:val="nil"/>
              <w:left w:val="nil"/>
              <w:bottom w:val="nil"/>
              <w:right w:val="nil"/>
            </w:tcBorders>
            <w:shd w:val="clear" w:color="auto" w:fill="auto"/>
            <w:noWrap/>
            <w:vAlign w:val="center"/>
            <w:hideMark/>
          </w:tcPr>
          <w:p w14:paraId="28D152EF"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1 183 010</w:t>
            </w:r>
          </w:p>
        </w:tc>
        <w:tc>
          <w:tcPr>
            <w:tcW w:w="1134" w:type="dxa"/>
            <w:tcBorders>
              <w:top w:val="nil"/>
              <w:left w:val="nil"/>
              <w:bottom w:val="nil"/>
              <w:right w:val="nil"/>
            </w:tcBorders>
            <w:shd w:val="clear" w:color="auto" w:fill="auto"/>
            <w:noWrap/>
            <w:vAlign w:val="center"/>
            <w:hideMark/>
          </w:tcPr>
          <w:p w14:paraId="01675725"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-1 075 364</w:t>
            </w:r>
          </w:p>
        </w:tc>
        <w:tc>
          <w:tcPr>
            <w:tcW w:w="850" w:type="dxa"/>
            <w:tcBorders>
              <w:top w:val="nil"/>
              <w:left w:val="nil"/>
              <w:bottom w:val="nil"/>
              <w:right w:val="nil"/>
            </w:tcBorders>
            <w:shd w:val="clear" w:color="auto" w:fill="auto"/>
            <w:noWrap/>
            <w:vAlign w:val="center"/>
            <w:hideMark/>
          </w:tcPr>
          <w:p w14:paraId="7486E262"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-47,62</w:t>
            </w:r>
          </w:p>
        </w:tc>
      </w:tr>
      <w:tr w:rsidR="00F11BD2" w:rsidRPr="00F11BD2" w14:paraId="78E09357" w14:textId="77777777" w:rsidTr="00CE362A">
        <w:trPr>
          <w:trHeight w:val="289"/>
        </w:trPr>
        <w:tc>
          <w:tcPr>
            <w:tcW w:w="3150" w:type="dxa"/>
            <w:tcBorders>
              <w:top w:val="nil"/>
              <w:left w:val="nil"/>
              <w:bottom w:val="nil"/>
              <w:right w:val="nil"/>
            </w:tcBorders>
            <w:shd w:val="clear" w:color="auto" w:fill="auto"/>
            <w:vAlign w:val="center"/>
            <w:hideMark/>
          </w:tcPr>
          <w:p w14:paraId="3D01EEA5"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nákup dopravných prostriedkov</w:t>
            </w:r>
          </w:p>
        </w:tc>
        <w:tc>
          <w:tcPr>
            <w:tcW w:w="998" w:type="dxa"/>
            <w:tcBorders>
              <w:top w:val="nil"/>
              <w:left w:val="nil"/>
              <w:bottom w:val="nil"/>
              <w:right w:val="nil"/>
            </w:tcBorders>
            <w:shd w:val="clear" w:color="auto" w:fill="auto"/>
            <w:noWrap/>
            <w:vAlign w:val="center"/>
            <w:hideMark/>
          </w:tcPr>
          <w:p w14:paraId="0E2D0823"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50 955</w:t>
            </w:r>
          </w:p>
        </w:tc>
        <w:tc>
          <w:tcPr>
            <w:tcW w:w="1022" w:type="dxa"/>
            <w:tcBorders>
              <w:top w:val="nil"/>
              <w:left w:val="nil"/>
              <w:bottom w:val="nil"/>
              <w:right w:val="nil"/>
            </w:tcBorders>
            <w:shd w:val="clear" w:color="auto" w:fill="auto"/>
            <w:noWrap/>
            <w:vAlign w:val="center"/>
            <w:hideMark/>
          </w:tcPr>
          <w:p w14:paraId="709DD22C"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12 708</w:t>
            </w:r>
          </w:p>
        </w:tc>
        <w:tc>
          <w:tcPr>
            <w:tcW w:w="1104" w:type="dxa"/>
            <w:tcBorders>
              <w:top w:val="nil"/>
              <w:left w:val="nil"/>
              <w:bottom w:val="nil"/>
              <w:right w:val="nil"/>
            </w:tcBorders>
            <w:shd w:val="clear" w:color="auto" w:fill="auto"/>
            <w:noWrap/>
            <w:vAlign w:val="center"/>
            <w:hideMark/>
          </w:tcPr>
          <w:p w14:paraId="7194C94F"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18 897</w:t>
            </w:r>
          </w:p>
        </w:tc>
        <w:tc>
          <w:tcPr>
            <w:tcW w:w="956" w:type="dxa"/>
            <w:tcBorders>
              <w:top w:val="nil"/>
              <w:left w:val="nil"/>
              <w:bottom w:val="nil"/>
              <w:right w:val="nil"/>
            </w:tcBorders>
            <w:shd w:val="clear" w:color="auto" w:fill="auto"/>
            <w:noWrap/>
            <w:vAlign w:val="center"/>
            <w:hideMark/>
          </w:tcPr>
          <w:p w14:paraId="73FBC81E"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581 026</w:t>
            </w:r>
          </w:p>
        </w:tc>
        <w:tc>
          <w:tcPr>
            <w:tcW w:w="1134" w:type="dxa"/>
            <w:tcBorders>
              <w:top w:val="nil"/>
              <w:left w:val="nil"/>
              <w:bottom w:val="nil"/>
              <w:right w:val="nil"/>
            </w:tcBorders>
            <w:shd w:val="clear" w:color="auto" w:fill="auto"/>
            <w:noWrap/>
            <w:vAlign w:val="center"/>
            <w:hideMark/>
          </w:tcPr>
          <w:p w14:paraId="1D3920CF"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562 129</w:t>
            </w:r>
          </w:p>
        </w:tc>
        <w:tc>
          <w:tcPr>
            <w:tcW w:w="850" w:type="dxa"/>
            <w:tcBorders>
              <w:top w:val="nil"/>
              <w:left w:val="nil"/>
              <w:bottom w:val="nil"/>
              <w:right w:val="nil"/>
            </w:tcBorders>
            <w:shd w:val="clear" w:color="auto" w:fill="auto"/>
            <w:noWrap/>
            <w:vAlign w:val="center"/>
            <w:hideMark/>
          </w:tcPr>
          <w:p w14:paraId="33AC6D0E"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2 974,70</w:t>
            </w:r>
          </w:p>
        </w:tc>
      </w:tr>
      <w:tr w:rsidR="00F11BD2" w:rsidRPr="00F11BD2" w14:paraId="28BC3A7D" w14:textId="77777777" w:rsidTr="00CE362A">
        <w:trPr>
          <w:trHeight w:val="289"/>
        </w:trPr>
        <w:tc>
          <w:tcPr>
            <w:tcW w:w="3150" w:type="dxa"/>
            <w:tcBorders>
              <w:top w:val="nil"/>
              <w:left w:val="nil"/>
              <w:bottom w:val="nil"/>
              <w:right w:val="nil"/>
            </w:tcBorders>
            <w:shd w:val="clear" w:color="auto" w:fill="auto"/>
            <w:vAlign w:val="center"/>
            <w:hideMark/>
          </w:tcPr>
          <w:p w14:paraId="5A8167F7"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nákup strojov, prístrojov, zariadení, techniky</w:t>
            </w:r>
          </w:p>
        </w:tc>
        <w:tc>
          <w:tcPr>
            <w:tcW w:w="998" w:type="dxa"/>
            <w:tcBorders>
              <w:top w:val="nil"/>
              <w:left w:val="nil"/>
              <w:bottom w:val="nil"/>
              <w:right w:val="nil"/>
            </w:tcBorders>
            <w:shd w:val="clear" w:color="auto" w:fill="auto"/>
            <w:noWrap/>
            <w:vAlign w:val="center"/>
            <w:hideMark/>
          </w:tcPr>
          <w:p w14:paraId="317E5635"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449 679</w:t>
            </w:r>
          </w:p>
        </w:tc>
        <w:tc>
          <w:tcPr>
            <w:tcW w:w="1022" w:type="dxa"/>
            <w:tcBorders>
              <w:top w:val="nil"/>
              <w:left w:val="nil"/>
              <w:bottom w:val="nil"/>
              <w:right w:val="nil"/>
            </w:tcBorders>
            <w:shd w:val="clear" w:color="auto" w:fill="auto"/>
            <w:noWrap/>
            <w:vAlign w:val="center"/>
            <w:hideMark/>
          </w:tcPr>
          <w:p w14:paraId="56BE032C"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555 046</w:t>
            </w:r>
          </w:p>
        </w:tc>
        <w:tc>
          <w:tcPr>
            <w:tcW w:w="1104" w:type="dxa"/>
            <w:tcBorders>
              <w:top w:val="nil"/>
              <w:left w:val="nil"/>
              <w:bottom w:val="nil"/>
              <w:right w:val="nil"/>
            </w:tcBorders>
            <w:shd w:val="clear" w:color="auto" w:fill="auto"/>
            <w:noWrap/>
            <w:vAlign w:val="center"/>
            <w:hideMark/>
          </w:tcPr>
          <w:p w14:paraId="528C999B"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203 409</w:t>
            </w:r>
          </w:p>
        </w:tc>
        <w:tc>
          <w:tcPr>
            <w:tcW w:w="956" w:type="dxa"/>
            <w:tcBorders>
              <w:top w:val="nil"/>
              <w:left w:val="nil"/>
              <w:bottom w:val="nil"/>
              <w:right w:val="nil"/>
            </w:tcBorders>
            <w:shd w:val="clear" w:color="auto" w:fill="auto"/>
            <w:noWrap/>
            <w:vAlign w:val="center"/>
            <w:hideMark/>
          </w:tcPr>
          <w:p w14:paraId="76EDBB5A"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251 175</w:t>
            </w:r>
          </w:p>
        </w:tc>
        <w:tc>
          <w:tcPr>
            <w:tcW w:w="1134" w:type="dxa"/>
            <w:tcBorders>
              <w:top w:val="nil"/>
              <w:left w:val="nil"/>
              <w:bottom w:val="nil"/>
              <w:right w:val="nil"/>
            </w:tcBorders>
            <w:shd w:val="clear" w:color="auto" w:fill="auto"/>
            <w:noWrap/>
            <w:vAlign w:val="center"/>
            <w:hideMark/>
          </w:tcPr>
          <w:p w14:paraId="1939690E"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47 766</w:t>
            </w:r>
          </w:p>
        </w:tc>
        <w:tc>
          <w:tcPr>
            <w:tcW w:w="850" w:type="dxa"/>
            <w:tcBorders>
              <w:top w:val="nil"/>
              <w:left w:val="nil"/>
              <w:bottom w:val="nil"/>
              <w:right w:val="nil"/>
            </w:tcBorders>
            <w:shd w:val="clear" w:color="auto" w:fill="auto"/>
            <w:noWrap/>
            <w:vAlign w:val="center"/>
            <w:hideMark/>
          </w:tcPr>
          <w:p w14:paraId="4A7FED37"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23,48</w:t>
            </w:r>
          </w:p>
        </w:tc>
      </w:tr>
      <w:tr w:rsidR="00F11BD2" w:rsidRPr="00F11BD2" w14:paraId="0368746B" w14:textId="77777777" w:rsidTr="00CE362A">
        <w:trPr>
          <w:trHeight w:val="289"/>
        </w:trPr>
        <w:tc>
          <w:tcPr>
            <w:tcW w:w="3150" w:type="dxa"/>
            <w:tcBorders>
              <w:top w:val="nil"/>
              <w:left w:val="nil"/>
              <w:bottom w:val="nil"/>
              <w:right w:val="nil"/>
            </w:tcBorders>
            <w:shd w:val="clear" w:color="auto" w:fill="auto"/>
            <w:vAlign w:val="center"/>
            <w:hideMark/>
          </w:tcPr>
          <w:p w14:paraId="581C8947"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realizácia stavieb a ich technického zhodnotenia</w:t>
            </w:r>
          </w:p>
        </w:tc>
        <w:tc>
          <w:tcPr>
            <w:tcW w:w="998" w:type="dxa"/>
            <w:tcBorders>
              <w:top w:val="nil"/>
              <w:left w:val="nil"/>
              <w:bottom w:val="nil"/>
              <w:right w:val="nil"/>
            </w:tcBorders>
            <w:shd w:val="clear" w:color="auto" w:fill="auto"/>
            <w:noWrap/>
            <w:vAlign w:val="center"/>
            <w:hideMark/>
          </w:tcPr>
          <w:p w14:paraId="59CB47A7"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286 549</w:t>
            </w:r>
          </w:p>
        </w:tc>
        <w:tc>
          <w:tcPr>
            <w:tcW w:w="1022" w:type="dxa"/>
            <w:tcBorders>
              <w:top w:val="nil"/>
              <w:left w:val="nil"/>
              <w:bottom w:val="nil"/>
              <w:right w:val="nil"/>
            </w:tcBorders>
            <w:shd w:val="clear" w:color="auto" w:fill="auto"/>
            <w:noWrap/>
            <w:vAlign w:val="center"/>
            <w:hideMark/>
          </w:tcPr>
          <w:p w14:paraId="6688A9DB"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298 486</w:t>
            </w:r>
          </w:p>
        </w:tc>
        <w:tc>
          <w:tcPr>
            <w:tcW w:w="1104" w:type="dxa"/>
            <w:tcBorders>
              <w:top w:val="nil"/>
              <w:left w:val="nil"/>
              <w:bottom w:val="nil"/>
              <w:right w:val="nil"/>
            </w:tcBorders>
            <w:shd w:val="clear" w:color="auto" w:fill="auto"/>
            <w:noWrap/>
            <w:vAlign w:val="center"/>
            <w:hideMark/>
          </w:tcPr>
          <w:p w14:paraId="23E92EBF"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445 307</w:t>
            </w:r>
          </w:p>
        </w:tc>
        <w:tc>
          <w:tcPr>
            <w:tcW w:w="956" w:type="dxa"/>
            <w:tcBorders>
              <w:top w:val="nil"/>
              <w:left w:val="nil"/>
              <w:bottom w:val="nil"/>
              <w:right w:val="nil"/>
            </w:tcBorders>
            <w:shd w:val="clear" w:color="auto" w:fill="auto"/>
            <w:noWrap/>
            <w:vAlign w:val="center"/>
            <w:hideMark/>
          </w:tcPr>
          <w:p w14:paraId="43B3165A"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163 331</w:t>
            </w:r>
          </w:p>
        </w:tc>
        <w:tc>
          <w:tcPr>
            <w:tcW w:w="1134" w:type="dxa"/>
            <w:tcBorders>
              <w:top w:val="nil"/>
              <w:left w:val="nil"/>
              <w:bottom w:val="nil"/>
              <w:right w:val="nil"/>
            </w:tcBorders>
            <w:shd w:val="clear" w:color="auto" w:fill="auto"/>
            <w:noWrap/>
            <w:vAlign w:val="center"/>
            <w:hideMark/>
          </w:tcPr>
          <w:p w14:paraId="486D40AE"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-281 976</w:t>
            </w:r>
          </w:p>
        </w:tc>
        <w:tc>
          <w:tcPr>
            <w:tcW w:w="850" w:type="dxa"/>
            <w:tcBorders>
              <w:top w:val="nil"/>
              <w:left w:val="nil"/>
              <w:bottom w:val="nil"/>
              <w:right w:val="nil"/>
            </w:tcBorders>
            <w:shd w:val="clear" w:color="auto" w:fill="auto"/>
            <w:noWrap/>
            <w:vAlign w:val="center"/>
            <w:hideMark/>
          </w:tcPr>
          <w:p w14:paraId="22571FB7"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-63,32</w:t>
            </w:r>
          </w:p>
        </w:tc>
      </w:tr>
      <w:tr w:rsidR="00F11BD2" w:rsidRPr="00F11BD2" w14:paraId="4CFF28D2" w14:textId="77777777" w:rsidTr="00CE362A">
        <w:trPr>
          <w:trHeight w:val="289"/>
        </w:trPr>
        <w:tc>
          <w:tcPr>
            <w:tcW w:w="3150" w:type="dxa"/>
            <w:tcBorders>
              <w:top w:val="nil"/>
              <w:left w:val="nil"/>
              <w:bottom w:val="nil"/>
              <w:right w:val="nil"/>
            </w:tcBorders>
            <w:shd w:val="clear" w:color="auto" w:fill="auto"/>
            <w:vAlign w:val="center"/>
            <w:hideMark/>
          </w:tcPr>
          <w:p w14:paraId="5946E48B" w14:textId="77777777" w:rsidR="00F11BD2" w:rsidRPr="00F11BD2" w:rsidRDefault="00F11BD2" w:rsidP="00F11BD2">
            <w:pPr>
              <w:spacing w:after="0" w:line="240" w:lineRule="auto"/>
              <w:jc w:val="left"/>
              <w:rPr>
                <w:rFonts w:eastAsia="Times New Roman" w:cs="Times New Roman"/>
                <w:color w:val="000000"/>
                <w:sz w:val="20"/>
                <w:szCs w:val="20"/>
                <w:lang w:eastAsia="sk-SK"/>
              </w:rPr>
            </w:pPr>
            <w:proofErr w:type="spellStart"/>
            <w:r w:rsidRPr="00F11BD2">
              <w:rPr>
                <w:rFonts w:eastAsia="Times New Roman" w:cs="Times New Roman"/>
                <w:color w:val="000000"/>
                <w:sz w:val="20"/>
                <w:szCs w:val="20"/>
                <w:lang w:eastAsia="sk-SK"/>
              </w:rPr>
              <w:t>ost</w:t>
            </w:r>
            <w:proofErr w:type="spellEnd"/>
            <w:r w:rsidRPr="00F11BD2">
              <w:rPr>
                <w:rFonts w:eastAsia="Times New Roman" w:cs="Times New Roman"/>
                <w:color w:val="000000"/>
                <w:sz w:val="20"/>
                <w:szCs w:val="20"/>
                <w:lang w:eastAsia="sk-SK"/>
              </w:rPr>
              <w:t>. kapitálové výdavky (dokumentácia, rekonštrukcia a modernizácia strojov a </w:t>
            </w:r>
            <w:proofErr w:type="spellStart"/>
            <w:r w:rsidRPr="00F11BD2">
              <w:rPr>
                <w:rFonts w:eastAsia="Times New Roman" w:cs="Times New Roman"/>
                <w:color w:val="000000"/>
                <w:sz w:val="20"/>
                <w:szCs w:val="20"/>
                <w:lang w:eastAsia="sk-SK"/>
              </w:rPr>
              <w:t>ost</w:t>
            </w:r>
            <w:proofErr w:type="spellEnd"/>
            <w:r w:rsidRPr="00F11BD2">
              <w:rPr>
                <w:rFonts w:eastAsia="Times New Roman" w:cs="Times New Roman"/>
                <w:color w:val="000000"/>
                <w:sz w:val="20"/>
                <w:szCs w:val="20"/>
                <w:lang w:eastAsia="sk-SK"/>
              </w:rPr>
              <w:t>.)</w:t>
            </w:r>
          </w:p>
        </w:tc>
        <w:tc>
          <w:tcPr>
            <w:tcW w:w="998" w:type="dxa"/>
            <w:tcBorders>
              <w:top w:val="nil"/>
              <w:left w:val="nil"/>
              <w:bottom w:val="nil"/>
              <w:right w:val="nil"/>
            </w:tcBorders>
            <w:shd w:val="clear" w:color="auto" w:fill="auto"/>
            <w:noWrap/>
            <w:vAlign w:val="center"/>
            <w:hideMark/>
          </w:tcPr>
          <w:p w14:paraId="0FBA80C4"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179 192</w:t>
            </w:r>
          </w:p>
        </w:tc>
        <w:tc>
          <w:tcPr>
            <w:tcW w:w="1022" w:type="dxa"/>
            <w:tcBorders>
              <w:top w:val="nil"/>
              <w:left w:val="nil"/>
              <w:bottom w:val="nil"/>
              <w:right w:val="nil"/>
            </w:tcBorders>
            <w:shd w:val="clear" w:color="auto" w:fill="auto"/>
            <w:noWrap/>
            <w:vAlign w:val="center"/>
            <w:hideMark/>
          </w:tcPr>
          <w:p w14:paraId="00EA91A2"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119 539</w:t>
            </w:r>
          </w:p>
        </w:tc>
        <w:tc>
          <w:tcPr>
            <w:tcW w:w="1104" w:type="dxa"/>
            <w:tcBorders>
              <w:top w:val="nil"/>
              <w:left w:val="nil"/>
              <w:bottom w:val="nil"/>
              <w:right w:val="nil"/>
            </w:tcBorders>
            <w:shd w:val="clear" w:color="auto" w:fill="auto"/>
            <w:noWrap/>
            <w:vAlign w:val="center"/>
            <w:hideMark/>
          </w:tcPr>
          <w:p w14:paraId="41E1B0B2"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1 544 724</w:t>
            </w:r>
          </w:p>
        </w:tc>
        <w:tc>
          <w:tcPr>
            <w:tcW w:w="956" w:type="dxa"/>
            <w:tcBorders>
              <w:top w:val="nil"/>
              <w:left w:val="nil"/>
              <w:bottom w:val="nil"/>
              <w:right w:val="nil"/>
            </w:tcBorders>
            <w:shd w:val="clear" w:color="auto" w:fill="auto"/>
            <w:noWrap/>
            <w:vAlign w:val="center"/>
            <w:hideMark/>
          </w:tcPr>
          <w:p w14:paraId="0A446307"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110 501</w:t>
            </w:r>
          </w:p>
        </w:tc>
        <w:tc>
          <w:tcPr>
            <w:tcW w:w="1134" w:type="dxa"/>
            <w:tcBorders>
              <w:top w:val="nil"/>
              <w:left w:val="nil"/>
              <w:bottom w:val="nil"/>
              <w:right w:val="nil"/>
            </w:tcBorders>
            <w:shd w:val="clear" w:color="auto" w:fill="auto"/>
            <w:noWrap/>
            <w:vAlign w:val="center"/>
            <w:hideMark/>
          </w:tcPr>
          <w:p w14:paraId="7C97B19F"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-1 434 223</w:t>
            </w:r>
          </w:p>
        </w:tc>
        <w:tc>
          <w:tcPr>
            <w:tcW w:w="850" w:type="dxa"/>
            <w:tcBorders>
              <w:top w:val="nil"/>
              <w:left w:val="nil"/>
              <w:bottom w:val="nil"/>
              <w:right w:val="nil"/>
            </w:tcBorders>
            <w:shd w:val="clear" w:color="auto" w:fill="auto"/>
            <w:noWrap/>
            <w:vAlign w:val="center"/>
            <w:hideMark/>
          </w:tcPr>
          <w:p w14:paraId="628615CC"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-92,85</w:t>
            </w:r>
          </w:p>
        </w:tc>
      </w:tr>
      <w:tr w:rsidR="00F11BD2" w:rsidRPr="00F11BD2" w14:paraId="2A3E20F3" w14:textId="77777777" w:rsidTr="00CE362A">
        <w:trPr>
          <w:trHeight w:val="289"/>
        </w:trPr>
        <w:tc>
          <w:tcPr>
            <w:tcW w:w="3150" w:type="dxa"/>
            <w:tcBorders>
              <w:top w:val="nil"/>
              <w:left w:val="nil"/>
              <w:bottom w:val="nil"/>
              <w:right w:val="nil"/>
            </w:tcBorders>
            <w:shd w:val="clear" w:color="auto" w:fill="auto"/>
            <w:vAlign w:val="center"/>
            <w:hideMark/>
          </w:tcPr>
          <w:p w14:paraId="73CDE7D6"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nákup pozemkov a nehmotných aktív</w:t>
            </w:r>
          </w:p>
        </w:tc>
        <w:tc>
          <w:tcPr>
            <w:tcW w:w="998" w:type="dxa"/>
            <w:tcBorders>
              <w:top w:val="nil"/>
              <w:left w:val="nil"/>
              <w:bottom w:val="nil"/>
              <w:right w:val="nil"/>
            </w:tcBorders>
            <w:shd w:val="clear" w:color="auto" w:fill="auto"/>
            <w:noWrap/>
            <w:vAlign w:val="center"/>
            <w:hideMark/>
          </w:tcPr>
          <w:p w14:paraId="3D43FDFE"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80 428</w:t>
            </w:r>
          </w:p>
        </w:tc>
        <w:tc>
          <w:tcPr>
            <w:tcW w:w="1022" w:type="dxa"/>
            <w:tcBorders>
              <w:top w:val="nil"/>
              <w:left w:val="nil"/>
              <w:bottom w:val="nil"/>
              <w:right w:val="nil"/>
            </w:tcBorders>
            <w:shd w:val="clear" w:color="auto" w:fill="auto"/>
            <w:noWrap/>
            <w:vAlign w:val="center"/>
            <w:hideMark/>
          </w:tcPr>
          <w:p w14:paraId="7473DFD9"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31 546</w:t>
            </w:r>
          </w:p>
        </w:tc>
        <w:tc>
          <w:tcPr>
            <w:tcW w:w="1104" w:type="dxa"/>
            <w:tcBorders>
              <w:top w:val="nil"/>
              <w:left w:val="nil"/>
              <w:bottom w:val="nil"/>
              <w:right w:val="nil"/>
            </w:tcBorders>
            <w:shd w:val="clear" w:color="auto" w:fill="auto"/>
            <w:noWrap/>
            <w:vAlign w:val="center"/>
            <w:hideMark/>
          </w:tcPr>
          <w:p w14:paraId="1C5F7B39"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46 037</w:t>
            </w:r>
          </w:p>
        </w:tc>
        <w:tc>
          <w:tcPr>
            <w:tcW w:w="956" w:type="dxa"/>
            <w:tcBorders>
              <w:top w:val="nil"/>
              <w:left w:val="nil"/>
              <w:bottom w:val="nil"/>
              <w:right w:val="nil"/>
            </w:tcBorders>
            <w:shd w:val="clear" w:color="auto" w:fill="auto"/>
            <w:noWrap/>
            <w:vAlign w:val="center"/>
            <w:hideMark/>
          </w:tcPr>
          <w:p w14:paraId="1607090F"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64 679</w:t>
            </w:r>
          </w:p>
        </w:tc>
        <w:tc>
          <w:tcPr>
            <w:tcW w:w="1134" w:type="dxa"/>
            <w:tcBorders>
              <w:top w:val="nil"/>
              <w:left w:val="nil"/>
              <w:bottom w:val="nil"/>
              <w:right w:val="nil"/>
            </w:tcBorders>
            <w:shd w:val="clear" w:color="auto" w:fill="auto"/>
            <w:noWrap/>
            <w:vAlign w:val="center"/>
            <w:hideMark/>
          </w:tcPr>
          <w:p w14:paraId="26F345A4"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18 642</w:t>
            </w:r>
          </w:p>
        </w:tc>
        <w:tc>
          <w:tcPr>
            <w:tcW w:w="850" w:type="dxa"/>
            <w:tcBorders>
              <w:top w:val="nil"/>
              <w:left w:val="nil"/>
              <w:bottom w:val="nil"/>
              <w:right w:val="nil"/>
            </w:tcBorders>
            <w:shd w:val="clear" w:color="auto" w:fill="auto"/>
            <w:noWrap/>
            <w:vAlign w:val="center"/>
            <w:hideMark/>
          </w:tcPr>
          <w:p w14:paraId="5DC3591A"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40,49</w:t>
            </w:r>
          </w:p>
        </w:tc>
      </w:tr>
      <w:tr w:rsidR="00F11BD2" w:rsidRPr="00F11BD2" w14:paraId="482E3C0F" w14:textId="77777777" w:rsidTr="00CE362A">
        <w:trPr>
          <w:trHeight w:val="289"/>
        </w:trPr>
        <w:tc>
          <w:tcPr>
            <w:tcW w:w="3150" w:type="dxa"/>
            <w:tcBorders>
              <w:top w:val="nil"/>
              <w:left w:val="nil"/>
              <w:bottom w:val="nil"/>
              <w:right w:val="nil"/>
            </w:tcBorders>
            <w:shd w:val="clear" w:color="auto" w:fill="auto"/>
            <w:vAlign w:val="center"/>
            <w:hideMark/>
          </w:tcPr>
          <w:p w14:paraId="2C82D056"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nákup budov, objektov a ich častí</w:t>
            </w:r>
          </w:p>
        </w:tc>
        <w:tc>
          <w:tcPr>
            <w:tcW w:w="998" w:type="dxa"/>
            <w:tcBorders>
              <w:top w:val="nil"/>
              <w:left w:val="nil"/>
              <w:bottom w:val="nil"/>
              <w:right w:val="nil"/>
            </w:tcBorders>
            <w:shd w:val="clear" w:color="auto" w:fill="auto"/>
            <w:noWrap/>
            <w:vAlign w:val="center"/>
            <w:hideMark/>
          </w:tcPr>
          <w:p w14:paraId="317F46B7"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7 109</w:t>
            </w:r>
          </w:p>
        </w:tc>
        <w:tc>
          <w:tcPr>
            <w:tcW w:w="1022" w:type="dxa"/>
            <w:tcBorders>
              <w:top w:val="nil"/>
              <w:left w:val="nil"/>
              <w:bottom w:val="nil"/>
              <w:right w:val="nil"/>
            </w:tcBorders>
            <w:shd w:val="clear" w:color="auto" w:fill="auto"/>
            <w:noWrap/>
            <w:vAlign w:val="center"/>
            <w:hideMark/>
          </w:tcPr>
          <w:p w14:paraId="7AC89B4A"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8 282</w:t>
            </w:r>
          </w:p>
        </w:tc>
        <w:tc>
          <w:tcPr>
            <w:tcW w:w="1104" w:type="dxa"/>
            <w:tcBorders>
              <w:top w:val="nil"/>
              <w:left w:val="nil"/>
              <w:bottom w:val="nil"/>
              <w:right w:val="nil"/>
            </w:tcBorders>
            <w:shd w:val="clear" w:color="auto" w:fill="auto"/>
            <w:noWrap/>
            <w:vAlign w:val="center"/>
            <w:hideMark/>
          </w:tcPr>
          <w:p w14:paraId="7CFA6AA7"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0</w:t>
            </w:r>
          </w:p>
        </w:tc>
        <w:tc>
          <w:tcPr>
            <w:tcW w:w="956" w:type="dxa"/>
            <w:tcBorders>
              <w:top w:val="nil"/>
              <w:left w:val="nil"/>
              <w:bottom w:val="nil"/>
              <w:right w:val="nil"/>
            </w:tcBorders>
            <w:shd w:val="clear" w:color="auto" w:fill="auto"/>
            <w:noWrap/>
            <w:vAlign w:val="center"/>
            <w:hideMark/>
          </w:tcPr>
          <w:p w14:paraId="2DDA83C7"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12 298</w:t>
            </w:r>
          </w:p>
        </w:tc>
        <w:tc>
          <w:tcPr>
            <w:tcW w:w="1134" w:type="dxa"/>
            <w:tcBorders>
              <w:top w:val="nil"/>
              <w:left w:val="nil"/>
              <w:bottom w:val="nil"/>
              <w:right w:val="nil"/>
            </w:tcBorders>
            <w:shd w:val="clear" w:color="auto" w:fill="auto"/>
            <w:noWrap/>
            <w:vAlign w:val="center"/>
            <w:hideMark/>
          </w:tcPr>
          <w:p w14:paraId="32FE2D8E"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12 298</w:t>
            </w:r>
          </w:p>
        </w:tc>
        <w:tc>
          <w:tcPr>
            <w:tcW w:w="850" w:type="dxa"/>
            <w:tcBorders>
              <w:top w:val="nil"/>
              <w:left w:val="nil"/>
              <w:bottom w:val="nil"/>
              <w:right w:val="nil"/>
            </w:tcBorders>
            <w:shd w:val="clear" w:color="auto" w:fill="auto"/>
            <w:noWrap/>
            <w:vAlign w:val="center"/>
            <w:hideMark/>
          </w:tcPr>
          <w:p w14:paraId="5C266645"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0,00</w:t>
            </w:r>
          </w:p>
        </w:tc>
      </w:tr>
      <w:tr w:rsidR="00F11BD2" w:rsidRPr="00F11BD2" w14:paraId="3111F804" w14:textId="77777777" w:rsidTr="00CE362A">
        <w:trPr>
          <w:trHeight w:val="289"/>
        </w:trPr>
        <w:tc>
          <w:tcPr>
            <w:tcW w:w="3150" w:type="dxa"/>
            <w:tcBorders>
              <w:top w:val="nil"/>
              <w:left w:val="nil"/>
              <w:bottom w:val="nil"/>
              <w:right w:val="nil"/>
            </w:tcBorders>
            <w:shd w:val="clear" w:color="auto" w:fill="auto"/>
            <w:vAlign w:val="center"/>
            <w:hideMark/>
          </w:tcPr>
          <w:p w14:paraId="30C2E0DE" w14:textId="77777777" w:rsidR="00F11BD2" w:rsidRPr="00F11BD2" w:rsidRDefault="00F11BD2" w:rsidP="00F11BD2">
            <w:pPr>
              <w:spacing w:after="0" w:line="240" w:lineRule="auto"/>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Kapitálové transfery</w:t>
            </w:r>
          </w:p>
        </w:tc>
        <w:tc>
          <w:tcPr>
            <w:tcW w:w="998" w:type="dxa"/>
            <w:tcBorders>
              <w:top w:val="nil"/>
              <w:left w:val="nil"/>
              <w:bottom w:val="nil"/>
              <w:right w:val="nil"/>
            </w:tcBorders>
            <w:shd w:val="clear" w:color="auto" w:fill="auto"/>
            <w:noWrap/>
            <w:vAlign w:val="center"/>
            <w:hideMark/>
          </w:tcPr>
          <w:p w14:paraId="3F39812F"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1 608 534</w:t>
            </w:r>
          </w:p>
        </w:tc>
        <w:tc>
          <w:tcPr>
            <w:tcW w:w="1022" w:type="dxa"/>
            <w:tcBorders>
              <w:top w:val="nil"/>
              <w:left w:val="nil"/>
              <w:bottom w:val="nil"/>
              <w:right w:val="nil"/>
            </w:tcBorders>
            <w:shd w:val="clear" w:color="auto" w:fill="auto"/>
            <w:noWrap/>
            <w:vAlign w:val="center"/>
            <w:hideMark/>
          </w:tcPr>
          <w:p w14:paraId="1C1DCE6E"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1 414 554</w:t>
            </w:r>
          </w:p>
        </w:tc>
        <w:tc>
          <w:tcPr>
            <w:tcW w:w="1104" w:type="dxa"/>
            <w:tcBorders>
              <w:top w:val="nil"/>
              <w:left w:val="nil"/>
              <w:bottom w:val="nil"/>
              <w:right w:val="nil"/>
            </w:tcBorders>
            <w:shd w:val="clear" w:color="auto" w:fill="auto"/>
            <w:noWrap/>
            <w:vAlign w:val="center"/>
            <w:hideMark/>
          </w:tcPr>
          <w:p w14:paraId="3E850A15"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1 855 431</w:t>
            </w:r>
          </w:p>
        </w:tc>
        <w:tc>
          <w:tcPr>
            <w:tcW w:w="956" w:type="dxa"/>
            <w:tcBorders>
              <w:top w:val="nil"/>
              <w:left w:val="nil"/>
              <w:bottom w:val="nil"/>
              <w:right w:val="nil"/>
            </w:tcBorders>
            <w:shd w:val="clear" w:color="auto" w:fill="auto"/>
            <w:noWrap/>
            <w:vAlign w:val="center"/>
            <w:hideMark/>
          </w:tcPr>
          <w:p w14:paraId="10E0A358"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1 523 995</w:t>
            </w:r>
          </w:p>
        </w:tc>
        <w:tc>
          <w:tcPr>
            <w:tcW w:w="1134" w:type="dxa"/>
            <w:tcBorders>
              <w:top w:val="nil"/>
              <w:left w:val="nil"/>
              <w:bottom w:val="nil"/>
              <w:right w:val="nil"/>
            </w:tcBorders>
            <w:shd w:val="clear" w:color="auto" w:fill="auto"/>
            <w:noWrap/>
            <w:vAlign w:val="center"/>
            <w:hideMark/>
          </w:tcPr>
          <w:p w14:paraId="14E72709"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-331 436</w:t>
            </w:r>
          </w:p>
        </w:tc>
        <w:tc>
          <w:tcPr>
            <w:tcW w:w="850" w:type="dxa"/>
            <w:tcBorders>
              <w:top w:val="nil"/>
              <w:left w:val="nil"/>
              <w:bottom w:val="nil"/>
              <w:right w:val="nil"/>
            </w:tcBorders>
            <w:shd w:val="clear" w:color="auto" w:fill="auto"/>
            <w:noWrap/>
            <w:vAlign w:val="center"/>
            <w:hideMark/>
          </w:tcPr>
          <w:p w14:paraId="02D1435D"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-17,86</w:t>
            </w:r>
          </w:p>
        </w:tc>
      </w:tr>
      <w:tr w:rsidR="00F11BD2" w:rsidRPr="00F11BD2" w14:paraId="52CC320B" w14:textId="77777777" w:rsidTr="00CE362A">
        <w:trPr>
          <w:trHeight w:val="289"/>
        </w:trPr>
        <w:tc>
          <w:tcPr>
            <w:tcW w:w="3150" w:type="dxa"/>
            <w:tcBorders>
              <w:top w:val="nil"/>
              <w:left w:val="nil"/>
              <w:bottom w:val="nil"/>
              <w:right w:val="nil"/>
            </w:tcBorders>
            <w:shd w:val="clear" w:color="auto" w:fill="auto"/>
            <w:vAlign w:val="center"/>
            <w:hideMark/>
          </w:tcPr>
          <w:p w14:paraId="196471E5"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v rámci verejnej správy</w:t>
            </w:r>
          </w:p>
        </w:tc>
        <w:tc>
          <w:tcPr>
            <w:tcW w:w="998" w:type="dxa"/>
            <w:tcBorders>
              <w:top w:val="nil"/>
              <w:left w:val="nil"/>
              <w:bottom w:val="nil"/>
              <w:right w:val="nil"/>
            </w:tcBorders>
            <w:shd w:val="clear" w:color="auto" w:fill="auto"/>
            <w:noWrap/>
            <w:vAlign w:val="center"/>
            <w:hideMark/>
          </w:tcPr>
          <w:p w14:paraId="3D7230C3"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1 188 889</w:t>
            </w:r>
          </w:p>
        </w:tc>
        <w:tc>
          <w:tcPr>
            <w:tcW w:w="1022" w:type="dxa"/>
            <w:tcBorders>
              <w:top w:val="nil"/>
              <w:left w:val="nil"/>
              <w:bottom w:val="nil"/>
              <w:right w:val="nil"/>
            </w:tcBorders>
            <w:shd w:val="clear" w:color="auto" w:fill="auto"/>
            <w:noWrap/>
            <w:vAlign w:val="center"/>
            <w:hideMark/>
          </w:tcPr>
          <w:p w14:paraId="60C5891F"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1 141 823</w:t>
            </w:r>
          </w:p>
        </w:tc>
        <w:tc>
          <w:tcPr>
            <w:tcW w:w="1104" w:type="dxa"/>
            <w:tcBorders>
              <w:top w:val="nil"/>
              <w:left w:val="nil"/>
              <w:bottom w:val="nil"/>
              <w:right w:val="nil"/>
            </w:tcBorders>
            <w:shd w:val="clear" w:color="auto" w:fill="auto"/>
            <w:noWrap/>
            <w:vAlign w:val="center"/>
            <w:hideMark/>
          </w:tcPr>
          <w:p w14:paraId="152A53C4"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792 084</w:t>
            </w:r>
          </w:p>
        </w:tc>
        <w:tc>
          <w:tcPr>
            <w:tcW w:w="956" w:type="dxa"/>
            <w:tcBorders>
              <w:top w:val="nil"/>
              <w:left w:val="nil"/>
              <w:bottom w:val="nil"/>
              <w:right w:val="nil"/>
            </w:tcBorders>
            <w:shd w:val="clear" w:color="auto" w:fill="auto"/>
            <w:noWrap/>
            <w:vAlign w:val="center"/>
            <w:hideMark/>
          </w:tcPr>
          <w:p w14:paraId="13DC3017"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1 235 685</w:t>
            </w:r>
          </w:p>
        </w:tc>
        <w:tc>
          <w:tcPr>
            <w:tcW w:w="1134" w:type="dxa"/>
            <w:tcBorders>
              <w:top w:val="nil"/>
              <w:left w:val="nil"/>
              <w:bottom w:val="nil"/>
              <w:right w:val="nil"/>
            </w:tcBorders>
            <w:shd w:val="clear" w:color="auto" w:fill="auto"/>
            <w:noWrap/>
            <w:vAlign w:val="center"/>
            <w:hideMark/>
          </w:tcPr>
          <w:p w14:paraId="012DAA71"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443 601</w:t>
            </w:r>
          </w:p>
        </w:tc>
        <w:tc>
          <w:tcPr>
            <w:tcW w:w="850" w:type="dxa"/>
            <w:tcBorders>
              <w:top w:val="nil"/>
              <w:left w:val="nil"/>
              <w:bottom w:val="nil"/>
              <w:right w:val="nil"/>
            </w:tcBorders>
            <w:shd w:val="clear" w:color="auto" w:fill="auto"/>
            <w:noWrap/>
            <w:vAlign w:val="center"/>
            <w:hideMark/>
          </w:tcPr>
          <w:p w14:paraId="4FF05A7C"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56,00</w:t>
            </w:r>
          </w:p>
        </w:tc>
      </w:tr>
      <w:tr w:rsidR="00F11BD2" w:rsidRPr="00F11BD2" w14:paraId="17F4271C" w14:textId="77777777" w:rsidTr="00CE362A">
        <w:trPr>
          <w:trHeight w:val="289"/>
        </w:trPr>
        <w:tc>
          <w:tcPr>
            <w:tcW w:w="3150" w:type="dxa"/>
            <w:tcBorders>
              <w:top w:val="nil"/>
              <w:left w:val="nil"/>
              <w:bottom w:val="nil"/>
              <w:right w:val="nil"/>
            </w:tcBorders>
            <w:shd w:val="clear" w:color="auto" w:fill="auto"/>
            <w:vAlign w:val="center"/>
            <w:hideMark/>
          </w:tcPr>
          <w:p w14:paraId="7EA8C3FB"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 xml:space="preserve">nefinančným subjektom </w:t>
            </w:r>
          </w:p>
        </w:tc>
        <w:tc>
          <w:tcPr>
            <w:tcW w:w="998" w:type="dxa"/>
            <w:tcBorders>
              <w:top w:val="nil"/>
              <w:left w:val="nil"/>
              <w:bottom w:val="nil"/>
              <w:right w:val="nil"/>
            </w:tcBorders>
            <w:shd w:val="clear" w:color="auto" w:fill="auto"/>
            <w:noWrap/>
            <w:vAlign w:val="center"/>
            <w:hideMark/>
          </w:tcPr>
          <w:p w14:paraId="2B737B48"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354 849</w:t>
            </w:r>
          </w:p>
        </w:tc>
        <w:tc>
          <w:tcPr>
            <w:tcW w:w="1022" w:type="dxa"/>
            <w:tcBorders>
              <w:top w:val="nil"/>
              <w:left w:val="nil"/>
              <w:bottom w:val="nil"/>
              <w:right w:val="nil"/>
            </w:tcBorders>
            <w:shd w:val="clear" w:color="auto" w:fill="auto"/>
            <w:noWrap/>
            <w:vAlign w:val="center"/>
            <w:hideMark/>
          </w:tcPr>
          <w:p w14:paraId="084D3FD1"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222 830</w:t>
            </w:r>
          </w:p>
        </w:tc>
        <w:tc>
          <w:tcPr>
            <w:tcW w:w="1104" w:type="dxa"/>
            <w:tcBorders>
              <w:top w:val="nil"/>
              <w:left w:val="nil"/>
              <w:bottom w:val="nil"/>
              <w:right w:val="nil"/>
            </w:tcBorders>
            <w:shd w:val="clear" w:color="auto" w:fill="auto"/>
            <w:noWrap/>
            <w:vAlign w:val="center"/>
            <w:hideMark/>
          </w:tcPr>
          <w:p w14:paraId="1695F36B"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1 032 952</w:t>
            </w:r>
          </w:p>
        </w:tc>
        <w:tc>
          <w:tcPr>
            <w:tcW w:w="956" w:type="dxa"/>
            <w:tcBorders>
              <w:top w:val="nil"/>
              <w:left w:val="nil"/>
              <w:bottom w:val="nil"/>
              <w:right w:val="nil"/>
            </w:tcBorders>
            <w:shd w:val="clear" w:color="auto" w:fill="auto"/>
            <w:noWrap/>
            <w:vAlign w:val="center"/>
            <w:hideMark/>
          </w:tcPr>
          <w:p w14:paraId="11A81615"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185 732</w:t>
            </w:r>
          </w:p>
        </w:tc>
        <w:tc>
          <w:tcPr>
            <w:tcW w:w="1134" w:type="dxa"/>
            <w:tcBorders>
              <w:top w:val="nil"/>
              <w:left w:val="nil"/>
              <w:bottom w:val="nil"/>
              <w:right w:val="nil"/>
            </w:tcBorders>
            <w:shd w:val="clear" w:color="auto" w:fill="auto"/>
            <w:noWrap/>
            <w:vAlign w:val="center"/>
            <w:hideMark/>
          </w:tcPr>
          <w:p w14:paraId="7863DEAB"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-847 220</w:t>
            </w:r>
          </w:p>
        </w:tc>
        <w:tc>
          <w:tcPr>
            <w:tcW w:w="850" w:type="dxa"/>
            <w:tcBorders>
              <w:top w:val="nil"/>
              <w:left w:val="nil"/>
              <w:bottom w:val="nil"/>
              <w:right w:val="nil"/>
            </w:tcBorders>
            <w:shd w:val="clear" w:color="auto" w:fill="auto"/>
            <w:noWrap/>
            <w:vAlign w:val="center"/>
            <w:hideMark/>
          </w:tcPr>
          <w:p w14:paraId="2A624B6C"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-82,02</w:t>
            </w:r>
          </w:p>
        </w:tc>
      </w:tr>
      <w:tr w:rsidR="00F11BD2" w:rsidRPr="00F11BD2" w14:paraId="176C2955" w14:textId="77777777" w:rsidTr="00CE362A">
        <w:trPr>
          <w:trHeight w:val="289"/>
        </w:trPr>
        <w:tc>
          <w:tcPr>
            <w:tcW w:w="3150" w:type="dxa"/>
            <w:tcBorders>
              <w:top w:val="nil"/>
              <w:left w:val="nil"/>
              <w:bottom w:val="nil"/>
              <w:right w:val="nil"/>
            </w:tcBorders>
            <w:shd w:val="clear" w:color="auto" w:fill="auto"/>
            <w:vAlign w:val="center"/>
            <w:hideMark/>
          </w:tcPr>
          <w:p w14:paraId="0C8D0B7B"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transfery finančným inštitúciám</w:t>
            </w:r>
          </w:p>
        </w:tc>
        <w:tc>
          <w:tcPr>
            <w:tcW w:w="998" w:type="dxa"/>
            <w:tcBorders>
              <w:top w:val="nil"/>
              <w:left w:val="nil"/>
              <w:bottom w:val="nil"/>
              <w:right w:val="nil"/>
            </w:tcBorders>
            <w:shd w:val="clear" w:color="auto" w:fill="auto"/>
            <w:noWrap/>
            <w:vAlign w:val="center"/>
            <w:hideMark/>
          </w:tcPr>
          <w:p w14:paraId="19FE2AE7" w14:textId="77777777" w:rsidR="00F11BD2" w:rsidRPr="00F11BD2" w:rsidRDefault="00F11BD2" w:rsidP="00F11BD2">
            <w:pPr>
              <w:spacing w:after="0" w:line="240" w:lineRule="auto"/>
              <w:jc w:val="left"/>
              <w:rPr>
                <w:rFonts w:eastAsia="Times New Roman" w:cs="Times New Roman"/>
                <w:color w:val="000000"/>
                <w:sz w:val="20"/>
                <w:szCs w:val="20"/>
                <w:lang w:eastAsia="sk-SK"/>
              </w:rPr>
            </w:pPr>
          </w:p>
        </w:tc>
        <w:tc>
          <w:tcPr>
            <w:tcW w:w="1022" w:type="dxa"/>
            <w:tcBorders>
              <w:top w:val="nil"/>
              <w:left w:val="nil"/>
              <w:bottom w:val="nil"/>
              <w:right w:val="nil"/>
            </w:tcBorders>
            <w:shd w:val="clear" w:color="auto" w:fill="auto"/>
            <w:noWrap/>
            <w:vAlign w:val="center"/>
            <w:hideMark/>
          </w:tcPr>
          <w:p w14:paraId="46C0A2C1" w14:textId="77777777" w:rsidR="00F11BD2" w:rsidRPr="00F11BD2" w:rsidRDefault="00F11BD2" w:rsidP="00F11BD2">
            <w:pPr>
              <w:spacing w:after="0" w:line="240" w:lineRule="auto"/>
              <w:jc w:val="right"/>
              <w:rPr>
                <w:rFonts w:eastAsia="Times New Roman" w:cs="Times New Roman"/>
                <w:sz w:val="20"/>
                <w:szCs w:val="20"/>
                <w:lang w:eastAsia="sk-SK"/>
              </w:rPr>
            </w:pPr>
          </w:p>
        </w:tc>
        <w:tc>
          <w:tcPr>
            <w:tcW w:w="1104" w:type="dxa"/>
            <w:tcBorders>
              <w:top w:val="nil"/>
              <w:left w:val="nil"/>
              <w:bottom w:val="nil"/>
              <w:right w:val="nil"/>
            </w:tcBorders>
            <w:shd w:val="clear" w:color="auto" w:fill="auto"/>
            <w:noWrap/>
            <w:vAlign w:val="center"/>
            <w:hideMark/>
          </w:tcPr>
          <w:p w14:paraId="6730A0D9"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0</w:t>
            </w:r>
          </w:p>
        </w:tc>
        <w:tc>
          <w:tcPr>
            <w:tcW w:w="956" w:type="dxa"/>
            <w:tcBorders>
              <w:top w:val="nil"/>
              <w:left w:val="nil"/>
              <w:bottom w:val="nil"/>
              <w:right w:val="nil"/>
            </w:tcBorders>
            <w:shd w:val="clear" w:color="auto" w:fill="auto"/>
            <w:noWrap/>
            <w:vAlign w:val="center"/>
            <w:hideMark/>
          </w:tcPr>
          <w:p w14:paraId="4F97A3C3"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70 669</w:t>
            </w:r>
          </w:p>
        </w:tc>
        <w:tc>
          <w:tcPr>
            <w:tcW w:w="1134" w:type="dxa"/>
            <w:tcBorders>
              <w:top w:val="nil"/>
              <w:left w:val="nil"/>
              <w:bottom w:val="nil"/>
              <w:right w:val="nil"/>
            </w:tcBorders>
            <w:shd w:val="clear" w:color="auto" w:fill="auto"/>
            <w:noWrap/>
            <w:vAlign w:val="center"/>
            <w:hideMark/>
          </w:tcPr>
          <w:p w14:paraId="07723E25"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70 669</w:t>
            </w:r>
          </w:p>
        </w:tc>
        <w:tc>
          <w:tcPr>
            <w:tcW w:w="850" w:type="dxa"/>
            <w:tcBorders>
              <w:top w:val="nil"/>
              <w:left w:val="nil"/>
              <w:bottom w:val="nil"/>
              <w:right w:val="nil"/>
            </w:tcBorders>
            <w:shd w:val="clear" w:color="auto" w:fill="auto"/>
            <w:noWrap/>
            <w:vAlign w:val="center"/>
            <w:hideMark/>
          </w:tcPr>
          <w:p w14:paraId="44C6BDCD"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0,00</w:t>
            </w:r>
          </w:p>
        </w:tc>
      </w:tr>
      <w:tr w:rsidR="00F11BD2" w:rsidRPr="00F11BD2" w14:paraId="72E02241" w14:textId="77777777" w:rsidTr="00CE362A">
        <w:trPr>
          <w:trHeight w:val="289"/>
        </w:trPr>
        <w:tc>
          <w:tcPr>
            <w:tcW w:w="3150" w:type="dxa"/>
            <w:tcBorders>
              <w:top w:val="nil"/>
              <w:left w:val="nil"/>
              <w:bottom w:val="nil"/>
              <w:right w:val="nil"/>
            </w:tcBorders>
            <w:shd w:val="clear" w:color="auto" w:fill="auto"/>
            <w:vAlign w:val="center"/>
            <w:hideMark/>
          </w:tcPr>
          <w:p w14:paraId="2B7A5CC6"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jednotlivcom a neziskovým právnickým osobám</w:t>
            </w:r>
          </w:p>
        </w:tc>
        <w:tc>
          <w:tcPr>
            <w:tcW w:w="998" w:type="dxa"/>
            <w:tcBorders>
              <w:top w:val="nil"/>
              <w:left w:val="nil"/>
              <w:bottom w:val="nil"/>
              <w:right w:val="nil"/>
            </w:tcBorders>
            <w:shd w:val="clear" w:color="auto" w:fill="auto"/>
            <w:noWrap/>
            <w:vAlign w:val="center"/>
            <w:hideMark/>
          </w:tcPr>
          <w:p w14:paraId="1045E8EE"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59 182</w:t>
            </w:r>
          </w:p>
        </w:tc>
        <w:tc>
          <w:tcPr>
            <w:tcW w:w="1022" w:type="dxa"/>
            <w:tcBorders>
              <w:top w:val="nil"/>
              <w:left w:val="nil"/>
              <w:bottom w:val="nil"/>
              <w:right w:val="nil"/>
            </w:tcBorders>
            <w:shd w:val="clear" w:color="auto" w:fill="auto"/>
            <w:noWrap/>
            <w:vAlign w:val="center"/>
            <w:hideMark/>
          </w:tcPr>
          <w:p w14:paraId="6505B37F"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41 550</w:t>
            </w:r>
          </w:p>
        </w:tc>
        <w:tc>
          <w:tcPr>
            <w:tcW w:w="1104" w:type="dxa"/>
            <w:tcBorders>
              <w:top w:val="nil"/>
              <w:left w:val="nil"/>
              <w:bottom w:val="nil"/>
              <w:right w:val="nil"/>
            </w:tcBorders>
            <w:shd w:val="clear" w:color="auto" w:fill="auto"/>
            <w:noWrap/>
            <w:vAlign w:val="center"/>
            <w:hideMark/>
          </w:tcPr>
          <w:p w14:paraId="26C40274"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30 395</w:t>
            </w:r>
          </w:p>
        </w:tc>
        <w:tc>
          <w:tcPr>
            <w:tcW w:w="956" w:type="dxa"/>
            <w:tcBorders>
              <w:top w:val="nil"/>
              <w:left w:val="nil"/>
              <w:bottom w:val="nil"/>
              <w:right w:val="nil"/>
            </w:tcBorders>
            <w:shd w:val="clear" w:color="auto" w:fill="auto"/>
            <w:noWrap/>
            <w:vAlign w:val="center"/>
            <w:hideMark/>
          </w:tcPr>
          <w:p w14:paraId="489EE485"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28 818</w:t>
            </w:r>
          </w:p>
        </w:tc>
        <w:tc>
          <w:tcPr>
            <w:tcW w:w="1134" w:type="dxa"/>
            <w:tcBorders>
              <w:top w:val="nil"/>
              <w:left w:val="nil"/>
              <w:bottom w:val="nil"/>
              <w:right w:val="nil"/>
            </w:tcBorders>
            <w:shd w:val="clear" w:color="auto" w:fill="auto"/>
            <w:noWrap/>
            <w:vAlign w:val="center"/>
            <w:hideMark/>
          </w:tcPr>
          <w:p w14:paraId="12B1ADFE"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-1 577</w:t>
            </w:r>
          </w:p>
        </w:tc>
        <w:tc>
          <w:tcPr>
            <w:tcW w:w="850" w:type="dxa"/>
            <w:tcBorders>
              <w:top w:val="nil"/>
              <w:left w:val="nil"/>
              <w:bottom w:val="nil"/>
              <w:right w:val="nil"/>
            </w:tcBorders>
            <w:shd w:val="clear" w:color="auto" w:fill="auto"/>
            <w:noWrap/>
            <w:vAlign w:val="center"/>
            <w:hideMark/>
          </w:tcPr>
          <w:p w14:paraId="456C9D6C"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-5,19</w:t>
            </w:r>
          </w:p>
        </w:tc>
      </w:tr>
      <w:tr w:rsidR="00F11BD2" w:rsidRPr="00F11BD2" w14:paraId="565F6EE2" w14:textId="77777777" w:rsidTr="00CE362A">
        <w:trPr>
          <w:trHeight w:val="289"/>
        </w:trPr>
        <w:tc>
          <w:tcPr>
            <w:tcW w:w="3150" w:type="dxa"/>
            <w:tcBorders>
              <w:top w:val="nil"/>
              <w:left w:val="nil"/>
              <w:bottom w:val="single" w:sz="8" w:space="0" w:color="auto"/>
              <w:right w:val="nil"/>
            </w:tcBorders>
            <w:shd w:val="clear" w:color="auto" w:fill="auto"/>
            <w:vAlign w:val="center"/>
            <w:hideMark/>
          </w:tcPr>
          <w:p w14:paraId="1B8F18A4" w14:textId="77777777" w:rsidR="00F11BD2" w:rsidRPr="00F11BD2" w:rsidRDefault="00F11BD2" w:rsidP="00F11BD2">
            <w:pPr>
              <w:spacing w:after="0" w:line="240" w:lineRule="auto"/>
              <w:jc w:val="left"/>
              <w:rPr>
                <w:rFonts w:eastAsia="Times New Roman" w:cs="Times New Roman"/>
                <w:color w:val="000000"/>
                <w:sz w:val="20"/>
                <w:szCs w:val="20"/>
                <w:lang w:eastAsia="sk-SK"/>
              </w:rPr>
            </w:pPr>
            <w:r w:rsidRPr="00F11BD2">
              <w:rPr>
                <w:rFonts w:eastAsia="Times New Roman" w:cs="Times New Roman"/>
                <w:color w:val="000000"/>
                <w:sz w:val="20"/>
                <w:szCs w:val="20"/>
                <w:lang w:eastAsia="sk-SK"/>
              </w:rPr>
              <w:t>do zahraničia</w:t>
            </w:r>
          </w:p>
        </w:tc>
        <w:tc>
          <w:tcPr>
            <w:tcW w:w="998" w:type="dxa"/>
            <w:tcBorders>
              <w:top w:val="nil"/>
              <w:left w:val="nil"/>
              <w:bottom w:val="single" w:sz="8" w:space="0" w:color="auto"/>
              <w:right w:val="nil"/>
            </w:tcBorders>
            <w:shd w:val="clear" w:color="auto" w:fill="auto"/>
            <w:noWrap/>
            <w:vAlign w:val="center"/>
            <w:hideMark/>
          </w:tcPr>
          <w:p w14:paraId="5BB11D53"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5 614</w:t>
            </w:r>
          </w:p>
        </w:tc>
        <w:tc>
          <w:tcPr>
            <w:tcW w:w="1022" w:type="dxa"/>
            <w:tcBorders>
              <w:top w:val="nil"/>
              <w:left w:val="nil"/>
              <w:bottom w:val="single" w:sz="8" w:space="0" w:color="auto"/>
              <w:right w:val="nil"/>
            </w:tcBorders>
            <w:shd w:val="clear" w:color="auto" w:fill="auto"/>
            <w:noWrap/>
            <w:vAlign w:val="center"/>
            <w:hideMark/>
          </w:tcPr>
          <w:p w14:paraId="34BED983"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8 351</w:t>
            </w:r>
          </w:p>
        </w:tc>
        <w:tc>
          <w:tcPr>
            <w:tcW w:w="1104" w:type="dxa"/>
            <w:tcBorders>
              <w:top w:val="nil"/>
              <w:left w:val="nil"/>
              <w:bottom w:val="single" w:sz="8" w:space="0" w:color="auto"/>
              <w:right w:val="nil"/>
            </w:tcBorders>
            <w:shd w:val="clear" w:color="auto" w:fill="auto"/>
            <w:noWrap/>
            <w:vAlign w:val="center"/>
            <w:hideMark/>
          </w:tcPr>
          <w:p w14:paraId="18AB40B2"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0</w:t>
            </w:r>
          </w:p>
        </w:tc>
        <w:tc>
          <w:tcPr>
            <w:tcW w:w="956" w:type="dxa"/>
            <w:tcBorders>
              <w:top w:val="nil"/>
              <w:left w:val="nil"/>
              <w:bottom w:val="single" w:sz="8" w:space="0" w:color="auto"/>
              <w:right w:val="nil"/>
            </w:tcBorders>
            <w:shd w:val="clear" w:color="auto" w:fill="auto"/>
            <w:noWrap/>
            <w:vAlign w:val="center"/>
            <w:hideMark/>
          </w:tcPr>
          <w:p w14:paraId="7CDDB8CA"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3 091</w:t>
            </w:r>
          </w:p>
        </w:tc>
        <w:tc>
          <w:tcPr>
            <w:tcW w:w="1134" w:type="dxa"/>
            <w:tcBorders>
              <w:top w:val="nil"/>
              <w:left w:val="nil"/>
              <w:bottom w:val="single" w:sz="8" w:space="0" w:color="auto"/>
              <w:right w:val="nil"/>
            </w:tcBorders>
            <w:shd w:val="clear" w:color="auto" w:fill="auto"/>
            <w:noWrap/>
            <w:vAlign w:val="center"/>
            <w:hideMark/>
          </w:tcPr>
          <w:p w14:paraId="61070C33"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3 091</w:t>
            </w:r>
          </w:p>
        </w:tc>
        <w:tc>
          <w:tcPr>
            <w:tcW w:w="850" w:type="dxa"/>
            <w:tcBorders>
              <w:top w:val="nil"/>
              <w:left w:val="nil"/>
              <w:bottom w:val="single" w:sz="8" w:space="0" w:color="auto"/>
              <w:right w:val="nil"/>
            </w:tcBorders>
            <w:shd w:val="clear" w:color="auto" w:fill="auto"/>
            <w:noWrap/>
            <w:vAlign w:val="center"/>
            <w:hideMark/>
          </w:tcPr>
          <w:p w14:paraId="666BF33E" w14:textId="77777777" w:rsidR="00F11BD2" w:rsidRPr="00F11BD2" w:rsidRDefault="00F11BD2" w:rsidP="00F11BD2">
            <w:pPr>
              <w:spacing w:after="0" w:line="240" w:lineRule="auto"/>
              <w:jc w:val="right"/>
              <w:rPr>
                <w:rFonts w:eastAsia="Times New Roman" w:cs="Times New Roman"/>
                <w:color w:val="000000"/>
                <w:sz w:val="20"/>
                <w:szCs w:val="20"/>
                <w:lang w:eastAsia="sk-SK"/>
              </w:rPr>
            </w:pPr>
            <w:r w:rsidRPr="00F11BD2">
              <w:rPr>
                <w:rFonts w:eastAsia="Times New Roman" w:cs="Times New Roman"/>
                <w:color w:val="000000"/>
                <w:sz w:val="20"/>
                <w:szCs w:val="20"/>
                <w:lang w:eastAsia="sk-SK"/>
              </w:rPr>
              <w:t>0,00</w:t>
            </w:r>
          </w:p>
        </w:tc>
      </w:tr>
      <w:tr w:rsidR="00F11BD2" w:rsidRPr="00F11BD2" w14:paraId="5206F269" w14:textId="77777777" w:rsidTr="00CE362A">
        <w:trPr>
          <w:trHeight w:val="289"/>
        </w:trPr>
        <w:tc>
          <w:tcPr>
            <w:tcW w:w="3150" w:type="dxa"/>
            <w:tcBorders>
              <w:top w:val="nil"/>
              <w:left w:val="nil"/>
              <w:bottom w:val="single" w:sz="8" w:space="0" w:color="auto"/>
              <w:right w:val="nil"/>
            </w:tcBorders>
            <w:shd w:val="clear" w:color="auto" w:fill="auto"/>
            <w:vAlign w:val="center"/>
            <w:hideMark/>
          </w:tcPr>
          <w:p w14:paraId="262DBA61" w14:textId="77777777" w:rsidR="00F11BD2" w:rsidRPr="00F11BD2" w:rsidRDefault="00F11BD2" w:rsidP="00F11BD2">
            <w:pPr>
              <w:spacing w:after="0" w:line="240" w:lineRule="auto"/>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Spolu</w:t>
            </w:r>
          </w:p>
        </w:tc>
        <w:tc>
          <w:tcPr>
            <w:tcW w:w="998" w:type="dxa"/>
            <w:tcBorders>
              <w:top w:val="nil"/>
              <w:left w:val="nil"/>
              <w:bottom w:val="single" w:sz="8" w:space="0" w:color="auto"/>
              <w:right w:val="nil"/>
            </w:tcBorders>
            <w:shd w:val="clear" w:color="auto" w:fill="auto"/>
            <w:noWrap/>
            <w:vAlign w:val="center"/>
            <w:hideMark/>
          </w:tcPr>
          <w:p w14:paraId="4353F2C1"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2 662 446</w:t>
            </w:r>
          </w:p>
        </w:tc>
        <w:tc>
          <w:tcPr>
            <w:tcW w:w="1022" w:type="dxa"/>
            <w:tcBorders>
              <w:top w:val="nil"/>
              <w:left w:val="nil"/>
              <w:bottom w:val="single" w:sz="8" w:space="0" w:color="auto"/>
              <w:right w:val="nil"/>
            </w:tcBorders>
            <w:shd w:val="clear" w:color="auto" w:fill="auto"/>
            <w:noWrap/>
            <w:vAlign w:val="center"/>
            <w:hideMark/>
          </w:tcPr>
          <w:p w14:paraId="0694B5F3"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2 440 161</w:t>
            </w:r>
          </w:p>
        </w:tc>
        <w:tc>
          <w:tcPr>
            <w:tcW w:w="1104" w:type="dxa"/>
            <w:tcBorders>
              <w:top w:val="nil"/>
              <w:left w:val="nil"/>
              <w:bottom w:val="single" w:sz="8" w:space="0" w:color="auto"/>
              <w:right w:val="nil"/>
            </w:tcBorders>
            <w:shd w:val="clear" w:color="auto" w:fill="auto"/>
            <w:noWrap/>
            <w:vAlign w:val="center"/>
            <w:hideMark/>
          </w:tcPr>
          <w:p w14:paraId="1214EAF8"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4 113 805</w:t>
            </w:r>
          </w:p>
        </w:tc>
        <w:tc>
          <w:tcPr>
            <w:tcW w:w="956" w:type="dxa"/>
            <w:tcBorders>
              <w:top w:val="nil"/>
              <w:left w:val="nil"/>
              <w:bottom w:val="single" w:sz="8" w:space="0" w:color="auto"/>
              <w:right w:val="nil"/>
            </w:tcBorders>
            <w:shd w:val="clear" w:color="auto" w:fill="auto"/>
            <w:noWrap/>
            <w:vAlign w:val="center"/>
            <w:hideMark/>
          </w:tcPr>
          <w:p w14:paraId="4786EEB4"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2 707 005</w:t>
            </w:r>
          </w:p>
        </w:tc>
        <w:tc>
          <w:tcPr>
            <w:tcW w:w="1134" w:type="dxa"/>
            <w:tcBorders>
              <w:top w:val="nil"/>
              <w:left w:val="nil"/>
              <w:bottom w:val="single" w:sz="8" w:space="0" w:color="auto"/>
              <w:right w:val="nil"/>
            </w:tcBorders>
            <w:shd w:val="clear" w:color="auto" w:fill="auto"/>
            <w:noWrap/>
            <w:vAlign w:val="center"/>
            <w:hideMark/>
          </w:tcPr>
          <w:p w14:paraId="1E805B97"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-1 406 800</w:t>
            </w:r>
          </w:p>
        </w:tc>
        <w:tc>
          <w:tcPr>
            <w:tcW w:w="850" w:type="dxa"/>
            <w:tcBorders>
              <w:top w:val="nil"/>
              <w:left w:val="nil"/>
              <w:bottom w:val="single" w:sz="8" w:space="0" w:color="auto"/>
              <w:right w:val="nil"/>
            </w:tcBorders>
            <w:shd w:val="clear" w:color="auto" w:fill="auto"/>
            <w:noWrap/>
            <w:vAlign w:val="center"/>
            <w:hideMark/>
          </w:tcPr>
          <w:p w14:paraId="3D466E6C" w14:textId="77777777" w:rsidR="00F11BD2" w:rsidRPr="00F11BD2" w:rsidRDefault="00F11BD2" w:rsidP="00F11BD2">
            <w:pPr>
              <w:spacing w:after="0" w:line="240" w:lineRule="auto"/>
              <w:jc w:val="right"/>
              <w:rPr>
                <w:rFonts w:eastAsia="Times New Roman" w:cs="Times New Roman"/>
                <w:b/>
                <w:bCs/>
                <w:color w:val="000000"/>
                <w:sz w:val="20"/>
                <w:szCs w:val="20"/>
                <w:lang w:eastAsia="sk-SK"/>
              </w:rPr>
            </w:pPr>
            <w:r w:rsidRPr="00F11BD2">
              <w:rPr>
                <w:rFonts w:eastAsia="Times New Roman" w:cs="Times New Roman"/>
                <w:b/>
                <w:bCs/>
                <w:color w:val="000000"/>
                <w:sz w:val="20"/>
                <w:szCs w:val="20"/>
                <w:lang w:eastAsia="sk-SK"/>
              </w:rPr>
              <w:t>-34</w:t>
            </w:r>
          </w:p>
        </w:tc>
      </w:tr>
    </w:tbl>
    <w:p w14:paraId="5ADF91F0" w14:textId="5B5EFA9F" w:rsidR="00F11BD2" w:rsidRPr="0017281B" w:rsidRDefault="00F11BD2" w:rsidP="00F11BD2">
      <w:pPr>
        <w:spacing w:line="240" w:lineRule="auto"/>
        <w:jc w:val="right"/>
        <w:rPr>
          <w:sz w:val="20"/>
          <w:szCs w:val="20"/>
        </w:rPr>
      </w:pPr>
      <w:r w:rsidRPr="0017281B">
        <w:rPr>
          <w:sz w:val="20"/>
          <w:szCs w:val="20"/>
        </w:rPr>
        <w:t>Zdroj: MF SR</w:t>
      </w:r>
    </w:p>
    <w:p w14:paraId="0B47BBC1" w14:textId="77777777" w:rsidR="00274C54" w:rsidRDefault="00A226A7" w:rsidP="00574126">
      <w:pPr>
        <w:spacing w:line="240" w:lineRule="auto"/>
        <w:rPr>
          <w:b/>
          <w:color w:val="5B9BD5" w:themeColor="accent1"/>
          <w:sz w:val="24"/>
          <w:szCs w:val="24"/>
        </w:rPr>
      </w:pPr>
      <w:r w:rsidRPr="007C5FE8">
        <w:rPr>
          <w:b/>
          <w:color w:val="5B9BD5" w:themeColor="accent1"/>
          <w:sz w:val="24"/>
          <w:szCs w:val="24"/>
        </w:rPr>
        <w:t xml:space="preserve">Obstarávanie kapitálových aktív </w:t>
      </w:r>
    </w:p>
    <w:p w14:paraId="625B5B96" w14:textId="53E12F07" w:rsidR="00574126" w:rsidRDefault="00274C54" w:rsidP="00574126">
      <w:pPr>
        <w:spacing w:line="240" w:lineRule="auto"/>
        <w:rPr>
          <w:sz w:val="24"/>
          <w:szCs w:val="24"/>
        </w:rPr>
      </w:pPr>
      <w:r w:rsidRPr="00274C54">
        <w:rPr>
          <w:b/>
          <w:sz w:val="24"/>
          <w:szCs w:val="24"/>
        </w:rPr>
        <w:t xml:space="preserve">Obstarávanie kapitálových aktív </w:t>
      </w:r>
      <w:r w:rsidR="00574126" w:rsidRPr="00D715AF">
        <w:rPr>
          <w:sz w:val="24"/>
          <w:szCs w:val="24"/>
        </w:rPr>
        <w:t xml:space="preserve">predstavuje obstaranie majetku dlhodobej povahy do </w:t>
      </w:r>
      <w:r w:rsidR="00574126" w:rsidRPr="00B8411A">
        <w:rPr>
          <w:sz w:val="24"/>
          <w:szCs w:val="24"/>
        </w:rPr>
        <w:t>vlastníctva štátu dodávateľským spôsobom alebo v rámci vlastných výkonov štátu. Rozpočet na obstarávanie kapitálových aktív bol stanovený sumou 2 258 374 tis. eur, ktorá sa rozpočtovými opatreniami počas roka znížila na 1 263 519 tis. eur. Skutočné čerpanie predstavovalo sumu 1 183 010 tis. eur. Z celkovej sumy kapitálových výdavkov bolo zo zdrojov EŠIF použitých 103 178 tis. eur, zo zdroja ŠR 1 043 609 tis. eur (spolufinancovanie 33 523 tis. eur) a z Plánu obnovy a odolnosti 2 701 tis. eur.</w:t>
      </w:r>
    </w:p>
    <w:p w14:paraId="65D57DEB" w14:textId="77777777" w:rsidR="00574126" w:rsidRDefault="00574126" w:rsidP="00574126">
      <w:pPr>
        <w:spacing w:line="240" w:lineRule="auto"/>
        <w:rPr>
          <w:sz w:val="24"/>
          <w:szCs w:val="24"/>
        </w:rPr>
      </w:pPr>
      <w:r w:rsidRPr="00C2275D">
        <w:rPr>
          <w:b/>
          <w:sz w:val="24"/>
          <w:szCs w:val="24"/>
        </w:rPr>
        <w:t>Nákup dopravných prostriedkov</w:t>
      </w:r>
      <w:r w:rsidRPr="00D715AF">
        <w:rPr>
          <w:b/>
          <w:i/>
          <w:sz w:val="24"/>
          <w:szCs w:val="24"/>
        </w:rPr>
        <w:t xml:space="preserve"> </w:t>
      </w:r>
      <w:r w:rsidRPr="00D715AF">
        <w:rPr>
          <w:sz w:val="24"/>
          <w:szCs w:val="24"/>
        </w:rPr>
        <w:t xml:space="preserve">dosiahol </w:t>
      </w:r>
      <w:r>
        <w:rPr>
          <w:sz w:val="24"/>
          <w:szCs w:val="24"/>
        </w:rPr>
        <w:t>581 026 tis. eur. N</w:t>
      </w:r>
      <w:r w:rsidRPr="00D715AF">
        <w:rPr>
          <w:sz w:val="24"/>
          <w:szCs w:val="24"/>
        </w:rPr>
        <w:t xml:space="preserve">ajväčší podiel výdavkov tvorila kapitola </w:t>
      </w:r>
      <w:r>
        <w:rPr>
          <w:sz w:val="24"/>
          <w:szCs w:val="24"/>
        </w:rPr>
        <w:t>Ministerstva obrany SR 552</w:t>
      </w:r>
      <w:r w:rsidRPr="00D715AF">
        <w:rPr>
          <w:sz w:val="24"/>
          <w:szCs w:val="24"/>
        </w:rPr>
        <w:t> </w:t>
      </w:r>
      <w:r>
        <w:rPr>
          <w:sz w:val="24"/>
          <w:szCs w:val="24"/>
        </w:rPr>
        <w:t>745</w:t>
      </w:r>
      <w:r w:rsidRPr="00D715AF">
        <w:rPr>
          <w:sz w:val="24"/>
          <w:szCs w:val="24"/>
        </w:rPr>
        <w:t> tis. eur</w:t>
      </w:r>
      <w:r>
        <w:rPr>
          <w:sz w:val="24"/>
          <w:szCs w:val="24"/>
        </w:rPr>
        <w:t xml:space="preserve"> a</w:t>
      </w:r>
      <w:r w:rsidRPr="00D715AF">
        <w:rPr>
          <w:sz w:val="24"/>
          <w:szCs w:val="24"/>
        </w:rPr>
        <w:t xml:space="preserve"> Ministerstva vnútra SR </w:t>
      </w:r>
      <w:r>
        <w:rPr>
          <w:sz w:val="24"/>
          <w:szCs w:val="24"/>
        </w:rPr>
        <w:t>18</w:t>
      </w:r>
      <w:r w:rsidRPr="00D715AF">
        <w:rPr>
          <w:sz w:val="24"/>
          <w:szCs w:val="24"/>
        </w:rPr>
        <w:t> </w:t>
      </w:r>
      <w:r>
        <w:rPr>
          <w:sz w:val="24"/>
          <w:szCs w:val="24"/>
        </w:rPr>
        <w:t>806</w:t>
      </w:r>
      <w:r w:rsidRPr="00D715AF">
        <w:rPr>
          <w:sz w:val="24"/>
          <w:szCs w:val="24"/>
        </w:rPr>
        <w:t xml:space="preserve"> tis. eur. </w:t>
      </w:r>
      <w:r>
        <w:rPr>
          <w:sz w:val="24"/>
          <w:szCs w:val="24"/>
        </w:rPr>
        <w:t>Medziročný nárast o 568 318 tis. eur bol spôsobený zvýšením výdavkov na nákup špeciálnych automobilov u Ministerstva obrany SR o 536 267 tis. eur.</w:t>
      </w:r>
    </w:p>
    <w:p w14:paraId="4A4C9BA1" w14:textId="77777777" w:rsidR="00574126" w:rsidRPr="00B8411A" w:rsidRDefault="00574126" w:rsidP="00574126">
      <w:pPr>
        <w:spacing w:line="240" w:lineRule="auto"/>
        <w:rPr>
          <w:sz w:val="24"/>
          <w:szCs w:val="24"/>
        </w:rPr>
      </w:pPr>
      <w:r w:rsidRPr="00057599">
        <w:rPr>
          <w:sz w:val="24"/>
          <w:szCs w:val="24"/>
        </w:rPr>
        <w:lastRenderedPageBreak/>
        <w:t xml:space="preserve">Výdavky </w:t>
      </w:r>
      <w:r w:rsidRPr="007F18DA">
        <w:rPr>
          <w:sz w:val="24"/>
          <w:szCs w:val="24"/>
          <w:u w:val="single"/>
        </w:rPr>
        <w:t>Ministerstv</w:t>
      </w:r>
      <w:r>
        <w:rPr>
          <w:sz w:val="24"/>
          <w:szCs w:val="24"/>
          <w:u w:val="single"/>
        </w:rPr>
        <w:t>a</w:t>
      </w:r>
      <w:r w:rsidRPr="007F18DA">
        <w:rPr>
          <w:sz w:val="24"/>
          <w:szCs w:val="24"/>
          <w:u w:val="single"/>
        </w:rPr>
        <w:t xml:space="preserve"> </w:t>
      </w:r>
      <w:r>
        <w:rPr>
          <w:sz w:val="24"/>
          <w:szCs w:val="24"/>
          <w:u w:val="single"/>
        </w:rPr>
        <w:t>obrany</w:t>
      </w:r>
      <w:r w:rsidRPr="007F18DA">
        <w:rPr>
          <w:sz w:val="24"/>
          <w:szCs w:val="24"/>
          <w:u w:val="single"/>
        </w:rPr>
        <w:t xml:space="preserve"> SR</w:t>
      </w:r>
      <w:r>
        <w:rPr>
          <w:sz w:val="24"/>
          <w:szCs w:val="24"/>
        </w:rPr>
        <w:t xml:space="preserve"> </w:t>
      </w:r>
      <w:r w:rsidRPr="0096020A">
        <w:rPr>
          <w:sz w:val="24"/>
          <w:szCs w:val="24"/>
        </w:rPr>
        <w:t xml:space="preserve">tvorili </w:t>
      </w:r>
      <w:r>
        <w:rPr>
          <w:sz w:val="24"/>
          <w:szCs w:val="24"/>
        </w:rPr>
        <w:t>predovšetkým</w:t>
      </w:r>
      <w:r w:rsidRPr="0096020A">
        <w:rPr>
          <w:sz w:val="24"/>
          <w:szCs w:val="24"/>
        </w:rPr>
        <w:t xml:space="preserve"> výdavky na </w:t>
      </w:r>
      <w:r w:rsidRPr="0096020A">
        <w:rPr>
          <w:i/>
          <w:sz w:val="24"/>
          <w:szCs w:val="24"/>
        </w:rPr>
        <w:t xml:space="preserve">nákup špeciálnych automobilov </w:t>
      </w:r>
      <w:r>
        <w:rPr>
          <w:sz w:val="24"/>
          <w:szCs w:val="24"/>
        </w:rPr>
        <w:t xml:space="preserve">vo výške 536 600 tis. eur </w:t>
      </w:r>
      <w:r>
        <w:t xml:space="preserve">na </w:t>
      </w:r>
      <w:r w:rsidRPr="0039612C">
        <w:rPr>
          <w:sz w:val="24"/>
          <w:szCs w:val="24"/>
        </w:rPr>
        <w:t>projekty pásové bojové vozidlá a</w:t>
      </w:r>
      <w:r>
        <w:rPr>
          <w:sz w:val="24"/>
          <w:szCs w:val="24"/>
        </w:rPr>
        <w:t xml:space="preserve"> </w:t>
      </w:r>
      <w:r w:rsidRPr="0039612C">
        <w:rPr>
          <w:sz w:val="24"/>
          <w:szCs w:val="24"/>
        </w:rPr>
        <w:t xml:space="preserve">bojové obrnené vozidlá 8x8 pre Ozbrojené sily SR. Nárast skutočnosti oproti schválenému rozpočtu </w:t>
      </w:r>
      <w:r>
        <w:rPr>
          <w:sz w:val="24"/>
          <w:szCs w:val="24"/>
        </w:rPr>
        <w:t xml:space="preserve">(o 535 591 tis. eur) </w:t>
      </w:r>
      <w:r w:rsidRPr="0039612C">
        <w:rPr>
          <w:sz w:val="24"/>
          <w:szCs w:val="24"/>
        </w:rPr>
        <w:t xml:space="preserve">súvisel najmä s uvoľnením prostriedkov alokovaných v kapitole VPS pre </w:t>
      </w:r>
      <w:r>
        <w:rPr>
          <w:sz w:val="24"/>
          <w:szCs w:val="24"/>
        </w:rPr>
        <w:t xml:space="preserve">ministerstvo. </w:t>
      </w:r>
      <w:r w:rsidRPr="00C2275D">
        <w:rPr>
          <w:b/>
          <w:i/>
          <w:sz w:val="24"/>
          <w:szCs w:val="24"/>
        </w:rPr>
        <w:t>Nákup dopravných lietadiel, vrtuľníkov</w:t>
      </w:r>
      <w:r>
        <w:rPr>
          <w:i/>
          <w:sz w:val="24"/>
          <w:szCs w:val="24"/>
        </w:rPr>
        <w:t xml:space="preserve"> </w:t>
      </w:r>
      <w:r w:rsidRPr="00DE786B">
        <w:rPr>
          <w:sz w:val="24"/>
          <w:szCs w:val="24"/>
        </w:rPr>
        <w:t>predstavoval sumu</w:t>
      </w:r>
      <w:r>
        <w:rPr>
          <w:sz w:val="24"/>
          <w:szCs w:val="24"/>
        </w:rPr>
        <w:t xml:space="preserve"> 11 145 </w:t>
      </w:r>
      <w:r>
        <w:t xml:space="preserve">tis. eur, </w:t>
      </w:r>
      <w:r w:rsidRPr="0039612C">
        <w:rPr>
          <w:sz w:val="24"/>
          <w:szCs w:val="24"/>
        </w:rPr>
        <w:t xml:space="preserve">prostriedky boli čerpané v programe Rozvoj obrany </w:t>
      </w:r>
      <w:r>
        <w:rPr>
          <w:sz w:val="24"/>
          <w:szCs w:val="24"/>
        </w:rPr>
        <w:t>na</w:t>
      </w:r>
      <w:r w:rsidRPr="0039612C">
        <w:rPr>
          <w:sz w:val="24"/>
          <w:szCs w:val="24"/>
        </w:rPr>
        <w:t xml:space="preserve"> viacúčelové vrtuľníky pre špeciálne úlohy (9</w:t>
      </w:r>
      <w:r>
        <w:rPr>
          <w:sz w:val="24"/>
          <w:szCs w:val="24"/>
        </w:rPr>
        <w:t> </w:t>
      </w:r>
      <w:r w:rsidRPr="0039612C">
        <w:rPr>
          <w:sz w:val="24"/>
          <w:szCs w:val="24"/>
        </w:rPr>
        <w:t>712</w:t>
      </w:r>
      <w:r>
        <w:rPr>
          <w:sz w:val="24"/>
          <w:szCs w:val="24"/>
        </w:rPr>
        <w:t> </w:t>
      </w:r>
      <w:r w:rsidRPr="0039612C">
        <w:rPr>
          <w:sz w:val="24"/>
          <w:szCs w:val="24"/>
        </w:rPr>
        <w:t>tis.</w:t>
      </w:r>
      <w:r>
        <w:rPr>
          <w:sz w:val="24"/>
          <w:szCs w:val="24"/>
        </w:rPr>
        <w:t> eur) a</w:t>
      </w:r>
      <w:r w:rsidRPr="0039612C">
        <w:rPr>
          <w:sz w:val="24"/>
          <w:szCs w:val="24"/>
        </w:rPr>
        <w:t xml:space="preserve"> </w:t>
      </w:r>
      <w:r>
        <w:rPr>
          <w:sz w:val="24"/>
          <w:szCs w:val="24"/>
        </w:rPr>
        <w:t>viacúčelové vrtuľníky (1 433 tis. eur).</w:t>
      </w:r>
      <w:r w:rsidRPr="0039612C">
        <w:rPr>
          <w:sz w:val="24"/>
          <w:szCs w:val="24"/>
        </w:rPr>
        <w:t xml:space="preserve"> </w:t>
      </w:r>
      <w:r>
        <w:rPr>
          <w:sz w:val="24"/>
          <w:szCs w:val="24"/>
        </w:rPr>
        <w:t xml:space="preserve">Na </w:t>
      </w:r>
      <w:r w:rsidRPr="00C2275D">
        <w:rPr>
          <w:b/>
          <w:i/>
          <w:sz w:val="24"/>
          <w:szCs w:val="24"/>
        </w:rPr>
        <w:t>nákup nákladných vozidiel, ťahačov, prípojných vozidiel, dopravných pracovných strojov, traktorov</w:t>
      </w:r>
      <w:r w:rsidRPr="0039612C">
        <w:rPr>
          <w:sz w:val="24"/>
          <w:szCs w:val="24"/>
        </w:rPr>
        <w:t xml:space="preserve"> </w:t>
      </w:r>
      <w:r>
        <w:rPr>
          <w:sz w:val="24"/>
          <w:szCs w:val="24"/>
        </w:rPr>
        <w:t xml:space="preserve">bolo vynaložených 3 881 tis. eur, </w:t>
      </w:r>
      <w:r w:rsidRPr="0039612C">
        <w:rPr>
          <w:sz w:val="24"/>
          <w:szCs w:val="24"/>
        </w:rPr>
        <w:t>išlo o</w:t>
      </w:r>
      <w:r>
        <w:rPr>
          <w:sz w:val="24"/>
          <w:szCs w:val="24"/>
        </w:rPr>
        <w:t xml:space="preserve"> </w:t>
      </w:r>
      <w:r w:rsidRPr="0039612C">
        <w:rPr>
          <w:sz w:val="24"/>
          <w:szCs w:val="24"/>
        </w:rPr>
        <w:t>prostriedky čerpané v programe Rozvoj obrany na špeciálu techniku pre Ozbrojené sily SR.</w:t>
      </w:r>
      <w:r w:rsidRPr="00002EBD">
        <w:rPr>
          <w:sz w:val="24"/>
          <w:szCs w:val="24"/>
        </w:rPr>
        <w:t xml:space="preserve"> </w:t>
      </w:r>
      <w:r w:rsidRPr="009A7AC3">
        <w:rPr>
          <w:sz w:val="24"/>
          <w:szCs w:val="24"/>
        </w:rPr>
        <w:t>Nárast skutočnosti oproti schválenému rozpočtu bol najmä z dôvodu uvoľnenia prostriedkov, ktoré boli v rozpočte verejnej správy alokované v kapitole VPS pre Ministerstvo obrany na rok 202</w:t>
      </w:r>
      <w:r>
        <w:rPr>
          <w:sz w:val="24"/>
          <w:szCs w:val="24"/>
        </w:rPr>
        <w:t>2</w:t>
      </w:r>
      <w:r w:rsidRPr="00C57D77">
        <w:rPr>
          <w:sz w:val="24"/>
          <w:szCs w:val="24"/>
        </w:rPr>
        <w:t>.</w:t>
      </w:r>
      <w:r>
        <w:rPr>
          <w:sz w:val="24"/>
          <w:szCs w:val="24"/>
        </w:rPr>
        <w:t xml:space="preserve"> </w:t>
      </w:r>
      <w:r w:rsidRPr="00B8411A">
        <w:rPr>
          <w:sz w:val="24"/>
          <w:szCs w:val="24"/>
        </w:rPr>
        <w:t>Dôvodom rozpočtovania vo VPS je rovnako ako po minulé roky prierezový charakter výdavkov, ktoré nie je možné rozpočtovať v iných kapitolách alebo ide o výdavky, ktoré majú neisté časové vymedzenie alebo výšku použitia.</w:t>
      </w:r>
    </w:p>
    <w:p w14:paraId="77FB419B" w14:textId="77777777" w:rsidR="00574126" w:rsidRPr="007B0034" w:rsidRDefault="00574126" w:rsidP="00574126">
      <w:pPr>
        <w:spacing w:line="240" w:lineRule="auto"/>
        <w:rPr>
          <w:sz w:val="24"/>
          <w:szCs w:val="24"/>
        </w:rPr>
      </w:pPr>
      <w:r w:rsidRPr="00DE786B">
        <w:rPr>
          <w:sz w:val="24"/>
          <w:szCs w:val="24"/>
          <w:u w:val="single"/>
        </w:rPr>
        <w:t>Ministerstv</w:t>
      </w:r>
      <w:r>
        <w:rPr>
          <w:sz w:val="24"/>
          <w:szCs w:val="24"/>
          <w:u w:val="single"/>
        </w:rPr>
        <w:t>o</w:t>
      </w:r>
      <w:r w:rsidRPr="00DE786B">
        <w:rPr>
          <w:sz w:val="24"/>
          <w:szCs w:val="24"/>
          <w:u w:val="single"/>
        </w:rPr>
        <w:t xml:space="preserve"> vnútra SR</w:t>
      </w:r>
      <w:r w:rsidRPr="00DE786B">
        <w:rPr>
          <w:sz w:val="24"/>
          <w:szCs w:val="24"/>
        </w:rPr>
        <w:t xml:space="preserve"> čerpalo výdavky na </w:t>
      </w:r>
      <w:r w:rsidRPr="00C2275D">
        <w:rPr>
          <w:b/>
          <w:i/>
          <w:sz w:val="24"/>
          <w:szCs w:val="24"/>
        </w:rPr>
        <w:t>nákup dopravných lietadiel, vrtuľníkov</w:t>
      </w:r>
      <w:r w:rsidRPr="00DE786B">
        <w:rPr>
          <w:i/>
          <w:sz w:val="24"/>
          <w:szCs w:val="24"/>
        </w:rPr>
        <w:t xml:space="preserve"> </w:t>
      </w:r>
      <w:r>
        <w:rPr>
          <w:sz w:val="24"/>
          <w:szCs w:val="24"/>
        </w:rPr>
        <w:t>v sume 12 905 tis. eur,</w:t>
      </w:r>
      <w:r w:rsidRPr="00DE786B">
        <w:rPr>
          <w:sz w:val="24"/>
          <w:szCs w:val="24"/>
        </w:rPr>
        <w:t xml:space="preserve"> </w:t>
      </w:r>
      <w:r w:rsidRPr="007B0034">
        <w:rPr>
          <w:sz w:val="24"/>
          <w:szCs w:val="24"/>
        </w:rPr>
        <w:t>išlo o obstaranie vrtuľníka Leonardo AW189 a </w:t>
      </w:r>
      <w:proofErr w:type="spellStart"/>
      <w:r w:rsidRPr="007B0034">
        <w:rPr>
          <w:sz w:val="24"/>
          <w:szCs w:val="24"/>
        </w:rPr>
        <w:t>dovybavenie</w:t>
      </w:r>
      <w:proofErr w:type="spellEnd"/>
      <w:r w:rsidRPr="007B0034">
        <w:rPr>
          <w:sz w:val="24"/>
          <w:szCs w:val="24"/>
        </w:rPr>
        <w:t xml:space="preserve"> k nemu pre Letecký útvar MV SR,</w:t>
      </w:r>
      <w:r>
        <w:rPr>
          <w:sz w:val="24"/>
          <w:szCs w:val="24"/>
        </w:rPr>
        <w:t xml:space="preserve"> </w:t>
      </w:r>
      <w:r w:rsidRPr="007B0034">
        <w:rPr>
          <w:sz w:val="24"/>
          <w:szCs w:val="24"/>
        </w:rPr>
        <w:t>čerpané v rámci programov Efektívna a</w:t>
      </w:r>
      <w:r>
        <w:rPr>
          <w:sz w:val="24"/>
          <w:szCs w:val="24"/>
        </w:rPr>
        <w:t xml:space="preserve"> </w:t>
      </w:r>
      <w:r w:rsidRPr="007B0034">
        <w:rPr>
          <w:sz w:val="24"/>
          <w:szCs w:val="24"/>
        </w:rPr>
        <w:t>spoľahlivá štátna správa (Ochrana verejného poriadku, bezpečnosti osôb a majetku, boj proti kriminalite).</w:t>
      </w:r>
      <w:r>
        <w:rPr>
          <w:sz w:val="24"/>
          <w:szCs w:val="24"/>
        </w:rPr>
        <w:t xml:space="preserve"> </w:t>
      </w:r>
      <w:r w:rsidRPr="007B0034">
        <w:rPr>
          <w:sz w:val="24"/>
          <w:szCs w:val="24"/>
        </w:rPr>
        <w:t xml:space="preserve">Prostriedky boli použité v rámci zdroja 11UA (Ukrajina), tieto prostriedky neboli pri príprave návrhu rozpočtu na rok 2022 </w:t>
      </w:r>
      <w:r>
        <w:rPr>
          <w:sz w:val="24"/>
          <w:szCs w:val="24"/>
        </w:rPr>
        <w:t>predpokladané</w:t>
      </w:r>
      <w:r w:rsidRPr="007B0034">
        <w:rPr>
          <w:sz w:val="24"/>
          <w:szCs w:val="24"/>
        </w:rPr>
        <w:t>.</w:t>
      </w:r>
    </w:p>
    <w:p w14:paraId="7D10DA81" w14:textId="77777777" w:rsidR="00574126" w:rsidRPr="007B0034" w:rsidRDefault="00574126" w:rsidP="00574126">
      <w:pPr>
        <w:spacing w:line="240" w:lineRule="auto"/>
        <w:rPr>
          <w:sz w:val="24"/>
          <w:szCs w:val="24"/>
        </w:rPr>
      </w:pPr>
      <w:r w:rsidRPr="00DE786B">
        <w:rPr>
          <w:sz w:val="24"/>
          <w:szCs w:val="24"/>
        </w:rPr>
        <w:t xml:space="preserve">Na </w:t>
      </w:r>
      <w:r w:rsidRPr="00C2275D">
        <w:rPr>
          <w:b/>
          <w:i/>
          <w:sz w:val="24"/>
          <w:szCs w:val="24"/>
        </w:rPr>
        <w:t>nákup osobných automobilov</w:t>
      </w:r>
      <w:r w:rsidRPr="00DE786B">
        <w:rPr>
          <w:sz w:val="24"/>
          <w:szCs w:val="24"/>
        </w:rPr>
        <w:t xml:space="preserve"> bolo vynaložených </w:t>
      </w:r>
      <w:r>
        <w:rPr>
          <w:sz w:val="24"/>
          <w:szCs w:val="24"/>
        </w:rPr>
        <w:t>5</w:t>
      </w:r>
      <w:r w:rsidRPr="00DE786B">
        <w:rPr>
          <w:sz w:val="24"/>
          <w:szCs w:val="24"/>
        </w:rPr>
        <w:t> </w:t>
      </w:r>
      <w:r>
        <w:rPr>
          <w:sz w:val="24"/>
          <w:szCs w:val="24"/>
        </w:rPr>
        <w:t>266</w:t>
      </w:r>
      <w:r w:rsidRPr="00DE786B">
        <w:rPr>
          <w:sz w:val="24"/>
          <w:szCs w:val="24"/>
        </w:rPr>
        <w:t xml:space="preserve"> tis. eur, </w:t>
      </w:r>
      <w:r w:rsidRPr="007B0034">
        <w:rPr>
          <w:sz w:val="24"/>
          <w:szCs w:val="24"/>
        </w:rPr>
        <w:t>išlo o nákup osobných automobilov a príslušenstva a vybavenia na úpravu služobných vozidiel pre potreby výkonu policajných a záchranných zložiek a rôznych útvarov ministerstva</w:t>
      </w:r>
      <w:r w:rsidRPr="00DE786B">
        <w:rPr>
          <w:sz w:val="24"/>
          <w:szCs w:val="24"/>
        </w:rPr>
        <w:t>.</w:t>
      </w:r>
      <w:r w:rsidRPr="007B0034">
        <w:rPr>
          <w:sz w:val="24"/>
          <w:szCs w:val="24"/>
        </w:rPr>
        <w:t xml:space="preserve"> </w:t>
      </w:r>
      <w:r>
        <w:rPr>
          <w:sz w:val="24"/>
          <w:szCs w:val="24"/>
        </w:rPr>
        <w:t>D</w:t>
      </w:r>
      <w:r w:rsidRPr="007B0034">
        <w:rPr>
          <w:sz w:val="24"/>
          <w:szCs w:val="24"/>
        </w:rPr>
        <w:t xml:space="preserve">ôvodom úpravy rozpočtu bolo nerealizovanie plánovaných nákupov z dôvodu komplikácií pri verejnom obstarávaní a dodávky komponentov pre automobilový priemysel. </w:t>
      </w:r>
    </w:p>
    <w:p w14:paraId="0A9B892B" w14:textId="77777777" w:rsidR="00574126" w:rsidRDefault="00574126" w:rsidP="00574126">
      <w:pPr>
        <w:spacing w:line="240" w:lineRule="auto"/>
        <w:rPr>
          <w:sz w:val="24"/>
          <w:szCs w:val="24"/>
        </w:rPr>
      </w:pPr>
      <w:r w:rsidRPr="00C2275D">
        <w:rPr>
          <w:b/>
          <w:sz w:val="24"/>
          <w:szCs w:val="24"/>
        </w:rPr>
        <w:t>Nákup strojov, prístrojov, zariadení a techniky</w:t>
      </w:r>
      <w:r w:rsidRPr="001E24A4">
        <w:rPr>
          <w:sz w:val="24"/>
          <w:szCs w:val="24"/>
        </w:rPr>
        <w:t xml:space="preserve"> dosiahol v skutočnosti 251 175 tis. eur. V porovnaní s predchádzajúcim rokom išlo o pokles o 303 871 tis. </w:t>
      </w:r>
      <w:r w:rsidRPr="00361FAC">
        <w:rPr>
          <w:sz w:val="24"/>
          <w:szCs w:val="24"/>
        </w:rPr>
        <w:t xml:space="preserve">eur. Najväčší pokles bol zaznamenaný u </w:t>
      </w:r>
      <w:r w:rsidRPr="00C2275D">
        <w:rPr>
          <w:b/>
          <w:i/>
          <w:sz w:val="24"/>
          <w:szCs w:val="24"/>
        </w:rPr>
        <w:t>nákupu špeciálnych strojov, prístrojov, zariadení a techniky</w:t>
      </w:r>
      <w:r w:rsidRPr="00361FAC">
        <w:rPr>
          <w:i/>
          <w:sz w:val="24"/>
          <w:szCs w:val="24"/>
        </w:rPr>
        <w:t xml:space="preserve"> </w:t>
      </w:r>
      <w:r w:rsidRPr="00361FAC">
        <w:rPr>
          <w:sz w:val="24"/>
          <w:szCs w:val="24"/>
        </w:rPr>
        <w:t>(o 352 574 tis. eur)</w:t>
      </w:r>
      <w:r>
        <w:rPr>
          <w:sz w:val="24"/>
          <w:szCs w:val="24"/>
        </w:rPr>
        <w:t>.</w:t>
      </w:r>
      <w:r w:rsidRPr="00361FAC">
        <w:rPr>
          <w:sz w:val="24"/>
          <w:szCs w:val="24"/>
        </w:rPr>
        <w:t xml:space="preserve"> </w:t>
      </w:r>
      <w:r w:rsidRPr="00361FAC">
        <w:rPr>
          <w:sz w:val="24"/>
          <w:szCs w:val="24"/>
          <w:u w:val="single"/>
        </w:rPr>
        <w:t>Ministerstvo obrany SR</w:t>
      </w:r>
      <w:r w:rsidRPr="00361FAC">
        <w:rPr>
          <w:sz w:val="24"/>
          <w:szCs w:val="24"/>
        </w:rPr>
        <w:t xml:space="preserve"> čerpalo prostriedky v sume 160 029 tis. eur</w:t>
      </w:r>
      <w:r>
        <w:rPr>
          <w:sz w:val="24"/>
          <w:szCs w:val="24"/>
        </w:rPr>
        <w:t xml:space="preserve"> (2021: 509 882 tis. eur)</w:t>
      </w:r>
      <w:r w:rsidRPr="00361FAC">
        <w:rPr>
          <w:sz w:val="24"/>
          <w:szCs w:val="24"/>
        </w:rPr>
        <w:t xml:space="preserve">, predovšetkým v programe Rozvoj obrany </w:t>
      </w:r>
      <w:r>
        <w:rPr>
          <w:sz w:val="24"/>
          <w:szCs w:val="24"/>
        </w:rPr>
        <w:t>na r</w:t>
      </w:r>
      <w:r w:rsidRPr="00361FAC">
        <w:rPr>
          <w:sz w:val="24"/>
          <w:szCs w:val="24"/>
        </w:rPr>
        <w:t>ozvoj</w:t>
      </w:r>
      <w:r>
        <w:rPr>
          <w:sz w:val="24"/>
          <w:szCs w:val="24"/>
        </w:rPr>
        <w:t xml:space="preserve"> výzbroje, techniky a materiálu</w:t>
      </w:r>
      <w:r w:rsidRPr="00361FAC">
        <w:rPr>
          <w:sz w:val="24"/>
          <w:szCs w:val="24"/>
        </w:rPr>
        <w:t xml:space="preserve"> a</w:t>
      </w:r>
      <w:r>
        <w:rPr>
          <w:sz w:val="24"/>
          <w:szCs w:val="24"/>
        </w:rPr>
        <w:t xml:space="preserve"> na r</w:t>
      </w:r>
      <w:r w:rsidRPr="00361FAC">
        <w:rPr>
          <w:sz w:val="24"/>
          <w:szCs w:val="24"/>
        </w:rPr>
        <w:t>ozvoj komunikačných a</w:t>
      </w:r>
      <w:r>
        <w:rPr>
          <w:sz w:val="24"/>
          <w:szCs w:val="24"/>
        </w:rPr>
        <w:t xml:space="preserve"> </w:t>
      </w:r>
      <w:r w:rsidRPr="00361FAC">
        <w:rPr>
          <w:sz w:val="24"/>
          <w:szCs w:val="24"/>
        </w:rPr>
        <w:t>informačných systémov</w:t>
      </w:r>
      <w:r>
        <w:rPr>
          <w:sz w:val="24"/>
          <w:szCs w:val="24"/>
        </w:rPr>
        <w:t>.</w:t>
      </w:r>
    </w:p>
    <w:p w14:paraId="0BE9E54E" w14:textId="77777777" w:rsidR="00574126" w:rsidRDefault="00574126" w:rsidP="00574126">
      <w:pPr>
        <w:spacing w:line="240" w:lineRule="auto"/>
        <w:rPr>
          <w:sz w:val="24"/>
          <w:szCs w:val="24"/>
        </w:rPr>
      </w:pPr>
      <w:r w:rsidRPr="00002EBD">
        <w:rPr>
          <w:sz w:val="24"/>
          <w:szCs w:val="24"/>
        </w:rPr>
        <w:t xml:space="preserve">Výdavky </w:t>
      </w:r>
      <w:r w:rsidRPr="00002EBD">
        <w:rPr>
          <w:sz w:val="24"/>
          <w:szCs w:val="24"/>
          <w:u w:val="single"/>
        </w:rPr>
        <w:t>Ministerstva vnútra SR</w:t>
      </w:r>
      <w:r w:rsidRPr="00002EBD">
        <w:rPr>
          <w:sz w:val="24"/>
          <w:szCs w:val="24"/>
        </w:rPr>
        <w:t xml:space="preserve"> boli čerpané v sume </w:t>
      </w:r>
      <w:r>
        <w:rPr>
          <w:sz w:val="24"/>
          <w:szCs w:val="24"/>
        </w:rPr>
        <w:t>16</w:t>
      </w:r>
      <w:r w:rsidRPr="00002EBD">
        <w:rPr>
          <w:sz w:val="24"/>
          <w:szCs w:val="24"/>
        </w:rPr>
        <w:t> </w:t>
      </w:r>
      <w:r>
        <w:rPr>
          <w:sz w:val="24"/>
          <w:szCs w:val="24"/>
        </w:rPr>
        <w:t>849</w:t>
      </w:r>
      <w:r w:rsidRPr="00002EBD">
        <w:rPr>
          <w:sz w:val="24"/>
          <w:szCs w:val="24"/>
        </w:rPr>
        <w:t xml:space="preserve"> tis. eur, </w:t>
      </w:r>
      <w:r w:rsidRPr="001E6CA2">
        <w:rPr>
          <w:sz w:val="24"/>
          <w:szCs w:val="24"/>
        </w:rPr>
        <w:t>v rámci program</w:t>
      </w:r>
      <w:r>
        <w:rPr>
          <w:sz w:val="24"/>
          <w:szCs w:val="24"/>
        </w:rPr>
        <w:t>ov</w:t>
      </w:r>
      <w:r w:rsidRPr="001E6CA2">
        <w:rPr>
          <w:sz w:val="24"/>
          <w:szCs w:val="24"/>
        </w:rPr>
        <w:t xml:space="preserve"> Efektívna a spoľahlivá štátna správa</w:t>
      </w:r>
      <w:r>
        <w:rPr>
          <w:sz w:val="24"/>
          <w:szCs w:val="24"/>
        </w:rPr>
        <w:t xml:space="preserve"> a</w:t>
      </w:r>
      <w:r w:rsidRPr="001E6CA2">
        <w:rPr>
          <w:sz w:val="24"/>
          <w:szCs w:val="24"/>
        </w:rPr>
        <w:t xml:space="preserve"> Informačné technológie f</w:t>
      </w:r>
      <w:r>
        <w:rPr>
          <w:sz w:val="24"/>
          <w:szCs w:val="24"/>
        </w:rPr>
        <w:t xml:space="preserve">inancované zo štátneho rozpočtu. Najvýznamnejšie výdavky boli použité </w:t>
      </w:r>
      <w:r w:rsidRPr="001E6CA2">
        <w:rPr>
          <w:sz w:val="24"/>
          <w:szCs w:val="24"/>
        </w:rPr>
        <w:t>na obstaranie elektronických sirén a príslušenstva k</w:t>
      </w:r>
      <w:r>
        <w:rPr>
          <w:sz w:val="24"/>
          <w:szCs w:val="24"/>
        </w:rPr>
        <w:t> </w:t>
      </w:r>
      <w:r w:rsidRPr="001E6CA2">
        <w:rPr>
          <w:sz w:val="24"/>
          <w:szCs w:val="24"/>
        </w:rPr>
        <w:t>nim</w:t>
      </w:r>
      <w:r>
        <w:rPr>
          <w:sz w:val="24"/>
          <w:szCs w:val="24"/>
        </w:rPr>
        <w:t xml:space="preserve"> (</w:t>
      </w:r>
      <w:r w:rsidRPr="001E6CA2">
        <w:rPr>
          <w:sz w:val="24"/>
          <w:szCs w:val="24"/>
        </w:rPr>
        <w:t>13 304 tis. eur</w:t>
      </w:r>
      <w:r>
        <w:rPr>
          <w:sz w:val="24"/>
          <w:szCs w:val="24"/>
        </w:rPr>
        <w:t>),</w:t>
      </w:r>
      <w:r w:rsidRPr="001E6CA2">
        <w:rPr>
          <w:sz w:val="24"/>
          <w:szCs w:val="24"/>
        </w:rPr>
        <w:t xml:space="preserve"> na obstaranie čítačiek odtlačkov prstov</w:t>
      </w:r>
      <w:r>
        <w:rPr>
          <w:sz w:val="24"/>
          <w:szCs w:val="24"/>
        </w:rPr>
        <w:t xml:space="preserve"> (2 828 tis. eur) a pod.</w:t>
      </w:r>
    </w:p>
    <w:p w14:paraId="270E9B08" w14:textId="77777777" w:rsidR="00574126" w:rsidRPr="00F61721" w:rsidRDefault="00574126" w:rsidP="00574126">
      <w:pPr>
        <w:spacing w:line="240" w:lineRule="auto"/>
        <w:rPr>
          <w:sz w:val="24"/>
          <w:szCs w:val="24"/>
        </w:rPr>
      </w:pPr>
      <w:r w:rsidRPr="00D715AF">
        <w:rPr>
          <w:sz w:val="24"/>
          <w:szCs w:val="24"/>
        </w:rPr>
        <w:t xml:space="preserve">Výdavky na </w:t>
      </w:r>
      <w:r w:rsidRPr="00C2275D">
        <w:rPr>
          <w:b/>
          <w:i/>
          <w:sz w:val="24"/>
          <w:szCs w:val="24"/>
        </w:rPr>
        <w:t>nákup výpočtovej techniky</w:t>
      </w:r>
      <w:r w:rsidRPr="00D715AF">
        <w:rPr>
          <w:i/>
          <w:sz w:val="24"/>
          <w:szCs w:val="24"/>
        </w:rPr>
        <w:t xml:space="preserve"> </w:t>
      </w:r>
      <w:r w:rsidRPr="00D715AF">
        <w:rPr>
          <w:sz w:val="24"/>
          <w:szCs w:val="24"/>
        </w:rPr>
        <w:t xml:space="preserve">dosiahli sumu </w:t>
      </w:r>
      <w:r>
        <w:rPr>
          <w:sz w:val="24"/>
          <w:szCs w:val="24"/>
        </w:rPr>
        <w:t>28</w:t>
      </w:r>
      <w:r w:rsidRPr="00D715AF">
        <w:rPr>
          <w:sz w:val="24"/>
          <w:szCs w:val="24"/>
        </w:rPr>
        <w:t> </w:t>
      </w:r>
      <w:r>
        <w:rPr>
          <w:sz w:val="24"/>
          <w:szCs w:val="24"/>
        </w:rPr>
        <w:t>817</w:t>
      </w:r>
      <w:r w:rsidRPr="00D715AF">
        <w:rPr>
          <w:sz w:val="24"/>
          <w:szCs w:val="24"/>
        </w:rPr>
        <w:t xml:space="preserve"> tis. eur. Najvýznamnejšie finančné prostriedky boli čerpané na </w:t>
      </w:r>
      <w:r w:rsidRPr="005F1176">
        <w:rPr>
          <w:sz w:val="24"/>
          <w:szCs w:val="24"/>
          <w:u w:val="single"/>
        </w:rPr>
        <w:t>Ministerstve financií SR</w:t>
      </w:r>
      <w:r>
        <w:rPr>
          <w:sz w:val="24"/>
          <w:szCs w:val="24"/>
        </w:rPr>
        <w:t xml:space="preserve"> (12 171 tis. eur), </w:t>
      </w:r>
      <w:r w:rsidRPr="001111AC">
        <w:rPr>
          <w:sz w:val="24"/>
          <w:szCs w:val="24"/>
        </w:rPr>
        <w:t xml:space="preserve">z toho </w:t>
      </w:r>
      <w:r>
        <w:rPr>
          <w:sz w:val="24"/>
          <w:szCs w:val="24"/>
        </w:rPr>
        <w:t xml:space="preserve">čerpalo </w:t>
      </w:r>
      <w:r w:rsidRPr="001111AC">
        <w:rPr>
          <w:sz w:val="24"/>
          <w:szCs w:val="24"/>
        </w:rPr>
        <w:t xml:space="preserve">najviac </w:t>
      </w:r>
      <w:proofErr w:type="spellStart"/>
      <w:r w:rsidRPr="001111AC">
        <w:rPr>
          <w:sz w:val="24"/>
          <w:szCs w:val="24"/>
        </w:rPr>
        <w:t>DataCentrum</w:t>
      </w:r>
      <w:proofErr w:type="spellEnd"/>
      <w:r w:rsidRPr="001111AC">
        <w:rPr>
          <w:sz w:val="24"/>
          <w:szCs w:val="24"/>
        </w:rPr>
        <w:t xml:space="preserve"> v rámci programu Podporná infraštruktúra pre informačné systémy riadenia verejných financií na </w:t>
      </w:r>
      <w:r>
        <w:rPr>
          <w:sz w:val="24"/>
          <w:szCs w:val="24"/>
        </w:rPr>
        <w:t xml:space="preserve">komunitný </w:t>
      </w:r>
      <w:proofErr w:type="spellStart"/>
      <w:r>
        <w:rPr>
          <w:sz w:val="24"/>
          <w:szCs w:val="24"/>
        </w:rPr>
        <w:t>cloud</w:t>
      </w:r>
      <w:proofErr w:type="spellEnd"/>
      <w:r>
        <w:rPr>
          <w:sz w:val="24"/>
          <w:szCs w:val="24"/>
        </w:rPr>
        <w:t xml:space="preserve"> pre centrálny ekonomický systém (CES) na hardvérovú a softvérovú infraštruktúru a obnovu KTI.</w:t>
      </w:r>
    </w:p>
    <w:p w14:paraId="765E567F" w14:textId="77777777" w:rsidR="00574126" w:rsidRDefault="00574126" w:rsidP="00574126">
      <w:pPr>
        <w:spacing w:line="240" w:lineRule="auto"/>
        <w:rPr>
          <w:sz w:val="24"/>
          <w:szCs w:val="24"/>
        </w:rPr>
      </w:pPr>
      <w:r w:rsidRPr="00F61721">
        <w:rPr>
          <w:sz w:val="24"/>
          <w:szCs w:val="24"/>
        </w:rPr>
        <w:t xml:space="preserve">Finančné prostriedky na </w:t>
      </w:r>
      <w:r w:rsidRPr="00F61721">
        <w:rPr>
          <w:sz w:val="24"/>
          <w:szCs w:val="24"/>
          <w:u w:val="single"/>
        </w:rPr>
        <w:t>Ministerstve vnútra SR</w:t>
      </w:r>
      <w:r>
        <w:rPr>
          <w:sz w:val="24"/>
          <w:szCs w:val="24"/>
        </w:rPr>
        <w:t xml:space="preserve"> (4</w:t>
      </w:r>
      <w:r w:rsidRPr="00F61721">
        <w:rPr>
          <w:sz w:val="24"/>
          <w:szCs w:val="24"/>
        </w:rPr>
        <w:t> </w:t>
      </w:r>
      <w:r>
        <w:rPr>
          <w:sz w:val="24"/>
          <w:szCs w:val="24"/>
        </w:rPr>
        <w:t>740</w:t>
      </w:r>
      <w:r w:rsidRPr="00F61721">
        <w:rPr>
          <w:sz w:val="24"/>
          <w:szCs w:val="24"/>
        </w:rPr>
        <w:t xml:space="preserve"> tis. eur) </w:t>
      </w:r>
      <w:r w:rsidRPr="00930B37">
        <w:rPr>
          <w:sz w:val="24"/>
          <w:szCs w:val="24"/>
        </w:rPr>
        <w:t xml:space="preserve">boli čerpané na obstaranie osobných počítačov a výpočtovej techniky (napr. mobilné pracovné stanice, servery, diskové polia, čítačky dokladov, hardvérové bezpečnostné moduly) a pod. Najvýznamnejšie položky boli použité na obstaranie hardvérových zariadení/komponentov </w:t>
      </w:r>
      <w:r>
        <w:rPr>
          <w:sz w:val="24"/>
          <w:szCs w:val="24"/>
        </w:rPr>
        <w:t>a softvérových</w:t>
      </w:r>
      <w:r w:rsidRPr="00930B37">
        <w:rPr>
          <w:sz w:val="24"/>
          <w:szCs w:val="24"/>
        </w:rPr>
        <w:t xml:space="preserve"> licencií</w:t>
      </w:r>
      <w:r>
        <w:rPr>
          <w:sz w:val="24"/>
          <w:szCs w:val="24"/>
        </w:rPr>
        <w:t>.</w:t>
      </w:r>
    </w:p>
    <w:p w14:paraId="1C29491D" w14:textId="77777777" w:rsidR="00574126" w:rsidRPr="00014F58" w:rsidRDefault="00574126" w:rsidP="00574126">
      <w:pPr>
        <w:spacing w:line="240" w:lineRule="auto"/>
        <w:rPr>
          <w:sz w:val="24"/>
          <w:szCs w:val="24"/>
        </w:rPr>
      </w:pPr>
      <w:r>
        <w:rPr>
          <w:sz w:val="24"/>
          <w:szCs w:val="24"/>
        </w:rPr>
        <w:t xml:space="preserve">Pokles medzi schváleným rozpočtom a skutočne vyčerpanými prostriedkami bol vo výške 86 667 tis. eur, najviac na kapitole </w:t>
      </w:r>
      <w:r w:rsidRPr="001A368D">
        <w:rPr>
          <w:sz w:val="24"/>
          <w:szCs w:val="24"/>
          <w:u w:val="single"/>
        </w:rPr>
        <w:t>Ministerstva školstva, vedy, výskumu a športu SR</w:t>
      </w:r>
      <w:r>
        <w:rPr>
          <w:sz w:val="24"/>
          <w:szCs w:val="24"/>
        </w:rPr>
        <w:t xml:space="preserve"> </w:t>
      </w:r>
      <w:r>
        <w:rPr>
          <w:sz w:val="24"/>
          <w:szCs w:val="24"/>
        </w:rPr>
        <w:lastRenderedPageBreak/>
        <w:t>(55 803 tis. eur) z dôvodu viazania prostriedkov z Plánu obnovy a odolnosti a ich prenos do roka 2023 na projekt Vzdelávanie 21. storočia.</w:t>
      </w:r>
    </w:p>
    <w:p w14:paraId="76E6A47D" w14:textId="77777777" w:rsidR="00574126" w:rsidRDefault="00574126" w:rsidP="00574126">
      <w:pPr>
        <w:spacing w:line="240" w:lineRule="auto"/>
        <w:rPr>
          <w:sz w:val="24"/>
          <w:szCs w:val="24"/>
        </w:rPr>
      </w:pPr>
      <w:r w:rsidRPr="00F61721">
        <w:rPr>
          <w:iCs/>
          <w:sz w:val="24"/>
          <w:szCs w:val="24"/>
        </w:rPr>
        <w:t xml:space="preserve">Na </w:t>
      </w:r>
      <w:r w:rsidRPr="00C2275D">
        <w:rPr>
          <w:b/>
          <w:i/>
          <w:iCs/>
          <w:sz w:val="24"/>
          <w:szCs w:val="24"/>
        </w:rPr>
        <w:t>nákup prevádzkových strojov, prístrojov, zariadení a techniky</w:t>
      </w:r>
      <w:r w:rsidRPr="00F61721">
        <w:rPr>
          <w:i/>
          <w:iCs/>
          <w:sz w:val="24"/>
          <w:szCs w:val="24"/>
        </w:rPr>
        <w:t xml:space="preserve"> </w:t>
      </w:r>
      <w:r w:rsidRPr="00F61721">
        <w:rPr>
          <w:iCs/>
          <w:sz w:val="24"/>
          <w:szCs w:val="24"/>
        </w:rPr>
        <w:t>bol</w:t>
      </w:r>
      <w:r>
        <w:rPr>
          <w:iCs/>
          <w:sz w:val="24"/>
          <w:szCs w:val="24"/>
        </w:rPr>
        <w:t>o použitých</w:t>
      </w:r>
      <w:r w:rsidRPr="00F61721">
        <w:rPr>
          <w:iCs/>
          <w:sz w:val="24"/>
          <w:szCs w:val="24"/>
        </w:rPr>
        <w:t xml:space="preserve"> </w:t>
      </w:r>
      <w:r>
        <w:rPr>
          <w:iCs/>
          <w:sz w:val="24"/>
          <w:szCs w:val="24"/>
        </w:rPr>
        <w:t>21</w:t>
      </w:r>
      <w:r w:rsidRPr="00F61721">
        <w:rPr>
          <w:iCs/>
          <w:sz w:val="24"/>
          <w:szCs w:val="24"/>
        </w:rPr>
        <w:t> </w:t>
      </w:r>
      <w:r>
        <w:rPr>
          <w:iCs/>
          <w:sz w:val="24"/>
          <w:szCs w:val="24"/>
        </w:rPr>
        <w:t>624</w:t>
      </w:r>
      <w:r w:rsidRPr="00F61721">
        <w:rPr>
          <w:iCs/>
          <w:sz w:val="24"/>
          <w:szCs w:val="24"/>
        </w:rPr>
        <w:t xml:space="preserve"> tis. eur, najvýznamnejšie výdavky boli </w:t>
      </w:r>
      <w:r>
        <w:rPr>
          <w:iCs/>
          <w:sz w:val="24"/>
          <w:szCs w:val="24"/>
        </w:rPr>
        <w:t>u </w:t>
      </w:r>
      <w:r w:rsidRPr="004C7D38">
        <w:rPr>
          <w:iCs/>
          <w:sz w:val="24"/>
          <w:szCs w:val="24"/>
          <w:u w:val="single"/>
        </w:rPr>
        <w:t>Slovenskej akadémie vied</w:t>
      </w:r>
      <w:r>
        <w:rPr>
          <w:iCs/>
          <w:sz w:val="24"/>
          <w:szCs w:val="24"/>
        </w:rPr>
        <w:t xml:space="preserve"> (12 848 tis. eur</w:t>
      </w:r>
      <w:r w:rsidRPr="00D76F53">
        <w:rPr>
          <w:sz w:val="24"/>
          <w:szCs w:val="24"/>
        </w:rPr>
        <w:t xml:space="preserve">) </w:t>
      </w:r>
      <w:r w:rsidRPr="003E47A1">
        <w:rPr>
          <w:sz w:val="24"/>
          <w:szCs w:val="24"/>
        </w:rPr>
        <w:t xml:space="preserve">na nákup </w:t>
      </w:r>
      <w:r w:rsidRPr="00B45EA5">
        <w:rPr>
          <w:sz w:val="24"/>
          <w:szCs w:val="24"/>
        </w:rPr>
        <w:t>prístrojového vybavenia</w:t>
      </w:r>
      <w:r w:rsidRPr="003E47A1">
        <w:rPr>
          <w:sz w:val="24"/>
          <w:szCs w:val="24"/>
        </w:rPr>
        <w:t xml:space="preserve"> </w:t>
      </w:r>
      <w:r>
        <w:rPr>
          <w:sz w:val="24"/>
          <w:szCs w:val="24"/>
        </w:rPr>
        <w:t>pre</w:t>
      </w:r>
      <w:r w:rsidRPr="003E47A1">
        <w:rPr>
          <w:sz w:val="24"/>
          <w:szCs w:val="24"/>
        </w:rPr>
        <w:t xml:space="preserve"> Centr</w:t>
      </w:r>
      <w:r>
        <w:rPr>
          <w:sz w:val="24"/>
          <w:szCs w:val="24"/>
        </w:rPr>
        <w:t>um</w:t>
      </w:r>
      <w:r w:rsidRPr="003E47A1">
        <w:rPr>
          <w:sz w:val="24"/>
          <w:szCs w:val="24"/>
        </w:rPr>
        <w:t xml:space="preserve"> pre využitie pokročilých materiálov</w:t>
      </w:r>
      <w:r w:rsidRPr="00B45EA5">
        <w:rPr>
          <w:sz w:val="24"/>
          <w:szCs w:val="24"/>
        </w:rPr>
        <w:t>.</w:t>
      </w:r>
      <w:r w:rsidRPr="00EB44B3">
        <w:rPr>
          <w:sz w:val="24"/>
          <w:szCs w:val="24"/>
        </w:rPr>
        <w:t xml:space="preserve"> </w:t>
      </w:r>
      <w:r>
        <w:rPr>
          <w:sz w:val="24"/>
          <w:szCs w:val="24"/>
        </w:rPr>
        <w:t xml:space="preserve">Na </w:t>
      </w:r>
      <w:r w:rsidRPr="00B45EA5">
        <w:rPr>
          <w:sz w:val="24"/>
          <w:szCs w:val="24"/>
          <w:u w:val="single"/>
        </w:rPr>
        <w:t>Ministerstve pôdohospodárstva a rozvoja vidieka SR</w:t>
      </w:r>
      <w:r w:rsidRPr="00B45EA5">
        <w:rPr>
          <w:sz w:val="24"/>
          <w:szCs w:val="24"/>
        </w:rPr>
        <w:t xml:space="preserve"> (3 179 tis. eur), išlo o výdavky Štátnej veterinárnej a potravinovej správy SR na nákup zberných boxov pre poľovníkov z dôvodu zabezpečenia preventívnych opatrení pred africkým morom ošípaných na území SR, na nákup laboratórnej techniky a ďalšie.</w:t>
      </w:r>
    </w:p>
    <w:p w14:paraId="09415024" w14:textId="77777777" w:rsidR="00574126" w:rsidRPr="00D057A0" w:rsidRDefault="00574126" w:rsidP="00574126">
      <w:pPr>
        <w:spacing w:line="240" w:lineRule="auto"/>
        <w:rPr>
          <w:sz w:val="24"/>
          <w:szCs w:val="24"/>
        </w:rPr>
      </w:pPr>
      <w:r>
        <w:rPr>
          <w:sz w:val="24"/>
          <w:szCs w:val="24"/>
        </w:rPr>
        <w:t xml:space="preserve">Čerpanie finančných prostriedkov na </w:t>
      </w:r>
      <w:r w:rsidRPr="00C2275D">
        <w:rPr>
          <w:b/>
          <w:i/>
          <w:sz w:val="24"/>
          <w:szCs w:val="24"/>
        </w:rPr>
        <w:t>nákup telekomunikačnej techniky</w:t>
      </w:r>
      <w:r>
        <w:rPr>
          <w:i/>
          <w:sz w:val="24"/>
          <w:szCs w:val="24"/>
        </w:rPr>
        <w:t xml:space="preserve"> </w:t>
      </w:r>
      <w:r>
        <w:rPr>
          <w:sz w:val="24"/>
          <w:szCs w:val="24"/>
        </w:rPr>
        <w:t xml:space="preserve">bolo vo výške 14 942 tis. eur, najviac čerpalo </w:t>
      </w:r>
      <w:r w:rsidRPr="00D057A0">
        <w:rPr>
          <w:sz w:val="24"/>
          <w:szCs w:val="24"/>
          <w:u w:val="single"/>
        </w:rPr>
        <w:t>Ministerstvo vnútra SR</w:t>
      </w:r>
      <w:r>
        <w:rPr>
          <w:sz w:val="24"/>
          <w:szCs w:val="24"/>
        </w:rPr>
        <w:t xml:space="preserve"> (13 451 tis. eur) </w:t>
      </w:r>
      <w:r w:rsidRPr="00D057A0">
        <w:rPr>
          <w:sz w:val="24"/>
          <w:szCs w:val="24"/>
        </w:rPr>
        <w:t>na dodávku a servis rádiokomunikačnej technológie AIRBUS, príslušenstva, infraštruktúry siete a koncových zariadení</w:t>
      </w:r>
      <w:r>
        <w:rPr>
          <w:sz w:val="24"/>
          <w:szCs w:val="24"/>
        </w:rPr>
        <w:t>.</w:t>
      </w:r>
    </w:p>
    <w:p w14:paraId="29AC2AF4" w14:textId="77777777" w:rsidR="00574126" w:rsidRPr="00E33E83" w:rsidRDefault="00574126" w:rsidP="00574126">
      <w:pPr>
        <w:spacing w:line="240" w:lineRule="auto"/>
        <w:rPr>
          <w:sz w:val="24"/>
          <w:szCs w:val="24"/>
        </w:rPr>
      </w:pPr>
      <w:r w:rsidRPr="00E33E83">
        <w:rPr>
          <w:sz w:val="24"/>
          <w:szCs w:val="24"/>
        </w:rPr>
        <w:t>Pokles s</w:t>
      </w:r>
      <w:r>
        <w:rPr>
          <w:sz w:val="24"/>
          <w:szCs w:val="24"/>
        </w:rPr>
        <w:t xml:space="preserve">kutočnosti oproti schválenému </w:t>
      </w:r>
      <w:r w:rsidRPr="00E33E83">
        <w:rPr>
          <w:sz w:val="24"/>
          <w:szCs w:val="24"/>
        </w:rPr>
        <w:t>r</w:t>
      </w:r>
      <w:r>
        <w:rPr>
          <w:sz w:val="24"/>
          <w:szCs w:val="24"/>
        </w:rPr>
        <w:t>o</w:t>
      </w:r>
      <w:r w:rsidRPr="00E33E83">
        <w:rPr>
          <w:sz w:val="24"/>
          <w:szCs w:val="24"/>
        </w:rPr>
        <w:t>zpočtu</w:t>
      </w:r>
      <w:r>
        <w:rPr>
          <w:sz w:val="24"/>
          <w:szCs w:val="24"/>
        </w:rPr>
        <w:t xml:space="preserve"> vo výške 64 236 </w:t>
      </w:r>
      <w:r w:rsidRPr="00E33E83">
        <w:rPr>
          <w:sz w:val="24"/>
          <w:szCs w:val="24"/>
        </w:rPr>
        <w:t xml:space="preserve">tis. eur </w:t>
      </w:r>
      <w:r>
        <w:rPr>
          <w:sz w:val="24"/>
          <w:szCs w:val="24"/>
        </w:rPr>
        <w:t>na podpoložke</w:t>
      </w:r>
      <w:r w:rsidRPr="00E33E83">
        <w:rPr>
          <w:sz w:val="24"/>
          <w:szCs w:val="24"/>
        </w:rPr>
        <w:t xml:space="preserve"> </w:t>
      </w:r>
      <w:r w:rsidRPr="00C2275D">
        <w:rPr>
          <w:b/>
          <w:i/>
          <w:sz w:val="24"/>
          <w:szCs w:val="24"/>
        </w:rPr>
        <w:t>nákup komunikačnej infraštruktúre</w:t>
      </w:r>
      <w:r>
        <w:rPr>
          <w:sz w:val="24"/>
          <w:szCs w:val="24"/>
        </w:rPr>
        <w:t xml:space="preserve"> spôsobilo</w:t>
      </w:r>
      <w:r w:rsidRPr="00D057A0">
        <w:rPr>
          <w:sz w:val="24"/>
          <w:szCs w:val="24"/>
        </w:rPr>
        <w:t xml:space="preserve"> Ministerstvo školstva, vedy, výskumu a športu SR (o 50 026 tis. eur)</w:t>
      </w:r>
      <w:r>
        <w:rPr>
          <w:sz w:val="24"/>
          <w:szCs w:val="24"/>
        </w:rPr>
        <w:t>.</w:t>
      </w:r>
      <w:r w:rsidRPr="00D057A0">
        <w:rPr>
          <w:sz w:val="24"/>
          <w:szCs w:val="24"/>
        </w:rPr>
        <w:t xml:space="preserve"> </w:t>
      </w:r>
      <w:r>
        <w:rPr>
          <w:sz w:val="24"/>
          <w:szCs w:val="24"/>
        </w:rPr>
        <w:t>D</w:t>
      </w:r>
      <w:r w:rsidRPr="00D057A0">
        <w:rPr>
          <w:sz w:val="24"/>
          <w:szCs w:val="24"/>
        </w:rPr>
        <w:t>ôvod</w:t>
      </w:r>
      <w:r>
        <w:rPr>
          <w:sz w:val="24"/>
          <w:szCs w:val="24"/>
        </w:rPr>
        <w:t>om</w:t>
      </w:r>
      <w:r w:rsidRPr="00D057A0">
        <w:rPr>
          <w:sz w:val="24"/>
          <w:szCs w:val="24"/>
        </w:rPr>
        <w:t xml:space="preserve"> </w:t>
      </w:r>
      <w:r>
        <w:rPr>
          <w:sz w:val="24"/>
          <w:szCs w:val="24"/>
        </w:rPr>
        <w:t xml:space="preserve">bolo </w:t>
      </w:r>
      <w:r w:rsidRPr="00D057A0">
        <w:rPr>
          <w:sz w:val="24"/>
          <w:szCs w:val="24"/>
        </w:rPr>
        <w:t>viazani</w:t>
      </w:r>
      <w:r>
        <w:rPr>
          <w:sz w:val="24"/>
          <w:szCs w:val="24"/>
        </w:rPr>
        <w:t>e</w:t>
      </w:r>
      <w:r w:rsidRPr="00D057A0">
        <w:rPr>
          <w:sz w:val="24"/>
          <w:szCs w:val="24"/>
        </w:rPr>
        <w:t xml:space="preserve"> prostriedkov z Plánu obnovy a odolnosti a ich prenos do roka 2023 na projekt Vzdelávanie 21. storočia</w:t>
      </w:r>
      <w:r>
        <w:rPr>
          <w:sz w:val="24"/>
          <w:szCs w:val="24"/>
        </w:rPr>
        <w:t>.</w:t>
      </w:r>
      <w:r w:rsidRPr="00D057A0">
        <w:rPr>
          <w:sz w:val="24"/>
          <w:szCs w:val="24"/>
        </w:rPr>
        <w:t xml:space="preserve"> </w:t>
      </w:r>
    </w:p>
    <w:p w14:paraId="4CF89D1E" w14:textId="77777777" w:rsidR="00574126" w:rsidRDefault="00574126" w:rsidP="00574126">
      <w:pPr>
        <w:spacing w:line="240" w:lineRule="auto"/>
        <w:rPr>
          <w:sz w:val="24"/>
          <w:szCs w:val="24"/>
        </w:rPr>
      </w:pPr>
      <w:r w:rsidRPr="00C2275D">
        <w:rPr>
          <w:b/>
          <w:sz w:val="24"/>
          <w:szCs w:val="24"/>
        </w:rPr>
        <w:t>Realizácia stavieb a ich technického zhodnotenia</w:t>
      </w:r>
      <w:r w:rsidRPr="00F61721">
        <w:rPr>
          <w:sz w:val="24"/>
          <w:szCs w:val="24"/>
        </w:rPr>
        <w:t xml:space="preserve"> predstavovala výdavky v hodnote </w:t>
      </w:r>
      <w:r>
        <w:rPr>
          <w:sz w:val="24"/>
          <w:szCs w:val="24"/>
        </w:rPr>
        <w:t>163</w:t>
      </w:r>
      <w:r w:rsidRPr="00F61721">
        <w:rPr>
          <w:sz w:val="24"/>
          <w:szCs w:val="24"/>
        </w:rPr>
        <w:t> </w:t>
      </w:r>
      <w:r>
        <w:rPr>
          <w:sz w:val="24"/>
          <w:szCs w:val="24"/>
        </w:rPr>
        <w:t>331</w:t>
      </w:r>
      <w:r w:rsidRPr="00F61721">
        <w:rPr>
          <w:sz w:val="24"/>
          <w:szCs w:val="24"/>
        </w:rPr>
        <w:t> tis. eur. V porovnaní s rokom 202</w:t>
      </w:r>
      <w:r>
        <w:rPr>
          <w:sz w:val="24"/>
          <w:szCs w:val="24"/>
        </w:rPr>
        <w:t>1</w:t>
      </w:r>
      <w:r w:rsidRPr="00F61721">
        <w:rPr>
          <w:sz w:val="24"/>
          <w:szCs w:val="24"/>
        </w:rPr>
        <w:t xml:space="preserve"> došlo k </w:t>
      </w:r>
      <w:r>
        <w:rPr>
          <w:sz w:val="24"/>
          <w:szCs w:val="24"/>
        </w:rPr>
        <w:t>zníženiu</w:t>
      </w:r>
      <w:r w:rsidRPr="00F61721">
        <w:rPr>
          <w:sz w:val="24"/>
          <w:szCs w:val="24"/>
        </w:rPr>
        <w:t xml:space="preserve"> výdavkov o </w:t>
      </w:r>
      <w:r>
        <w:rPr>
          <w:sz w:val="24"/>
          <w:szCs w:val="24"/>
        </w:rPr>
        <w:t>135</w:t>
      </w:r>
      <w:r w:rsidRPr="00F61721">
        <w:rPr>
          <w:sz w:val="24"/>
          <w:szCs w:val="24"/>
        </w:rPr>
        <w:t> </w:t>
      </w:r>
      <w:r>
        <w:rPr>
          <w:sz w:val="24"/>
          <w:szCs w:val="24"/>
        </w:rPr>
        <w:t>155</w:t>
      </w:r>
      <w:r w:rsidRPr="00F61721">
        <w:rPr>
          <w:sz w:val="24"/>
          <w:szCs w:val="24"/>
        </w:rPr>
        <w:t xml:space="preserve"> tis. eur </w:t>
      </w:r>
      <w:r w:rsidRPr="003F4121">
        <w:rPr>
          <w:sz w:val="24"/>
          <w:szCs w:val="24"/>
        </w:rPr>
        <w:t>a k nižšiemu čerpaniu oproti schválenému rozpočtu o </w:t>
      </w:r>
      <w:r>
        <w:rPr>
          <w:sz w:val="24"/>
          <w:szCs w:val="24"/>
        </w:rPr>
        <w:t>281</w:t>
      </w:r>
      <w:r w:rsidRPr="003F4121">
        <w:rPr>
          <w:sz w:val="24"/>
          <w:szCs w:val="24"/>
        </w:rPr>
        <w:t> </w:t>
      </w:r>
      <w:r>
        <w:rPr>
          <w:sz w:val="24"/>
          <w:szCs w:val="24"/>
        </w:rPr>
        <w:t>976</w:t>
      </w:r>
      <w:r w:rsidRPr="003F4121">
        <w:rPr>
          <w:sz w:val="24"/>
          <w:szCs w:val="24"/>
        </w:rPr>
        <w:t xml:space="preserve"> tis. eur. </w:t>
      </w:r>
      <w:r>
        <w:rPr>
          <w:sz w:val="24"/>
          <w:szCs w:val="24"/>
        </w:rPr>
        <w:t>Dôvodom medziročného poklesu bolo zníženie výdavkov na realizáciu nových stavieb na kapitole Ministerstva dopravy a výstavby SR o 145 806 tis. eur.</w:t>
      </w:r>
    </w:p>
    <w:p w14:paraId="78B076DD" w14:textId="77777777" w:rsidR="00574126" w:rsidRPr="003F4121" w:rsidRDefault="00574126" w:rsidP="00574126">
      <w:pPr>
        <w:spacing w:line="240" w:lineRule="auto"/>
        <w:rPr>
          <w:sz w:val="24"/>
          <w:szCs w:val="24"/>
        </w:rPr>
      </w:pPr>
      <w:r w:rsidRPr="003F4121">
        <w:rPr>
          <w:sz w:val="24"/>
          <w:szCs w:val="24"/>
        </w:rPr>
        <w:t>Najvyšší podiel na výdavkoch mala kapitola Ministerstva dopravy a výstavby SR (76 121 tis. eur), Ministerstva obrany SR (39 049 tis.</w:t>
      </w:r>
      <w:r>
        <w:rPr>
          <w:sz w:val="24"/>
          <w:szCs w:val="24"/>
        </w:rPr>
        <w:t> eur) a</w:t>
      </w:r>
      <w:r w:rsidRPr="003F4121">
        <w:rPr>
          <w:sz w:val="24"/>
          <w:szCs w:val="24"/>
        </w:rPr>
        <w:t xml:space="preserve"> </w:t>
      </w:r>
      <w:r>
        <w:rPr>
          <w:sz w:val="24"/>
          <w:szCs w:val="24"/>
        </w:rPr>
        <w:t xml:space="preserve">Ministerstvo práce, sociálnych vecí a rodiny </w:t>
      </w:r>
      <w:r w:rsidRPr="00FE39A0">
        <w:rPr>
          <w:sz w:val="24"/>
          <w:szCs w:val="24"/>
        </w:rPr>
        <w:t>SR (6 119 tis. eur).</w:t>
      </w:r>
    </w:p>
    <w:p w14:paraId="24CCFCDD" w14:textId="77777777" w:rsidR="00574126" w:rsidRPr="00033B72" w:rsidRDefault="00574126" w:rsidP="00574126">
      <w:pPr>
        <w:spacing w:line="240" w:lineRule="auto"/>
        <w:rPr>
          <w:sz w:val="24"/>
          <w:szCs w:val="24"/>
        </w:rPr>
      </w:pPr>
      <w:r w:rsidRPr="00FE39A0">
        <w:rPr>
          <w:sz w:val="24"/>
          <w:szCs w:val="24"/>
        </w:rPr>
        <w:t xml:space="preserve">Výdavky </w:t>
      </w:r>
      <w:r w:rsidRPr="00C2275D">
        <w:rPr>
          <w:b/>
          <w:i/>
          <w:sz w:val="24"/>
          <w:szCs w:val="24"/>
        </w:rPr>
        <w:t>na rekonštrukciu a modernizáciu</w:t>
      </w:r>
      <w:r w:rsidRPr="00FE39A0">
        <w:rPr>
          <w:i/>
          <w:sz w:val="24"/>
          <w:szCs w:val="24"/>
        </w:rPr>
        <w:t xml:space="preserve"> </w:t>
      </w:r>
      <w:r w:rsidRPr="00FE39A0">
        <w:rPr>
          <w:sz w:val="24"/>
          <w:szCs w:val="24"/>
        </w:rPr>
        <w:t>tvorili 111 176</w:t>
      </w:r>
      <w:r>
        <w:rPr>
          <w:sz w:val="24"/>
          <w:szCs w:val="24"/>
        </w:rPr>
        <w:t> tis. eur.</w:t>
      </w:r>
      <w:r w:rsidRPr="00FE39A0">
        <w:rPr>
          <w:sz w:val="24"/>
          <w:szCs w:val="24"/>
        </w:rPr>
        <w:t xml:space="preserve"> </w:t>
      </w:r>
      <w:r w:rsidRPr="00FA70EC">
        <w:rPr>
          <w:sz w:val="24"/>
          <w:szCs w:val="24"/>
        </w:rPr>
        <w:t xml:space="preserve">Najvyššie výdavky boli na </w:t>
      </w:r>
      <w:r w:rsidRPr="00FA70EC">
        <w:rPr>
          <w:sz w:val="24"/>
          <w:szCs w:val="24"/>
          <w:u w:val="single"/>
        </w:rPr>
        <w:t>Ministerstve dopravy a výstavby SR</w:t>
      </w:r>
      <w:r w:rsidRPr="00FA70EC">
        <w:rPr>
          <w:sz w:val="24"/>
          <w:szCs w:val="24"/>
        </w:rPr>
        <w:t xml:space="preserve"> (</w:t>
      </w:r>
      <w:r>
        <w:rPr>
          <w:sz w:val="24"/>
          <w:szCs w:val="24"/>
        </w:rPr>
        <w:t>44 060 tis. eur</w:t>
      </w:r>
      <w:r w:rsidRPr="00033B72">
        <w:rPr>
          <w:sz w:val="24"/>
          <w:szCs w:val="24"/>
        </w:rPr>
        <w:t>), boli to výdavky Slovenskej správy</w:t>
      </w:r>
      <w:r>
        <w:rPr>
          <w:sz w:val="24"/>
          <w:szCs w:val="24"/>
        </w:rPr>
        <w:t xml:space="preserve"> ciest, </w:t>
      </w:r>
      <w:r w:rsidRPr="00033B72">
        <w:rPr>
          <w:sz w:val="24"/>
          <w:szCs w:val="24"/>
        </w:rPr>
        <w:t xml:space="preserve">napr. </w:t>
      </w:r>
      <w:r>
        <w:rPr>
          <w:sz w:val="24"/>
          <w:szCs w:val="24"/>
        </w:rPr>
        <w:t>na z</w:t>
      </w:r>
      <w:r w:rsidRPr="00033B72">
        <w:rPr>
          <w:sz w:val="24"/>
          <w:szCs w:val="24"/>
        </w:rPr>
        <w:t>vyšovanie pasívnej bezpečnosti na cestách I. triedy v</w:t>
      </w:r>
      <w:r>
        <w:rPr>
          <w:sz w:val="24"/>
          <w:szCs w:val="24"/>
        </w:rPr>
        <w:t> </w:t>
      </w:r>
      <w:r w:rsidRPr="00033B72">
        <w:rPr>
          <w:sz w:val="24"/>
          <w:szCs w:val="24"/>
        </w:rPr>
        <w:t>B</w:t>
      </w:r>
      <w:r>
        <w:rPr>
          <w:sz w:val="24"/>
          <w:szCs w:val="24"/>
        </w:rPr>
        <w:t>anskobystrickom kraji, I. etapa (6 768 </w:t>
      </w:r>
      <w:r w:rsidRPr="00033B72">
        <w:rPr>
          <w:sz w:val="24"/>
          <w:szCs w:val="24"/>
        </w:rPr>
        <w:t>tis.</w:t>
      </w:r>
      <w:r>
        <w:rPr>
          <w:sz w:val="24"/>
          <w:szCs w:val="24"/>
        </w:rPr>
        <w:t> eur</w:t>
      </w:r>
      <w:r w:rsidRPr="00033B72">
        <w:rPr>
          <w:sz w:val="24"/>
          <w:szCs w:val="24"/>
        </w:rPr>
        <w:t xml:space="preserve">), </w:t>
      </w:r>
      <w:r>
        <w:rPr>
          <w:sz w:val="24"/>
          <w:szCs w:val="24"/>
        </w:rPr>
        <w:t>na z</w:t>
      </w:r>
      <w:r w:rsidRPr="00033B72">
        <w:rPr>
          <w:sz w:val="24"/>
          <w:szCs w:val="24"/>
        </w:rPr>
        <w:t>vyšovanie pasívnej bezp</w:t>
      </w:r>
      <w:r>
        <w:rPr>
          <w:sz w:val="24"/>
          <w:szCs w:val="24"/>
        </w:rPr>
        <w:t xml:space="preserve">ečnosti na cestách I. triedy v Žilinskom a Trenčianskom </w:t>
      </w:r>
      <w:r w:rsidRPr="00033B72">
        <w:rPr>
          <w:sz w:val="24"/>
          <w:szCs w:val="24"/>
        </w:rPr>
        <w:t>kraji 1. etapa (6</w:t>
      </w:r>
      <w:r>
        <w:rPr>
          <w:sz w:val="24"/>
          <w:szCs w:val="24"/>
        </w:rPr>
        <w:t> </w:t>
      </w:r>
      <w:r w:rsidRPr="00033B72">
        <w:rPr>
          <w:sz w:val="24"/>
          <w:szCs w:val="24"/>
        </w:rPr>
        <w:t>94</w:t>
      </w:r>
      <w:r>
        <w:rPr>
          <w:sz w:val="24"/>
          <w:szCs w:val="24"/>
        </w:rPr>
        <w:t>9 </w:t>
      </w:r>
      <w:r w:rsidRPr="00033B72">
        <w:rPr>
          <w:sz w:val="24"/>
          <w:szCs w:val="24"/>
        </w:rPr>
        <w:t>tis.</w:t>
      </w:r>
      <w:r>
        <w:rPr>
          <w:sz w:val="24"/>
          <w:szCs w:val="24"/>
        </w:rPr>
        <w:t> eur</w:t>
      </w:r>
      <w:r w:rsidRPr="00033B72">
        <w:rPr>
          <w:sz w:val="24"/>
          <w:szCs w:val="24"/>
        </w:rPr>
        <w:t xml:space="preserve">), </w:t>
      </w:r>
      <w:r>
        <w:rPr>
          <w:sz w:val="24"/>
          <w:szCs w:val="24"/>
        </w:rPr>
        <w:t>na z</w:t>
      </w:r>
      <w:r w:rsidRPr="00033B72">
        <w:rPr>
          <w:sz w:val="24"/>
          <w:szCs w:val="24"/>
        </w:rPr>
        <w:t>vyšovanie pasívnej bezpečnosti na cestách I. triedy v</w:t>
      </w:r>
      <w:r>
        <w:rPr>
          <w:sz w:val="24"/>
          <w:szCs w:val="24"/>
        </w:rPr>
        <w:t> </w:t>
      </w:r>
      <w:r w:rsidRPr="00033B72">
        <w:rPr>
          <w:sz w:val="24"/>
          <w:szCs w:val="24"/>
        </w:rPr>
        <w:t>P</w:t>
      </w:r>
      <w:r>
        <w:rPr>
          <w:sz w:val="24"/>
          <w:szCs w:val="24"/>
        </w:rPr>
        <w:t>rešovskom a Košickom</w:t>
      </w:r>
      <w:r w:rsidRPr="00033B72">
        <w:rPr>
          <w:sz w:val="24"/>
          <w:szCs w:val="24"/>
        </w:rPr>
        <w:t xml:space="preserve"> kraji, I. etapa (4</w:t>
      </w:r>
      <w:r>
        <w:rPr>
          <w:sz w:val="24"/>
          <w:szCs w:val="24"/>
        </w:rPr>
        <w:t> </w:t>
      </w:r>
      <w:r w:rsidRPr="00033B72">
        <w:rPr>
          <w:sz w:val="24"/>
          <w:szCs w:val="24"/>
        </w:rPr>
        <w:t>64</w:t>
      </w:r>
      <w:r>
        <w:rPr>
          <w:sz w:val="24"/>
          <w:szCs w:val="24"/>
        </w:rPr>
        <w:t>3 </w:t>
      </w:r>
      <w:r w:rsidRPr="00033B72">
        <w:rPr>
          <w:sz w:val="24"/>
          <w:szCs w:val="24"/>
        </w:rPr>
        <w:t>tis</w:t>
      </w:r>
      <w:r>
        <w:rPr>
          <w:sz w:val="24"/>
          <w:szCs w:val="24"/>
        </w:rPr>
        <w:t>. eur</w:t>
      </w:r>
      <w:r w:rsidRPr="00033B72">
        <w:rPr>
          <w:sz w:val="24"/>
          <w:szCs w:val="24"/>
        </w:rPr>
        <w:t xml:space="preserve">). </w:t>
      </w:r>
      <w:r>
        <w:rPr>
          <w:sz w:val="24"/>
          <w:szCs w:val="24"/>
        </w:rPr>
        <w:t>P</w:t>
      </w:r>
      <w:r w:rsidRPr="00033B72">
        <w:rPr>
          <w:sz w:val="24"/>
          <w:szCs w:val="24"/>
        </w:rPr>
        <w:t>rojekty boli financované kombináciou zdrojov zo štátneho rozpočtu</w:t>
      </w:r>
      <w:r>
        <w:rPr>
          <w:sz w:val="24"/>
          <w:szCs w:val="24"/>
        </w:rPr>
        <w:t xml:space="preserve"> a</w:t>
      </w:r>
      <w:r w:rsidRPr="00033B72">
        <w:rPr>
          <w:sz w:val="24"/>
          <w:szCs w:val="24"/>
        </w:rPr>
        <w:t xml:space="preserve"> prostriedkami z Európskej únie a spolufinancovania k nim (systém </w:t>
      </w:r>
      <w:proofErr w:type="spellStart"/>
      <w:r w:rsidRPr="00033B72">
        <w:rPr>
          <w:sz w:val="24"/>
          <w:szCs w:val="24"/>
        </w:rPr>
        <w:t>predfinancovania</w:t>
      </w:r>
      <w:proofErr w:type="spellEnd"/>
      <w:r w:rsidRPr="00033B72">
        <w:rPr>
          <w:sz w:val="24"/>
          <w:szCs w:val="24"/>
        </w:rPr>
        <w:t xml:space="preserve"> a refundácie).</w:t>
      </w:r>
    </w:p>
    <w:p w14:paraId="670D786F" w14:textId="77777777" w:rsidR="00574126" w:rsidRPr="006D6B13" w:rsidRDefault="00574126" w:rsidP="00574126">
      <w:pPr>
        <w:spacing w:line="240" w:lineRule="auto"/>
        <w:rPr>
          <w:sz w:val="24"/>
          <w:szCs w:val="24"/>
        </w:rPr>
      </w:pPr>
      <w:r w:rsidRPr="006D6B13">
        <w:rPr>
          <w:sz w:val="24"/>
          <w:szCs w:val="24"/>
        </w:rPr>
        <w:t xml:space="preserve">Výdavky na </w:t>
      </w:r>
      <w:r w:rsidRPr="00447284">
        <w:rPr>
          <w:sz w:val="24"/>
          <w:szCs w:val="24"/>
          <w:u w:val="single"/>
        </w:rPr>
        <w:t>Ministerstve obrany SR</w:t>
      </w:r>
      <w:r>
        <w:rPr>
          <w:sz w:val="24"/>
          <w:szCs w:val="24"/>
        </w:rPr>
        <w:t xml:space="preserve"> boli vo výške </w:t>
      </w:r>
      <w:r w:rsidRPr="00FA70EC">
        <w:rPr>
          <w:sz w:val="24"/>
          <w:szCs w:val="24"/>
        </w:rPr>
        <w:t>27 698 tis. eur</w:t>
      </w:r>
      <w:r>
        <w:rPr>
          <w:sz w:val="24"/>
          <w:szCs w:val="24"/>
        </w:rPr>
        <w:t>, išlo</w:t>
      </w:r>
      <w:r w:rsidRPr="006D6B13">
        <w:rPr>
          <w:sz w:val="24"/>
          <w:szCs w:val="24"/>
        </w:rPr>
        <w:t xml:space="preserve"> o rekonštrukcie a</w:t>
      </w:r>
      <w:r>
        <w:rPr>
          <w:sz w:val="24"/>
          <w:szCs w:val="24"/>
        </w:rPr>
        <w:t xml:space="preserve"> </w:t>
      </w:r>
      <w:r w:rsidRPr="006D6B13">
        <w:rPr>
          <w:sz w:val="24"/>
          <w:szCs w:val="24"/>
        </w:rPr>
        <w:t xml:space="preserve">modernizácie objektov Ozbrojených síl SR </w:t>
      </w:r>
      <w:r w:rsidRPr="00B05962">
        <w:rPr>
          <w:sz w:val="24"/>
          <w:szCs w:val="24"/>
        </w:rPr>
        <w:t>(napr. reko</w:t>
      </w:r>
      <w:r>
        <w:rPr>
          <w:sz w:val="24"/>
          <w:szCs w:val="24"/>
        </w:rPr>
        <w:t>nštrukcia prevádzkových plôch v </w:t>
      </w:r>
      <w:r w:rsidRPr="00B05962">
        <w:rPr>
          <w:sz w:val="24"/>
          <w:szCs w:val="24"/>
        </w:rPr>
        <w:t xml:space="preserve">Kuchyni, zvýšenie energetickej efektívnosti budov v kasárňach SNP Prešov, modernizácia garáží </w:t>
      </w:r>
      <w:r w:rsidRPr="004E18A4">
        <w:rPr>
          <w:sz w:val="24"/>
          <w:szCs w:val="24"/>
        </w:rPr>
        <w:t>Mechanizovanej brigády Trebišov, rekonštrukcia telocvične v kasárňach P</w:t>
      </w:r>
      <w:r>
        <w:rPr>
          <w:sz w:val="24"/>
          <w:szCs w:val="24"/>
        </w:rPr>
        <w:t>.</w:t>
      </w:r>
      <w:r w:rsidRPr="004E18A4">
        <w:rPr>
          <w:sz w:val="24"/>
          <w:szCs w:val="24"/>
        </w:rPr>
        <w:t xml:space="preserve"> Jilemnického</w:t>
      </w:r>
      <w:r w:rsidRPr="00B05962">
        <w:rPr>
          <w:sz w:val="24"/>
          <w:szCs w:val="24"/>
        </w:rPr>
        <w:t xml:space="preserve"> v Žiline) a projekty na</w:t>
      </w:r>
      <w:r w:rsidRPr="006D6B13">
        <w:rPr>
          <w:sz w:val="24"/>
          <w:szCs w:val="24"/>
        </w:rPr>
        <w:t xml:space="preserve"> zníženie energetickej náročnosti budov a</w:t>
      </w:r>
      <w:r>
        <w:rPr>
          <w:sz w:val="24"/>
          <w:szCs w:val="24"/>
        </w:rPr>
        <w:t xml:space="preserve"> </w:t>
      </w:r>
      <w:r w:rsidRPr="006D6B13">
        <w:rPr>
          <w:sz w:val="24"/>
          <w:szCs w:val="24"/>
        </w:rPr>
        <w:t>objektov Akadémie ozbrojených síl</w:t>
      </w:r>
      <w:r>
        <w:rPr>
          <w:sz w:val="24"/>
          <w:szCs w:val="24"/>
        </w:rPr>
        <w:t>,</w:t>
      </w:r>
      <w:r w:rsidRPr="006D6B13">
        <w:rPr>
          <w:sz w:val="24"/>
          <w:szCs w:val="24"/>
        </w:rPr>
        <w:t xml:space="preserve"> Liptovský Mikuláš.</w:t>
      </w:r>
    </w:p>
    <w:p w14:paraId="0AD2257A" w14:textId="77777777" w:rsidR="00574126" w:rsidRPr="00033B72" w:rsidRDefault="00574126" w:rsidP="00574126">
      <w:pPr>
        <w:spacing w:line="240" w:lineRule="auto"/>
        <w:rPr>
          <w:sz w:val="24"/>
          <w:szCs w:val="24"/>
        </w:rPr>
      </w:pPr>
      <w:r w:rsidRPr="00FA70EC">
        <w:rPr>
          <w:sz w:val="24"/>
          <w:szCs w:val="24"/>
        </w:rPr>
        <w:t xml:space="preserve">Čerpanie výdavkov </w:t>
      </w:r>
      <w:r w:rsidRPr="00C2275D">
        <w:rPr>
          <w:b/>
          <w:i/>
          <w:sz w:val="24"/>
          <w:szCs w:val="24"/>
        </w:rPr>
        <w:t>na realizáciu nových stavieb</w:t>
      </w:r>
      <w:r w:rsidRPr="00FA70EC">
        <w:rPr>
          <w:sz w:val="24"/>
          <w:szCs w:val="24"/>
        </w:rPr>
        <w:t xml:space="preserve"> bolo vo výške 50 548 tis. eur. Najvyššie boli výdavky </w:t>
      </w:r>
      <w:r w:rsidRPr="00FA70EC">
        <w:rPr>
          <w:sz w:val="24"/>
          <w:szCs w:val="24"/>
          <w:u w:val="single"/>
        </w:rPr>
        <w:t>Ministerstva dopravy a výstavby SR</w:t>
      </w:r>
      <w:r w:rsidRPr="00FA70EC">
        <w:rPr>
          <w:sz w:val="24"/>
          <w:szCs w:val="24"/>
        </w:rPr>
        <w:t xml:space="preserve"> 32 061 tis. eur</w:t>
      </w:r>
      <w:r w:rsidRPr="00033B72">
        <w:rPr>
          <w:sz w:val="24"/>
          <w:szCs w:val="24"/>
        </w:rPr>
        <w:t>, čerpané Slovenskou správou ciest na dofinancovanie projektov realizovaných v rámci O</w:t>
      </w:r>
      <w:r>
        <w:rPr>
          <w:sz w:val="24"/>
          <w:szCs w:val="24"/>
        </w:rPr>
        <w:t>peračného programu Integrovaná infraštruktúra</w:t>
      </w:r>
      <w:r w:rsidRPr="00033B72">
        <w:rPr>
          <w:sz w:val="24"/>
          <w:szCs w:val="24"/>
        </w:rPr>
        <w:t xml:space="preserve"> (I/66 Brezno - obchvat, II. etapa – 9</w:t>
      </w:r>
      <w:r>
        <w:rPr>
          <w:sz w:val="24"/>
          <w:szCs w:val="24"/>
        </w:rPr>
        <w:t> </w:t>
      </w:r>
      <w:r w:rsidRPr="00033B72">
        <w:rPr>
          <w:sz w:val="24"/>
          <w:szCs w:val="24"/>
        </w:rPr>
        <w:t>819</w:t>
      </w:r>
      <w:r>
        <w:rPr>
          <w:sz w:val="24"/>
          <w:szCs w:val="24"/>
        </w:rPr>
        <w:t> </w:t>
      </w:r>
      <w:r w:rsidRPr="00033B72">
        <w:rPr>
          <w:sz w:val="24"/>
          <w:szCs w:val="24"/>
        </w:rPr>
        <w:t>tis.</w:t>
      </w:r>
      <w:r>
        <w:rPr>
          <w:sz w:val="24"/>
          <w:szCs w:val="24"/>
        </w:rPr>
        <w:t> eur</w:t>
      </w:r>
      <w:r w:rsidRPr="00033B72">
        <w:rPr>
          <w:sz w:val="24"/>
          <w:szCs w:val="24"/>
        </w:rPr>
        <w:t>), I/68 Plavnica preložka cesty- 3</w:t>
      </w:r>
      <w:r>
        <w:rPr>
          <w:sz w:val="24"/>
          <w:szCs w:val="24"/>
        </w:rPr>
        <w:t> </w:t>
      </w:r>
      <w:r w:rsidRPr="00033B72">
        <w:rPr>
          <w:sz w:val="24"/>
          <w:szCs w:val="24"/>
        </w:rPr>
        <w:t>01</w:t>
      </w:r>
      <w:r>
        <w:rPr>
          <w:sz w:val="24"/>
          <w:szCs w:val="24"/>
        </w:rPr>
        <w:t>4 </w:t>
      </w:r>
      <w:r w:rsidRPr="00033B72">
        <w:rPr>
          <w:sz w:val="24"/>
          <w:szCs w:val="24"/>
        </w:rPr>
        <w:t>tis.</w:t>
      </w:r>
      <w:r>
        <w:rPr>
          <w:sz w:val="24"/>
          <w:szCs w:val="24"/>
        </w:rPr>
        <w:t> eur)</w:t>
      </w:r>
      <w:r w:rsidRPr="00033B72">
        <w:rPr>
          <w:sz w:val="24"/>
          <w:szCs w:val="24"/>
        </w:rPr>
        <w:t xml:space="preserve"> a</w:t>
      </w:r>
      <w:r>
        <w:rPr>
          <w:sz w:val="24"/>
          <w:szCs w:val="24"/>
        </w:rPr>
        <w:t xml:space="preserve"> </w:t>
      </w:r>
      <w:r w:rsidRPr="00033B72">
        <w:rPr>
          <w:sz w:val="24"/>
          <w:szCs w:val="24"/>
        </w:rPr>
        <w:t>projekt Výstavba verejných účelových kom</w:t>
      </w:r>
      <w:r>
        <w:rPr>
          <w:sz w:val="24"/>
          <w:szCs w:val="24"/>
        </w:rPr>
        <w:t>unikácií v regióne Nitra (6 814 tis. eur)</w:t>
      </w:r>
      <w:r w:rsidRPr="00033B72">
        <w:rPr>
          <w:sz w:val="24"/>
          <w:szCs w:val="24"/>
        </w:rPr>
        <w:t>.</w:t>
      </w:r>
    </w:p>
    <w:p w14:paraId="3AF4630E" w14:textId="77777777" w:rsidR="00574126" w:rsidRDefault="00574126" w:rsidP="00574126">
      <w:pPr>
        <w:tabs>
          <w:tab w:val="left" w:pos="284"/>
        </w:tabs>
        <w:spacing w:line="240" w:lineRule="auto"/>
        <w:rPr>
          <w:sz w:val="24"/>
          <w:szCs w:val="24"/>
        </w:rPr>
      </w:pPr>
      <w:r w:rsidRPr="00DD1ADA">
        <w:rPr>
          <w:sz w:val="24"/>
          <w:szCs w:val="24"/>
        </w:rPr>
        <w:lastRenderedPageBreak/>
        <w:t>Pokles skutočnosti oproti schválenému rozpočtu</w:t>
      </w:r>
      <w:r>
        <w:rPr>
          <w:sz w:val="24"/>
          <w:szCs w:val="24"/>
        </w:rPr>
        <w:t xml:space="preserve"> o 131 574 tis. eur bol spôsobený poklesom z dôvodu viazania prostriedkov do budúceho obdobia na kapitole </w:t>
      </w:r>
      <w:r w:rsidRPr="00AB7FBE">
        <w:rPr>
          <w:sz w:val="24"/>
          <w:szCs w:val="24"/>
          <w:u w:val="single"/>
        </w:rPr>
        <w:t>Ministerstva dopravy a výstavby SR</w:t>
      </w:r>
      <w:r>
        <w:rPr>
          <w:sz w:val="24"/>
          <w:szCs w:val="24"/>
        </w:rPr>
        <w:t xml:space="preserve"> (o 67 </w:t>
      </w:r>
      <w:r w:rsidRPr="00DD1ADA">
        <w:rPr>
          <w:sz w:val="24"/>
          <w:szCs w:val="24"/>
        </w:rPr>
        <w:t>939 tis. eur)</w:t>
      </w:r>
      <w:r>
        <w:rPr>
          <w:sz w:val="24"/>
          <w:szCs w:val="24"/>
        </w:rPr>
        <w:t xml:space="preserve">, </w:t>
      </w:r>
      <w:r w:rsidRPr="00AB7FBE">
        <w:rPr>
          <w:sz w:val="24"/>
          <w:szCs w:val="24"/>
          <w:u w:val="single"/>
        </w:rPr>
        <w:t>Ministerstva spravodlivosti SR</w:t>
      </w:r>
      <w:r>
        <w:rPr>
          <w:sz w:val="24"/>
          <w:szCs w:val="24"/>
        </w:rPr>
        <w:t xml:space="preserve"> (o 37 864 tis. eur) a Ministerstva práce, sociálnych vecí a rodiny SR (o 36 553 tis. eur) </w:t>
      </w:r>
      <w:r w:rsidRPr="00C65525">
        <w:rPr>
          <w:sz w:val="24"/>
          <w:szCs w:val="24"/>
        </w:rPr>
        <w:t xml:space="preserve">spôsobený viazaním výdavkov Plánu obnovy a odolnosti. Dôvodom poklesu na </w:t>
      </w:r>
      <w:r w:rsidRPr="00C65525">
        <w:rPr>
          <w:sz w:val="24"/>
          <w:szCs w:val="24"/>
          <w:u w:val="single"/>
        </w:rPr>
        <w:t>Ministerstve spravodlivosti SR</w:t>
      </w:r>
      <w:r w:rsidRPr="00C65525">
        <w:rPr>
          <w:sz w:val="24"/>
          <w:szCs w:val="24"/>
        </w:rPr>
        <w:t xml:space="preserve"> bolo viazanie prostriedkov v zmysle zákona o rozpočtových pravidlách na použitie </w:t>
      </w:r>
      <w:r>
        <w:rPr>
          <w:sz w:val="24"/>
          <w:szCs w:val="24"/>
        </w:rPr>
        <w:t>v</w:t>
      </w:r>
      <w:r w:rsidRPr="00C65525">
        <w:rPr>
          <w:sz w:val="24"/>
          <w:szCs w:val="24"/>
        </w:rPr>
        <w:t xml:space="preserve"> roku 2023, ktoré boli určené na realizáciu nových stavieb v súvislosti s reformou súdnej mapy, išlo o prostriedky Plánu obnovy a odolnosti SR pre súdnictvo.</w:t>
      </w:r>
    </w:p>
    <w:p w14:paraId="4C88F098" w14:textId="77777777" w:rsidR="00574126" w:rsidRPr="00D715AF" w:rsidRDefault="00574126" w:rsidP="00574126">
      <w:pPr>
        <w:spacing w:line="240" w:lineRule="auto"/>
        <w:rPr>
          <w:sz w:val="24"/>
          <w:szCs w:val="24"/>
        </w:rPr>
      </w:pPr>
      <w:r w:rsidRPr="00D715AF">
        <w:rPr>
          <w:sz w:val="24"/>
          <w:szCs w:val="24"/>
        </w:rPr>
        <w:t xml:space="preserve">Na </w:t>
      </w:r>
      <w:r w:rsidRPr="00EB44B3">
        <w:rPr>
          <w:b/>
          <w:sz w:val="24"/>
          <w:szCs w:val="24"/>
        </w:rPr>
        <w:t>rekonštrukciu a modernizáciu strojov</w:t>
      </w:r>
      <w:r w:rsidRPr="00EB44B3">
        <w:rPr>
          <w:sz w:val="24"/>
          <w:szCs w:val="24"/>
        </w:rPr>
        <w:t xml:space="preserve"> </w:t>
      </w:r>
      <w:r w:rsidRPr="00EB44B3">
        <w:rPr>
          <w:b/>
          <w:sz w:val="24"/>
          <w:szCs w:val="24"/>
        </w:rPr>
        <w:t>a zariadení, výpočtovej a telekomunikačnej techniky, softvéru a komunikačnej infraštruktúry</w:t>
      </w:r>
      <w:r w:rsidRPr="00EB44B3">
        <w:rPr>
          <w:sz w:val="24"/>
          <w:szCs w:val="24"/>
        </w:rPr>
        <w:t xml:space="preserve"> </w:t>
      </w:r>
      <w:r w:rsidRPr="00D715AF">
        <w:rPr>
          <w:sz w:val="24"/>
          <w:szCs w:val="24"/>
        </w:rPr>
        <w:t>boli použité kapitálové výdavky</w:t>
      </w:r>
      <w:r w:rsidRPr="00D715AF">
        <w:rPr>
          <w:i/>
          <w:sz w:val="24"/>
          <w:szCs w:val="24"/>
        </w:rPr>
        <w:t xml:space="preserve"> </w:t>
      </w:r>
      <w:r w:rsidRPr="00D715AF">
        <w:rPr>
          <w:sz w:val="24"/>
          <w:szCs w:val="24"/>
        </w:rPr>
        <w:t xml:space="preserve">v hodnote </w:t>
      </w:r>
      <w:r>
        <w:rPr>
          <w:sz w:val="24"/>
          <w:szCs w:val="24"/>
        </w:rPr>
        <w:t>87</w:t>
      </w:r>
      <w:r w:rsidRPr="00D715AF">
        <w:rPr>
          <w:sz w:val="24"/>
          <w:szCs w:val="24"/>
        </w:rPr>
        <w:t> </w:t>
      </w:r>
      <w:r>
        <w:rPr>
          <w:sz w:val="24"/>
          <w:szCs w:val="24"/>
        </w:rPr>
        <w:t>613</w:t>
      </w:r>
      <w:r w:rsidRPr="00D715AF">
        <w:rPr>
          <w:sz w:val="24"/>
          <w:szCs w:val="24"/>
        </w:rPr>
        <w:t> tis. eur, z toho jednoz</w:t>
      </w:r>
      <w:r>
        <w:rPr>
          <w:sz w:val="24"/>
          <w:szCs w:val="24"/>
        </w:rPr>
        <w:t>načne prevládali ako v rozpočte</w:t>
      </w:r>
      <w:r w:rsidRPr="00D715AF">
        <w:rPr>
          <w:sz w:val="24"/>
          <w:szCs w:val="24"/>
        </w:rPr>
        <w:t xml:space="preserve"> tak aj v plnení výdavky na </w:t>
      </w:r>
      <w:r w:rsidRPr="00885299">
        <w:rPr>
          <w:b/>
          <w:i/>
          <w:sz w:val="24"/>
          <w:szCs w:val="24"/>
        </w:rPr>
        <w:t>softvér</w:t>
      </w:r>
      <w:r w:rsidRPr="00D715AF">
        <w:rPr>
          <w:i/>
          <w:sz w:val="24"/>
          <w:szCs w:val="24"/>
          <w:u w:val="single"/>
        </w:rPr>
        <w:t xml:space="preserve"> </w:t>
      </w:r>
      <w:r>
        <w:rPr>
          <w:sz w:val="24"/>
          <w:szCs w:val="24"/>
        </w:rPr>
        <w:t>74 933 </w:t>
      </w:r>
      <w:r w:rsidRPr="00D715AF">
        <w:rPr>
          <w:sz w:val="24"/>
          <w:szCs w:val="24"/>
        </w:rPr>
        <w:t>tis.</w:t>
      </w:r>
      <w:r>
        <w:rPr>
          <w:sz w:val="24"/>
          <w:szCs w:val="24"/>
        </w:rPr>
        <w:t> </w:t>
      </w:r>
      <w:r w:rsidRPr="00D715AF">
        <w:rPr>
          <w:sz w:val="24"/>
          <w:szCs w:val="24"/>
        </w:rPr>
        <w:t>eur. Z pohľadu kapitol boli najvýznamnejšie sumy čerpané v kapitole</w:t>
      </w:r>
      <w:r w:rsidRPr="00D715AF">
        <w:rPr>
          <w:color w:val="FF0000"/>
          <w:sz w:val="24"/>
          <w:szCs w:val="24"/>
        </w:rPr>
        <w:t xml:space="preserve"> </w:t>
      </w:r>
      <w:r>
        <w:rPr>
          <w:sz w:val="24"/>
          <w:szCs w:val="24"/>
        </w:rPr>
        <w:t>Ministerstva financií SR (23 973 t</w:t>
      </w:r>
      <w:r w:rsidRPr="00D715AF">
        <w:rPr>
          <w:sz w:val="24"/>
          <w:szCs w:val="24"/>
        </w:rPr>
        <w:t>is. eur), Ministerstva vnútra SR</w:t>
      </w:r>
      <w:r w:rsidRPr="00D715AF">
        <w:rPr>
          <w:color w:val="FF0000"/>
          <w:sz w:val="24"/>
          <w:szCs w:val="24"/>
        </w:rPr>
        <w:t xml:space="preserve"> </w:t>
      </w:r>
      <w:r w:rsidRPr="00D715AF">
        <w:rPr>
          <w:sz w:val="24"/>
          <w:szCs w:val="24"/>
        </w:rPr>
        <w:t>(</w:t>
      </w:r>
      <w:r>
        <w:rPr>
          <w:sz w:val="24"/>
          <w:szCs w:val="24"/>
        </w:rPr>
        <w:t>16</w:t>
      </w:r>
      <w:r w:rsidRPr="00D715AF">
        <w:rPr>
          <w:sz w:val="24"/>
          <w:szCs w:val="24"/>
        </w:rPr>
        <w:t> </w:t>
      </w:r>
      <w:r>
        <w:rPr>
          <w:sz w:val="24"/>
          <w:szCs w:val="24"/>
        </w:rPr>
        <w:t>723 tis. eur) a</w:t>
      </w:r>
      <w:r w:rsidRPr="00D715AF">
        <w:rPr>
          <w:sz w:val="24"/>
          <w:szCs w:val="24"/>
        </w:rPr>
        <w:t xml:space="preserve"> Ministerstva investícií, regionálneho rozvoja a informatizácie SR (</w:t>
      </w:r>
      <w:r>
        <w:rPr>
          <w:sz w:val="24"/>
          <w:szCs w:val="24"/>
        </w:rPr>
        <w:t>13</w:t>
      </w:r>
      <w:r w:rsidRPr="00D715AF">
        <w:rPr>
          <w:sz w:val="24"/>
          <w:szCs w:val="24"/>
        </w:rPr>
        <w:t> </w:t>
      </w:r>
      <w:r>
        <w:rPr>
          <w:sz w:val="24"/>
          <w:szCs w:val="24"/>
        </w:rPr>
        <w:t>088</w:t>
      </w:r>
      <w:r w:rsidRPr="00D715AF">
        <w:rPr>
          <w:sz w:val="24"/>
          <w:szCs w:val="24"/>
        </w:rPr>
        <w:t> tis. eur).</w:t>
      </w:r>
    </w:p>
    <w:p w14:paraId="3C82CF43" w14:textId="77777777" w:rsidR="00574126" w:rsidRDefault="00574126" w:rsidP="00574126">
      <w:pPr>
        <w:spacing w:line="240" w:lineRule="auto"/>
        <w:rPr>
          <w:sz w:val="24"/>
          <w:szCs w:val="24"/>
        </w:rPr>
      </w:pPr>
      <w:r w:rsidRPr="00D715AF">
        <w:rPr>
          <w:sz w:val="24"/>
          <w:szCs w:val="24"/>
        </w:rPr>
        <w:t xml:space="preserve">Výdavky </w:t>
      </w:r>
      <w:r w:rsidRPr="00EB44B3">
        <w:rPr>
          <w:b/>
          <w:i/>
          <w:sz w:val="24"/>
          <w:szCs w:val="24"/>
        </w:rPr>
        <w:t>na rekonštrukciu a modernizáciu softvéru</w:t>
      </w:r>
      <w:r w:rsidRPr="00D715AF">
        <w:rPr>
          <w:sz w:val="24"/>
          <w:szCs w:val="24"/>
        </w:rPr>
        <w:t xml:space="preserve"> čerpalo </w:t>
      </w:r>
      <w:r w:rsidRPr="006F62E3">
        <w:rPr>
          <w:sz w:val="24"/>
          <w:szCs w:val="24"/>
          <w:u w:val="single"/>
        </w:rPr>
        <w:t>Ministerstvo financií SR</w:t>
      </w:r>
      <w:r w:rsidRPr="00F1760D">
        <w:rPr>
          <w:sz w:val="24"/>
          <w:szCs w:val="24"/>
        </w:rPr>
        <w:t>, a to</w:t>
      </w:r>
      <w:r w:rsidRPr="00D715AF">
        <w:rPr>
          <w:sz w:val="24"/>
          <w:szCs w:val="24"/>
        </w:rPr>
        <w:t xml:space="preserve"> </w:t>
      </w:r>
      <w:r w:rsidRPr="00350458">
        <w:rPr>
          <w:sz w:val="24"/>
          <w:szCs w:val="24"/>
        </w:rPr>
        <w:t xml:space="preserve">predovšetkým úrad </w:t>
      </w:r>
      <w:r>
        <w:rPr>
          <w:sz w:val="24"/>
          <w:szCs w:val="24"/>
        </w:rPr>
        <w:t xml:space="preserve">ministerstva napr. na Centrálny účtovný systém (2 770 tis. eur), Centrálny elektronický priečinok (2 742 tis. eur), na Portál finančnej správy (2 123 tis. eur), na nákup softvéru pre Rozpočtový informačný systém (2 123 tis. eur). </w:t>
      </w:r>
      <w:r w:rsidRPr="00F1760D">
        <w:rPr>
          <w:sz w:val="24"/>
          <w:szCs w:val="24"/>
          <w:u w:val="single"/>
        </w:rPr>
        <w:t>Finančné riaditeľstvo SR</w:t>
      </w:r>
      <w:r w:rsidRPr="009C52E2">
        <w:rPr>
          <w:sz w:val="24"/>
          <w:szCs w:val="24"/>
        </w:rPr>
        <w:t xml:space="preserve"> čerpal</w:t>
      </w:r>
      <w:r>
        <w:rPr>
          <w:sz w:val="24"/>
          <w:szCs w:val="24"/>
        </w:rPr>
        <w:t>o</w:t>
      </w:r>
      <w:r w:rsidRPr="009C52E2">
        <w:rPr>
          <w:sz w:val="24"/>
          <w:szCs w:val="24"/>
        </w:rPr>
        <w:t xml:space="preserve"> výdavky najmä na </w:t>
      </w:r>
      <w:r w:rsidRPr="00F1760D">
        <w:rPr>
          <w:sz w:val="24"/>
          <w:szCs w:val="24"/>
        </w:rPr>
        <w:t>Aplikačné programové vybavenie</w:t>
      </w:r>
      <w:r>
        <w:rPr>
          <w:sz w:val="24"/>
          <w:szCs w:val="24"/>
        </w:rPr>
        <w:t xml:space="preserve"> SYSNED</w:t>
      </w:r>
      <w:r w:rsidRPr="00F1760D">
        <w:rPr>
          <w:sz w:val="24"/>
          <w:szCs w:val="24"/>
        </w:rPr>
        <w:t xml:space="preserve"> </w:t>
      </w:r>
      <w:r>
        <w:rPr>
          <w:sz w:val="24"/>
          <w:szCs w:val="24"/>
        </w:rPr>
        <w:t>(</w:t>
      </w:r>
      <w:r w:rsidRPr="00F1760D">
        <w:rPr>
          <w:sz w:val="24"/>
          <w:szCs w:val="24"/>
        </w:rPr>
        <w:t>Systém</w:t>
      </w:r>
      <w:r>
        <w:rPr>
          <w:sz w:val="24"/>
          <w:szCs w:val="24"/>
        </w:rPr>
        <w:t xml:space="preserve"> pre správu spotrebných </w:t>
      </w:r>
      <w:r w:rsidRPr="00F1760D">
        <w:rPr>
          <w:sz w:val="24"/>
          <w:szCs w:val="24"/>
        </w:rPr>
        <w:t>nepriamych daní</w:t>
      </w:r>
      <w:r>
        <w:rPr>
          <w:sz w:val="24"/>
          <w:szCs w:val="24"/>
        </w:rPr>
        <w:t>) pre Deklaračný systém (3 133 tis. eur) a Tranzitný informačný systém (1 252 tis. eur).</w:t>
      </w:r>
    </w:p>
    <w:p w14:paraId="0156013B" w14:textId="77777777" w:rsidR="00574126" w:rsidRDefault="00574126" w:rsidP="00574126">
      <w:pPr>
        <w:spacing w:line="240" w:lineRule="auto"/>
        <w:rPr>
          <w:sz w:val="24"/>
          <w:szCs w:val="24"/>
        </w:rPr>
      </w:pPr>
      <w:r>
        <w:rPr>
          <w:sz w:val="24"/>
          <w:szCs w:val="24"/>
        </w:rPr>
        <w:t>V</w:t>
      </w:r>
      <w:r w:rsidRPr="00D715AF">
        <w:rPr>
          <w:sz w:val="24"/>
          <w:szCs w:val="24"/>
        </w:rPr>
        <w:t>ýdavky</w:t>
      </w:r>
      <w:r w:rsidRPr="00B875EA">
        <w:rPr>
          <w:sz w:val="24"/>
          <w:szCs w:val="24"/>
        </w:rPr>
        <w:t xml:space="preserve"> </w:t>
      </w:r>
      <w:r w:rsidRPr="00854947">
        <w:rPr>
          <w:sz w:val="24"/>
          <w:szCs w:val="24"/>
          <w:u w:val="single"/>
        </w:rPr>
        <w:t>Ministerstv</w:t>
      </w:r>
      <w:r>
        <w:rPr>
          <w:sz w:val="24"/>
          <w:szCs w:val="24"/>
          <w:u w:val="single"/>
        </w:rPr>
        <w:t>a</w:t>
      </w:r>
      <w:r w:rsidRPr="00854947">
        <w:rPr>
          <w:sz w:val="24"/>
          <w:szCs w:val="24"/>
          <w:u w:val="single"/>
        </w:rPr>
        <w:t xml:space="preserve"> vnútra SR</w:t>
      </w:r>
      <w:r w:rsidRPr="00D715AF">
        <w:rPr>
          <w:sz w:val="24"/>
          <w:szCs w:val="24"/>
        </w:rPr>
        <w:t xml:space="preserve"> </w:t>
      </w:r>
      <w:r w:rsidRPr="00854947">
        <w:rPr>
          <w:sz w:val="24"/>
          <w:szCs w:val="24"/>
        </w:rPr>
        <w:t xml:space="preserve">boli použité </w:t>
      </w:r>
      <w:r w:rsidRPr="001D3990">
        <w:rPr>
          <w:sz w:val="24"/>
          <w:szCs w:val="24"/>
        </w:rPr>
        <w:t>na rekonštrukciu a modernizáciu už existujúcich softvérov a</w:t>
      </w:r>
      <w:r>
        <w:rPr>
          <w:sz w:val="24"/>
          <w:szCs w:val="24"/>
        </w:rPr>
        <w:t xml:space="preserve"> </w:t>
      </w:r>
      <w:r w:rsidRPr="001D3990">
        <w:rPr>
          <w:sz w:val="24"/>
          <w:szCs w:val="24"/>
        </w:rPr>
        <w:t xml:space="preserve">aplikácií, napr. v rámci projektu </w:t>
      </w:r>
      <w:r>
        <w:rPr>
          <w:sz w:val="24"/>
          <w:szCs w:val="24"/>
        </w:rPr>
        <w:t>S</w:t>
      </w:r>
      <w:r w:rsidRPr="001D3990">
        <w:rPr>
          <w:sz w:val="24"/>
          <w:szCs w:val="24"/>
        </w:rPr>
        <w:t>lužby štandardnej podpory a</w:t>
      </w:r>
      <w:r>
        <w:rPr>
          <w:sz w:val="24"/>
          <w:szCs w:val="24"/>
        </w:rPr>
        <w:t xml:space="preserve"> </w:t>
      </w:r>
      <w:r w:rsidRPr="001D3990">
        <w:rPr>
          <w:sz w:val="24"/>
          <w:szCs w:val="24"/>
        </w:rPr>
        <w:t>údržby Schengenského systému SIS II na národnej úrovni, v rámci projektu Elektronický identifikačný doklad s rozhraním a biometriou, upgrade v súvislosti s poskytovaním elektronických služieb MV SR v súla</w:t>
      </w:r>
      <w:r>
        <w:rPr>
          <w:sz w:val="24"/>
          <w:szCs w:val="24"/>
        </w:rPr>
        <w:t>de so zákonom o e-</w:t>
      </w:r>
      <w:proofErr w:type="spellStart"/>
      <w:r>
        <w:rPr>
          <w:sz w:val="24"/>
          <w:szCs w:val="24"/>
        </w:rPr>
        <w:t>Governmente</w:t>
      </w:r>
      <w:proofErr w:type="spellEnd"/>
      <w:r>
        <w:rPr>
          <w:sz w:val="24"/>
          <w:szCs w:val="24"/>
        </w:rPr>
        <w:t xml:space="preserve"> a </w:t>
      </w:r>
      <w:proofErr w:type="spellStart"/>
      <w:r w:rsidRPr="001D3990">
        <w:rPr>
          <w:sz w:val="24"/>
          <w:szCs w:val="24"/>
        </w:rPr>
        <w:t>eIDAS</w:t>
      </w:r>
      <w:proofErr w:type="spellEnd"/>
      <w:r w:rsidRPr="001D3990">
        <w:rPr>
          <w:sz w:val="24"/>
          <w:szCs w:val="24"/>
        </w:rPr>
        <w:t>, aktualizáciu a</w:t>
      </w:r>
      <w:r>
        <w:rPr>
          <w:sz w:val="24"/>
          <w:szCs w:val="24"/>
        </w:rPr>
        <w:t xml:space="preserve"> </w:t>
      </w:r>
      <w:r w:rsidRPr="001D3990">
        <w:rPr>
          <w:sz w:val="24"/>
          <w:szCs w:val="24"/>
        </w:rPr>
        <w:t>nastavenie systémov v súvislosti so zmenou legislatívy, výdavky na upgrade, aktualizáciu a integráciu systémov</w:t>
      </w:r>
      <w:r>
        <w:rPr>
          <w:sz w:val="24"/>
          <w:szCs w:val="24"/>
        </w:rPr>
        <w:t xml:space="preserve"> a pod.</w:t>
      </w:r>
    </w:p>
    <w:p w14:paraId="5B79D746" w14:textId="77777777" w:rsidR="00574126" w:rsidRPr="001D3990" w:rsidRDefault="00574126" w:rsidP="00574126">
      <w:pPr>
        <w:spacing w:line="240" w:lineRule="auto"/>
        <w:rPr>
          <w:sz w:val="24"/>
          <w:szCs w:val="24"/>
        </w:rPr>
      </w:pPr>
      <w:r w:rsidRPr="00D715AF">
        <w:rPr>
          <w:sz w:val="24"/>
          <w:szCs w:val="24"/>
        </w:rPr>
        <w:t xml:space="preserve">Výdavky </w:t>
      </w:r>
      <w:r w:rsidRPr="00854947">
        <w:rPr>
          <w:sz w:val="24"/>
          <w:szCs w:val="24"/>
          <w:u w:val="single"/>
        </w:rPr>
        <w:t>Ministerstva investícií, regionálneho rozvoja a informatizácie SR</w:t>
      </w:r>
      <w:r w:rsidRPr="00D715AF">
        <w:rPr>
          <w:sz w:val="24"/>
          <w:szCs w:val="24"/>
        </w:rPr>
        <w:t xml:space="preserve"> boli </w:t>
      </w:r>
      <w:r>
        <w:rPr>
          <w:sz w:val="24"/>
          <w:szCs w:val="24"/>
        </w:rPr>
        <w:t>čerpané</w:t>
      </w:r>
      <w:r w:rsidRPr="00D715AF">
        <w:rPr>
          <w:sz w:val="24"/>
          <w:szCs w:val="24"/>
        </w:rPr>
        <w:t xml:space="preserve"> najmä </w:t>
      </w:r>
      <w:r w:rsidRPr="008E1C01">
        <w:rPr>
          <w:sz w:val="24"/>
          <w:szCs w:val="24"/>
        </w:rPr>
        <w:t xml:space="preserve">na </w:t>
      </w:r>
      <w:r w:rsidRPr="001D3990">
        <w:rPr>
          <w:sz w:val="24"/>
          <w:szCs w:val="24"/>
        </w:rPr>
        <w:t xml:space="preserve">úpravu existujúcich funkcionalít a rozširovanie nových funkcionalít informačného monitorovacieho systému (ITMS2014+), na výdavky spojené s projektom Manažment osobných údajov, na výdavky spojené s projektom Dátová integrácia – sprístupnenie údajovej základne </w:t>
      </w:r>
      <w:r>
        <w:rPr>
          <w:sz w:val="24"/>
          <w:szCs w:val="24"/>
        </w:rPr>
        <w:t>verejnej správy.</w:t>
      </w:r>
    </w:p>
    <w:p w14:paraId="6C448407" w14:textId="77777777" w:rsidR="00574126" w:rsidRPr="00C13073" w:rsidRDefault="00574126" w:rsidP="00574126">
      <w:pPr>
        <w:spacing w:line="240" w:lineRule="auto"/>
        <w:rPr>
          <w:sz w:val="24"/>
          <w:szCs w:val="24"/>
        </w:rPr>
      </w:pPr>
      <w:r w:rsidRPr="00EB44B3">
        <w:rPr>
          <w:b/>
          <w:sz w:val="24"/>
          <w:szCs w:val="24"/>
        </w:rPr>
        <w:t>Nákup pozemkov a nehmotných aktív</w:t>
      </w:r>
      <w:r w:rsidRPr="00C13073">
        <w:rPr>
          <w:sz w:val="24"/>
          <w:szCs w:val="24"/>
        </w:rPr>
        <w:t xml:space="preserve"> predstavoval sumu 64 679 </w:t>
      </w:r>
      <w:r>
        <w:rPr>
          <w:sz w:val="24"/>
          <w:szCs w:val="24"/>
        </w:rPr>
        <w:t>tis. </w:t>
      </w:r>
      <w:r w:rsidRPr="00C13073">
        <w:rPr>
          <w:sz w:val="24"/>
          <w:szCs w:val="24"/>
        </w:rPr>
        <w:t xml:space="preserve">eur (2021: 31 546 tis. eur). Z týchto výdavkov boli najvyššie výdavky na </w:t>
      </w:r>
      <w:r w:rsidRPr="00EB44B3">
        <w:rPr>
          <w:b/>
          <w:i/>
          <w:sz w:val="24"/>
          <w:szCs w:val="24"/>
        </w:rPr>
        <w:t>nákup softvéru</w:t>
      </w:r>
      <w:r w:rsidRPr="00C13073">
        <w:rPr>
          <w:sz w:val="24"/>
          <w:szCs w:val="24"/>
        </w:rPr>
        <w:t xml:space="preserve"> 47 067 tis. eur (2021: 20 744 tis. eur) a </w:t>
      </w:r>
      <w:r w:rsidRPr="007A0F8A">
        <w:rPr>
          <w:b/>
          <w:i/>
          <w:sz w:val="24"/>
          <w:szCs w:val="24"/>
        </w:rPr>
        <w:t>nákup licencií</w:t>
      </w:r>
      <w:r w:rsidRPr="007A0F8A">
        <w:rPr>
          <w:i/>
          <w:sz w:val="24"/>
          <w:szCs w:val="24"/>
        </w:rPr>
        <w:t xml:space="preserve"> </w:t>
      </w:r>
      <w:r w:rsidRPr="007A0F8A">
        <w:rPr>
          <w:sz w:val="24"/>
          <w:szCs w:val="24"/>
        </w:rPr>
        <w:t>7</w:t>
      </w:r>
      <w:r w:rsidRPr="00C13073">
        <w:rPr>
          <w:sz w:val="24"/>
          <w:szCs w:val="24"/>
        </w:rPr>
        <w:t> 954 tis. eur (2021: 6 832 tis. eur).</w:t>
      </w:r>
    </w:p>
    <w:p w14:paraId="1B89DF8E" w14:textId="77777777" w:rsidR="00574126" w:rsidRPr="00BF16F7" w:rsidRDefault="00574126" w:rsidP="00574126">
      <w:pPr>
        <w:spacing w:line="240" w:lineRule="auto"/>
        <w:rPr>
          <w:sz w:val="24"/>
          <w:szCs w:val="24"/>
        </w:rPr>
      </w:pPr>
      <w:r w:rsidRPr="00BF16F7">
        <w:rPr>
          <w:sz w:val="24"/>
          <w:szCs w:val="24"/>
        </w:rPr>
        <w:t xml:space="preserve">Výdavky na </w:t>
      </w:r>
      <w:r w:rsidRPr="007A0F8A">
        <w:rPr>
          <w:b/>
          <w:i/>
          <w:sz w:val="24"/>
          <w:szCs w:val="24"/>
        </w:rPr>
        <w:t>softvér</w:t>
      </w:r>
      <w:r w:rsidRPr="00BF16F7">
        <w:rPr>
          <w:sz w:val="24"/>
          <w:szCs w:val="24"/>
        </w:rPr>
        <w:t xml:space="preserve"> u </w:t>
      </w:r>
      <w:r w:rsidRPr="00BF16F7">
        <w:rPr>
          <w:sz w:val="24"/>
          <w:szCs w:val="24"/>
          <w:u w:val="single"/>
        </w:rPr>
        <w:t>Ministerstva financií SR</w:t>
      </w:r>
      <w:r w:rsidRPr="00BF16F7">
        <w:rPr>
          <w:sz w:val="24"/>
          <w:szCs w:val="24"/>
        </w:rPr>
        <w:t xml:space="preserve"> tvorili sumu</w:t>
      </w:r>
      <w:r>
        <w:rPr>
          <w:sz w:val="24"/>
          <w:szCs w:val="24"/>
        </w:rPr>
        <w:t xml:space="preserve"> 13 061 tis. eur, </w:t>
      </w:r>
      <w:r w:rsidRPr="00F1760D">
        <w:rPr>
          <w:sz w:val="24"/>
          <w:szCs w:val="24"/>
        </w:rPr>
        <w:t>išlo o výdavky</w:t>
      </w:r>
      <w:r>
        <w:rPr>
          <w:sz w:val="24"/>
          <w:szCs w:val="24"/>
        </w:rPr>
        <w:t xml:space="preserve"> na Centrálny ekonomický systém (10 793 tis. eur).</w:t>
      </w:r>
    </w:p>
    <w:p w14:paraId="13520A5A" w14:textId="77777777" w:rsidR="00574126" w:rsidRDefault="00574126" w:rsidP="00574126">
      <w:pPr>
        <w:spacing w:line="240" w:lineRule="auto"/>
        <w:rPr>
          <w:sz w:val="24"/>
          <w:szCs w:val="24"/>
        </w:rPr>
      </w:pPr>
      <w:r>
        <w:rPr>
          <w:sz w:val="24"/>
          <w:szCs w:val="24"/>
        </w:rPr>
        <w:t>Finančné prostriedky</w:t>
      </w:r>
      <w:r w:rsidRPr="00D715AF">
        <w:rPr>
          <w:sz w:val="24"/>
          <w:szCs w:val="24"/>
        </w:rPr>
        <w:t xml:space="preserve"> </w:t>
      </w:r>
      <w:r w:rsidRPr="00E1218F">
        <w:rPr>
          <w:sz w:val="24"/>
          <w:szCs w:val="24"/>
          <w:u w:val="single"/>
        </w:rPr>
        <w:t>Ministerstva vnútra SR</w:t>
      </w:r>
      <w:r w:rsidRPr="00D715AF">
        <w:rPr>
          <w:sz w:val="24"/>
          <w:szCs w:val="24"/>
        </w:rPr>
        <w:t xml:space="preserve"> boli </w:t>
      </w:r>
      <w:r>
        <w:rPr>
          <w:sz w:val="24"/>
          <w:szCs w:val="24"/>
        </w:rPr>
        <w:t xml:space="preserve">čerpané </w:t>
      </w:r>
      <w:r w:rsidRPr="00D715AF">
        <w:rPr>
          <w:sz w:val="24"/>
          <w:szCs w:val="24"/>
        </w:rPr>
        <w:t xml:space="preserve">vo výške </w:t>
      </w:r>
      <w:r>
        <w:rPr>
          <w:sz w:val="24"/>
          <w:szCs w:val="24"/>
        </w:rPr>
        <w:t>10</w:t>
      </w:r>
      <w:r w:rsidRPr="00D715AF">
        <w:rPr>
          <w:sz w:val="24"/>
          <w:szCs w:val="24"/>
        </w:rPr>
        <w:t> </w:t>
      </w:r>
      <w:r>
        <w:rPr>
          <w:sz w:val="24"/>
          <w:szCs w:val="24"/>
        </w:rPr>
        <w:t>794</w:t>
      </w:r>
      <w:r w:rsidRPr="00D715AF">
        <w:rPr>
          <w:sz w:val="24"/>
          <w:szCs w:val="24"/>
        </w:rPr>
        <w:t> tis. eur</w:t>
      </w:r>
      <w:r w:rsidRPr="00C52F6F">
        <w:rPr>
          <w:sz w:val="24"/>
          <w:szCs w:val="24"/>
        </w:rPr>
        <w:t xml:space="preserve">, </w:t>
      </w:r>
      <w:r>
        <w:rPr>
          <w:sz w:val="24"/>
          <w:szCs w:val="24"/>
        </w:rPr>
        <w:t xml:space="preserve">najmä na vývoj a </w:t>
      </w:r>
      <w:r w:rsidRPr="008E20D2">
        <w:rPr>
          <w:sz w:val="24"/>
          <w:szCs w:val="24"/>
        </w:rPr>
        <w:t>implementáciu IT riešení, napr. v oblasti informačných systémov verejnej správy a prevádzkovanie natívnych aplikácií v</w:t>
      </w:r>
      <w:r>
        <w:rPr>
          <w:sz w:val="24"/>
          <w:szCs w:val="24"/>
        </w:rPr>
        <w:t xml:space="preserve">o vládnom </w:t>
      </w:r>
      <w:proofErr w:type="spellStart"/>
      <w:r>
        <w:rPr>
          <w:sz w:val="24"/>
          <w:szCs w:val="24"/>
        </w:rPr>
        <w:t>cloude</w:t>
      </w:r>
      <w:proofErr w:type="spellEnd"/>
      <w:r>
        <w:rPr>
          <w:sz w:val="24"/>
          <w:szCs w:val="24"/>
        </w:rPr>
        <w:t xml:space="preserve"> od spoločnosti</w:t>
      </w:r>
      <w:r w:rsidRPr="008E20D2">
        <w:rPr>
          <w:sz w:val="24"/>
          <w:szCs w:val="24"/>
        </w:rPr>
        <w:t xml:space="preserve"> </w:t>
      </w:r>
      <w:proofErr w:type="spellStart"/>
      <w:r w:rsidRPr="008E20D2">
        <w:rPr>
          <w:sz w:val="24"/>
          <w:szCs w:val="24"/>
        </w:rPr>
        <w:t>InterWay</w:t>
      </w:r>
      <w:proofErr w:type="spellEnd"/>
      <w:r w:rsidRPr="008E20D2">
        <w:rPr>
          <w:sz w:val="24"/>
          <w:szCs w:val="24"/>
        </w:rPr>
        <w:t xml:space="preserve">, a. </w:t>
      </w:r>
      <w:r>
        <w:rPr>
          <w:sz w:val="24"/>
          <w:szCs w:val="24"/>
        </w:rPr>
        <w:t>s.</w:t>
      </w:r>
      <w:r w:rsidRPr="008E20D2">
        <w:rPr>
          <w:sz w:val="24"/>
          <w:szCs w:val="24"/>
        </w:rPr>
        <w:t>, na vývoj a</w:t>
      </w:r>
      <w:r>
        <w:rPr>
          <w:sz w:val="24"/>
          <w:szCs w:val="24"/>
        </w:rPr>
        <w:t xml:space="preserve"> </w:t>
      </w:r>
      <w:r w:rsidRPr="008E20D2">
        <w:rPr>
          <w:sz w:val="24"/>
          <w:szCs w:val="24"/>
        </w:rPr>
        <w:t>implementáciu projektu Manažment síl a</w:t>
      </w:r>
      <w:r>
        <w:rPr>
          <w:sz w:val="24"/>
          <w:szCs w:val="24"/>
        </w:rPr>
        <w:t xml:space="preserve"> </w:t>
      </w:r>
      <w:r w:rsidRPr="008E20D2">
        <w:rPr>
          <w:sz w:val="24"/>
          <w:szCs w:val="24"/>
        </w:rPr>
        <w:t>prostriedkov Hasičského a</w:t>
      </w:r>
      <w:r>
        <w:rPr>
          <w:sz w:val="24"/>
          <w:szCs w:val="24"/>
        </w:rPr>
        <w:t xml:space="preserve"> </w:t>
      </w:r>
      <w:r w:rsidRPr="008E20D2">
        <w:rPr>
          <w:sz w:val="24"/>
          <w:szCs w:val="24"/>
        </w:rPr>
        <w:t xml:space="preserve">záchranného zboru financovaného z prostriedkov EÚ (Európsky fond regionálneho rozvoja) </w:t>
      </w:r>
      <w:r>
        <w:rPr>
          <w:sz w:val="24"/>
          <w:szCs w:val="24"/>
        </w:rPr>
        <w:t>a na implementáciu</w:t>
      </w:r>
      <w:r w:rsidRPr="008E20D2">
        <w:rPr>
          <w:sz w:val="24"/>
          <w:szCs w:val="24"/>
        </w:rPr>
        <w:t xml:space="preserve"> fáz projektu podpory a údržby Schengenského systému SIS II. na národnej úrovni</w:t>
      </w:r>
      <w:r>
        <w:rPr>
          <w:sz w:val="24"/>
          <w:szCs w:val="24"/>
        </w:rPr>
        <w:t>.</w:t>
      </w:r>
    </w:p>
    <w:p w14:paraId="4D63E846" w14:textId="77777777" w:rsidR="00574126" w:rsidRPr="00BF16F7" w:rsidRDefault="00574126" w:rsidP="00574126">
      <w:pPr>
        <w:spacing w:line="240" w:lineRule="auto"/>
        <w:rPr>
          <w:sz w:val="24"/>
          <w:szCs w:val="24"/>
        </w:rPr>
      </w:pPr>
      <w:r w:rsidRPr="00BF16F7">
        <w:rPr>
          <w:sz w:val="24"/>
          <w:szCs w:val="24"/>
          <w:u w:val="single"/>
        </w:rPr>
        <w:t>Ministerstvo obrany SR</w:t>
      </w:r>
      <w:r w:rsidRPr="00BF16F7">
        <w:rPr>
          <w:sz w:val="24"/>
          <w:szCs w:val="24"/>
        </w:rPr>
        <w:t xml:space="preserve"> čerpalo výdavky v sume 7 155 tis. eur</w:t>
      </w:r>
      <w:r>
        <w:rPr>
          <w:sz w:val="24"/>
          <w:szCs w:val="24"/>
        </w:rPr>
        <w:t xml:space="preserve">, </w:t>
      </w:r>
      <w:r w:rsidRPr="00BF16F7">
        <w:rPr>
          <w:sz w:val="24"/>
          <w:szCs w:val="24"/>
        </w:rPr>
        <w:t>najmä na rozvoj komunikačných a</w:t>
      </w:r>
      <w:r>
        <w:rPr>
          <w:sz w:val="24"/>
          <w:szCs w:val="24"/>
        </w:rPr>
        <w:t xml:space="preserve"> </w:t>
      </w:r>
      <w:r w:rsidRPr="00BF16F7">
        <w:rPr>
          <w:sz w:val="24"/>
          <w:szCs w:val="24"/>
        </w:rPr>
        <w:t>informačných systémov na projekty súvisiace s rozvojom Integrovaného informačného systému ministerstva a</w:t>
      </w:r>
      <w:r>
        <w:rPr>
          <w:sz w:val="24"/>
          <w:szCs w:val="24"/>
        </w:rPr>
        <w:t xml:space="preserve"> </w:t>
      </w:r>
      <w:r w:rsidRPr="00BF16F7">
        <w:rPr>
          <w:sz w:val="24"/>
          <w:szCs w:val="24"/>
        </w:rPr>
        <w:t>zabezpečením softvéru pre vojenské účely.</w:t>
      </w:r>
    </w:p>
    <w:p w14:paraId="0CD2AD82" w14:textId="77777777" w:rsidR="00574126" w:rsidRDefault="00574126" w:rsidP="00574126">
      <w:pPr>
        <w:spacing w:line="240" w:lineRule="auto"/>
        <w:rPr>
          <w:sz w:val="24"/>
          <w:szCs w:val="24"/>
        </w:rPr>
      </w:pPr>
      <w:r>
        <w:rPr>
          <w:sz w:val="24"/>
          <w:szCs w:val="24"/>
        </w:rPr>
        <w:lastRenderedPageBreak/>
        <w:t xml:space="preserve">Najvýznamnejšie výdavky na </w:t>
      </w:r>
      <w:r w:rsidRPr="00EB44B3">
        <w:rPr>
          <w:b/>
          <w:i/>
          <w:sz w:val="24"/>
          <w:szCs w:val="24"/>
        </w:rPr>
        <w:t>nákup licencií</w:t>
      </w:r>
      <w:r>
        <w:rPr>
          <w:sz w:val="24"/>
          <w:szCs w:val="24"/>
        </w:rPr>
        <w:t xml:space="preserve"> malo </w:t>
      </w:r>
      <w:r w:rsidRPr="004E188B">
        <w:rPr>
          <w:sz w:val="24"/>
          <w:szCs w:val="24"/>
          <w:u w:val="single"/>
        </w:rPr>
        <w:t>Ministerstvo vnútra SR</w:t>
      </w:r>
      <w:r>
        <w:rPr>
          <w:sz w:val="24"/>
          <w:szCs w:val="24"/>
        </w:rPr>
        <w:t xml:space="preserve"> (2 699 tis. eur) </w:t>
      </w:r>
      <w:r w:rsidRPr="007D6722">
        <w:rPr>
          <w:sz w:val="24"/>
          <w:szCs w:val="24"/>
        </w:rPr>
        <w:t>na</w:t>
      </w:r>
      <w:r>
        <w:rPr>
          <w:sz w:val="24"/>
          <w:szCs w:val="24"/>
        </w:rPr>
        <w:t xml:space="preserve"> nákup licencií</w:t>
      </w:r>
      <w:r w:rsidRPr="007D6722">
        <w:rPr>
          <w:sz w:val="24"/>
          <w:szCs w:val="24"/>
        </w:rPr>
        <w:t xml:space="preserve"> pre IT systémy </w:t>
      </w:r>
      <w:r>
        <w:rPr>
          <w:sz w:val="24"/>
          <w:szCs w:val="24"/>
        </w:rPr>
        <w:t xml:space="preserve">a </w:t>
      </w:r>
      <w:r w:rsidRPr="00DC0181">
        <w:rPr>
          <w:sz w:val="24"/>
          <w:szCs w:val="24"/>
          <w:u w:val="single"/>
        </w:rPr>
        <w:t>Ministerstvo financií SR</w:t>
      </w:r>
      <w:r>
        <w:rPr>
          <w:sz w:val="24"/>
          <w:szCs w:val="24"/>
        </w:rPr>
        <w:t xml:space="preserve"> (2 461 tis. eur), predovšetkým </w:t>
      </w:r>
      <w:r w:rsidRPr="00FE3234">
        <w:rPr>
          <w:sz w:val="24"/>
          <w:szCs w:val="24"/>
        </w:rPr>
        <w:t>na</w:t>
      </w:r>
      <w:r>
        <w:rPr>
          <w:sz w:val="24"/>
          <w:szCs w:val="24"/>
        </w:rPr>
        <w:t xml:space="preserve"> </w:t>
      </w:r>
      <w:r w:rsidRPr="005225F0">
        <w:rPr>
          <w:sz w:val="24"/>
          <w:szCs w:val="24"/>
        </w:rPr>
        <w:t>Centrálne licenčné zmluvné</w:t>
      </w:r>
      <w:r>
        <w:rPr>
          <w:sz w:val="24"/>
          <w:szCs w:val="24"/>
        </w:rPr>
        <w:t xml:space="preserve"> vzťahy, išlo o softvér pre operačný program Informatizácia spoločnosti.</w:t>
      </w:r>
    </w:p>
    <w:p w14:paraId="0957132C" w14:textId="77777777" w:rsidR="00574126" w:rsidRDefault="00574126" w:rsidP="00574126">
      <w:pPr>
        <w:spacing w:line="240" w:lineRule="auto"/>
        <w:rPr>
          <w:sz w:val="24"/>
          <w:szCs w:val="24"/>
          <w:u w:val="single"/>
        </w:rPr>
      </w:pPr>
      <w:r w:rsidRPr="00EB44B3">
        <w:rPr>
          <w:b/>
          <w:sz w:val="24"/>
          <w:szCs w:val="24"/>
        </w:rPr>
        <w:t>Ostatné kapitálové výdavky</w:t>
      </w:r>
      <w:r w:rsidRPr="00336881">
        <w:rPr>
          <w:b/>
          <w:i/>
          <w:sz w:val="24"/>
          <w:szCs w:val="24"/>
        </w:rPr>
        <w:t xml:space="preserve"> </w:t>
      </w:r>
      <w:r w:rsidRPr="00336881">
        <w:rPr>
          <w:sz w:val="24"/>
          <w:szCs w:val="24"/>
        </w:rPr>
        <w:t xml:space="preserve">dosiahli sumu </w:t>
      </w:r>
      <w:r>
        <w:rPr>
          <w:sz w:val="24"/>
          <w:szCs w:val="24"/>
        </w:rPr>
        <w:t>12 778 tis. eur</w:t>
      </w:r>
      <w:r w:rsidRPr="00336881">
        <w:rPr>
          <w:sz w:val="24"/>
          <w:szCs w:val="24"/>
        </w:rPr>
        <w:t xml:space="preserve">. </w:t>
      </w:r>
      <w:r>
        <w:rPr>
          <w:sz w:val="24"/>
          <w:szCs w:val="24"/>
        </w:rPr>
        <w:t xml:space="preserve">Pokračovalo medziročné znižovanie </w:t>
      </w:r>
      <w:r w:rsidRPr="003A64E5">
        <w:rPr>
          <w:sz w:val="24"/>
          <w:szCs w:val="24"/>
        </w:rPr>
        <w:t>(2021: 57 357 tis. eur, 2020: 112 692 tis. eur) v dôsledku poklesu tvorby hmotných a</w:t>
      </w:r>
      <w:r>
        <w:rPr>
          <w:sz w:val="24"/>
          <w:szCs w:val="24"/>
        </w:rPr>
        <w:t xml:space="preserve"> mobilizačných rezerv, na ktorých mala najväčší podiel </w:t>
      </w:r>
      <w:r w:rsidRPr="00336881">
        <w:rPr>
          <w:sz w:val="24"/>
          <w:szCs w:val="24"/>
          <w:u w:val="single"/>
        </w:rPr>
        <w:t>Správa štátnych hmotných rezerv SR</w:t>
      </w:r>
      <w:r>
        <w:rPr>
          <w:sz w:val="24"/>
          <w:szCs w:val="24"/>
          <w:u w:val="single"/>
        </w:rPr>
        <w:t>.</w:t>
      </w:r>
    </w:p>
    <w:p w14:paraId="6C872246" w14:textId="134FAF61" w:rsidR="00574126" w:rsidRDefault="00574126" w:rsidP="00574126">
      <w:pPr>
        <w:spacing w:line="240" w:lineRule="auto"/>
        <w:rPr>
          <w:sz w:val="24"/>
          <w:szCs w:val="24"/>
        </w:rPr>
      </w:pPr>
      <w:r>
        <w:rPr>
          <w:sz w:val="24"/>
          <w:szCs w:val="24"/>
        </w:rPr>
        <w:t xml:space="preserve">Z pohľadu rozpočtu roku 2022 bola významná </w:t>
      </w:r>
      <w:r w:rsidR="00C67377">
        <w:rPr>
          <w:sz w:val="24"/>
          <w:szCs w:val="24"/>
        </w:rPr>
        <w:t>suma</w:t>
      </w:r>
      <w:r>
        <w:rPr>
          <w:sz w:val="24"/>
          <w:szCs w:val="24"/>
        </w:rPr>
        <w:t xml:space="preserve"> kapitálových výdavkov rozpočtovaná vo Všeobecnej pokladničnej správe. Spolu s ostatnými bežnými výdavkami išlo o skupinu výdavkov, ktoré z hľadiska ich prierezového charakteru nebolo možné rozpočtovať na úrovni </w:t>
      </w:r>
      <w:r w:rsidRPr="00D25AF7">
        <w:rPr>
          <w:sz w:val="24"/>
          <w:szCs w:val="24"/>
        </w:rPr>
        <w:t>jednotlivých kapitol alebo o také výdavky, ktoré majú neisté časové vymedzenie alebo výšku ich použitia. Za 1 033 623 tis. eur išlo o výdavky na vybrané investície kapitol. Investície a projekty investičného charakteru nad 1 mil. eur prechád</w:t>
      </w:r>
      <w:r>
        <w:rPr>
          <w:sz w:val="24"/>
          <w:szCs w:val="24"/>
        </w:rPr>
        <w:t>zajú v súlade s uznesením vlády</w:t>
      </w:r>
      <w:r>
        <w:rPr>
          <w:sz w:val="24"/>
          <w:szCs w:val="24"/>
        </w:rPr>
        <w:br/>
      </w:r>
      <w:r w:rsidRPr="00D25AF7">
        <w:rPr>
          <w:sz w:val="24"/>
          <w:szCs w:val="24"/>
        </w:rPr>
        <w:t>č. 649/2020 ekonomickým hodnotením Ministerstva financií SR a do rozpočtu príslušných kapitol boli zaradené po zohľadnení rozpočtových možností a po preukázaní ich pripravenosti a ekonomickej návratnosti.</w:t>
      </w:r>
    </w:p>
    <w:p w14:paraId="173AC67A" w14:textId="77777777" w:rsidR="00574126" w:rsidRDefault="00574126" w:rsidP="00574126">
      <w:pPr>
        <w:spacing w:line="240" w:lineRule="auto"/>
        <w:rPr>
          <w:sz w:val="24"/>
          <w:szCs w:val="24"/>
        </w:rPr>
      </w:pPr>
      <w:r w:rsidRPr="001F0443">
        <w:rPr>
          <w:sz w:val="24"/>
          <w:szCs w:val="24"/>
        </w:rPr>
        <w:t xml:space="preserve">Z uvedeného výdavkového titulu boli po zohľadnení rozpočtových možností a po preukázaní pripravenosti a ekonomickej návratnosti uvoľnené prostriedky jednotlivým kapitolám štátneho rozpočtu v sume 775 433 tis. eur. </w:t>
      </w:r>
      <w:r>
        <w:rPr>
          <w:sz w:val="24"/>
          <w:szCs w:val="24"/>
        </w:rPr>
        <w:t>Z </w:t>
      </w:r>
      <w:r w:rsidRPr="001F0443">
        <w:rPr>
          <w:sz w:val="24"/>
          <w:szCs w:val="24"/>
        </w:rPr>
        <w:t xml:space="preserve">dôvodu zabezpečenia finančného krytia výdavkov vyplývajúcich z požiadaviek iných rezortov boli z uvedeného výdavkového titulu presunuté prostriedky v celkovej sume 81 426 tis. eur na vytvorený výdavkový titul „Výdavky na realizáciu nerozpočtovaných potrieb“ </w:t>
      </w:r>
      <w:r>
        <w:rPr>
          <w:sz w:val="24"/>
          <w:szCs w:val="24"/>
        </w:rPr>
        <w:t xml:space="preserve">a </w:t>
      </w:r>
      <w:r w:rsidRPr="001F0443">
        <w:rPr>
          <w:sz w:val="24"/>
          <w:szCs w:val="24"/>
        </w:rPr>
        <w:t xml:space="preserve">časť prostriedkov aj na vytvorený výdavkový titul „Výdavky na konflikt na Ukrajine“ v nadväznosti na </w:t>
      </w:r>
      <w:r>
        <w:rPr>
          <w:sz w:val="24"/>
          <w:szCs w:val="24"/>
        </w:rPr>
        <w:t>uznesenie</w:t>
      </w:r>
      <w:r w:rsidRPr="001F0443">
        <w:rPr>
          <w:sz w:val="24"/>
          <w:szCs w:val="24"/>
        </w:rPr>
        <w:t xml:space="preserve"> č. 378/2022. Nevyčerpaný zostatok v sume 176 764 tis. eur bol uvoľnený pre </w:t>
      </w:r>
      <w:r>
        <w:rPr>
          <w:sz w:val="24"/>
          <w:szCs w:val="24"/>
        </w:rPr>
        <w:t>Ministerstvo hospodárstva SR</w:t>
      </w:r>
      <w:r w:rsidRPr="001F0443">
        <w:rPr>
          <w:sz w:val="24"/>
          <w:szCs w:val="24"/>
        </w:rPr>
        <w:t xml:space="preserve"> na kompenzáciu zvýšených cien energií.</w:t>
      </w:r>
    </w:p>
    <w:p w14:paraId="44DCF14A" w14:textId="77777777" w:rsidR="00574126" w:rsidRDefault="00574126" w:rsidP="00574126">
      <w:pPr>
        <w:spacing w:line="240" w:lineRule="auto"/>
        <w:rPr>
          <w:sz w:val="24"/>
          <w:szCs w:val="24"/>
        </w:rPr>
      </w:pPr>
      <w:r>
        <w:rPr>
          <w:sz w:val="24"/>
          <w:szCs w:val="24"/>
        </w:rPr>
        <w:t xml:space="preserve">Na znížení sa podieľalo aj </w:t>
      </w:r>
      <w:r w:rsidRPr="003A64E5">
        <w:rPr>
          <w:sz w:val="24"/>
          <w:szCs w:val="24"/>
          <w:u w:val="single"/>
        </w:rPr>
        <w:t>Ministerstvo zdravotníctva SR</w:t>
      </w:r>
      <w:r>
        <w:rPr>
          <w:sz w:val="24"/>
          <w:szCs w:val="24"/>
        </w:rPr>
        <w:t xml:space="preserve"> (</w:t>
      </w:r>
      <w:r w:rsidRPr="009F5392">
        <w:rPr>
          <w:sz w:val="24"/>
          <w:szCs w:val="24"/>
        </w:rPr>
        <w:t>o 199 145 tis.</w:t>
      </w:r>
      <w:r>
        <w:rPr>
          <w:sz w:val="24"/>
          <w:szCs w:val="24"/>
        </w:rPr>
        <w:t xml:space="preserve"> eur) </w:t>
      </w:r>
      <w:r w:rsidRPr="007C1EED">
        <w:rPr>
          <w:sz w:val="24"/>
          <w:szCs w:val="24"/>
        </w:rPr>
        <w:t>z dôvodu viazania nevyčerpaných finančných prostriedkov do nasledujúceho rozpočtového roka</w:t>
      </w:r>
      <w:r>
        <w:rPr>
          <w:sz w:val="24"/>
          <w:szCs w:val="24"/>
        </w:rPr>
        <w:t>, išlo o</w:t>
      </w:r>
      <w:r w:rsidRPr="007C1EED">
        <w:rPr>
          <w:sz w:val="24"/>
          <w:szCs w:val="24"/>
        </w:rPr>
        <w:t xml:space="preserve"> finančné prostriedky z Plánu obnovy a odolnosti. </w:t>
      </w:r>
    </w:p>
    <w:p w14:paraId="686A0D98" w14:textId="7435FBBB" w:rsidR="00995FFF" w:rsidRDefault="00574126" w:rsidP="00043553">
      <w:pPr>
        <w:spacing w:line="240" w:lineRule="auto"/>
        <w:rPr>
          <w:b/>
          <w:color w:val="5B9BD5" w:themeColor="accent1"/>
          <w:sz w:val="24"/>
          <w:szCs w:val="24"/>
        </w:rPr>
      </w:pPr>
      <w:r w:rsidRPr="00D715AF">
        <w:rPr>
          <w:sz w:val="24"/>
          <w:szCs w:val="24"/>
        </w:rPr>
        <w:t xml:space="preserve">Pri </w:t>
      </w:r>
      <w:r w:rsidRPr="00EB44B3">
        <w:rPr>
          <w:b/>
          <w:sz w:val="24"/>
          <w:szCs w:val="24"/>
        </w:rPr>
        <w:t>nákupe budov, objektov alebo ich častí</w:t>
      </w:r>
      <w:r w:rsidRPr="00D715AF">
        <w:rPr>
          <w:b/>
          <w:i/>
          <w:sz w:val="24"/>
          <w:szCs w:val="24"/>
        </w:rPr>
        <w:t xml:space="preserve"> </w:t>
      </w:r>
      <w:r w:rsidRPr="0043581B">
        <w:rPr>
          <w:sz w:val="24"/>
          <w:szCs w:val="24"/>
        </w:rPr>
        <w:t xml:space="preserve">výdavky </w:t>
      </w:r>
      <w:r>
        <w:rPr>
          <w:sz w:val="24"/>
          <w:szCs w:val="24"/>
        </w:rPr>
        <w:t>dosiahli hodnotu 12</w:t>
      </w:r>
      <w:r w:rsidRPr="00D715AF">
        <w:rPr>
          <w:sz w:val="24"/>
          <w:szCs w:val="24"/>
        </w:rPr>
        <w:t> </w:t>
      </w:r>
      <w:r>
        <w:rPr>
          <w:sz w:val="24"/>
          <w:szCs w:val="24"/>
        </w:rPr>
        <w:t>298</w:t>
      </w:r>
      <w:r w:rsidRPr="00D715AF">
        <w:rPr>
          <w:sz w:val="24"/>
          <w:szCs w:val="24"/>
        </w:rPr>
        <w:t xml:space="preserve"> tis. eur. </w:t>
      </w:r>
      <w:r w:rsidRPr="00A067FD">
        <w:rPr>
          <w:sz w:val="24"/>
          <w:szCs w:val="24"/>
          <w:u w:val="single"/>
        </w:rPr>
        <w:t xml:space="preserve">Ministerstvo </w:t>
      </w:r>
      <w:r>
        <w:rPr>
          <w:sz w:val="24"/>
          <w:szCs w:val="24"/>
          <w:u w:val="single"/>
        </w:rPr>
        <w:t>spravodlivosti</w:t>
      </w:r>
      <w:r w:rsidRPr="00A067FD">
        <w:rPr>
          <w:sz w:val="24"/>
          <w:szCs w:val="24"/>
          <w:u w:val="single"/>
        </w:rPr>
        <w:t xml:space="preserve"> SR</w:t>
      </w:r>
      <w:r>
        <w:rPr>
          <w:sz w:val="24"/>
          <w:szCs w:val="24"/>
        </w:rPr>
        <w:t xml:space="preserve"> (6 177 tis. eur) čerpalo výdavky </w:t>
      </w:r>
      <w:r w:rsidRPr="004E188B">
        <w:rPr>
          <w:sz w:val="24"/>
          <w:szCs w:val="24"/>
        </w:rPr>
        <w:t>na nákup budovy pre Okresný súd Banská Bystrica</w:t>
      </w:r>
      <w:r>
        <w:rPr>
          <w:sz w:val="24"/>
          <w:szCs w:val="24"/>
        </w:rPr>
        <w:t xml:space="preserve">. </w:t>
      </w:r>
    </w:p>
    <w:p w14:paraId="19F8AAB9" w14:textId="1E817B76" w:rsidR="00151971" w:rsidRDefault="00151971" w:rsidP="0004591C">
      <w:pPr>
        <w:spacing w:before="240"/>
        <w:rPr>
          <w:b/>
          <w:color w:val="5B9BD5" w:themeColor="accent1"/>
          <w:sz w:val="24"/>
          <w:szCs w:val="24"/>
        </w:rPr>
      </w:pPr>
      <w:r w:rsidRPr="0004591C">
        <w:rPr>
          <w:b/>
          <w:color w:val="5B9BD5" w:themeColor="accent1"/>
          <w:sz w:val="24"/>
          <w:szCs w:val="24"/>
        </w:rPr>
        <w:t>Kapitálové transfery</w:t>
      </w:r>
    </w:p>
    <w:p w14:paraId="07EC3E0E" w14:textId="656D43F1" w:rsidR="00043553" w:rsidRDefault="00574126" w:rsidP="00574126">
      <w:pPr>
        <w:spacing w:line="240" w:lineRule="auto"/>
        <w:rPr>
          <w:sz w:val="24"/>
          <w:szCs w:val="24"/>
        </w:rPr>
      </w:pPr>
      <w:r w:rsidRPr="00D715AF">
        <w:rPr>
          <w:b/>
          <w:sz w:val="24"/>
          <w:szCs w:val="24"/>
        </w:rPr>
        <w:t>Kapitálové transfery</w:t>
      </w:r>
      <w:r w:rsidRPr="00D715AF">
        <w:rPr>
          <w:sz w:val="24"/>
          <w:szCs w:val="24"/>
        </w:rPr>
        <w:t xml:space="preserve"> zahŕňajú platby vykonávané s cieľom umožniť príjemcovi nadobudnúť kapitálové aktíva alebo kompenzovať ich poškodenie alebo zničenie. Schválený rozpočet pre rok </w:t>
      </w:r>
      <w:r w:rsidRPr="00A067FD">
        <w:rPr>
          <w:sz w:val="24"/>
          <w:szCs w:val="24"/>
        </w:rPr>
        <w:t>202</w:t>
      </w:r>
      <w:r>
        <w:rPr>
          <w:sz w:val="24"/>
          <w:szCs w:val="24"/>
        </w:rPr>
        <w:t>2 bol stanovený sumou 1 855</w:t>
      </w:r>
      <w:r w:rsidRPr="00A067FD">
        <w:rPr>
          <w:sz w:val="24"/>
          <w:szCs w:val="24"/>
        </w:rPr>
        <w:t> </w:t>
      </w:r>
      <w:r>
        <w:rPr>
          <w:sz w:val="24"/>
          <w:szCs w:val="24"/>
        </w:rPr>
        <w:t>431</w:t>
      </w:r>
      <w:r w:rsidRPr="00A067FD">
        <w:rPr>
          <w:sz w:val="24"/>
          <w:szCs w:val="24"/>
        </w:rPr>
        <w:t> tis. eur. V skutočnosti kapitálové transfery boli vo výške</w:t>
      </w:r>
      <w:r>
        <w:rPr>
          <w:sz w:val="24"/>
          <w:szCs w:val="24"/>
        </w:rPr>
        <w:t xml:space="preserve"> 1 523 995</w:t>
      </w:r>
      <w:r w:rsidRPr="00A067FD">
        <w:rPr>
          <w:sz w:val="24"/>
          <w:szCs w:val="24"/>
        </w:rPr>
        <w:t> tis. eur (202</w:t>
      </w:r>
      <w:r>
        <w:rPr>
          <w:sz w:val="24"/>
          <w:szCs w:val="24"/>
        </w:rPr>
        <w:t>1</w:t>
      </w:r>
      <w:r w:rsidRPr="00A067FD">
        <w:rPr>
          <w:sz w:val="24"/>
          <w:szCs w:val="24"/>
        </w:rPr>
        <w:t xml:space="preserve">: 1 414 554 tis. eur) a tvoria </w:t>
      </w:r>
      <w:r>
        <w:rPr>
          <w:sz w:val="24"/>
          <w:szCs w:val="24"/>
        </w:rPr>
        <w:t>56</w:t>
      </w:r>
      <w:r w:rsidRPr="00A067FD">
        <w:rPr>
          <w:sz w:val="24"/>
          <w:szCs w:val="24"/>
        </w:rPr>
        <w:t>,</w:t>
      </w:r>
      <w:r>
        <w:rPr>
          <w:sz w:val="24"/>
          <w:szCs w:val="24"/>
        </w:rPr>
        <w:t>3</w:t>
      </w:r>
      <w:r w:rsidRPr="00A067FD">
        <w:rPr>
          <w:sz w:val="24"/>
          <w:szCs w:val="24"/>
        </w:rPr>
        <w:t xml:space="preserve"> % z celkových kapitálových výdavkov.</w:t>
      </w:r>
      <w:r w:rsidRPr="00D715AF">
        <w:rPr>
          <w:sz w:val="24"/>
          <w:szCs w:val="24"/>
        </w:rPr>
        <w:t xml:space="preserve"> </w:t>
      </w:r>
      <w:r w:rsidRPr="004E2445">
        <w:rPr>
          <w:sz w:val="24"/>
          <w:szCs w:val="24"/>
        </w:rPr>
        <w:t>Z celkovej sumy kapitálových transferov bolo zo zdrojov EŠIF použitých 791 79</w:t>
      </w:r>
      <w:r>
        <w:rPr>
          <w:sz w:val="24"/>
          <w:szCs w:val="24"/>
        </w:rPr>
        <w:t>6</w:t>
      </w:r>
      <w:r w:rsidRPr="004E2445">
        <w:rPr>
          <w:sz w:val="24"/>
          <w:szCs w:val="24"/>
        </w:rPr>
        <w:t xml:space="preserve"> tis. eur a zo zdroja ŠR 603</w:t>
      </w:r>
      <w:r>
        <w:rPr>
          <w:sz w:val="24"/>
          <w:szCs w:val="24"/>
        </w:rPr>
        <w:t> </w:t>
      </w:r>
      <w:r w:rsidRPr="004E2445">
        <w:rPr>
          <w:sz w:val="24"/>
          <w:szCs w:val="24"/>
        </w:rPr>
        <w:t>712</w:t>
      </w:r>
      <w:r>
        <w:rPr>
          <w:sz w:val="24"/>
          <w:szCs w:val="24"/>
        </w:rPr>
        <w:t> </w:t>
      </w:r>
      <w:r w:rsidRPr="004E2445">
        <w:rPr>
          <w:sz w:val="24"/>
          <w:szCs w:val="24"/>
        </w:rPr>
        <w:t>tis. eur (a spolufinancovanie v sume 128</w:t>
      </w:r>
      <w:r>
        <w:rPr>
          <w:sz w:val="24"/>
          <w:szCs w:val="24"/>
        </w:rPr>
        <w:t> 487 tis. eur).</w:t>
      </w:r>
    </w:p>
    <w:p w14:paraId="2BD45582" w14:textId="77777777" w:rsidR="00043553" w:rsidRDefault="00043553">
      <w:pPr>
        <w:spacing w:after="160" w:line="259" w:lineRule="auto"/>
        <w:jc w:val="left"/>
        <w:rPr>
          <w:sz w:val="24"/>
          <w:szCs w:val="24"/>
        </w:rPr>
      </w:pPr>
      <w:r>
        <w:rPr>
          <w:sz w:val="24"/>
          <w:szCs w:val="24"/>
        </w:rPr>
        <w:br w:type="page"/>
      </w:r>
    </w:p>
    <w:tbl>
      <w:tblPr>
        <w:tblW w:w="9018" w:type="dxa"/>
        <w:tblCellMar>
          <w:left w:w="70" w:type="dxa"/>
          <w:right w:w="70" w:type="dxa"/>
        </w:tblCellMar>
        <w:tblLook w:val="04A0" w:firstRow="1" w:lastRow="0" w:firstColumn="1" w:lastColumn="0" w:noHBand="0" w:noVBand="1"/>
      </w:tblPr>
      <w:tblGrid>
        <w:gridCol w:w="2835"/>
        <w:gridCol w:w="960"/>
        <w:gridCol w:w="960"/>
        <w:gridCol w:w="1199"/>
        <w:gridCol w:w="1021"/>
        <w:gridCol w:w="963"/>
        <w:gridCol w:w="1080"/>
      </w:tblGrid>
      <w:tr w:rsidR="00574126" w:rsidRPr="005969FC" w14:paraId="7B8366BB" w14:textId="77777777" w:rsidTr="00574126">
        <w:trPr>
          <w:trHeight w:val="300"/>
        </w:trPr>
        <w:tc>
          <w:tcPr>
            <w:tcW w:w="9018" w:type="dxa"/>
            <w:gridSpan w:val="7"/>
            <w:tcBorders>
              <w:top w:val="nil"/>
              <w:left w:val="nil"/>
              <w:bottom w:val="single" w:sz="8" w:space="0" w:color="auto"/>
              <w:right w:val="nil"/>
            </w:tcBorders>
            <w:shd w:val="clear" w:color="auto" w:fill="auto"/>
            <w:vAlign w:val="center"/>
            <w:hideMark/>
          </w:tcPr>
          <w:p w14:paraId="79EC5B9C" w14:textId="62E6C56A" w:rsidR="00574126" w:rsidRPr="005969FC" w:rsidRDefault="00240940" w:rsidP="008B3212">
            <w:pPr>
              <w:spacing w:after="0" w:line="240" w:lineRule="auto"/>
              <w:rPr>
                <w:rFonts w:eastAsia="Times New Roman" w:cs="Times New Roman"/>
                <w:b/>
                <w:bCs/>
                <w:color w:val="5B9BD5"/>
                <w:sz w:val="20"/>
                <w:szCs w:val="20"/>
                <w:lang w:eastAsia="sk-SK"/>
              </w:rPr>
            </w:pPr>
            <w:r>
              <w:rPr>
                <w:rFonts w:eastAsia="Times New Roman" w:cs="Times New Roman"/>
                <w:b/>
                <w:bCs/>
                <w:color w:val="5B9BD5"/>
                <w:sz w:val="20"/>
                <w:szCs w:val="20"/>
                <w:lang w:eastAsia="sk-SK"/>
              </w:rPr>
              <w:lastRenderedPageBreak/>
              <w:t>Tabuľka 4</w:t>
            </w:r>
            <w:r w:rsidR="008B3212">
              <w:rPr>
                <w:rFonts w:eastAsia="Times New Roman" w:cs="Times New Roman"/>
                <w:b/>
                <w:bCs/>
                <w:color w:val="5B9BD5"/>
                <w:sz w:val="20"/>
                <w:szCs w:val="20"/>
                <w:lang w:eastAsia="sk-SK"/>
              </w:rPr>
              <w:t>2</w:t>
            </w:r>
            <w:r w:rsidR="00574126" w:rsidRPr="008448B9">
              <w:rPr>
                <w:rFonts w:eastAsia="Times New Roman" w:cs="Times New Roman"/>
                <w:b/>
                <w:bCs/>
                <w:color w:val="5B9BD5"/>
                <w:sz w:val="20"/>
                <w:szCs w:val="20"/>
                <w:lang w:eastAsia="sk-SK"/>
              </w:rPr>
              <w:t xml:space="preserve"> - Kapitálové transfery</w:t>
            </w:r>
            <w:r w:rsidR="00574126" w:rsidRPr="005969FC">
              <w:rPr>
                <w:rFonts w:eastAsia="Times New Roman" w:cs="Times New Roman"/>
                <w:b/>
                <w:bCs/>
                <w:color w:val="5B9BD5"/>
                <w:sz w:val="20"/>
                <w:szCs w:val="20"/>
                <w:lang w:eastAsia="sk-SK"/>
              </w:rPr>
              <w:t xml:space="preserve"> </w:t>
            </w:r>
          </w:p>
        </w:tc>
      </w:tr>
      <w:tr w:rsidR="00574126" w:rsidRPr="005969FC" w14:paraId="1876CB35" w14:textId="77777777" w:rsidTr="00CE362A">
        <w:trPr>
          <w:trHeight w:val="289"/>
        </w:trPr>
        <w:tc>
          <w:tcPr>
            <w:tcW w:w="2835" w:type="dxa"/>
            <w:vMerge w:val="restart"/>
            <w:tcBorders>
              <w:top w:val="nil"/>
              <w:left w:val="nil"/>
              <w:bottom w:val="single" w:sz="8" w:space="0" w:color="000000"/>
              <w:right w:val="nil"/>
            </w:tcBorders>
            <w:shd w:val="clear" w:color="auto" w:fill="auto"/>
            <w:vAlign w:val="center"/>
            <w:hideMark/>
          </w:tcPr>
          <w:p w14:paraId="7B0905E5" w14:textId="77777777" w:rsidR="00574126" w:rsidRPr="005969FC" w:rsidRDefault="00574126" w:rsidP="00574126">
            <w:pPr>
              <w:spacing w:after="0" w:line="240" w:lineRule="auto"/>
              <w:jc w:val="left"/>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v tis. eur</w:t>
            </w:r>
          </w:p>
        </w:tc>
        <w:tc>
          <w:tcPr>
            <w:tcW w:w="960" w:type="dxa"/>
            <w:tcBorders>
              <w:top w:val="nil"/>
              <w:left w:val="nil"/>
              <w:bottom w:val="nil"/>
              <w:right w:val="nil"/>
            </w:tcBorders>
            <w:shd w:val="clear" w:color="auto" w:fill="auto"/>
            <w:vAlign w:val="center"/>
            <w:hideMark/>
          </w:tcPr>
          <w:p w14:paraId="24342D09"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2020 S</w:t>
            </w:r>
          </w:p>
        </w:tc>
        <w:tc>
          <w:tcPr>
            <w:tcW w:w="960" w:type="dxa"/>
            <w:tcBorders>
              <w:top w:val="nil"/>
              <w:left w:val="nil"/>
              <w:bottom w:val="nil"/>
              <w:right w:val="nil"/>
            </w:tcBorders>
            <w:shd w:val="clear" w:color="auto" w:fill="auto"/>
            <w:vAlign w:val="center"/>
            <w:hideMark/>
          </w:tcPr>
          <w:p w14:paraId="00B07C14"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2021 S</w:t>
            </w:r>
          </w:p>
        </w:tc>
        <w:tc>
          <w:tcPr>
            <w:tcW w:w="1199" w:type="dxa"/>
            <w:tcBorders>
              <w:top w:val="nil"/>
              <w:left w:val="nil"/>
              <w:bottom w:val="nil"/>
              <w:right w:val="nil"/>
            </w:tcBorders>
            <w:shd w:val="clear" w:color="auto" w:fill="auto"/>
            <w:vAlign w:val="center"/>
            <w:hideMark/>
          </w:tcPr>
          <w:p w14:paraId="0D94BB86"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2022 R</w:t>
            </w:r>
          </w:p>
        </w:tc>
        <w:tc>
          <w:tcPr>
            <w:tcW w:w="1021" w:type="dxa"/>
            <w:tcBorders>
              <w:top w:val="nil"/>
              <w:left w:val="nil"/>
              <w:bottom w:val="nil"/>
              <w:right w:val="nil"/>
            </w:tcBorders>
            <w:shd w:val="clear" w:color="auto" w:fill="auto"/>
            <w:vAlign w:val="center"/>
            <w:hideMark/>
          </w:tcPr>
          <w:p w14:paraId="1DEAB643"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2022 S</w:t>
            </w:r>
          </w:p>
        </w:tc>
        <w:tc>
          <w:tcPr>
            <w:tcW w:w="963" w:type="dxa"/>
            <w:tcBorders>
              <w:top w:val="nil"/>
              <w:left w:val="nil"/>
              <w:bottom w:val="nil"/>
              <w:right w:val="nil"/>
            </w:tcBorders>
            <w:shd w:val="clear" w:color="auto" w:fill="auto"/>
            <w:vAlign w:val="center"/>
            <w:hideMark/>
          </w:tcPr>
          <w:p w14:paraId="505ED841"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Rozdiel</w:t>
            </w:r>
          </w:p>
        </w:tc>
        <w:tc>
          <w:tcPr>
            <w:tcW w:w="1080" w:type="dxa"/>
            <w:tcBorders>
              <w:top w:val="nil"/>
              <w:left w:val="nil"/>
              <w:bottom w:val="nil"/>
              <w:right w:val="nil"/>
            </w:tcBorders>
            <w:shd w:val="clear" w:color="auto" w:fill="auto"/>
            <w:vAlign w:val="center"/>
            <w:hideMark/>
          </w:tcPr>
          <w:p w14:paraId="619B28BD"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v %</w:t>
            </w:r>
          </w:p>
        </w:tc>
      </w:tr>
      <w:tr w:rsidR="00574126" w:rsidRPr="005969FC" w14:paraId="0F7245BF" w14:textId="77777777" w:rsidTr="00CE362A">
        <w:trPr>
          <w:trHeight w:val="289"/>
        </w:trPr>
        <w:tc>
          <w:tcPr>
            <w:tcW w:w="2835" w:type="dxa"/>
            <w:vMerge/>
            <w:tcBorders>
              <w:top w:val="nil"/>
              <w:left w:val="nil"/>
              <w:bottom w:val="single" w:sz="8" w:space="0" w:color="000000"/>
              <w:right w:val="nil"/>
            </w:tcBorders>
            <w:vAlign w:val="center"/>
            <w:hideMark/>
          </w:tcPr>
          <w:p w14:paraId="205E5CFD" w14:textId="77777777" w:rsidR="00574126" w:rsidRPr="005969FC" w:rsidRDefault="00574126" w:rsidP="00574126">
            <w:pPr>
              <w:spacing w:after="0" w:line="240" w:lineRule="auto"/>
              <w:jc w:val="left"/>
              <w:rPr>
                <w:rFonts w:eastAsia="Times New Roman" w:cs="Times New Roman"/>
                <w:b/>
                <w:bCs/>
                <w:color w:val="000000"/>
                <w:sz w:val="20"/>
                <w:szCs w:val="20"/>
                <w:lang w:eastAsia="sk-SK"/>
              </w:rPr>
            </w:pPr>
          </w:p>
        </w:tc>
        <w:tc>
          <w:tcPr>
            <w:tcW w:w="960" w:type="dxa"/>
            <w:tcBorders>
              <w:top w:val="nil"/>
              <w:left w:val="nil"/>
              <w:bottom w:val="single" w:sz="8" w:space="0" w:color="auto"/>
              <w:right w:val="nil"/>
            </w:tcBorders>
            <w:shd w:val="clear" w:color="auto" w:fill="auto"/>
            <w:vAlign w:val="center"/>
            <w:hideMark/>
          </w:tcPr>
          <w:p w14:paraId="5F221A3E"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1</w:t>
            </w:r>
          </w:p>
        </w:tc>
        <w:tc>
          <w:tcPr>
            <w:tcW w:w="960" w:type="dxa"/>
            <w:tcBorders>
              <w:top w:val="nil"/>
              <w:left w:val="nil"/>
              <w:bottom w:val="single" w:sz="8" w:space="0" w:color="auto"/>
              <w:right w:val="nil"/>
            </w:tcBorders>
            <w:shd w:val="clear" w:color="auto" w:fill="auto"/>
            <w:vAlign w:val="center"/>
            <w:hideMark/>
          </w:tcPr>
          <w:p w14:paraId="3A55AF8A"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2</w:t>
            </w:r>
          </w:p>
        </w:tc>
        <w:tc>
          <w:tcPr>
            <w:tcW w:w="1199" w:type="dxa"/>
            <w:tcBorders>
              <w:top w:val="nil"/>
              <w:left w:val="nil"/>
              <w:bottom w:val="single" w:sz="8" w:space="0" w:color="auto"/>
              <w:right w:val="nil"/>
            </w:tcBorders>
            <w:shd w:val="clear" w:color="auto" w:fill="auto"/>
            <w:vAlign w:val="center"/>
            <w:hideMark/>
          </w:tcPr>
          <w:p w14:paraId="043C1402"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3</w:t>
            </w:r>
          </w:p>
        </w:tc>
        <w:tc>
          <w:tcPr>
            <w:tcW w:w="1021" w:type="dxa"/>
            <w:tcBorders>
              <w:top w:val="nil"/>
              <w:left w:val="nil"/>
              <w:bottom w:val="single" w:sz="8" w:space="0" w:color="auto"/>
              <w:right w:val="nil"/>
            </w:tcBorders>
            <w:shd w:val="clear" w:color="auto" w:fill="auto"/>
            <w:vAlign w:val="center"/>
            <w:hideMark/>
          </w:tcPr>
          <w:p w14:paraId="0FD84029"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4</w:t>
            </w:r>
          </w:p>
        </w:tc>
        <w:tc>
          <w:tcPr>
            <w:tcW w:w="963" w:type="dxa"/>
            <w:tcBorders>
              <w:top w:val="nil"/>
              <w:left w:val="nil"/>
              <w:bottom w:val="single" w:sz="8" w:space="0" w:color="auto"/>
              <w:right w:val="nil"/>
            </w:tcBorders>
            <w:shd w:val="clear" w:color="auto" w:fill="auto"/>
            <w:vAlign w:val="center"/>
            <w:hideMark/>
          </w:tcPr>
          <w:p w14:paraId="7622178B"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5=4-3</w:t>
            </w:r>
          </w:p>
        </w:tc>
        <w:tc>
          <w:tcPr>
            <w:tcW w:w="1080" w:type="dxa"/>
            <w:tcBorders>
              <w:top w:val="nil"/>
              <w:left w:val="nil"/>
              <w:bottom w:val="single" w:sz="8" w:space="0" w:color="auto"/>
              <w:right w:val="nil"/>
            </w:tcBorders>
            <w:shd w:val="clear" w:color="auto" w:fill="auto"/>
            <w:vAlign w:val="center"/>
            <w:hideMark/>
          </w:tcPr>
          <w:p w14:paraId="14EE279C" w14:textId="77777777" w:rsidR="00574126" w:rsidRPr="005969FC" w:rsidRDefault="00574126" w:rsidP="00574126">
            <w:pPr>
              <w:spacing w:after="0" w:line="240" w:lineRule="auto"/>
              <w:jc w:val="center"/>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6=4-3</w:t>
            </w:r>
          </w:p>
        </w:tc>
      </w:tr>
      <w:tr w:rsidR="00574126" w:rsidRPr="005969FC" w14:paraId="7BC3A5D0" w14:textId="77777777" w:rsidTr="00CE362A">
        <w:trPr>
          <w:trHeight w:val="289"/>
        </w:trPr>
        <w:tc>
          <w:tcPr>
            <w:tcW w:w="2835" w:type="dxa"/>
            <w:tcBorders>
              <w:top w:val="nil"/>
              <w:left w:val="nil"/>
              <w:bottom w:val="nil"/>
              <w:right w:val="nil"/>
            </w:tcBorders>
            <w:shd w:val="clear" w:color="auto" w:fill="auto"/>
            <w:vAlign w:val="center"/>
            <w:hideMark/>
          </w:tcPr>
          <w:p w14:paraId="2DEA5B19" w14:textId="77777777" w:rsidR="00574126" w:rsidRPr="005969FC" w:rsidRDefault="00574126" w:rsidP="00574126">
            <w:pPr>
              <w:spacing w:after="0" w:line="240" w:lineRule="auto"/>
              <w:jc w:val="left"/>
              <w:rPr>
                <w:rFonts w:eastAsia="Times New Roman" w:cs="Times New Roman"/>
                <w:color w:val="000000"/>
                <w:sz w:val="20"/>
                <w:szCs w:val="20"/>
                <w:lang w:eastAsia="sk-SK"/>
              </w:rPr>
            </w:pPr>
            <w:r w:rsidRPr="005969FC">
              <w:rPr>
                <w:rFonts w:eastAsia="Times New Roman" w:cs="Times New Roman"/>
                <w:color w:val="000000"/>
                <w:sz w:val="20"/>
                <w:szCs w:val="20"/>
                <w:lang w:eastAsia="sk-SK"/>
              </w:rPr>
              <w:t>v rámci verejnej správy</w:t>
            </w:r>
          </w:p>
        </w:tc>
        <w:tc>
          <w:tcPr>
            <w:tcW w:w="960" w:type="dxa"/>
            <w:tcBorders>
              <w:top w:val="nil"/>
              <w:left w:val="nil"/>
              <w:bottom w:val="nil"/>
              <w:right w:val="nil"/>
            </w:tcBorders>
            <w:shd w:val="clear" w:color="auto" w:fill="auto"/>
            <w:noWrap/>
            <w:vAlign w:val="center"/>
            <w:hideMark/>
          </w:tcPr>
          <w:p w14:paraId="12B59617"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1 188 889</w:t>
            </w:r>
          </w:p>
        </w:tc>
        <w:tc>
          <w:tcPr>
            <w:tcW w:w="960" w:type="dxa"/>
            <w:tcBorders>
              <w:top w:val="nil"/>
              <w:left w:val="nil"/>
              <w:bottom w:val="nil"/>
              <w:right w:val="nil"/>
            </w:tcBorders>
            <w:shd w:val="clear" w:color="auto" w:fill="auto"/>
            <w:noWrap/>
            <w:vAlign w:val="center"/>
            <w:hideMark/>
          </w:tcPr>
          <w:p w14:paraId="5B4BB92F"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1 141 823</w:t>
            </w:r>
          </w:p>
        </w:tc>
        <w:tc>
          <w:tcPr>
            <w:tcW w:w="1199" w:type="dxa"/>
            <w:tcBorders>
              <w:top w:val="nil"/>
              <w:left w:val="nil"/>
              <w:bottom w:val="nil"/>
              <w:right w:val="nil"/>
            </w:tcBorders>
            <w:shd w:val="clear" w:color="auto" w:fill="auto"/>
            <w:noWrap/>
            <w:vAlign w:val="center"/>
            <w:hideMark/>
          </w:tcPr>
          <w:p w14:paraId="030C2F32"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792 084</w:t>
            </w:r>
          </w:p>
        </w:tc>
        <w:tc>
          <w:tcPr>
            <w:tcW w:w="1021" w:type="dxa"/>
            <w:tcBorders>
              <w:top w:val="nil"/>
              <w:left w:val="nil"/>
              <w:bottom w:val="nil"/>
              <w:right w:val="nil"/>
            </w:tcBorders>
            <w:shd w:val="clear" w:color="auto" w:fill="auto"/>
            <w:noWrap/>
            <w:vAlign w:val="center"/>
            <w:hideMark/>
          </w:tcPr>
          <w:p w14:paraId="057B52F4"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1 235 685</w:t>
            </w:r>
          </w:p>
        </w:tc>
        <w:tc>
          <w:tcPr>
            <w:tcW w:w="963" w:type="dxa"/>
            <w:tcBorders>
              <w:top w:val="nil"/>
              <w:left w:val="nil"/>
              <w:bottom w:val="nil"/>
              <w:right w:val="nil"/>
            </w:tcBorders>
            <w:shd w:val="clear" w:color="auto" w:fill="auto"/>
            <w:noWrap/>
            <w:vAlign w:val="center"/>
            <w:hideMark/>
          </w:tcPr>
          <w:p w14:paraId="672A208D"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443 601</w:t>
            </w:r>
          </w:p>
        </w:tc>
        <w:tc>
          <w:tcPr>
            <w:tcW w:w="1080" w:type="dxa"/>
            <w:tcBorders>
              <w:top w:val="nil"/>
              <w:left w:val="nil"/>
              <w:bottom w:val="nil"/>
              <w:right w:val="nil"/>
            </w:tcBorders>
            <w:shd w:val="clear" w:color="auto" w:fill="auto"/>
            <w:noWrap/>
            <w:vAlign w:val="center"/>
            <w:hideMark/>
          </w:tcPr>
          <w:p w14:paraId="562F9DC0" w14:textId="19DFCDD7" w:rsidR="00574126" w:rsidRPr="005969FC" w:rsidRDefault="00C91C7D" w:rsidP="00574126">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56</w:t>
            </w:r>
            <w:r w:rsidR="00EC5594">
              <w:rPr>
                <w:rFonts w:eastAsia="Times New Roman" w:cs="Times New Roman"/>
                <w:color w:val="000000"/>
                <w:sz w:val="20"/>
                <w:szCs w:val="20"/>
                <w:lang w:eastAsia="sk-SK"/>
              </w:rPr>
              <w:t>,0</w:t>
            </w:r>
          </w:p>
        </w:tc>
      </w:tr>
      <w:tr w:rsidR="00574126" w:rsidRPr="005969FC" w14:paraId="357DBD06" w14:textId="77777777" w:rsidTr="00CE362A">
        <w:trPr>
          <w:trHeight w:val="289"/>
        </w:trPr>
        <w:tc>
          <w:tcPr>
            <w:tcW w:w="2835" w:type="dxa"/>
            <w:tcBorders>
              <w:top w:val="nil"/>
              <w:left w:val="nil"/>
              <w:bottom w:val="nil"/>
              <w:right w:val="nil"/>
            </w:tcBorders>
            <w:shd w:val="clear" w:color="auto" w:fill="auto"/>
            <w:vAlign w:val="center"/>
            <w:hideMark/>
          </w:tcPr>
          <w:p w14:paraId="1BBD1F51" w14:textId="77777777" w:rsidR="00574126" w:rsidRPr="005969FC" w:rsidRDefault="00574126" w:rsidP="00574126">
            <w:pPr>
              <w:spacing w:after="0" w:line="240" w:lineRule="auto"/>
              <w:jc w:val="left"/>
              <w:rPr>
                <w:rFonts w:eastAsia="Times New Roman" w:cs="Times New Roman"/>
                <w:color w:val="000000"/>
                <w:sz w:val="20"/>
                <w:szCs w:val="20"/>
                <w:lang w:eastAsia="sk-SK"/>
              </w:rPr>
            </w:pPr>
            <w:r w:rsidRPr="005969FC">
              <w:rPr>
                <w:rFonts w:eastAsia="Times New Roman" w:cs="Times New Roman"/>
                <w:color w:val="000000"/>
                <w:sz w:val="20"/>
                <w:szCs w:val="20"/>
                <w:lang w:eastAsia="sk-SK"/>
              </w:rPr>
              <w:t xml:space="preserve">nefinančným subjektom </w:t>
            </w:r>
          </w:p>
        </w:tc>
        <w:tc>
          <w:tcPr>
            <w:tcW w:w="960" w:type="dxa"/>
            <w:tcBorders>
              <w:top w:val="nil"/>
              <w:left w:val="nil"/>
              <w:bottom w:val="nil"/>
              <w:right w:val="nil"/>
            </w:tcBorders>
            <w:shd w:val="clear" w:color="auto" w:fill="auto"/>
            <w:noWrap/>
            <w:vAlign w:val="center"/>
            <w:hideMark/>
          </w:tcPr>
          <w:p w14:paraId="4167188E"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354 849</w:t>
            </w:r>
          </w:p>
        </w:tc>
        <w:tc>
          <w:tcPr>
            <w:tcW w:w="960" w:type="dxa"/>
            <w:tcBorders>
              <w:top w:val="nil"/>
              <w:left w:val="nil"/>
              <w:bottom w:val="nil"/>
              <w:right w:val="nil"/>
            </w:tcBorders>
            <w:shd w:val="clear" w:color="auto" w:fill="auto"/>
            <w:noWrap/>
            <w:vAlign w:val="center"/>
            <w:hideMark/>
          </w:tcPr>
          <w:p w14:paraId="2B25C6EB"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222 830</w:t>
            </w:r>
          </w:p>
        </w:tc>
        <w:tc>
          <w:tcPr>
            <w:tcW w:w="1199" w:type="dxa"/>
            <w:tcBorders>
              <w:top w:val="nil"/>
              <w:left w:val="nil"/>
              <w:bottom w:val="nil"/>
              <w:right w:val="nil"/>
            </w:tcBorders>
            <w:shd w:val="clear" w:color="auto" w:fill="auto"/>
            <w:noWrap/>
            <w:vAlign w:val="center"/>
            <w:hideMark/>
          </w:tcPr>
          <w:p w14:paraId="634CFC36"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1 032 952</w:t>
            </w:r>
          </w:p>
        </w:tc>
        <w:tc>
          <w:tcPr>
            <w:tcW w:w="1021" w:type="dxa"/>
            <w:tcBorders>
              <w:top w:val="nil"/>
              <w:left w:val="nil"/>
              <w:bottom w:val="nil"/>
              <w:right w:val="nil"/>
            </w:tcBorders>
            <w:shd w:val="clear" w:color="auto" w:fill="auto"/>
            <w:noWrap/>
            <w:vAlign w:val="center"/>
            <w:hideMark/>
          </w:tcPr>
          <w:p w14:paraId="1B749177"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185 732</w:t>
            </w:r>
          </w:p>
        </w:tc>
        <w:tc>
          <w:tcPr>
            <w:tcW w:w="963" w:type="dxa"/>
            <w:tcBorders>
              <w:top w:val="nil"/>
              <w:left w:val="nil"/>
              <w:bottom w:val="nil"/>
              <w:right w:val="nil"/>
            </w:tcBorders>
            <w:shd w:val="clear" w:color="auto" w:fill="auto"/>
            <w:noWrap/>
            <w:vAlign w:val="center"/>
            <w:hideMark/>
          </w:tcPr>
          <w:p w14:paraId="61FD40A5"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-847 220</w:t>
            </w:r>
          </w:p>
        </w:tc>
        <w:tc>
          <w:tcPr>
            <w:tcW w:w="1080" w:type="dxa"/>
            <w:tcBorders>
              <w:top w:val="nil"/>
              <w:left w:val="nil"/>
              <w:bottom w:val="nil"/>
              <w:right w:val="nil"/>
            </w:tcBorders>
            <w:shd w:val="clear" w:color="auto" w:fill="auto"/>
            <w:noWrap/>
            <w:vAlign w:val="center"/>
            <w:hideMark/>
          </w:tcPr>
          <w:p w14:paraId="4BA5DF8B" w14:textId="12CAB353" w:rsidR="00574126" w:rsidRPr="005969FC" w:rsidRDefault="00C91C7D" w:rsidP="00574126">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-82</w:t>
            </w:r>
            <w:r w:rsidR="00753813">
              <w:rPr>
                <w:rFonts w:eastAsia="Times New Roman" w:cs="Times New Roman"/>
                <w:color w:val="000000"/>
                <w:sz w:val="20"/>
                <w:szCs w:val="20"/>
                <w:lang w:eastAsia="sk-SK"/>
              </w:rPr>
              <w:t>,0</w:t>
            </w:r>
          </w:p>
        </w:tc>
      </w:tr>
      <w:tr w:rsidR="00574126" w:rsidRPr="005969FC" w14:paraId="0939E3FA" w14:textId="77777777" w:rsidTr="00CE362A">
        <w:trPr>
          <w:trHeight w:val="289"/>
        </w:trPr>
        <w:tc>
          <w:tcPr>
            <w:tcW w:w="2835" w:type="dxa"/>
            <w:tcBorders>
              <w:top w:val="nil"/>
              <w:left w:val="nil"/>
              <w:bottom w:val="nil"/>
              <w:right w:val="nil"/>
            </w:tcBorders>
            <w:shd w:val="clear" w:color="auto" w:fill="auto"/>
            <w:vAlign w:val="center"/>
            <w:hideMark/>
          </w:tcPr>
          <w:p w14:paraId="33C96DBE" w14:textId="77777777" w:rsidR="00574126" w:rsidRPr="005969FC" w:rsidRDefault="00574126" w:rsidP="00574126">
            <w:pPr>
              <w:spacing w:after="0" w:line="240" w:lineRule="auto"/>
              <w:jc w:val="left"/>
              <w:rPr>
                <w:rFonts w:eastAsia="Times New Roman" w:cs="Times New Roman"/>
                <w:color w:val="000000"/>
                <w:sz w:val="20"/>
                <w:szCs w:val="20"/>
                <w:lang w:eastAsia="sk-SK"/>
              </w:rPr>
            </w:pPr>
            <w:r w:rsidRPr="005969FC">
              <w:rPr>
                <w:rFonts w:eastAsia="Times New Roman" w:cs="Times New Roman"/>
                <w:color w:val="000000"/>
                <w:sz w:val="20"/>
                <w:szCs w:val="20"/>
                <w:lang w:eastAsia="sk-SK"/>
              </w:rPr>
              <w:t>transfery finančným inštitúciám</w:t>
            </w:r>
          </w:p>
        </w:tc>
        <w:tc>
          <w:tcPr>
            <w:tcW w:w="960" w:type="dxa"/>
            <w:tcBorders>
              <w:top w:val="nil"/>
              <w:left w:val="nil"/>
              <w:bottom w:val="nil"/>
              <w:right w:val="nil"/>
            </w:tcBorders>
            <w:shd w:val="clear" w:color="auto" w:fill="auto"/>
            <w:noWrap/>
            <w:vAlign w:val="center"/>
            <w:hideMark/>
          </w:tcPr>
          <w:p w14:paraId="5183CE57"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w:t>
            </w:r>
          </w:p>
        </w:tc>
        <w:tc>
          <w:tcPr>
            <w:tcW w:w="960" w:type="dxa"/>
            <w:tcBorders>
              <w:top w:val="nil"/>
              <w:left w:val="nil"/>
              <w:bottom w:val="nil"/>
              <w:right w:val="nil"/>
            </w:tcBorders>
            <w:shd w:val="clear" w:color="auto" w:fill="auto"/>
            <w:noWrap/>
            <w:vAlign w:val="center"/>
            <w:hideMark/>
          </w:tcPr>
          <w:p w14:paraId="488FC1E9"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w:t>
            </w:r>
          </w:p>
        </w:tc>
        <w:tc>
          <w:tcPr>
            <w:tcW w:w="1199" w:type="dxa"/>
            <w:tcBorders>
              <w:top w:val="nil"/>
              <w:left w:val="nil"/>
              <w:bottom w:val="nil"/>
              <w:right w:val="nil"/>
            </w:tcBorders>
            <w:shd w:val="clear" w:color="auto" w:fill="auto"/>
            <w:noWrap/>
            <w:vAlign w:val="center"/>
            <w:hideMark/>
          </w:tcPr>
          <w:p w14:paraId="4E0EED79"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0</w:t>
            </w:r>
          </w:p>
        </w:tc>
        <w:tc>
          <w:tcPr>
            <w:tcW w:w="1021" w:type="dxa"/>
            <w:tcBorders>
              <w:top w:val="nil"/>
              <w:left w:val="nil"/>
              <w:bottom w:val="nil"/>
              <w:right w:val="nil"/>
            </w:tcBorders>
            <w:shd w:val="clear" w:color="auto" w:fill="auto"/>
            <w:noWrap/>
            <w:vAlign w:val="center"/>
            <w:hideMark/>
          </w:tcPr>
          <w:p w14:paraId="2DB90F07"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70 669</w:t>
            </w:r>
          </w:p>
        </w:tc>
        <w:tc>
          <w:tcPr>
            <w:tcW w:w="963" w:type="dxa"/>
            <w:tcBorders>
              <w:top w:val="nil"/>
              <w:left w:val="nil"/>
              <w:bottom w:val="nil"/>
              <w:right w:val="nil"/>
            </w:tcBorders>
            <w:shd w:val="clear" w:color="auto" w:fill="auto"/>
            <w:noWrap/>
            <w:vAlign w:val="center"/>
            <w:hideMark/>
          </w:tcPr>
          <w:p w14:paraId="2F8251BE"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70 669</w:t>
            </w:r>
          </w:p>
        </w:tc>
        <w:tc>
          <w:tcPr>
            <w:tcW w:w="1080" w:type="dxa"/>
            <w:tcBorders>
              <w:top w:val="nil"/>
              <w:left w:val="nil"/>
              <w:bottom w:val="nil"/>
              <w:right w:val="nil"/>
            </w:tcBorders>
            <w:shd w:val="clear" w:color="auto" w:fill="auto"/>
            <w:noWrap/>
            <w:vAlign w:val="center"/>
            <w:hideMark/>
          </w:tcPr>
          <w:p w14:paraId="3586A377" w14:textId="0B3931F5" w:rsidR="00574126" w:rsidRPr="005969FC" w:rsidRDefault="00574126" w:rsidP="00C91C7D">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0</w:t>
            </w:r>
          </w:p>
        </w:tc>
      </w:tr>
      <w:tr w:rsidR="00574126" w:rsidRPr="005969FC" w14:paraId="15AF6347" w14:textId="77777777" w:rsidTr="00CE362A">
        <w:trPr>
          <w:trHeight w:val="289"/>
        </w:trPr>
        <w:tc>
          <w:tcPr>
            <w:tcW w:w="2835" w:type="dxa"/>
            <w:tcBorders>
              <w:top w:val="nil"/>
              <w:left w:val="nil"/>
              <w:bottom w:val="nil"/>
              <w:right w:val="nil"/>
            </w:tcBorders>
            <w:shd w:val="clear" w:color="auto" w:fill="auto"/>
            <w:vAlign w:val="center"/>
            <w:hideMark/>
          </w:tcPr>
          <w:p w14:paraId="0CEB95D6" w14:textId="77777777" w:rsidR="00574126" w:rsidRPr="005969FC" w:rsidRDefault="00574126" w:rsidP="00574126">
            <w:pPr>
              <w:spacing w:after="0" w:line="240" w:lineRule="auto"/>
              <w:jc w:val="left"/>
              <w:rPr>
                <w:rFonts w:eastAsia="Times New Roman" w:cs="Times New Roman"/>
                <w:color w:val="000000"/>
                <w:sz w:val="20"/>
                <w:szCs w:val="20"/>
                <w:lang w:eastAsia="sk-SK"/>
              </w:rPr>
            </w:pPr>
            <w:r w:rsidRPr="005969FC">
              <w:rPr>
                <w:rFonts w:eastAsia="Times New Roman" w:cs="Times New Roman"/>
                <w:color w:val="000000"/>
                <w:sz w:val="20"/>
                <w:szCs w:val="20"/>
                <w:lang w:eastAsia="sk-SK"/>
              </w:rPr>
              <w:t>jednotlivcom a neziskovým právnickým osobám</w:t>
            </w:r>
          </w:p>
        </w:tc>
        <w:tc>
          <w:tcPr>
            <w:tcW w:w="960" w:type="dxa"/>
            <w:tcBorders>
              <w:top w:val="nil"/>
              <w:left w:val="nil"/>
              <w:bottom w:val="nil"/>
              <w:right w:val="nil"/>
            </w:tcBorders>
            <w:shd w:val="clear" w:color="auto" w:fill="auto"/>
            <w:noWrap/>
            <w:vAlign w:val="center"/>
            <w:hideMark/>
          </w:tcPr>
          <w:p w14:paraId="44DFE611"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59 182</w:t>
            </w:r>
          </w:p>
        </w:tc>
        <w:tc>
          <w:tcPr>
            <w:tcW w:w="960" w:type="dxa"/>
            <w:tcBorders>
              <w:top w:val="nil"/>
              <w:left w:val="nil"/>
              <w:bottom w:val="nil"/>
              <w:right w:val="nil"/>
            </w:tcBorders>
            <w:shd w:val="clear" w:color="auto" w:fill="auto"/>
            <w:noWrap/>
            <w:vAlign w:val="center"/>
            <w:hideMark/>
          </w:tcPr>
          <w:p w14:paraId="5C8A0446"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41 550</w:t>
            </w:r>
          </w:p>
        </w:tc>
        <w:tc>
          <w:tcPr>
            <w:tcW w:w="1199" w:type="dxa"/>
            <w:tcBorders>
              <w:top w:val="nil"/>
              <w:left w:val="nil"/>
              <w:bottom w:val="nil"/>
              <w:right w:val="nil"/>
            </w:tcBorders>
            <w:shd w:val="clear" w:color="auto" w:fill="auto"/>
            <w:noWrap/>
            <w:vAlign w:val="center"/>
            <w:hideMark/>
          </w:tcPr>
          <w:p w14:paraId="35D2D310"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30 395</w:t>
            </w:r>
          </w:p>
        </w:tc>
        <w:tc>
          <w:tcPr>
            <w:tcW w:w="1021" w:type="dxa"/>
            <w:tcBorders>
              <w:top w:val="nil"/>
              <w:left w:val="nil"/>
              <w:bottom w:val="nil"/>
              <w:right w:val="nil"/>
            </w:tcBorders>
            <w:shd w:val="clear" w:color="auto" w:fill="auto"/>
            <w:noWrap/>
            <w:vAlign w:val="center"/>
            <w:hideMark/>
          </w:tcPr>
          <w:p w14:paraId="73F7DA49"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28 818</w:t>
            </w:r>
          </w:p>
        </w:tc>
        <w:tc>
          <w:tcPr>
            <w:tcW w:w="963" w:type="dxa"/>
            <w:tcBorders>
              <w:top w:val="nil"/>
              <w:left w:val="nil"/>
              <w:bottom w:val="nil"/>
              <w:right w:val="nil"/>
            </w:tcBorders>
            <w:shd w:val="clear" w:color="auto" w:fill="auto"/>
            <w:noWrap/>
            <w:vAlign w:val="center"/>
            <w:hideMark/>
          </w:tcPr>
          <w:p w14:paraId="067E1BAF"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-1 577</w:t>
            </w:r>
          </w:p>
        </w:tc>
        <w:tc>
          <w:tcPr>
            <w:tcW w:w="1080" w:type="dxa"/>
            <w:tcBorders>
              <w:top w:val="nil"/>
              <w:left w:val="nil"/>
              <w:bottom w:val="nil"/>
              <w:right w:val="nil"/>
            </w:tcBorders>
            <w:shd w:val="clear" w:color="auto" w:fill="auto"/>
            <w:noWrap/>
            <w:vAlign w:val="center"/>
            <w:hideMark/>
          </w:tcPr>
          <w:p w14:paraId="2EF8B11D" w14:textId="361B5BF3"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-5</w:t>
            </w:r>
            <w:r w:rsidR="00753813">
              <w:rPr>
                <w:rFonts w:eastAsia="Times New Roman" w:cs="Times New Roman"/>
                <w:color w:val="000000"/>
                <w:sz w:val="20"/>
                <w:szCs w:val="20"/>
                <w:lang w:eastAsia="sk-SK"/>
              </w:rPr>
              <w:t>,2</w:t>
            </w:r>
          </w:p>
        </w:tc>
      </w:tr>
      <w:tr w:rsidR="00574126" w:rsidRPr="005969FC" w14:paraId="5D2E419D" w14:textId="77777777" w:rsidTr="00CE362A">
        <w:trPr>
          <w:trHeight w:val="289"/>
        </w:trPr>
        <w:tc>
          <w:tcPr>
            <w:tcW w:w="2835" w:type="dxa"/>
            <w:tcBorders>
              <w:top w:val="nil"/>
              <w:left w:val="nil"/>
              <w:bottom w:val="single" w:sz="8" w:space="0" w:color="auto"/>
              <w:right w:val="nil"/>
            </w:tcBorders>
            <w:shd w:val="clear" w:color="auto" w:fill="auto"/>
            <w:vAlign w:val="center"/>
            <w:hideMark/>
          </w:tcPr>
          <w:p w14:paraId="0480680C" w14:textId="77777777" w:rsidR="00574126" w:rsidRPr="005969FC" w:rsidRDefault="00574126" w:rsidP="00574126">
            <w:pPr>
              <w:spacing w:after="0" w:line="240" w:lineRule="auto"/>
              <w:jc w:val="left"/>
              <w:rPr>
                <w:rFonts w:eastAsia="Times New Roman" w:cs="Times New Roman"/>
                <w:color w:val="000000"/>
                <w:sz w:val="20"/>
                <w:szCs w:val="20"/>
                <w:lang w:eastAsia="sk-SK"/>
              </w:rPr>
            </w:pPr>
            <w:r w:rsidRPr="005969FC">
              <w:rPr>
                <w:rFonts w:eastAsia="Times New Roman" w:cs="Times New Roman"/>
                <w:color w:val="000000"/>
                <w:sz w:val="20"/>
                <w:szCs w:val="20"/>
                <w:lang w:eastAsia="sk-SK"/>
              </w:rPr>
              <w:t>do zahraničia</w:t>
            </w:r>
          </w:p>
        </w:tc>
        <w:tc>
          <w:tcPr>
            <w:tcW w:w="960" w:type="dxa"/>
            <w:tcBorders>
              <w:top w:val="nil"/>
              <w:left w:val="nil"/>
              <w:bottom w:val="single" w:sz="8" w:space="0" w:color="auto"/>
              <w:right w:val="nil"/>
            </w:tcBorders>
            <w:shd w:val="clear" w:color="auto" w:fill="auto"/>
            <w:noWrap/>
            <w:vAlign w:val="center"/>
            <w:hideMark/>
          </w:tcPr>
          <w:p w14:paraId="4D245240"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5 614</w:t>
            </w:r>
          </w:p>
        </w:tc>
        <w:tc>
          <w:tcPr>
            <w:tcW w:w="960" w:type="dxa"/>
            <w:tcBorders>
              <w:top w:val="nil"/>
              <w:left w:val="nil"/>
              <w:bottom w:val="single" w:sz="8" w:space="0" w:color="auto"/>
              <w:right w:val="nil"/>
            </w:tcBorders>
            <w:shd w:val="clear" w:color="auto" w:fill="auto"/>
            <w:noWrap/>
            <w:vAlign w:val="center"/>
            <w:hideMark/>
          </w:tcPr>
          <w:p w14:paraId="05743C71"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8 351</w:t>
            </w:r>
          </w:p>
        </w:tc>
        <w:tc>
          <w:tcPr>
            <w:tcW w:w="1199" w:type="dxa"/>
            <w:tcBorders>
              <w:top w:val="nil"/>
              <w:left w:val="nil"/>
              <w:bottom w:val="single" w:sz="8" w:space="0" w:color="auto"/>
              <w:right w:val="nil"/>
            </w:tcBorders>
            <w:shd w:val="clear" w:color="auto" w:fill="auto"/>
            <w:noWrap/>
            <w:vAlign w:val="center"/>
            <w:hideMark/>
          </w:tcPr>
          <w:p w14:paraId="573F70B3"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0</w:t>
            </w:r>
          </w:p>
        </w:tc>
        <w:tc>
          <w:tcPr>
            <w:tcW w:w="1021" w:type="dxa"/>
            <w:tcBorders>
              <w:top w:val="nil"/>
              <w:left w:val="nil"/>
              <w:bottom w:val="single" w:sz="8" w:space="0" w:color="auto"/>
              <w:right w:val="nil"/>
            </w:tcBorders>
            <w:shd w:val="clear" w:color="auto" w:fill="auto"/>
            <w:noWrap/>
            <w:vAlign w:val="center"/>
            <w:hideMark/>
          </w:tcPr>
          <w:p w14:paraId="37D35EF7"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3 091</w:t>
            </w:r>
          </w:p>
        </w:tc>
        <w:tc>
          <w:tcPr>
            <w:tcW w:w="963" w:type="dxa"/>
            <w:tcBorders>
              <w:top w:val="nil"/>
              <w:left w:val="nil"/>
              <w:bottom w:val="nil"/>
              <w:right w:val="nil"/>
            </w:tcBorders>
            <w:shd w:val="clear" w:color="auto" w:fill="auto"/>
            <w:noWrap/>
            <w:vAlign w:val="center"/>
            <w:hideMark/>
          </w:tcPr>
          <w:p w14:paraId="42EEFEB3" w14:textId="77777777"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3 091</w:t>
            </w:r>
          </w:p>
        </w:tc>
        <w:tc>
          <w:tcPr>
            <w:tcW w:w="1080" w:type="dxa"/>
            <w:tcBorders>
              <w:top w:val="nil"/>
              <w:left w:val="nil"/>
              <w:bottom w:val="nil"/>
              <w:right w:val="nil"/>
            </w:tcBorders>
            <w:shd w:val="clear" w:color="auto" w:fill="auto"/>
            <w:noWrap/>
            <w:vAlign w:val="center"/>
            <w:hideMark/>
          </w:tcPr>
          <w:p w14:paraId="65ADF21D" w14:textId="5A9AAE65" w:rsidR="00574126" w:rsidRPr="005969FC" w:rsidRDefault="00574126" w:rsidP="00574126">
            <w:pPr>
              <w:spacing w:after="0" w:line="240" w:lineRule="auto"/>
              <w:jc w:val="right"/>
              <w:rPr>
                <w:rFonts w:eastAsia="Times New Roman" w:cs="Times New Roman"/>
                <w:color w:val="000000"/>
                <w:sz w:val="20"/>
                <w:szCs w:val="20"/>
                <w:lang w:eastAsia="sk-SK"/>
              </w:rPr>
            </w:pPr>
            <w:r w:rsidRPr="005969FC">
              <w:rPr>
                <w:rFonts w:eastAsia="Times New Roman" w:cs="Times New Roman"/>
                <w:color w:val="000000"/>
                <w:sz w:val="20"/>
                <w:szCs w:val="20"/>
                <w:lang w:eastAsia="sk-SK"/>
              </w:rPr>
              <w:t>0</w:t>
            </w:r>
          </w:p>
        </w:tc>
      </w:tr>
      <w:tr w:rsidR="00574126" w:rsidRPr="005969FC" w14:paraId="39B5BE65" w14:textId="77777777" w:rsidTr="00CE362A">
        <w:trPr>
          <w:trHeight w:val="289"/>
        </w:trPr>
        <w:tc>
          <w:tcPr>
            <w:tcW w:w="2835" w:type="dxa"/>
            <w:tcBorders>
              <w:top w:val="nil"/>
              <w:left w:val="nil"/>
              <w:bottom w:val="single" w:sz="8" w:space="0" w:color="auto"/>
              <w:right w:val="nil"/>
            </w:tcBorders>
            <w:shd w:val="clear" w:color="auto" w:fill="auto"/>
            <w:vAlign w:val="center"/>
            <w:hideMark/>
          </w:tcPr>
          <w:p w14:paraId="52980045" w14:textId="77777777" w:rsidR="00574126" w:rsidRPr="005969FC" w:rsidRDefault="00574126" w:rsidP="00574126">
            <w:pPr>
              <w:spacing w:after="0" w:line="240" w:lineRule="auto"/>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Spolu</w:t>
            </w:r>
          </w:p>
        </w:tc>
        <w:tc>
          <w:tcPr>
            <w:tcW w:w="960" w:type="dxa"/>
            <w:tcBorders>
              <w:top w:val="nil"/>
              <w:left w:val="nil"/>
              <w:bottom w:val="single" w:sz="8" w:space="0" w:color="auto"/>
              <w:right w:val="nil"/>
            </w:tcBorders>
            <w:shd w:val="clear" w:color="auto" w:fill="auto"/>
            <w:noWrap/>
            <w:vAlign w:val="center"/>
            <w:hideMark/>
          </w:tcPr>
          <w:p w14:paraId="2C4F47E9" w14:textId="77777777" w:rsidR="00574126" w:rsidRPr="005969FC" w:rsidRDefault="00574126" w:rsidP="00574126">
            <w:pPr>
              <w:spacing w:after="0" w:line="240" w:lineRule="auto"/>
              <w:jc w:val="right"/>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1 608 534</w:t>
            </w:r>
          </w:p>
        </w:tc>
        <w:tc>
          <w:tcPr>
            <w:tcW w:w="960" w:type="dxa"/>
            <w:tcBorders>
              <w:top w:val="nil"/>
              <w:left w:val="nil"/>
              <w:bottom w:val="single" w:sz="8" w:space="0" w:color="auto"/>
              <w:right w:val="nil"/>
            </w:tcBorders>
            <w:shd w:val="clear" w:color="auto" w:fill="auto"/>
            <w:noWrap/>
            <w:vAlign w:val="center"/>
            <w:hideMark/>
          </w:tcPr>
          <w:p w14:paraId="78867E3F" w14:textId="77777777" w:rsidR="00574126" w:rsidRPr="005969FC" w:rsidRDefault="00574126" w:rsidP="00574126">
            <w:pPr>
              <w:spacing w:after="0" w:line="240" w:lineRule="auto"/>
              <w:jc w:val="right"/>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1 414 554</w:t>
            </w:r>
          </w:p>
        </w:tc>
        <w:tc>
          <w:tcPr>
            <w:tcW w:w="1199" w:type="dxa"/>
            <w:tcBorders>
              <w:top w:val="nil"/>
              <w:left w:val="nil"/>
              <w:bottom w:val="single" w:sz="8" w:space="0" w:color="auto"/>
              <w:right w:val="nil"/>
            </w:tcBorders>
            <w:shd w:val="clear" w:color="auto" w:fill="auto"/>
            <w:noWrap/>
            <w:vAlign w:val="center"/>
            <w:hideMark/>
          </w:tcPr>
          <w:p w14:paraId="5AA63776" w14:textId="77777777" w:rsidR="00574126" w:rsidRPr="005969FC" w:rsidRDefault="00574126" w:rsidP="00574126">
            <w:pPr>
              <w:spacing w:after="0" w:line="240" w:lineRule="auto"/>
              <w:jc w:val="right"/>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1 855 431</w:t>
            </w:r>
          </w:p>
        </w:tc>
        <w:tc>
          <w:tcPr>
            <w:tcW w:w="1021" w:type="dxa"/>
            <w:tcBorders>
              <w:top w:val="nil"/>
              <w:left w:val="nil"/>
              <w:bottom w:val="single" w:sz="8" w:space="0" w:color="auto"/>
              <w:right w:val="nil"/>
            </w:tcBorders>
            <w:shd w:val="clear" w:color="auto" w:fill="auto"/>
            <w:noWrap/>
            <w:vAlign w:val="center"/>
            <w:hideMark/>
          </w:tcPr>
          <w:p w14:paraId="35AA9E62" w14:textId="77777777" w:rsidR="00574126" w:rsidRPr="005969FC" w:rsidRDefault="00574126" w:rsidP="00574126">
            <w:pPr>
              <w:spacing w:after="0" w:line="240" w:lineRule="auto"/>
              <w:jc w:val="right"/>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1 523 995</w:t>
            </w:r>
          </w:p>
        </w:tc>
        <w:tc>
          <w:tcPr>
            <w:tcW w:w="963" w:type="dxa"/>
            <w:tcBorders>
              <w:top w:val="single" w:sz="8" w:space="0" w:color="auto"/>
              <w:left w:val="nil"/>
              <w:bottom w:val="single" w:sz="8" w:space="0" w:color="auto"/>
              <w:right w:val="nil"/>
            </w:tcBorders>
            <w:shd w:val="clear" w:color="auto" w:fill="auto"/>
            <w:noWrap/>
            <w:vAlign w:val="center"/>
            <w:hideMark/>
          </w:tcPr>
          <w:p w14:paraId="6D8ADA62" w14:textId="77777777" w:rsidR="00574126" w:rsidRPr="005969FC" w:rsidRDefault="00574126" w:rsidP="00574126">
            <w:pPr>
              <w:spacing w:after="0" w:line="240" w:lineRule="auto"/>
              <w:jc w:val="right"/>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-331 436</w:t>
            </w:r>
          </w:p>
        </w:tc>
        <w:tc>
          <w:tcPr>
            <w:tcW w:w="1080" w:type="dxa"/>
            <w:tcBorders>
              <w:top w:val="single" w:sz="8" w:space="0" w:color="auto"/>
              <w:left w:val="nil"/>
              <w:bottom w:val="single" w:sz="8" w:space="0" w:color="auto"/>
              <w:right w:val="nil"/>
            </w:tcBorders>
            <w:shd w:val="clear" w:color="auto" w:fill="auto"/>
            <w:noWrap/>
            <w:vAlign w:val="center"/>
            <w:hideMark/>
          </w:tcPr>
          <w:p w14:paraId="02E8D811" w14:textId="05637D00" w:rsidR="00574126" w:rsidRPr="005969FC" w:rsidRDefault="00574126" w:rsidP="00EC5594">
            <w:pPr>
              <w:spacing w:after="0" w:line="240" w:lineRule="auto"/>
              <w:jc w:val="right"/>
              <w:rPr>
                <w:rFonts w:eastAsia="Times New Roman" w:cs="Times New Roman"/>
                <w:b/>
                <w:bCs/>
                <w:color w:val="000000"/>
                <w:sz w:val="20"/>
                <w:szCs w:val="20"/>
                <w:lang w:eastAsia="sk-SK"/>
              </w:rPr>
            </w:pPr>
            <w:r w:rsidRPr="005969FC">
              <w:rPr>
                <w:rFonts w:eastAsia="Times New Roman" w:cs="Times New Roman"/>
                <w:b/>
                <w:bCs/>
                <w:color w:val="000000"/>
                <w:sz w:val="20"/>
                <w:szCs w:val="20"/>
                <w:lang w:eastAsia="sk-SK"/>
              </w:rPr>
              <w:t>-</w:t>
            </w:r>
            <w:r w:rsidR="00C91C7D">
              <w:rPr>
                <w:rFonts w:eastAsia="Times New Roman" w:cs="Times New Roman"/>
                <w:b/>
                <w:bCs/>
                <w:color w:val="000000"/>
                <w:sz w:val="20"/>
                <w:szCs w:val="20"/>
                <w:lang w:eastAsia="sk-SK"/>
              </w:rPr>
              <w:t>1</w:t>
            </w:r>
            <w:r w:rsidR="00EC5594">
              <w:rPr>
                <w:rFonts w:eastAsia="Times New Roman" w:cs="Times New Roman"/>
                <w:b/>
                <w:bCs/>
                <w:color w:val="000000"/>
                <w:sz w:val="20"/>
                <w:szCs w:val="20"/>
                <w:lang w:eastAsia="sk-SK"/>
              </w:rPr>
              <w:t>7,9</w:t>
            </w:r>
          </w:p>
        </w:tc>
      </w:tr>
    </w:tbl>
    <w:p w14:paraId="0FDFC9C9" w14:textId="725F6BDE" w:rsidR="00574126" w:rsidRDefault="00574126" w:rsidP="00574126">
      <w:pPr>
        <w:tabs>
          <w:tab w:val="left" w:pos="7938"/>
        </w:tabs>
        <w:jc w:val="right"/>
        <w:rPr>
          <w:sz w:val="20"/>
          <w:szCs w:val="20"/>
        </w:rPr>
      </w:pPr>
      <w:r w:rsidRPr="00EC586F">
        <w:rPr>
          <w:sz w:val="20"/>
          <w:szCs w:val="20"/>
        </w:rPr>
        <w:t>Zdroj: MF SR</w:t>
      </w:r>
    </w:p>
    <w:p w14:paraId="6DE9EAB7" w14:textId="77777777" w:rsidR="00574126" w:rsidRPr="00EC586F" w:rsidRDefault="00574126" w:rsidP="00574126">
      <w:pPr>
        <w:spacing w:line="240" w:lineRule="auto"/>
        <w:rPr>
          <w:sz w:val="24"/>
          <w:szCs w:val="24"/>
        </w:rPr>
      </w:pPr>
      <w:r w:rsidRPr="00EB44B3">
        <w:rPr>
          <w:b/>
          <w:sz w:val="24"/>
          <w:szCs w:val="24"/>
        </w:rPr>
        <w:t>Transfery v rámci verejnej správy</w:t>
      </w:r>
      <w:r w:rsidRPr="00EC586F">
        <w:rPr>
          <w:sz w:val="24"/>
          <w:szCs w:val="24"/>
        </w:rPr>
        <w:t xml:space="preserve"> tvorili </w:t>
      </w:r>
      <w:r>
        <w:rPr>
          <w:sz w:val="24"/>
          <w:szCs w:val="24"/>
        </w:rPr>
        <w:t>1 235 685 </w:t>
      </w:r>
      <w:r w:rsidRPr="00EC586F">
        <w:rPr>
          <w:sz w:val="24"/>
          <w:szCs w:val="24"/>
        </w:rPr>
        <w:t>tis. eur (202</w:t>
      </w:r>
      <w:r>
        <w:rPr>
          <w:sz w:val="24"/>
          <w:szCs w:val="24"/>
        </w:rPr>
        <w:t>1</w:t>
      </w:r>
      <w:r w:rsidRPr="00EC586F">
        <w:rPr>
          <w:sz w:val="24"/>
          <w:szCs w:val="24"/>
        </w:rPr>
        <w:t>: 1 141 823 tis. eur), čo predstavuje až 8</w:t>
      </w:r>
      <w:r>
        <w:rPr>
          <w:sz w:val="24"/>
          <w:szCs w:val="24"/>
        </w:rPr>
        <w:t>1</w:t>
      </w:r>
      <w:r w:rsidRPr="00EC586F">
        <w:rPr>
          <w:sz w:val="24"/>
          <w:szCs w:val="24"/>
        </w:rPr>
        <w:t>,</w:t>
      </w:r>
      <w:r>
        <w:rPr>
          <w:sz w:val="24"/>
          <w:szCs w:val="24"/>
        </w:rPr>
        <w:t>1</w:t>
      </w:r>
      <w:r w:rsidRPr="00EC586F">
        <w:rPr>
          <w:sz w:val="24"/>
          <w:szCs w:val="24"/>
        </w:rPr>
        <w:t xml:space="preserve"> % z celkových kapitálových transferov. </w:t>
      </w:r>
      <w:r w:rsidRPr="00914FB5">
        <w:rPr>
          <w:sz w:val="24"/>
          <w:szCs w:val="24"/>
          <w:u w:val="single"/>
        </w:rPr>
        <w:t>Ministerstvo dopravy a výstavby SR</w:t>
      </w:r>
      <w:r w:rsidRPr="00EC586F">
        <w:rPr>
          <w:sz w:val="24"/>
          <w:szCs w:val="24"/>
        </w:rPr>
        <w:t xml:space="preserve"> poskytlo</w:t>
      </w:r>
      <w:r>
        <w:rPr>
          <w:sz w:val="24"/>
          <w:szCs w:val="24"/>
        </w:rPr>
        <w:t xml:space="preserve"> transfery v celkovej hodnote 765</w:t>
      </w:r>
      <w:r w:rsidRPr="00EC586F">
        <w:rPr>
          <w:sz w:val="24"/>
          <w:szCs w:val="24"/>
        </w:rPr>
        <w:t> </w:t>
      </w:r>
      <w:r>
        <w:rPr>
          <w:sz w:val="24"/>
          <w:szCs w:val="24"/>
        </w:rPr>
        <w:t>699</w:t>
      </w:r>
      <w:r w:rsidRPr="00EC586F">
        <w:rPr>
          <w:sz w:val="24"/>
          <w:szCs w:val="24"/>
        </w:rPr>
        <w:t> tis. eur, a to najmä Národnej diaľničnej spoločnosti (</w:t>
      </w:r>
      <w:r>
        <w:rPr>
          <w:sz w:val="24"/>
          <w:szCs w:val="24"/>
        </w:rPr>
        <w:t>441</w:t>
      </w:r>
      <w:r w:rsidRPr="00EC586F">
        <w:rPr>
          <w:sz w:val="24"/>
          <w:szCs w:val="24"/>
        </w:rPr>
        <w:t> </w:t>
      </w:r>
      <w:r>
        <w:rPr>
          <w:sz w:val="24"/>
          <w:szCs w:val="24"/>
        </w:rPr>
        <w:t>132</w:t>
      </w:r>
      <w:r w:rsidRPr="00EC586F">
        <w:rPr>
          <w:sz w:val="24"/>
          <w:szCs w:val="24"/>
        </w:rPr>
        <w:t> tis. eur), a. s., Železniciam SR (1</w:t>
      </w:r>
      <w:r>
        <w:rPr>
          <w:sz w:val="24"/>
          <w:szCs w:val="24"/>
        </w:rPr>
        <w:t>95</w:t>
      </w:r>
      <w:r w:rsidRPr="00EC586F">
        <w:rPr>
          <w:sz w:val="24"/>
          <w:szCs w:val="24"/>
        </w:rPr>
        <w:t> </w:t>
      </w:r>
      <w:r>
        <w:rPr>
          <w:sz w:val="24"/>
          <w:szCs w:val="24"/>
        </w:rPr>
        <w:t>484</w:t>
      </w:r>
      <w:r w:rsidRPr="00EC586F">
        <w:rPr>
          <w:sz w:val="24"/>
          <w:szCs w:val="24"/>
        </w:rPr>
        <w:t> tis. eur)</w:t>
      </w:r>
      <w:r>
        <w:rPr>
          <w:sz w:val="24"/>
          <w:szCs w:val="24"/>
        </w:rPr>
        <w:t xml:space="preserve"> a </w:t>
      </w:r>
      <w:r w:rsidRPr="00EC586F">
        <w:rPr>
          <w:sz w:val="24"/>
          <w:szCs w:val="24"/>
        </w:rPr>
        <w:t>Železničnej spoločnosti Slovensko, a. s. (</w:t>
      </w:r>
      <w:r>
        <w:rPr>
          <w:sz w:val="24"/>
          <w:szCs w:val="24"/>
        </w:rPr>
        <w:t>87</w:t>
      </w:r>
      <w:r w:rsidRPr="00EC586F">
        <w:rPr>
          <w:sz w:val="24"/>
          <w:szCs w:val="24"/>
        </w:rPr>
        <w:t> </w:t>
      </w:r>
      <w:r>
        <w:rPr>
          <w:sz w:val="24"/>
          <w:szCs w:val="24"/>
        </w:rPr>
        <w:t>219 tis. eur)</w:t>
      </w:r>
      <w:r w:rsidRPr="00EC586F">
        <w:rPr>
          <w:sz w:val="24"/>
          <w:szCs w:val="24"/>
        </w:rPr>
        <w:t>.</w:t>
      </w:r>
    </w:p>
    <w:p w14:paraId="41DE641E" w14:textId="77777777" w:rsidR="00574126" w:rsidRDefault="00574126" w:rsidP="00574126">
      <w:pPr>
        <w:spacing w:line="240" w:lineRule="auto"/>
        <w:rPr>
          <w:sz w:val="24"/>
          <w:szCs w:val="24"/>
        </w:rPr>
      </w:pPr>
      <w:r w:rsidRPr="00EC586F">
        <w:rPr>
          <w:sz w:val="24"/>
          <w:szCs w:val="24"/>
        </w:rPr>
        <w:t xml:space="preserve">Transfery určené </w:t>
      </w:r>
      <w:r w:rsidRPr="00EB44B3">
        <w:rPr>
          <w:b/>
          <w:i/>
          <w:sz w:val="24"/>
          <w:szCs w:val="24"/>
        </w:rPr>
        <w:t>Národnej diaľničnej spoločnosti, a. s.</w:t>
      </w:r>
      <w:r w:rsidRPr="00EC586F">
        <w:rPr>
          <w:sz w:val="24"/>
          <w:szCs w:val="24"/>
        </w:rPr>
        <w:t xml:space="preserve"> boli určené najmä </w:t>
      </w:r>
      <w:r w:rsidRPr="001571BB">
        <w:rPr>
          <w:sz w:val="24"/>
          <w:szCs w:val="24"/>
        </w:rPr>
        <w:t>na financovanie prípravy a pokračujúcej výstav</w:t>
      </w:r>
      <w:r>
        <w:rPr>
          <w:sz w:val="24"/>
          <w:szCs w:val="24"/>
        </w:rPr>
        <w:t>by diaľnic a rýchlostných ciest</w:t>
      </w:r>
      <w:r w:rsidRPr="001571BB">
        <w:rPr>
          <w:sz w:val="24"/>
          <w:szCs w:val="24"/>
        </w:rPr>
        <w:t>, a to na projekt D1 Hubová - Ivachnová (70</w:t>
      </w:r>
      <w:r>
        <w:rPr>
          <w:sz w:val="24"/>
          <w:szCs w:val="24"/>
        </w:rPr>
        <w:t> </w:t>
      </w:r>
      <w:r w:rsidRPr="001571BB">
        <w:rPr>
          <w:sz w:val="24"/>
          <w:szCs w:val="24"/>
        </w:rPr>
        <w:t>90</w:t>
      </w:r>
      <w:r>
        <w:rPr>
          <w:sz w:val="24"/>
          <w:szCs w:val="24"/>
        </w:rPr>
        <w:t>8 </w:t>
      </w:r>
      <w:r w:rsidRPr="001571BB">
        <w:rPr>
          <w:sz w:val="24"/>
          <w:szCs w:val="24"/>
        </w:rPr>
        <w:t>tis.</w:t>
      </w:r>
      <w:r>
        <w:rPr>
          <w:sz w:val="24"/>
          <w:szCs w:val="24"/>
        </w:rPr>
        <w:t> </w:t>
      </w:r>
      <w:r w:rsidRPr="001571BB">
        <w:rPr>
          <w:sz w:val="24"/>
          <w:szCs w:val="24"/>
        </w:rPr>
        <w:t>eur)</w:t>
      </w:r>
      <w:r>
        <w:rPr>
          <w:sz w:val="24"/>
          <w:szCs w:val="24"/>
        </w:rPr>
        <w:t>, R2 Kriváň – Lovinobaňa (88 323 </w:t>
      </w:r>
      <w:r w:rsidRPr="001571BB">
        <w:rPr>
          <w:sz w:val="24"/>
          <w:szCs w:val="24"/>
        </w:rPr>
        <w:t>tis.</w:t>
      </w:r>
      <w:r>
        <w:rPr>
          <w:sz w:val="24"/>
          <w:szCs w:val="24"/>
        </w:rPr>
        <w:t> e</w:t>
      </w:r>
      <w:r w:rsidRPr="001571BB">
        <w:rPr>
          <w:sz w:val="24"/>
          <w:szCs w:val="24"/>
        </w:rPr>
        <w:t xml:space="preserve">ur), </w:t>
      </w:r>
      <w:r>
        <w:rPr>
          <w:sz w:val="24"/>
          <w:szCs w:val="24"/>
        </w:rPr>
        <w:t>R4 Prešov – Severný obchvat (20 </w:t>
      </w:r>
      <w:r w:rsidRPr="001571BB">
        <w:rPr>
          <w:sz w:val="24"/>
          <w:szCs w:val="24"/>
        </w:rPr>
        <w:t>246</w:t>
      </w:r>
      <w:r>
        <w:rPr>
          <w:sz w:val="24"/>
          <w:szCs w:val="24"/>
        </w:rPr>
        <w:t> </w:t>
      </w:r>
      <w:r w:rsidRPr="001571BB">
        <w:rPr>
          <w:sz w:val="24"/>
          <w:szCs w:val="24"/>
        </w:rPr>
        <w:t>tis.</w:t>
      </w:r>
      <w:r>
        <w:rPr>
          <w:sz w:val="24"/>
          <w:szCs w:val="24"/>
        </w:rPr>
        <w:t> e</w:t>
      </w:r>
      <w:r w:rsidRPr="001571BB">
        <w:rPr>
          <w:sz w:val="24"/>
          <w:szCs w:val="24"/>
        </w:rPr>
        <w:t>ur). Ďalej boli finančné prostriedky použité na dofinancovanie projektov financovaných z prostriedkov Operačného programu Integrovaná infraštruktúra, a to projektu D1 Hričovské Podhradie - Lietavská Lúčka (21</w:t>
      </w:r>
      <w:r>
        <w:rPr>
          <w:sz w:val="24"/>
          <w:szCs w:val="24"/>
        </w:rPr>
        <w:t> </w:t>
      </w:r>
      <w:r w:rsidRPr="001571BB">
        <w:rPr>
          <w:sz w:val="24"/>
          <w:szCs w:val="24"/>
        </w:rPr>
        <w:t>18</w:t>
      </w:r>
      <w:r>
        <w:rPr>
          <w:sz w:val="24"/>
          <w:szCs w:val="24"/>
        </w:rPr>
        <w:t>3 </w:t>
      </w:r>
      <w:r w:rsidRPr="001571BB">
        <w:rPr>
          <w:sz w:val="24"/>
          <w:szCs w:val="24"/>
        </w:rPr>
        <w:t>tis.</w:t>
      </w:r>
      <w:r>
        <w:rPr>
          <w:sz w:val="24"/>
          <w:szCs w:val="24"/>
        </w:rPr>
        <w:t> e</w:t>
      </w:r>
      <w:r w:rsidRPr="001571BB">
        <w:rPr>
          <w:sz w:val="24"/>
          <w:szCs w:val="24"/>
        </w:rPr>
        <w:t>ur), R4 Prešov – severný obchvat (18</w:t>
      </w:r>
      <w:r>
        <w:rPr>
          <w:sz w:val="24"/>
          <w:szCs w:val="24"/>
        </w:rPr>
        <w:t> </w:t>
      </w:r>
      <w:r w:rsidRPr="001571BB">
        <w:rPr>
          <w:sz w:val="24"/>
          <w:szCs w:val="24"/>
        </w:rPr>
        <w:t>69</w:t>
      </w:r>
      <w:r>
        <w:rPr>
          <w:sz w:val="24"/>
          <w:szCs w:val="24"/>
        </w:rPr>
        <w:t>3 </w:t>
      </w:r>
      <w:r w:rsidRPr="001571BB">
        <w:rPr>
          <w:sz w:val="24"/>
          <w:szCs w:val="24"/>
        </w:rPr>
        <w:t>tis.</w:t>
      </w:r>
      <w:r>
        <w:rPr>
          <w:sz w:val="24"/>
          <w:szCs w:val="24"/>
        </w:rPr>
        <w:t> </w:t>
      </w:r>
      <w:r w:rsidRPr="001571BB">
        <w:rPr>
          <w:sz w:val="24"/>
          <w:szCs w:val="24"/>
        </w:rPr>
        <w:t xml:space="preserve">eur), D1Lietavská Lúčka – Višňové – </w:t>
      </w:r>
      <w:proofErr w:type="spellStart"/>
      <w:r w:rsidRPr="001571BB">
        <w:rPr>
          <w:sz w:val="24"/>
          <w:szCs w:val="24"/>
        </w:rPr>
        <w:t>Dubná</w:t>
      </w:r>
      <w:proofErr w:type="spellEnd"/>
      <w:r w:rsidRPr="001571BB">
        <w:rPr>
          <w:sz w:val="24"/>
          <w:szCs w:val="24"/>
        </w:rPr>
        <w:t xml:space="preserve"> skala (16</w:t>
      </w:r>
      <w:r>
        <w:rPr>
          <w:sz w:val="24"/>
          <w:szCs w:val="24"/>
        </w:rPr>
        <w:t> </w:t>
      </w:r>
      <w:r w:rsidRPr="001571BB">
        <w:rPr>
          <w:sz w:val="24"/>
          <w:szCs w:val="24"/>
        </w:rPr>
        <w:t>54</w:t>
      </w:r>
      <w:r>
        <w:rPr>
          <w:sz w:val="24"/>
          <w:szCs w:val="24"/>
        </w:rPr>
        <w:t>7 </w:t>
      </w:r>
      <w:r w:rsidRPr="001571BB">
        <w:rPr>
          <w:sz w:val="24"/>
          <w:szCs w:val="24"/>
        </w:rPr>
        <w:t>tis.</w:t>
      </w:r>
      <w:r>
        <w:rPr>
          <w:sz w:val="24"/>
          <w:szCs w:val="24"/>
        </w:rPr>
        <w:t> </w:t>
      </w:r>
      <w:r w:rsidRPr="001571BB">
        <w:rPr>
          <w:sz w:val="24"/>
          <w:szCs w:val="24"/>
        </w:rPr>
        <w:t>eur), ako aj na projekt financovaný v rámci Nástro</w:t>
      </w:r>
      <w:r>
        <w:rPr>
          <w:sz w:val="24"/>
          <w:szCs w:val="24"/>
        </w:rPr>
        <w:t xml:space="preserve">ja na prepájanie Európy (CEF) – </w:t>
      </w:r>
      <w:r w:rsidRPr="001571BB">
        <w:rPr>
          <w:sz w:val="24"/>
          <w:szCs w:val="24"/>
        </w:rPr>
        <w:t>projekt D3 Čadca Bukov-Svrčinovec (2</w:t>
      </w:r>
      <w:r>
        <w:rPr>
          <w:sz w:val="24"/>
          <w:szCs w:val="24"/>
        </w:rPr>
        <w:t> </w:t>
      </w:r>
      <w:r w:rsidRPr="001571BB">
        <w:rPr>
          <w:sz w:val="24"/>
          <w:szCs w:val="24"/>
        </w:rPr>
        <w:t>496</w:t>
      </w:r>
      <w:r>
        <w:rPr>
          <w:sz w:val="24"/>
          <w:szCs w:val="24"/>
        </w:rPr>
        <w:t> </w:t>
      </w:r>
      <w:r w:rsidRPr="001571BB">
        <w:rPr>
          <w:sz w:val="24"/>
          <w:szCs w:val="24"/>
        </w:rPr>
        <w:t>tis.</w:t>
      </w:r>
      <w:r>
        <w:rPr>
          <w:sz w:val="24"/>
          <w:szCs w:val="24"/>
        </w:rPr>
        <w:t> e</w:t>
      </w:r>
      <w:r w:rsidRPr="001571BB">
        <w:rPr>
          <w:sz w:val="24"/>
          <w:szCs w:val="24"/>
        </w:rPr>
        <w:t>ur). </w:t>
      </w:r>
    </w:p>
    <w:p w14:paraId="0BB3B3A2" w14:textId="1ABA943B" w:rsidR="00574126" w:rsidRDefault="00574126" w:rsidP="00574126">
      <w:pPr>
        <w:spacing w:line="240" w:lineRule="auto"/>
        <w:rPr>
          <w:sz w:val="24"/>
          <w:szCs w:val="24"/>
        </w:rPr>
      </w:pPr>
      <w:r w:rsidRPr="00EB44B3">
        <w:rPr>
          <w:b/>
          <w:i/>
          <w:sz w:val="24"/>
          <w:szCs w:val="24"/>
        </w:rPr>
        <w:t>Železniciam SR</w:t>
      </w:r>
      <w:r w:rsidRPr="00EC586F">
        <w:rPr>
          <w:sz w:val="24"/>
          <w:szCs w:val="24"/>
        </w:rPr>
        <w:t xml:space="preserve"> boli poskytnuté transfery </w:t>
      </w:r>
      <w:r w:rsidRPr="001571BB">
        <w:rPr>
          <w:sz w:val="24"/>
          <w:szCs w:val="24"/>
        </w:rPr>
        <w:t>na modernizáciu a rozvoj železničnej dopravnej cesty, vrátane modernizácie a rekonštrukcie železničných priecestí. V rámci ŠR boli poskytnuté finančné prostriedky v celkovej sume 95</w:t>
      </w:r>
      <w:r>
        <w:rPr>
          <w:sz w:val="24"/>
          <w:szCs w:val="24"/>
        </w:rPr>
        <w:t> </w:t>
      </w:r>
      <w:r w:rsidRPr="001571BB">
        <w:rPr>
          <w:sz w:val="24"/>
          <w:szCs w:val="24"/>
        </w:rPr>
        <w:t>702</w:t>
      </w:r>
      <w:r>
        <w:rPr>
          <w:sz w:val="24"/>
          <w:szCs w:val="24"/>
        </w:rPr>
        <w:t> tis. </w:t>
      </w:r>
      <w:r w:rsidRPr="001571BB">
        <w:rPr>
          <w:sz w:val="24"/>
          <w:szCs w:val="24"/>
        </w:rPr>
        <w:t>eur</w:t>
      </w:r>
      <w:r>
        <w:rPr>
          <w:sz w:val="24"/>
          <w:szCs w:val="24"/>
        </w:rPr>
        <w:t>,</w:t>
      </w:r>
      <w:r w:rsidRPr="001571BB">
        <w:rPr>
          <w:sz w:val="24"/>
          <w:szCs w:val="24"/>
        </w:rPr>
        <w:t xml:space="preserve"> a to na projekty Modernizácia železničnej trate Púchov - Žilina, pre tr</w:t>
      </w:r>
      <w:r>
        <w:rPr>
          <w:sz w:val="24"/>
          <w:szCs w:val="24"/>
        </w:rPr>
        <w:t>aťovú rýchlosť do 160 km/hod. –</w:t>
      </w:r>
      <w:r w:rsidRPr="001571BB">
        <w:rPr>
          <w:sz w:val="24"/>
          <w:szCs w:val="24"/>
        </w:rPr>
        <w:t xml:space="preserve"> I. etapa (Púchov - Považská Teplá) v</w:t>
      </w:r>
      <w:r>
        <w:rPr>
          <w:sz w:val="24"/>
          <w:szCs w:val="24"/>
        </w:rPr>
        <w:t> sume 50 777 tis</w:t>
      </w:r>
      <w:r w:rsidR="00C67377">
        <w:rPr>
          <w:sz w:val="24"/>
          <w:szCs w:val="24"/>
        </w:rPr>
        <w:t>.</w:t>
      </w:r>
      <w:r>
        <w:rPr>
          <w:sz w:val="24"/>
          <w:szCs w:val="24"/>
        </w:rPr>
        <w:t> </w:t>
      </w:r>
      <w:r w:rsidRPr="001571BB">
        <w:rPr>
          <w:sz w:val="24"/>
          <w:szCs w:val="24"/>
        </w:rPr>
        <w:t>eur. V rámci projektov realizovaných v rámci Nást</w:t>
      </w:r>
      <w:r>
        <w:rPr>
          <w:sz w:val="24"/>
          <w:szCs w:val="24"/>
        </w:rPr>
        <w:t>roja na prepájanie Európy (CEF)</w:t>
      </w:r>
      <w:r w:rsidRPr="001571BB">
        <w:rPr>
          <w:sz w:val="24"/>
          <w:szCs w:val="24"/>
        </w:rPr>
        <w:t xml:space="preserve"> boli výdavky čerpané hlavne</w:t>
      </w:r>
      <w:r>
        <w:rPr>
          <w:sz w:val="24"/>
          <w:szCs w:val="24"/>
        </w:rPr>
        <w:t xml:space="preserve"> </w:t>
      </w:r>
      <w:r w:rsidRPr="001571BB">
        <w:rPr>
          <w:sz w:val="24"/>
          <w:szCs w:val="24"/>
        </w:rPr>
        <w:t>na projekt Modernizácia železničnej trate Žilina – Košice, úsek Liptovský Mikuláš – Poprad Tatry (mimo), 1.etapa (Poprad - Lučivná) v sume 13</w:t>
      </w:r>
      <w:r>
        <w:rPr>
          <w:sz w:val="24"/>
          <w:szCs w:val="24"/>
        </w:rPr>
        <w:t> </w:t>
      </w:r>
      <w:r w:rsidRPr="001571BB">
        <w:rPr>
          <w:sz w:val="24"/>
          <w:szCs w:val="24"/>
        </w:rPr>
        <w:t>863</w:t>
      </w:r>
      <w:r>
        <w:rPr>
          <w:sz w:val="24"/>
          <w:szCs w:val="24"/>
        </w:rPr>
        <w:t> tis</w:t>
      </w:r>
      <w:r w:rsidR="00C67377">
        <w:rPr>
          <w:sz w:val="24"/>
          <w:szCs w:val="24"/>
        </w:rPr>
        <w:t>.</w:t>
      </w:r>
      <w:r>
        <w:rPr>
          <w:sz w:val="24"/>
          <w:szCs w:val="24"/>
        </w:rPr>
        <w:t> </w:t>
      </w:r>
      <w:r w:rsidRPr="001571BB">
        <w:rPr>
          <w:sz w:val="24"/>
          <w:szCs w:val="24"/>
        </w:rPr>
        <w:t>eur</w:t>
      </w:r>
      <w:r>
        <w:rPr>
          <w:sz w:val="24"/>
          <w:szCs w:val="24"/>
        </w:rPr>
        <w:t>.</w:t>
      </w:r>
    </w:p>
    <w:p w14:paraId="07FF1470" w14:textId="77777777" w:rsidR="00574126" w:rsidRDefault="00574126" w:rsidP="00574126">
      <w:pPr>
        <w:spacing w:line="240" w:lineRule="auto"/>
        <w:rPr>
          <w:sz w:val="24"/>
          <w:szCs w:val="24"/>
        </w:rPr>
      </w:pPr>
      <w:r w:rsidRPr="00EB44B3">
        <w:rPr>
          <w:b/>
          <w:i/>
          <w:sz w:val="24"/>
          <w:szCs w:val="24"/>
        </w:rPr>
        <w:t>Železničnej spoločnosti Slovensko, a. s.</w:t>
      </w:r>
      <w:r w:rsidRPr="00EC586F">
        <w:rPr>
          <w:i/>
          <w:sz w:val="24"/>
          <w:szCs w:val="24"/>
        </w:rPr>
        <w:t xml:space="preserve"> </w:t>
      </w:r>
      <w:r w:rsidRPr="00EC586F">
        <w:rPr>
          <w:sz w:val="24"/>
          <w:szCs w:val="24"/>
        </w:rPr>
        <w:t xml:space="preserve">sa </w:t>
      </w:r>
      <w:r w:rsidRPr="001571BB">
        <w:rPr>
          <w:sz w:val="24"/>
          <w:szCs w:val="24"/>
        </w:rPr>
        <w:t>poskytli finančné prostriedky EÚ a</w:t>
      </w:r>
      <w:r>
        <w:rPr>
          <w:sz w:val="24"/>
          <w:szCs w:val="24"/>
        </w:rPr>
        <w:t xml:space="preserve"> </w:t>
      </w:r>
      <w:r w:rsidRPr="001571BB">
        <w:rPr>
          <w:sz w:val="24"/>
          <w:szCs w:val="24"/>
        </w:rPr>
        <w:t>príslušné spolufinancovanie zo ŠR v rámci Operačného programu Integrovaná infraštruktúra, najmä na modernizáci</w:t>
      </w:r>
      <w:r>
        <w:rPr>
          <w:sz w:val="24"/>
          <w:szCs w:val="24"/>
        </w:rPr>
        <w:t>u</w:t>
      </w:r>
      <w:r w:rsidRPr="001571BB">
        <w:rPr>
          <w:sz w:val="24"/>
          <w:szCs w:val="24"/>
        </w:rPr>
        <w:t xml:space="preserve"> vozového parku železničných koľajových vozidiel v súhrn</w:t>
      </w:r>
      <w:r>
        <w:rPr>
          <w:sz w:val="24"/>
          <w:szCs w:val="24"/>
        </w:rPr>
        <w:t>nej výške 47 622 </w:t>
      </w:r>
      <w:r w:rsidRPr="001571BB">
        <w:rPr>
          <w:sz w:val="24"/>
          <w:szCs w:val="24"/>
        </w:rPr>
        <w:t>tis.</w:t>
      </w:r>
      <w:r>
        <w:rPr>
          <w:sz w:val="24"/>
          <w:szCs w:val="24"/>
        </w:rPr>
        <w:t> </w:t>
      </w:r>
      <w:r w:rsidRPr="001571BB">
        <w:rPr>
          <w:sz w:val="24"/>
          <w:szCs w:val="24"/>
        </w:rPr>
        <w:t>eur v rámci prioritnej osi č. 1- Železničná infraštruktúra (TEN-T CORE) a obnov</w:t>
      </w:r>
      <w:r>
        <w:rPr>
          <w:sz w:val="24"/>
          <w:szCs w:val="24"/>
        </w:rPr>
        <w:t>u</w:t>
      </w:r>
      <w:r w:rsidRPr="001571BB">
        <w:rPr>
          <w:sz w:val="24"/>
          <w:szCs w:val="24"/>
        </w:rPr>
        <w:t xml:space="preserve"> mobilných prostriedkov a prioritnej osi č. 5- Železničná infraštruktúra a obnova mobilných prostriedkov.</w:t>
      </w:r>
    </w:p>
    <w:p w14:paraId="5FBFC435" w14:textId="77777777" w:rsidR="00574126" w:rsidRDefault="00574126" w:rsidP="00574126">
      <w:pPr>
        <w:spacing w:line="240" w:lineRule="auto"/>
        <w:rPr>
          <w:sz w:val="24"/>
          <w:szCs w:val="24"/>
        </w:rPr>
      </w:pPr>
      <w:r w:rsidRPr="00EC586F">
        <w:rPr>
          <w:sz w:val="24"/>
          <w:szCs w:val="24"/>
          <w:u w:val="single"/>
        </w:rPr>
        <w:t>Kapitálové transfery územnej samospráve tvoria druhú najväčšiu skupinu výdavkov z tejto skupiny.</w:t>
      </w:r>
      <w:r w:rsidRPr="00EC586F">
        <w:rPr>
          <w:sz w:val="24"/>
          <w:szCs w:val="24"/>
        </w:rPr>
        <w:t xml:space="preserve"> </w:t>
      </w:r>
      <w:r w:rsidRPr="00EB44B3">
        <w:rPr>
          <w:b/>
          <w:i/>
          <w:sz w:val="24"/>
          <w:szCs w:val="24"/>
        </w:rPr>
        <w:t>Obciam</w:t>
      </w:r>
      <w:r w:rsidRPr="00EC586F">
        <w:rPr>
          <w:sz w:val="24"/>
          <w:szCs w:val="24"/>
        </w:rPr>
        <w:t xml:space="preserve"> bolo poskytnutých</w:t>
      </w:r>
      <w:r>
        <w:rPr>
          <w:sz w:val="24"/>
          <w:szCs w:val="24"/>
        </w:rPr>
        <w:t xml:space="preserve"> 216 793</w:t>
      </w:r>
      <w:r w:rsidRPr="00EC586F">
        <w:rPr>
          <w:sz w:val="24"/>
          <w:szCs w:val="24"/>
        </w:rPr>
        <w:t> tis. eur (202</w:t>
      </w:r>
      <w:r>
        <w:rPr>
          <w:sz w:val="24"/>
          <w:szCs w:val="24"/>
        </w:rPr>
        <w:t>1</w:t>
      </w:r>
      <w:r w:rsidRPr="00EC586F">
        <w:rPr>
          <w:sz w:val="24"/>
          <w:szCs w:val="24"/>
        </w:rPr>
        <w:t>: 214 362 tis. eur). Najvyššími sumami sa na transferoch obciam podieľali Ministerstvo investícií, regionálneho rozvoja a informatizácie SR (</w:t>
      </w:r>
      <w:r>
        <w:rPr>
          <w:sz w:val="24"/>
          <w:szCs w:val="24"/>
        </w:rPr>
        <w:t>85 012</w:t>
      </w:r>
      <w:r w:rsidRPr="00EC586F">
        <w:rPr>
          <w:sz w:val="24"/>
          <w:szCs w:val="24"/>
        </w:rPr>
        <w:t> tis. eur), Ministerstvo životného prostredia SR (5</w:t>
      </w:r>
      <w:r>
        <w:rPr>
          <w:sz w:val="24"/>
          <w:szCs w:val="24"/>
        </w:rPr>
        <w:t>6</w:t>
      </w:r>
      <w:r w:rsidRPr="00EC586F">
        <w:rPr>
          <w:sz w:val="24"/>
          <w:szCs w:val="24"/>
        </w:rPr>
        <w:t> </w:t>
      </w:r>
      <w:r>
        <w:rPr>
          <w:sz w:val="24"/>
          <w:szCs w:val="24"/>
        </w:rPr>
        <w:t>488</w:t>
      </w:r>
      <w:r w:rsidRPr="00EC586F">
        <w:rPr>
          <w:sz w:val="24"/>
          <w:szCs w:val="24"/>
        </w:rPr>
        <w:t> tis. eur), Ministerstvo dopravy a výstavby SR (2</w:t>
      </w:r>
      <w:r>
        <w:rPr>
          <w:sz w:val="24"/>
          <w:szCs w:val="24"/>
        </w:rPr>
        <w:t>6</w:t>
      </w:r>
      <w:r w:rsidRPr="00EC586F">
        <w:rPr>
          <w:sz w:val="24"/>
          <w:szCs w:val="24"/>
        </w:rPr>
        <w:t> </w:t>
      </w:r>
      <w:r>
        <w:rPr>
          <w:sz w:val="24"/>
          <w:szCs w:val="24"/>
        </w:rPr>
        <w:t>705</w:t>
      </w:r>
      <w:r w:rsidRPr="00EC586F">
        <w:rPr>
          <w:sz w:val="24"/>
          <w:szCs w:val="24"/>
        </w:rPr>
        <w:t> tis. eur), Ministerstvo vnútra SR (</w:t>
      </w:r>
      <w:r>
        <w:rPr>
          <w:sz w:val="24"/>
          <w:szCs w:val="24"/>
        </w:rPr>
        <w:t>18</w:t>
      </w:r>
      <w:r w:rsidRPr="00EC586F">
        <w:rPr>
          <w:sz w:val="24"/>
          <w:szCs w:val="24"/>
        </w:rPr>
        <w:t> </w:t>
      </w:r>
      <w:r>
        <w:rPr>
          <w:sz w:val="24"/>
          <w:szCs w:val="24"/>
        </w:rPr>
        <w:t>009</w:t>
      </w:r>
      <w:r w:rsidRPr="00EC586F">
        <w:rPr>
          <w:sz w:val="24"/>
          <w:szCs w:val="24"/>
        </w:rPr>
        <w:t> tis. eur)</w:t>
      </w:r>
      <w:r>
        <w:rPr>
          <w:sz w:val="24"/>
          <w:szCs w:val="24"/>
        </w:rPr>
        <w:t xml:space="preserve"> a</w:t>
      </w:r>
      <w:r w:rsidRPr="00EC586F">
        <w:rPr>
          <w:sz w:val="24"/>
          <w:szCs w:val="24"/>
        </w:rPr>
        <w:t xml:space="preserve"> Ministerstvo pôdohospodárstva a rozvoja vidieka SR (</w:t>
      </w:r>
      <w:r>
        <w:rPr>
          <w:sz w:val="24"/>
          <w:szCs w:val="24"/>
        </w:rPr>
        <w:t>14</w:t>
      </w:r>
      <w:r w:rsidRPr="00EC586F">
        <w:rPr>
          <w:sz w:val="24"/>
          <w:szCs w:val="24"/>
        </w:rPr>
        <w:t> </w:t>
      </w:r>
      <w:r>
        <w:rPr>
          <w:sz w:val="24"/>
          <w:szCs w:val="24"/>
        </w:rPr>
        <w:t>820</w:t>
      </w:r>
      <w:r w:rsidRPr="00EC586F">
        <w:rPr>
          <w:sz w:val="24"/>
          <w:szCs w:val="24"/>
        </w:rPr>
        <w:t xml:space="preserve"> tis. eur). </w:t>
      </w:r>
      <w:r w:rsidRPr="00110B47">
        <w:rPr>
          <w:sz w:val="24"/>
          <w:szCs w:val="24"/>
        </w:rPr>
        <w:t xml:space="preserve">Z celkovej poskytnutej sumy tvorili prostriedky z rozpočtu EÚ </w:t>
      </w:r>
      <w:r>
        <w:rPr>
          <w:sz w:val="24"/>
          <w:szCs w:val="24"/>
        </w:rPr>
        <w:t>144</w:t>
      </w:r>
      <w:r w:rsidRPr="00110B47">
        <w:rPr>
          <w:sz w:val="24"/>
          <w:szCs w:val="24"/>
        </w:rPr>
        <w:t> </w:t>
      </w:r>
      <w:r>
        <w:rPr>
          <w:sz w:val="24"/>
          <w:szCs w:val="24"/>
        </w:rPr>
        <w:t>815</w:t>
      </w:r>
      <w:r w:rsidRPr="00110B47">
        <w:rPr>
          <w:sz w:val="24"/>
          <w:szCs w:val="24"/>
        </w:rPr>
        <w:t> tis. eur, z </w:t>
      </w:r>
      <w:r w:rsidRPr="001E5DA5">
        <w:rPr>
          <w:sz w:val="24"/>
          <w:szCs w:val="24"/>
        </w:rPr>
        <w:t>toho najmä z Európskeho fondu regionálneho rozvoja (93 865 tis. eur), Kohézneho fondu (26 792 tis. eur) a z Európskeho poľnohospodárskeho fondu pre rozvoj vidieka (11 076 tis. eur).</w:t>
      </w:r>
      <w:r w:rsidRPr="00EC586F">
        <w:rPr>
          <w:sz w:val="24"/>
          <w:szCs w:val="24"/>
        </w:rPr>
        <w:t xml:space="preserve"> </w:t>
      </w:r>
    </w:p>
    <w:p w14:paraId="5AD715F2" w14:textId="77777777" w:rsidR="00574126" w:rsidRDefault="00574126" w:rsidP="00574126">
      <w:pPr>
        <w:spacing w:line="240" w:lineRule="auto"/>
        <w:rPr>
          <w:sz w:val="24"/>
          <w:szCs w:val="24"/>
        </w:rPr>
      </w:pPr>
      <w:r>
        <w:rPr>
          <w:sz w:val="24"/>
          <w:szCs w:val="24"/>
        </w:rPr>
        <w:lastRenderedPageBreak/>
        <w:t xml:space="preserve">Transfery </w:t>
      </w:r>
      <w:r w:rsidRPr="004D1713">
        <w:rPr>
          <w:sz w:val="24"/>
          <w:szCs w:val="24"/>
          <w:u w:val="single"/>
        </w:rPr>
        <w:t>Ministerstva investícií, regionálneho rozvoja a informatizácie SR</w:t>
      </w:r>
      <w:r>
        <w:rPr>
          <w:sz w:val="24"/>
          <w:szCs w:val="24"/>
        </w:rPr>
        <w:t xml:space="preserve"> </w:t>
      </w:r>
      <w:r w:rsidRPr="004D1713">
        <w:rPr>
          <w:sz w:val="24"/>
          <w:szCs w:val="24"/>
        </w:rPr>
        <w:t>bol</w:t>
      </w:r>
      <w:r>
        <w:rPr>
          <w:sz w:val="24"/>
          <w:szCs w:val="24"/>
        </w:rPr>
        <w:t>i</w:t>
      </w:r>
      <w:r w:rsidRPr="004D1713">
        <w:rPr>
          <w:sz w:val="24"/>
          <w:szCs w:val="24"/>
        </w:rPr>
        <w:t xml:space="preserve"> poskytnut</w:t>
      </w:r>
      <w:r>
        <w:rPr>
          <w:sz w:val="24"/>
          <w:szCs w:val="24"/>
        </w:rPr>
        <w:t>é predovšetkým</w:t>
      </w:r>
      <w:r w:rsidRPr="004D1713">
        <w:rPr>
          <w:sz w:val="24"/>
          <w:szCs w:val="24"/>
        </w:rPr>
        <w:t xml:space="preserve"> z Integrovaného regionálneho operačného programu prevažne v rámci projektov na zlepšenie kvality života v regiónoch s dôrazom na životné prostredie, na modernizáciu zdravotníckej a vzdelávacej infraštruktúry a zvyšovanie energetickej efektívnosti budov, zvyšovanie kapacity budov a</w:t>
      </w:r>
      <w:r>
        <w:rPr>
          <w:sz w:val="24"/>
          <w:szCs w:val="24"/>
        </w:rPr>
        <w:t> </w:t>
      </w:r>
      <w:r w:rsidRPr="004D1713">
        <w:rPr>
          <w:sz w:val="24"/>
          <w:szCs w:val="24"/>
        </w:rPr>
        <w:t>p</w:t>
      </w:r>
      <w:r>
        <w:rPr>
          <w:sz w:val="24"/>
          <w:szCs w:val="24"/>
        </w:rPr>
        <w:t xml:space="preserve">od. </w:t>
      </w:r>
      <w:r w:rsidRPr="00585059">
        <w:rPr>
          <w:sz w:val="24"/>
          <w:szCs w:val="24"/>
          <w:u w:val="single"/>
        </w:rPr>
        <w:t>Ministerstvo životného prostredia SR</w:t>
      </w:r>
      <w:r>
        <w:rPr>
          <w:sz w:val="24"/>
          <w:szCs w:val="24"/>
        </w:rPr>
        <w:t xml:space="preserve"> poskytlo p</w:t>
      </w:r>
      <w:r w:rsidRPr="00585059">
        <w:rPr>
          <w:sz w:val="24"/>
          <w:szCs w:val="24"/>
        </w:rPr>
        <w:t>rostriedky na rozšírenie kanalizácie a</w:t>
      </w:r>
      <w:r>
        <w:rPr>
          <w:sz w:val="24"/>
          <w:szCs w:val="24"/>
        </w:rPr>
        <w:t> čističiek odpadových vôd</w:t>
      </w:r>
      <w:r w:rsidRPr="00585059">
        <w:rPr>
          <w:sz w:val="24"/>
          <w:szCs w:val="24"/>
        </w:rPr>
        <w:t xml:space="preserve">, </w:t>
      </w:r>
      <w:r>
        <w:rPr>
          <w:sz w:val="24"/>
          <w:szCs w:val="24"/>
        </w:rPr>
        <w:t xml:space="preserve">na </w:t>
      </w:r>
      <w:r w:rsidRPr="00585059">
        <w:rPr>
          <w:sz w:val="24"/>
          <w:szCs w:val="24"/>
        </w:rPr>
        <w:t>zníženi</w:t>
      </w:r>
      <w:r>
        <w:rPr>
          <w:sz w:val="24"/>
          <w:szCs w:val="24"/>
        </w:rPr>
        <w:t>e</w:t>
      </w:r>
      <w:r w:rsidRPr="00585059">
        <w:rPr>
          <w:sz w:val="24"/>
          <w:szCs w:val="24"/>
        </w:rPr>
        <w:t xml:space="preserve"> energetickej náročnosti budov v mestách a o</w:t>
      </w:r>
      <w:r>
        <w:rPr>
          <w:sz w:val="24"/>
          <w:szCs w:val="24"/>
        </w:rPr>
        <w:t xml:space="preserve">bciach, </w:t>
      </w:r>
      <w:proofErr w:type="spellStart"/>
      <w:r>
        <w:rPr>
          <w:sz w:val="24"/>
          <w:szCs w:val="24"/>
        </w:rPr>
        <w:t>vodozádržné</w:t>
      </w:r>
      <w:proofErr w:type="spellEnd"/>
      <w:r>
        <w:rPr>
          <w:sz w:val="24"/>
          <w:szCs w:val="24"/>
        </w:rPr>
        <w:t xml:space="preserve"> opatrenia v </w:t>
      </w:r>
      <w:r w:rsidRPr="00585059">
        <w:rPr>
          <w:sz w:val="24"/>
          <w:szCs w:val="24"/>
        </w:rPr>
        <w:t>intravi</w:t>
      </w:r>
      <w:r>
        <w:rPr>
          <w:sz w:val="24"/>
          <w:szCs w:val="24"/>
        </w:rPr>
        <w:t xml:space="preserve">láne miest a obcí, zberné dvory. Najväčší príjemcovia boli </w:t>
      </w:r>
      <w:r w:rsidRPr="00585059">
        <w:rPr>
          <w:sz w:val="24"/>
          <w:szCs w:val="24"/>
        </w:rPr>
        <w:t>Mesto Bardejov (2</w:t>
      </w:r>
      <w:r>
        <w:rPr>
          <w:sz w:val="24"/>
          <w:szCs w:val="24"/>
        </w:rPr>
        <w:t> </w:t>
      </w:r>
      <w:r w:rsidRPr="00585059">
        <w:rPr>
          <w:sz w:val="24"/>
          <w:szCs w:val="24"/>
        </w:rPr>
        <w:t>89</w:t>
      </w:r>
      <w:r>
        <w:rPr>
          <w:sz w:val="24"/>
          <w:szCs w:val="24"/>
        </w:rPr>
        <w:t>8 </w:t>
      </w:r>
      <w:r w:rsidRPr="00EC586F">
        <w:rPr>
          <w:sz w:val="24"/>
          <w:szCs w:val="24"/>
        </w:rPr>
        <w:t>tis. eur</w:t>
      </w:r>
      <w:r w:rsidRPr="00585059">
        <w:rPr>
          <w:sz w:val="24"/>
          <w:szCs w:val="24"/>
        </w:rPr>
        <w:t>)</w:t>
      </w:r>
      <w:r>
        <w:rPr>
          <w:sz w:val="24"/>
          <w:szCs w:val="24"/>
        </w:rPr>
        <w:t>, Obec Chtelnica (2 217 </w:t>
      </w:r>
      <w:r w:rsidRPr="00EC586F">
        <w:rPr>
          <w:sz w:val="24"/>
          <w:szCs w:val="24"/>
        </w:rPr>
        <w:t>tis. eur</w:t>
      </w:r>
      <w:r w:rsidRPr="00585059">
        <w:rPr>
          <w:sz w:val="24"/>
          <w:szCs w:val="24"/>
        </w:rPr>
        <w:t>)</w:t>
      </w:r>
      <w:r>
        <w:rPr>
          <w:sz w:val="24"/>
          <w:szCs w:val="24"/>
        </w:rPr>
        <w:t xml:space="preserve"> a Mesto Kežmarok (1 </w:t>
      </w:r>
      <w:r w:rsidRPr="00585059">
        <w:rPr>
          <w:sz w:val="24"/>
          <w:szCs w:val="24"/>
        </w:rPr>
        <w:t>7</w:t>
      </w:r>
      <w:r>
        <w:rPr>
          <w:sz w:val="24"/>
          <w:szCs w:val="24"/>
        </w:rPr>
        <w:t>90 </w:t>
      </w:r>
      <w:r w:rsidRPr="00EC586F">
        <w:rPr>
          <w:sz w:val="24"/>
          <w:szCs w:val="24"/>
        </w:rPr>
        <w:t>tis. eur</w:t>
      </w:r>
      <w:r w:rsidRPr="00585059">
        <w:rPr>
          <w:sz w:val="24"/>
          <w:szCs w:val="24"/>
        </w:rPr>
        <w:t>).</w:t>
      </w:r>
      <w:r>
        <w:rPr>
          <w:sz w:val="24"/>
          <w:szCs w:val="24"/>
        </w:rPr>
        <w:t xml:space="preserve"> Dotácie </w:t>
      </w:r>
      <w:r w:rsidRPr="008C4926">
        <w:rPr>
          <w:sz w:val="24"/>
          <w:szCs w:val="24"/>
          <w:u w:val="single"/>
        </w:rPr>
        <w:t>Ministerstva dopravy a výstavby SR</w:t>
      </w:r>
      <w:r>
        <w:rPr>
          <w:sz w:val="24"/>
          <w:szCs w:val="24"/>
          <w:u w:val="single"/>
        </w:rPr>
        <w:t xml:space="preserve"> </w:t>
      </w:r>
      <w:r w:rsidRPr="008C4926">
        <w:rPr>
          <w:sz w:val="24"/>
          <w:szCs w:val="24"/>
        </w:rPr>
        <w:t>boli určené najmä na obstaranie nájomných bytov a na obstaranie technickej vybavenosti v rámci podprogramu Výstavba a obnova bytového fondu</w:t>
      </w:r>
      <w:r>
        <w:rPr>
          <w:sz w:val="24"/>
          <w:szCs w:val="24"/>
        </w:rPr>
        <w:t xml:space="preserve">. </w:t>
      </w:r>
      <w:r w:rsidRPr="008C4926">
        <w:rPr>
          <w:sz w:val="24"/>
          <w:szCs w:val="24"/>
          <w:u w:val="single"/>
        </w:rPr>
        <w:t>Ministerstvo vnútra SR</w:t>
      </w:r>
      <w:r>
        <w:rPr>
          <w:sz w:val="24"/>
          <w:szCs w:val="24"/>
          <w:u w:val="single"/>
        </w:rPr>
        <w:t xml:space="preserve"> </w:t>
      </w:r>
      <w:r w:rsidRPr="008C4926">
        <w:rPr>
          <w:sz w:val="24"/>
          <w:szCs w:val="24"/>
        </w:rPr>
        <w:t xml:space="preserve">poskytlo dotácie obciam v rámci </w:t>
      </w:r>
      <w:r>
        <w:rPr>
          <w:sz w:val="24"/>
          <w:szCs w:val="24"/>
        </w:rPr>
        <w:t>Operačného programu</w:t>
      </w:r>
      <w:r w:rsidRPr="008C4926">
        <w:rPr>
          <w:sz w:val="24"/>
          <w:szCs w:val="24"/>
        </w:rPr>
        <w:t xml:space="preserve"> ľudské zdroje 2014-2020 (Techn</w:t>
      </w:r>
      <w:r>
        <w:rPr>
          <w:sz w:val="24"/>
          <w:szCs w:val="24"/>
        </w:rPr>
        <w:t>ická vybavenosť v obciach s </w:t>
      </w:r>
      <w:r w:rsidRPr="008C4926">
        <w:rPr>
          <w:sz w:val="24"/>
          <w:szCs w:val="24"/>
        </w:rPr>
        <w:t>prítomnosťou marginalizovaných rómskych komunít</w:t>
      </w:r>
      <w:r>
        <w:rPr>
          <w:sz w:val="24"/>
          <w:szCs w:val="24"/>
        </w:rPr>
        <w:t xml:space="preserve">, </w:t>
      </w:r>
      <w:r w:rsidRPr="008C4926">
        <w:rPr>
          <w:sz w:val="24"/>
          <w:szCs w:val="24"/>
        </w:rPr>
        <w:t>na obnovu vojnových hrobov</w:t>
      </w:r>
      <w:r>
        <w:rPr>
          <w:sz w:val="24"/>
          <w:szCs w:val="24"/>
        </w:rPr>
        <w:t xml:space="preserve"> </w:t>
      </w:r>
      <w:r w:rsidRPr="008C4926">
        <w:rPr>
          <w:sz w:val="24"/>
          <w:szCs w:val="24"/>
        </w:rPr>
        <w:t>v rámci programu Efektí</w:t>
      </w:r>
      <w:r>
        <w:rPr>
          <w:sz w:val="24"/>
          <w:szCs w:val="24"/>
        </w:rPr>
        <w:t>vna a spoľahlivá štátna správa a ďalšie).</w:t>
      </w:r>
    </w:p>
    <w:p w14:paraId="0FC3B760" w14:textId="77777777" w:rsidR="00574126" w:rsidRPr="00EC586F" w:rsidRDefault="00574126" w:rsidP="00574126">
      <w:pPr>
        <w:spacing w:line="240" w:lineRule="auto"/>
        <w:rPr>
          <w:b/>
          <w:i/>
        </w:rPr>
      </w:pPr>
      <w:r w:rsidRPr="00EC586F">
        <w:rPr>
          <w:b/>
          <w:i/>
        </w:rPr>
        <w:t>Bližší popis vzťahov štátneho rozpočtu a obcí je v kapitole 3.2.3.</w:t>
      </w:r>
    </w:p>
    <w:p w14:paraId="625E84E9" w14:textId="77777777" w:rsidR="00574126" w:rsidRPr="00D35235" w:rsidRDefault="00574126" w:rsidP="00574126">
      <w:pPr>
        <w:spacing w:line="240" w:lineRule="auto"/>
        <w:rPr>
          <w:sz w:val="24"/>
          <w:szCs w:val="24"/>
        </w:rPr>
      </w:pPr>
      <w:r w:rsidRPr="00EB44B3">
        <w:rPr>
          <w:b/>
          <w:i/>
          <w:sz w:val="24"/>
          <w:szCs w:val="24"/>
        </w:rPr>
        <w:t>Vyšším územným celkom</w:t>
      </w:r>
      <w:r w:rsidRPr="00EC586F">
        <w:rPr>
          <w:sz w:val="24"/>
          <w:szCs w:val="24"/>
        </w:rPr>
        <w:t xml:space="preserve"> boli poskytnuté transfery v celkovej hodnote 3</w:t>
      </w:r>
      <w:r>
        <w:rPr>
          <w:sz w:val="24"/>
          <w:szCs w:val="24"/>
        </w:rPr>
        <w:t>6</w:t>
      </w:r>
      <w:r w:rsidRPr="00EC586F">
        <w:rPr>
          <w:sz w:val="24"/>
          <w:szCs w:val="24"/>
        </w:rPr>
        <w:t> </w:t>
      </w:r>
      <w:r>
        <w:rPr>
          <w:sz w:val="24"/>
          <w:szCs w:val="24"/>
        </w:rPr>
        <w:t>475</w:t>
      </w:r>
      <w:r w:rsidRPr="00EC586F">
        <w:rPr>
          <w:sz w:val="24"/>
          <w:szCs w:val="24"/>
        </w:rPr>
        <w:t xml:space="preserve"> tis. eur, z toho zo </w:t>
      </w:r>
      <w:r w:rsidRPr="00110B47">
        <w:rPr>
          <w:sz w:val="24"/>
          <w:szCs w:val="24"/>
        </w:rPr>
        <w:t xml:space="preserve">zdrojov EÚ bolo 28 540 tis. eur. </w:t>
      </w:r>
      <w:r w:rsidRPr="00110B47">
        <w:rPr>
          <w:sz w:val="24"/>
          <w:szCs w:val="24"/>
          <w:u w:val="single"/>
        </w:rPr>
        <w:t>Ministerstvo investícií, regionálneho rozvoja a informatizácie</w:t>
      </w:r>
      <w:r w:rsidRPr="00EC586F">
        <w:rPr>
          <w:sz w:val="24"/>
          <w:szCs w:val="24"/>
          <w:u w:val="single"/>
        </w:rPr>
        <w:t xml:space="preserve"> SR</w:t>
      </w:r>
      <w:r w:rsidRPr="00EC586F">
        <w:rPr>
          <w:sz w:val="24"/>
          <w:szCs w:val="24"/>
        </w:rPr>
        <w:t xml:space="preserve"> poskytlo dotáciu v sume </w:t>
      </w:r>
      <w:r>
        <w:rPr>
          <w:sz w:val="24"/>
          <w:szCs w:val="24"/>
        </w:rPr>
        <w:t>34</w:t>
      </w:r>
      <w:r w:rsidRPr="00EC586F">
        <w:rPr>
          <w:sz w:val="24"/>
          <w:szCs w:val="24"/>
        </w:rPr>
        <w:t> </w:t>
      </w:r>
      <w:r>
        <w:rPr>
          <w:sz w:val="24"/>
          <w:szCs w:val="24"/>
        </w:rPr>
        <w:t>475</w:t>
      </w:r>
      <w:r w:rsidRPr="00EC586F">
        <w:rPr>
          <w:sz w:val="24"/>
          <w:szCs w:val="24"/>
        </w:rPr>
        <w:t> tis. eur</w:t>
      </w:r>
      <w:r>
        <w:rPr>
          <w:sz w:val="24"/>
          <w:szCs w:val="24"/>
        </w:rPr>
        <w:t>.</w:t>
      </w:r>
      <w:r w:rsidRPr="00EC586F">
        <w:rPr>
          <w:sz w:val="24"/>
          <w:szCs w:val="24"/>
        </w:rPr>
        <w:t xml:space="preserve"> </w:t>
      </w:r>
      <w:r>
        <w:rPr>
          <w:sz w:val="24"/>
          <w:szCs w:val="24"/>
        </w:rPr>
        <w:t>Išlo n</w:t>
      </w:r>
      <w:r w:rsidRPr="00D35235">
        <w:rPr>
          <w:sz w:val="24"/>
          <w:szCs w:val="24"/>
        </w:rPr>
        <w:t xml:space="preserve">ajmä </w:t>
      </w:r>
      <w:r>
        <w:rPr>
          <w:sz w:val="24"/>
          <w:szCs w:val="24"/>
        </w:rPr>
        <w:t>o</w:t>
      </w:r>
      <w:r w:rsidRPr="00D35235">
        <w:rPr>
          <w:sz w:val="24"/>
          <w:szCs w:val="24"/>
        </w:rPr>
        <w:t xml:space="preserve"> projekty v ob</w:t>
      </w:r>
      <w:r>
        <w:rPr>
          <w:sz w:val="24"/>
          <w:szCs w:val="24"/>
        </w:rPr>
        <w:t xml:space="preserve">lasti zlepšovania bezpečnosti a </w:t>
      </w:r>
      <w:r w:rsidRPr="00D35235">
        <w:rPr>
          <w:sz w:val="24"/>
          <w:szCs w:val="24"/>
        </w:rPr>
        <w:t>ekológie dopravy v regiónoch vrátane rekonštrukcie ciest 1. a 2. triedy a obnovy dopravných prostriedkov verejnej osobnej dopravy. Trenčiansk</w:t>
      </w:r>
      <w:r>
        <w:rPr>
          <w:sz w:val="24"/>
          <w:szCs w:val="24"/>
        </w:rPr>
        <w:t>y</w:t>
      </w:r>
      <w:r w:rsidRPr="00D35235">
        <w:rPr>
          <w:sz w:val="24"/>
          <w:szCs w:val="24"/>
        </w:rPr>
        <w:t xml:space="preserve"> samosprávn</w:t>
      </w:r>
      <w:r>
        <w:rPr>
          <w:sz w:val="24"/>
          <w:szCs w:val="24"/>
        </w:rPr>
        <w:t>y</w:t>
      </w:r>
      <w:r w:rsidRPr="00D35235">
        <w:rPr>
          <w:sz w:val="24"/>
          <w:szCs w:val="24"/>
        </w:rPr>
        <w:t xml:space="preserve"> kraj </w:t>
      </w:r>
      <w:r>
        <w:rPr>
          <w:sz w:val="24"/>
          <w:szCs w:val="24"/>
        </w:rPr>
        <w:t>dostal transfery (6 327 tis. eur)</w:t>
      </w:r>
      <w:r w:rsidRPr="00D35235">
        <w:rPr>
          <w:sz w:val="24"/>
          <w:szCs w:val="24"/>
        </w:rPr>
        <w:t xml:space="preserve"> na implementáciu projektov v oblasti modernizácie stredných škôl, zlepšovania praktických zručností žiakov stred</w:t>
      </w:r>
      <w:r>
        <w:rPr>
          <w:sz w:val="24"/>
          <w:szCs w:val="24"/>
        </w:rPr>
        <w:t xml:space="preserve">ných škôl a rekonštrukcií ciest, </w:t>
      </w:r>
      <w:r w:rsidRPr="00D35235">
        <w:rPr>
          <w:sz w:val="24"/>
          <w:szCs w:val="24"/>
        </w:rPr>
        <w:t xml:space="preserve">Košický samosprávny kraj </w:t>
      </w:r>
      <w:r>
        <w:rPr>
          <w:sz w:val="24"/>
          <w:szCs w:val="24"/>
        </w:rPr>
        <w:t>(</w:t>
      </w:r>
      <w:r w:rsidRPr="00D35235">
        <w:rPr>
          <w:sz w:val="24"/>
          <w:szCs w:val="24"/>
        </w:rPr>
        <w:t>4 895 </w:t>
      </w:r>
      <w:r>
        <w:rPr>
          <w:sz w:val="24"/>
          <w:szCs w:val="24"/>
        </w:rPr>
        <w:t>tis. </w:t>
      </w:r>
      <w:r w:rsidRPr="00D35235">
        <w:rPr>
          <w:sz w:val="24"/>
          <w:szCs w:val="24"/>
        </w:rPr>
        <w:t>eur</w:t>
      </w:r>
      <w:r>
        <w:rPr>
          <w:sz w:val="24"/>
          <w:szCs w:val="24"/>
        </w:rPr>
        <w:t>)</w:t>
      </w:r>
      <w:r w:rsidRPr="00D35235">
        <w:rPr>
          <w:sz w:val="24"/>
          <w:szCs w:val="24"/>
        </w:rPr>
        <w:t xml:space="preserve"> na výstavbu a rekonštrukciu ciest.</w:t>
      </w:r>
      <w:r>
        <w:rPr>
          <w:sz w:val="24"/>
          <w:szCs w:val="24"/>
        </w:rPr>
        <w:t xml:space="preserve"> </w:t>
      </w:r>
      <w:r w:rsidRPr="009A72E0">
        <w:rPr>
          <w:sz w:val="24"/>
          <w:szCs w:val="24"/>
        </w:rPr>
        <w:t xml:space="preserve">MIRRI SR podporilo VÚC implementáciu projektov v oblasti ochrany prírodného a kultúrneho dedičstva a na podporu udržateľných dopravných riešení </w:t>
      </w:r>
      <w:r>
        <w:rPr>
          <w:sz w:val="24"/>
          <w:szCs w:val="24"/>
        </w:rPr>
        <w:t>z programov</w:t>
      </w:r>
      <w:r w:rsidRPr="009A72E0">
        <w:rPr>
          <w:sz w:val="24"/>
          <w:szCs w:val="24"/>
        </w:rPr>
        <w:t xml:space="preserve"> INTERREG V-A SK-AT, INTERREG V-A SK-CZ INTERREG V-A PL-SK a INTERREG V-A HU-SK.</w:t>
      </w:r>
    </w:p>
    <w:p w14:paraId="5F1DD0D5" w14:textId="77777777" w:rsidR="00574126" w:rsidRPr="00EC586F" w:rsidRDefault="00574126" w:rsidP="00574126">
      <w:pPr>
        <w:spacing w:line="240" w:lineRule="auto"/>
        <w:rPr>
          <w:b/>
          <w:i/>
        </w:rPr>
      </w:pPr>
      <w:r w:rsidRPr="00EC586F">
        <w:rPr>
          <w:b/>
          <w:i/>
        </w:rPr>
        <w:t>Bližší popis vzťahov štátneho rozpočtu a VÚC je v kapitole 3.2.4.</w:t>
      </w:r>
    </w:p>
    <w:p w14:paraId="15E174B1" w14:textId="77777777" w:rsidR="00574126" w:rsidRPr="00EC586F" w:rsidRDefault="00574126" w:rsidP="00574126">
      <w:pPr>
        <w:spacing w:line="240" w:lineRule="auto"/>
        <w:rPr>
          <w:sz w:val="24"/>
          <w:szCs w:val="24"/>
        </w:rPr>
      </w:pPr>
      <w:r w:rsidRPr="00EB44B3">
        <w:rPr>
          <w:b/>
          <w:i/>
          <w:sz w:val="24"/>
          <w:szCs w:val="24"/>
        </w:rPr>
        <w:t>Príspevkovým organizáciám</w:t>
      </w:r>
      <w:r w:rsidRPr="00EC586F">
        <w:rPr>
          <w:sz w:val="24"/>
          <w:szCs w:val="24"/>
        </w:rPr>
        <w:t xml:space="preserve"> bolo poskytnutých 13</w:t>
      </w:r>
      <w:r>
        <w:rPr>
          <w:sz w:val="24"/>
          <w:szCs w:val="24"/>
        </w:rPr>
        <w:t>9</w:t>
      </w:r>
      <w:r w:rsidRPr="00EC586F">
        <w:rPr>
          <w:sz w:val="24"/>
          <w:szCs w:val="24"/>
        </w:rPr>
        <w:t> </w:t>
      </w:r>
      <w:r>
        <w:rPr>
          <w:sz w:val="24"/>
          <w:szCs w:val="24"/>
        </w:rPr>
        <w:t>919</w:t>
      </w:r>
      <w:r w:rsidRPr="00EC586F">
        <w:rPr>
          <w:sz w:val="24"/>
          <w:szCs w:val="24"/>
        </w:rPr>
        <w:t xml:space="preserve"> tis. eur. Najviac prostriedkov poskytlo </w:t>
      </w:r>
      <w:r>
        <w:rPr>
          <w:sz w:val="24"/>
          <w:szCs w:val="24"/>
        </w:rPr>
        <w:t>Ministerstvo kultúry SR (4</w:t>
      </w:r>
      <w:r w:rsidRPr="00EC586F">
        <w:rPr>
          <w:sz w:val="24"/>
          <w:szCs w:val="24"/>
        </w:rPr>
        <w:t>6 </w:t>
      </w:r>
      <w:r>
        <w:rPr>
          <w:sz w:val="24"/>
          <w:szCs w:val="24"/>
        </w:rPr>
        <w:t>452 tis. </w:t>
      </w:r>
      <w:r w:rsidRPr="00EC586F">
        <w:rPr>
          <w:sz w:val="24"/>
          <w:szCs w:val="24"/>
        </w:rPr>
        <w:t>eur)</w:t>
      </w:r>
      <w:r>
        <w:rPr>
          <w:sz w:val="24"/>
          <w:szCs w:val="24"/>
        </w:rPr>
        <w:t xml:space="preserve">, </w:t>
      </w:r>
      <w:r w:rsidRPr="00EC586F">
        <w:rPr>
          <w:sz w:val="24"/>
          <w:szCs w:val="24"/>
        </w:rPr>
        <w:t>Ministerstvo zdravotníctva SR (</w:t>
      </w:r>
      <w:r>
        <w:rPr>
          <w:sz w:val="24"/>
          <w:szCs w:val="24"/>
        </w:rPr>
        <w:t>35</w:t>
      </w:r>
      <w:r w:rsidRPr="00EC586F">
        <w:rPr>
          <w:sz w:val="24"/>
          <w:szCs w:val="24"/>
        </w:rPr>
        <w:t> </w:t>
      </w:r>
      <w:r>
        <w:rPr>
          <w:sz w:val="24"/>
          <w:szCs w:val="24"/>
        </w:rPr>
        <w:t>669 tis. </w:t>
      </w:r>
      <w:r w:rsidRPr="00EC586F">
        <w:rPr>
          <w:sz w:val="24"/>
          <w:szCs w:val="24"/>
        </w:rPr>
        <w:t>eur), Ministerstvo investícií, regionálneho rozvoja a informatizácie SR (3</w:t>
      </w:r>
      <w:r>
        <w:rPr>
          <w:sz w:val="24"/>
          <w:szCs w:val="24"/>
        </w:rPr>
        <w:t>1</w:t>
      </w:r>
      <w:r w:rsidRPr="00EC586F">
        <w:rPr>
          <w:sz w:val="24"/>
          <w:szCs w:val="24"/>
        </w:rPr>
        <w:t> </w:t>
      </w:r>
      <w:r>
        <w:rPr>
          <w:sz w:val="24"/>
          <w:szCs w:val="24"/>
        </w:rPr>
        <w:t>834</w:t>
      </w:r>
      <w:r w:rsidRPr="00EC586F">
        <w:rPr>
          <w:sz w:val="24"/>
          <w:szCs w:val="24"/>
        </w:rPr>
        <w:t> tis. eur).</w:t>
      </w:r>
    </w:p>
    <w:p w14:paraId="054660B4" w14:textId="77777777" w:rsidR="00574126" w:rsidRPr="00EC586F" w:rsidRDefault="00574126" w:rsidP="00574126">
      <w:pPr>
        <w:spacing w:line="240" w:lineRule="auto"/>
        <w:rPr>
          <w:sz w:val="24"/>
          <w:szCs w:val="24"/>
          <w:lang w:eastAsia="sk-SK"/>
        </w:rPr>
      </w:pPr>
      <w:r w:rsidRPr="00EC586F">
        <w:rPr>
          <w:sz w:val="24"/>
          <w:szCs w:val="24"/>
          <w:u w:val="single"/>
        </w:rPr>
        <w:t>Ministerstv</w:t>
      </w:r>
      <w:r>
        <w:rPr>
          <w:sz w:val="24"/>
          <w:szCs w:val="24"/>
          <w:u w:val="single"/>
        </w:rPr>
        <w:t>o</w:t>
      </w:r>
      <w:r w:rsidRPr="00EC586F">
        <w:rPr>
          <w:sz w:val="24"/>
          <w:szCs w:val="24"/>
          <w:u w:val="single"/>
        </w:rPr>
        <w:t xml:space="preserve"> kultúry SR</w:t>
      </w:r>
      <w:r w:rsidRPr="00EC586F">
        <w:rPr>
          <w:sz w:val="24"/>
          <w:szCs w:val="24"/>
        </w:rPr>
        <w:t xml:space="preserve"> poskytl</w:t>
      </w:r>
      <w:r>
        <w:rPr>
          <w:sz w:val="24"/>
          <w:szCs w:val="24"/>
        </w:rPr>
        <w:t>o</w:t>
      </w:r>
      <w:r w:rsidRPr="00EC586F">
        <w:rPr>
          <w:sz w:val="24"/>
          <w:szCs w:val="24"/>
        </w:rPr>
        <w:t xml:space="preserve"> transfery </w:t>
      </w:r>
      <w:r w:rsidRPr="00EC586F">
        <w:rPr>
          <w:sz w:val="24"/>
          <w:szCs w:val="24"/>
          <w:lang w:eastAsia="sk-SK"/>
        </w:rPr>
        <w:t xml:space="preserve">pre </w:t>
      </w:r>
      <w:r w:rsidRPr="006C5D8F">
        <w:rPr>
          <w:sz w:val="24"/>
          <w:szCs w:val="24"/>
          <w:lang w:eastAsia="sk-SK"/>
        </w:rPr>
        <w:t>Slovenskú národnú galériu</w:t>
      </w:r>
      <w:r w:rsidRPr="006C5D8F">
        <w:rPr>
          <w:sz w:val="24"/>
          <w:szCs w:val="24"/>
        </w:rPr>
        <w:t xml:space="preserve"> na rekonštrukciu, modernizáciu a dostavbu areálu </w:t>
      </w:r>
      <w:r>
        <w:rPr>
          <w:sz w:val="24"/>
          <w:szCs w:val="24"/>
        </w:rPr>
        <w:t xml:space="preserve">a </w:t>
      </w:r>
      <w:r>
        <w:rPr>
          <w:sz w:val="24"/>
          <w:szCs w:val="24"/>
          <w:lang w:eastAsia="sk-SK"/>
        </w:rPr>
        <w:t xml:space="preserve">dodávku </w:t>
      </w:r>
      <w:r w:rsidRPr="006C5D8F">
        <w:rPr>
          <w:sz w:val="24"/>
          <w:szCs w:val="24"/>
          <w:lang w:eastAsia="sk-SK"/>
        </w:rPr>
        <w:t>vonk</w:t>
      </w:r>
      <w:r>
        <w:rPr>
          <w:sz w:val="24"/>
          <w:szCs w:val="24"/>
          <w:lang w:eastAsia="sk-SK"/>
        </w:rPr>
        <w:t xml:space="preserve">ajšieho a vnútorného interiéru do areálu </w:t>
      </w:r>
      <w:r w:rsidRPr="006C5D8F">
        <w:rPr>
          <w:sz w:val="24"/>
          <w:szCs w:val="24"/>
        </w:rPr>
        <w:t>(1</w:t>
      </w:r>
      <w:r>
        <w:rPr>
          <w:sz w:val="24"/>
          <w:szCs w:val="24"/>
        </w:rPr>
        <w:t>9</w:t>
      </w:r>
      <w:r w:rsidRPr="006C5D8F">
        <w:rPr>
          <w:sz w:val="24"/>
          <w:szCs w:val="24"/>
        </w:rPr>
        <w:t xml:space="preserve"> 184 tis. eur), pre </w:t>
      </w:r>
      <w:r w:rsidRPr="006C5D8F">
        <w:rPr>
          <w:sz w:val="24"/>
          <w:szCs w:val="24"/>
          <w:lang w:eastAsia="sk-SK"/>
        </w:rPr>
        <w:t>Slovenské národné múzeum, napr. na obnovu hradu Krásna Hôrka (15 583 tis. eur),</w:t>
      </w:r>
      <w:r>
        <w:rPr>
          <w:sz w:val="24"/>
          <w:szCs w:val="24"/>
          <w:lang w:eastAsia="sk-SK"/>
        </w:rPr>
        <w:t xml:space="preserve"> </w:t>
      </w:r>
      <w:r w:rsidRPr="00172C1F">
        <w:rPr>
          <w:sz w:val="24"/>
          <w:szCs w:val="24"/>
          <w:lang w:eastAsia="sk-SK"/>
        </w:rPr>
        <w:t>pre Divadlo Nová scéna na nákup budovy (3 660 tis. eur).</w:t>
      </w:r>
    </w:p>
    <w:p w14:paraId="77F887EB" w14:textId="77777777" w:rsidR="00574126" w:rsidRPr="00EC586F" w:rsidRDefault="00574126" w:rsidP="00574126">
      <w:pPr>
        <w:spacing w:line="240" w:lineRule="auto"/>
        <w:rPr>
          <w:sz w:val="24"/>
          <w:szCs w:val="24"/>
        </w:rPr>
      </w:pPr>
      <w:r w:rsidRPr="00EC586F">
        <w:rPr>
          <w:sz w:val="24"/>
          <w:szCs w:val="24"/>
          <w:u w:val="single"/>
        </w:rPr>
        <w:t>Ministerstvo zdravotníctva SR</w:t>
      </w:r>
      <w:r w:rsidRPr="0045216E">
        <w:rPr>
          <w:sz w:val="24"/>
          <w:szCs w:val="24"/>
        </w:rPr>
        <w:t xml:space="preserve"> </w:t>
      </w:r>
      <w:r w:rsidRPr="00EC586F">
        <w:rPr>
          <w:sz w:val="24"/>
          <w:szCs w:val="24"/>
          <w:lang w:eastAsia="sk-SK"/>
        </w:rPr>
        <w:t xml:space="preserve">poskytlo transfery predovšetkým príspevkovým organizáciám v pôsobnosti ministerstva. Kapitálové transfery pre nemocnice boli zamerané na financovanie opatrení v súvislosti s hospodárskou mobilizáciou nemocníc, na vybavenie nemocníc v súvislosti s riešením </w:t>
      </w:r>
      <w:proofErr w:type="spellStart"/>
      <w:r w:rsidRPr="00EC586F">
        <w:rPr>
          <w:sz w:val="24"/>
          <w:szCs w:val="24"/>
          <w:lang w:eastAsia="sk-SK"/>
        </w:rPr>
        <w:t>pandemickej</w:t>
      </w:r>
      <w:proofErr w:type="spellEnd"/>
      <w:r w:rsidRPr="00EC586F">
        <w:rPr>
          <w:sz w:val="24"/>
          <w:szCs w:val="24"/>
          <w:lang w:eastAsia="sk-SK"/>
        </w:rPr>
        <w:t xml:space="preserve"> situácie spôsobenej ochorením COVID-19, na obstaranie nového prístrojového vybavenia zdravotníckych zariadení, na rekonštrukciu, stavebné úpravy a modernizáciu priestorov a budov zdravotníckych zariadení. </w:t>
      </w:r>
      <w:r w:rsidRPr="00EC586F">
        <w:rPr>
          <w:sz w:val="24"/>
          <w:szCs w:val="24"/>
        </w:rPr>
        <w:t>Najviac prostriedkov išlo pre Národné cent</w:t>
      </w:r>
      <w:r>
        <w:rPr>
          <w:sz w:val="24"/>
          <w:szCs w:val="24"/>
        </w:rPr>
        <w:t>rum zdravotníckych informácií (6</w:t>
      </w:r>
      <w:r w:rsidRPr="00EC586F">
        <w:rPr>
          <w:sz w:val="24"/>
          <w:szCs w:val="24"/>
        </w:rPr>
        <w:t> </w:t>
      </w:r>
      <w:r>
        <w:rPr>
          <w:sz w:val="24"/>
          <w:szCs w:val="24"/>
        </w:rPr>
        <w:t>753 </w:t>
      </w:r>
      <w:r w:rsidRPr="00EC586F">
        <w:rPr>
          <w:sz w:val="24"/>
          <w:szCs w:val="24"/>
        </w:rPr>
        <w:t>tis. eur)</w:t>
      </w:r>
      <w:r>
        <w:rPr>
          <w:sz w:val="24"/>
          <w:szCs w:val="24"/>
        </w:rPr>
        <w:t xml:space="preserve">, </w:t>
      </w:r>
      <w:r w:rsidRPr="00EC586F">
        <w:rPr>
          <w:sz w:val="24"/>
          <w:szCs w:val="24"/>
        </w:rPr>
        <w:t>Uni</w:t>
      </w:r>
      <w:r>
        <w:rPr>
          <w:sz w:val="24"/>
          <w:szCs w:val="24"/>
        </w:rPr>
        <w:t>verzitnú nemocnicu Bratislava (6</w:t>
      </w:r>
      <w:r w:rsidRPr="00EC586F">
        <w:rPr>
          <w:sz w:val="24"/>
          <w:szCs w:val="24"/>
        </w:rPr>
        <w:t> </w:t>
      </w:r>
      <w:r>
        <w:rPr>
          <w:sz w:val="24"/>
          <w:szCs w:val="24"/>
        </w:rPr>
        <w:t>681</w:t>
      </w:r>
      <w:r w:rsidRPr="00EC586F">
        <w:rPr>
          <w:sz w:val="24"/>
          <w:szCs w:val="24"/>
        </w:rPr>
        <w:t> tis. eur)</w:t>
      </w:r>
      <w:r>
        <w:rPr>
          <w:sz w:val="24"/>
          <w:szCs w:val="24"/>
        </w:rPr>
        <w:t>. N</w:t>
      </w:r>
      <w:r w:rsidRPr="00EC586F">
        <w:rPr>
          <w:sz w:val="24"/>
          <w:szCs w:val="24"/>
        </w:rPr>
        <w:t xml:space="preserve">a financovanie opatrení hospodárskej mobilizácie boli </w:t>
      </w:r>
      <w:r>
        <w:rPr>
          <w:sz w:val="24"/>
          <w:szCs w:val="24"/>
        </w:rPr>
        <w:t>n</w:t>
      </w:r>
      <w:r w:rsidRPr="00EC586F">
        <w:rPr>
          <w:sz w:val="24"/>
          <w:szCs w:val="24"/>
        </w:rPr>
        <w:t xml:space="preserve">emocniciam poskytnuté finančné prostriedky v celkovej sume </w:t>
      </w:r>
      <w:r>
        <w:rPr>
          <w:sz w:val="24"/>
          <w:szCs w:val="24"/>
        </w:rPr>
        <w:t>2</w:t>
      </w:r>
      <w:r w:rsidRPr="00EC586F">
        <w:rPr>
          <w:sz w:val="24"/>
          <w:szCs w:val="24"/>
        </w:rPr>
        <w:t> </w:t>
      </w:r>
      <w:r>
        <w:rPr>
          <w:sz w:val="24"/>
          <w:szCs w:val="24"/>
        </w:rPr>
        <w:t>288</w:t>
      </w:r>
      <w:r w:rsidRPr="00EC586F">
        <w:rPr>
          <w:sz w:val="24"/>
          <w:szCs w:val="24"/>
        </w:rPr>
        <w:t> tis. eur.</w:t>
      </w:r>
    </w:p>
    <w:p w14:paraId="14833ADC" w14:textId="77777777" w:rsidR="00574126" w:rsidRPr="00D35235" w:rsidRDefault="00574126" w:rsidP="00574126">
      <w:pPr>
        <w:spacing w:line="240" w:lineRule="auto"/>
        <w:rPr>
          <w:sz w:val="24"/>
          <w:szCs w:val="24"/>
        </w:rPr>
      </w:pPr>
      <w:r w:rsidRPr="00EC586F">
        <w:rPr>
          <w:sz w:val="24"/>
          <w:szCs w:val="24"/>
          <w:u w:val="single"/>
        </w:rPr>
        <w:t>Ministerstvo investícií, regionálneho rozvoja a informatizácie SR</w:t>
      </w:r>
      <w:r w:rsidRPr="00EC586F">
        <w:rPr>
          <w:sz w:val="24"/>
          <w:szCs w:val="24"/>
        </w:rPr>
        <w:t xml:space="preserve"> poskytlo </w:t>
      </w:r>
      <w:r w:rsidRPr="00EC586F">
        <w:rPr>
          <w:sz w:val="24"/>
          <w:szCs w:val="24"/>
          <w:lang w:eastAsia="sk-SK"/>
        </w:rPr>
        <w:t xml:space="preserve">finančné prostriedky </w:t>
      </w:r>
      <w:r w:rsidRPr="00D35235">
        <w:rPr>
          <w:sz w:val="24"/>
          <w:szCs w:val="24"/>
          <w:lang w:eastAsia="sk-SK"/>
        </w:rPr>
        <w:t xml:space="preserve">pre príspevkovú organizáciu Národnú agentúru pre sieťové a elektronické služby (NASES) </w:t>
      </w:r>
      <w:r>
        <w:rPr>
          <w:sz w:val="24"/>
          <w:szCs w:val="24"/>
          <w:lang w:eastAsia="sk-SK"/>
        </w:rPr>
        <w:t xml:space="preserve">na </w:t>
      </w:r>
      <w:r w:rsidRPr="004D1713">
        <w:rPr>
          <w:sz w:val="24"/>
          <w:szCs w:val="24"/>
          <w:lang w:eastAsia="sk-SK"/>
        </w:rPr>
        <w:t>správ</w:t>
      </w:r>
      <w:r>
        <w:rPr>
          <w:sz w:val="24"/>
          <w:szCs w:val="24"/>
          <w:lang w:eastAsia="sk-SK"/>
        </w:rPr>
        <w:t>u</w:t>
      </w:r>
      <w:r w:rsidRPr="004D1713">
        <w:rPr>
          <w:sz w:val="24"/>
          <w:szCs w:val="24"/>
          <w:lang w:eastAsia="sk-SK"/>
        </w:rPr>
        <w:t>, prevádzk</w:t>
      </w:r>
      <w:r>
        <w:rPr>
          <w:sz w:val="24"/>
          <w:szCs w:val="24"/>
          <w:lang w:eastAsia="sk-SK"/>
        </w:rPr>
        <w:t>u</w:t>
      </w:r>
      <w:r w:rsidRPr="004D1713">
        <w:rPr>
          <w:sz w:val="24"/>
          <w:szCs w:val="24"/>
          <w:lang w:eastAsia="sk-SK"/>
        </w:rPr>
        <w:t xml:space="preserve"> a rozvoj vládnej dátovej </w:t>
      </w:r>
      <w:r w:rsidRPr="004D1713">
        <w:rPr>
          <w:sz w:val="24"/>
          <w:szCs w:val="24"/>
        </w:rPr>
        <w:t xml:space="preserve">siete GOVNET, </w:t>
      </w:r>
      <w:r>
        <w:rPr>
          <w:sz w:val="24"/>
          <w:szCs w:val="24"/>
        </w:rPr>
        <w:t>na</w:t>
      </w:r>
      <w:r w:rsidRPr="004D1713">
        <w:rPr>
          <w:sz w:val="24"/>
          <w:szCs w:val="24"/>
        </w:rPr>
        <w:t xml:space="preserve"> plnenie úloh národného prevádzkovateľa centrálnej informačnej infraštruktúry a centrálnej komunikačnej infraštruktúry </w:t>
      </w:r>
      <w:r w:rsidRPr="004D1713">
        <w:rPr>
          <w:sz w:val="24"/>
          <w:szCs w:val="24"/>
        </w:rPr>
        <w:lastRenderedPageBreak/>
        <w:t xml:space="preserve">Slovenskej republiky pre verejnú správu, </w:t>
      </w:r>
      <w:r>
        <w:rPr>
          <w:sz w:val="24"/>
          <w:szCs w:val="24"/>
        </w:rPr>
        <w:t>na</w:t>
      </w:r>
      <w:r w:rsidRPr="004D1713">
        <w:rPr>
          <w:sz w:val="24"/>
          <w:szCs w:val="24"/>
        </w:rPr>
        <w:t xml:space="preserve"> prevádzk</w:t>
      </w:r>
      <w:r>
        <w:rPr>
          <w:sz w:val="24"/>
          <w:szCs w:val="24"/>
        </w:rPr>
        <w:t>u</w:t>
      </w:r>
      <w:r w:rsidRPr="004D1713">
        <w:rPr>
          <w:sz w:val="24"/>
          <w:szCs w:val="24"/>
        </w:rPr>
        <w:t xml:space="preserve"> a rozvoj Ústredného portálu verejnej správy (portál slovensko.sk), Slovenskej národnej certifikačnej autority a dátových centier a špecializovaných </w:t>
      </w:r>
      <w:proofErr w:type="spellStart"/>
      <w:r w:rsidRPr="004D1713">
        <w:rPr>
          <w:sz w:val="24"/>
          <w:szCs w:val="24"/>
        </w:rPr>
        <w:t>cloudových</w:t>
      </w:r>
      <w:proofErr w:type="spellEnd"/>
      <w:r w:rsidRPr="004D1713">
        <w:rPr>
          <w:sz w:val="24"/>
          <w:szCs w:val="24"/>
        </w:rPr>
        <w:t xml:space="preserve"> služieb</w:t>
      </w:r>
      <w:r>
        <w:rPr>
          <w:sz w:val="24"/>
          <w:szCs w:val="24"/>
        </w:rPr>
        <w:t>.</w:t>
      </w:r>
    </w:p>
    <w:p w14:paraId="0975C066" w14:textId="77777777" w:rsidR="00574126" w:rsidRPr="00585059" w:rsidRDefault="00574126" w:rsidP="00574126">
      <w:pPr>
        <w:spacing w:line="240" w:lineRule="auto"/>
        <w:rPr>
          <w:sz w:val="24"/>
          <w:szCs w:val="24"/>
        </w:rPr>
      </w:pPr>
      <w:r w:rsidRPr="00EC586F">
        <w:rPr>
          <w:sz w:val="24"/>
          <w:szCs w:val="24"/>
        </w:rPr>
        <w:t xml:space="preserve">Transfery </w:t>
      </w:r>
      <w:r w:rsidRPr="00EB44B3">
        <w:rPr>
          <w:b/>
          <w:i/>
          <w:sz w:val="24"/>
          <w:szCs w:val="24"/>
        </w:rPr>
        <w:t>verejným vysokým školám</w:t>
      </w:r>
      <w:r w:rsidRPr="00EC586F">
        <w:rPr>
          <w:sz w:val="24"/>
          <w:szCs w:val="24"/>
        </w:rPr>
        <w:t xml:space="preserve"> boli v sume </w:t>
      </w:r>
      <w:r>
        <w:rPr>
          <w:sz w:val="24"/>
          <w:szCs w:val="24"/>
        </w:rPr>
        <w:t>63</w:t>
      </w:r>
      <w:r w:rsidRPr="00EC586F">
        <w:rPr>
          <w:sz w:val="24"/>
          <w:szCs w:val="24"/>
        </w:rPr>
        <w:t> </w:t>
      </w:r>
      <w:r>
        <w:rPr>
          <w:sz w:val="24"/>
          <w:szCs w:val="24"/>
        </w:rPr>
        <w:t>219</w:t>
      </w:r>
      <w:r w:rsidRPr="00EC586F">
        <w:rPr>
          <w:sz w:val="24"/>
          <w:szCs w:val="24"/>
        </w:rPr>
        <w:t xml:space="preserve"> tis. eur, z toho najviac poskytla kapitola </w:t>
      </w:r>
      <w:r w:rsidRPr="00EC586F">
        <w:rPr>
          <w:sz w:val="24"/>
          <w:szCs w:val="24"/>
          <w:u w:val="single"/>
        </w:rPr>
        <w:t>Ministerstva školstva, vedy, výskumu a športu SR</w:t>
      </w:r>
      <w:r w:rsidRPr="00EC586F">
        <w:rPr>
          <w:sz w:val="24"/>
          <w:szCs w:val="24"/>
        </w:rPr>
        <w:t xml:space="preserve"> (</w:t>
      </w:r>
      <w:r>
        <w:rPr>
          <w:sz w:val="24"/>
          <w:szCs w:val="24"/>
        </w:rPr>
        <w:t>52</w:t>
      </w:r>
      <w:r w:rsidRPr="00EC586F">
        <w:rPr>
          <w:sz w:val="24"/>
          <w:szCs w:val="24"/>
        </w:rPr>
        <w:t> </w:t>
      </w:r>
      <w:r>
        <w:rPr>
          <w:sz w:val="24"/>
          <w:szCs w:val="24"/>
        </w:rPr>
        <w:t>867</w:t>
      </w:r>
      <w:r w:rsidRPr="00EC586F">
        <w:rPr>
          <w:sz w:val="24"/>
          <w:szCs w:val="24"/>
        </w:rPr>
        <w:t xml:space="preserve"> tis. eur), napr. </w:t>
      </w:r>
      <w:r w:rsidRPr="00AA52A7">
        <w:rPr>
          <w:sz w:val="24"/>
          <w:szCs w:val="24"/>
        </w:rPr>
        <w:t xml:space="preserve">pre Slovenskú technickú univerzitu v Bratislave </w:t>
      </w:r>
      <w:r>
        <w:rPr>
          <w:sz w:val="24"/>
          <w:szCs w:val="24"/>
        </w:rPr>
        <w:t xml:space="preserve">(28 728 tis. eur) </w:t>
      </w:r>
      <w:r w:rsidRPr="00AA52A7">
        <w:rPr>
          <w:sz w:val="24"/>
          <w:szCs w:val="24"/>
        </w:rPr>
        <w:t xml:space="preserve">na projekt </w:t>
      </w:r>
      <w:r>
        <w:rPr>
          <w:sz w:val="24"/>
          <w:szCs w:val="24"/>
        </w:rPr>
        <w:t>ACCORD (</w:t>
      </w:r>
      <w:proofErr w:type="spellStart"/>
      <w:r w:rsidRPr="00AA52A7">
        <w:rPr>
          <w:sz w:val="24"/>
          <w:szCs w:val="24"/>
        </w:rPr>
        <w:t>Advancing</w:t>
      </w:r>
      <w:proofErr w:type="spellEnd"/>
      <w:r w:rsidRPr="00AA52A7">
        <w:rPr>
          <w:sz w:val="24"/>
          <w:szCs w:val="24"/>
        </w:rPr>
        <w:t xml:space="preserve"> </w:t>
      </w:r>
      <w:proofErr w:type="spellStart"/>
      <w:r w:rsidRPr="00AA52A7">
        <w:rPr>
          <w:sz w:val="24"/>
          <w:szCs w:val="24"/>
        </w:rPr>
        <w:t>University</w:t>
      </w:r>
      <w:proofErr w:type="spellEnd"/>
      <w:r w:rsidRPr="00AA52A7">
        <w:rPr>
          <w:sz w:val="24"/>
          <w:szCs w:val="24"/>
        </w:rPr>
        <w:t xml:space="preserve"> </w:t>
      </w:r>
      <w:proofErr w:type="spellStart"/>
      <w:r w:rsidRPr="00AA52A7">
        <w:rPr>
          <w:sz w:val="24"/>
          <w:szCs w:val="24"/>
        </w:rPr>
        <w:t>Capacity</w:t>
      </w:r>
      <w:proofErr w:type="spellEnd"/>
      <w:r w:rsidRPr="00AA52A7">
        <w:rPr>
          <w:sz w:val="24"/>
          <w:szCs w:val="24"/>
        </w:rPr>
        <w:t xml:space="preserve"> and </w:t>
      </w:r>
      <w:proofErr w:type="spellStart"/>
      <w:r w:rsidRPr="00AA52A7">
        <w:rPr>
          <w:sz w:val="24"/>
          <w:szCs w:val="24"/>
        </w:rPr>
        <w:t>Competence</w:t>
      </w:r>
      <w:proofErr w:type="spellEnd"/>
      <w:r w:rsidRPr="00AA52A7">
        <w:rPr>
          <w:sz w:val="24"/>
          <w:szCs w:val="24"/>
        </w:rPr>
        <w:t xml:space="preserve"> in </w:t>
      </w:r>
      <w:proofErr w:type="spellStart"/>
      <w:r w:rsidRPr="00AA52A7">
        <w:rPr>
          <w:sz w:val="24"/>
          <w:szCs w:val="24"/>
        </w:rPr>
        <w:t>Research</w:t>
      </w:r>
      <w:proofErr w:type="spellEnd"/>
      <w:r w:rsidRPr="00AA52A7">
        <w:rPr>
          <w:sz w:val="24"/>
          <w:szCs w:val="24"/>
        </w:rPr>
        <w:t xml:space="preserve">, </w:t>
      </w:r>
      <w:proofErr w:type="spellStart"/>
      <w:r w:rsidRPr="00AA52A7">
        <w:rPr>
          <w:sz w:val="24"/>
          <w:szCs w:val="24"/>
        </w:rPr>
        <w:t>Development</w:t>
      </w:r>
      <w:proofErr w:type="spellEnd"/>
      <w:r w:rsidRPr="00AA52A7">
        <w:rPr>
          <w:sz w:val="24"/>
          <w:szCs w:val="24"/>
        </w:rPr>
        <w:t xml:space="preserve"> and </w:t>
      </w:r>
      <w:proofErr w:type="spellStart"/>
      <w:r w:rsidRPr="00AA52A7">
        <w:rPr>
          <w:sz w:val="24"/>
          <w:szCs w:val="24"/>
        </w:rPr>
        <w:t>Innovation</w:t>
      </w:r>
      <w:proofErr w:type="spellEnd"/>
      <w:r>
        <w:rPr>
          <w:sz w:val="24"/>
          <w:szCs w:val="24"/>
        </w:rPr>
        <w:t>)</w:t>
      </w:r>
      <w:r w:rsidRPr="00AA52A7">
        <w:rPr>
          <w:sz w:val="24"/>
          <w:szCs w:val="24"/>
        </w:rPr>
        <w:t xml:space="preserve">, </w:t>
      </w:r>
      <w:r>
        <w:rPr>
          <w:sz w:val="24"/>
          <w:szCs w:val="24"/>
        </w:rPr>
        <w:t>na s</w:t>
      </w:r>
      <w:r w:rsidRPr="00AA52A7">
        <w:rPr>
          <w:sz w:val="24"/>
          <w:szCs w:val="24"/>
        </w:rPr>
        <w:t xml:space="preserve">trategický výskum v oblasti SMART monitoringu, liečby a preventívnej ochrany </w:t>
      </w:r>
      <w:r>
        <w:rPr>
          <w:sz w:val="24"/>
          <w:szCs w:val="24"/>
        </w:rPr>
        <w:t xml:space="preserve">pred </w:t>
      </w:r>
      <w:proofErr w:type="spellStart"/>
      <w:r>
        <w:rPr>
          <w:sz w:val="24"/>
          <w:szCs w:val="24"/>
        </w:rPr>
        <w:t>koronavírusom</w:t>
      </w:r>
      <w:proofErr w:type="spellEnd"/>
      <w:r>
        <w:rPr>
          <w:sz w:val="24"/>
          <w:szCs w:val="24"/>
        </w:rPr>
        <w:t xml:space="preserve"> a na v</w:t>
      </w:r>
      <w:r w:rsidRPr="00AA52A7">
        <w:rPr>
          <w:sz w:val="24"/>
          <w:szCs w:val="24"/>
        </w:rPr>
        <w:t xml:space="preserve">edeckovýskumné centrum </w:t>
      </w:r>
      <w:proofErr w:type="spellStart"/>
      <w:r w:rsidRPr="00AA52A7">
        <w:rPr>
          <w:sz w:val="24"/>
          <w:szCs w:val="24"/>
        </w:rPr>
        <w:t>excelentnosti</w:t>
      </w:r>
      <w:proofErr w:type="spellEnd"/>
      <w:r w:rsidRPr="00AA52A7">
        <w:rPr>
          <w:sz w:val="24"/>
          <w:szCs w:val="24"/>
        </w:rPr>
        <w:t xml:space="preserve"> </w:t>
      </w:r>
      <w:proofErr w:type="spellStart"/>
      <w:r w:rsidRPr="00AA52A7">
        <w:rPr>
          <w:sz w:val="24"/>
          <w:szCs w:val="24"/>
        </w:rPr>
        <w:t>SlovakION</w:t>
      </w:r>
      <w:proofErr w:type="spellEnd"/>
      <w:r w:rsidRPr="00AA52A7">
        <w:rPr>
          <w:sz w:val="24"/>
          <w:szCs w:val="24"/>
        </w:rPr>
        <w:t xml:space="preserve"> pre materiál</w:t>
      </w:r>
      <w:r>
        <w:rPr>
          <w:sz w:val="24"/>
          <w:szCs w:val="24"/>
        </w:rPr>
        <w:t xml:space="preserve">ový a interdisciplinárny výskum. </w:t>
      </w:r>
      <w:r w:rsidRPr="00AA52A7">
        <w:rPr>
          <w:sz w:val="24"/>
          <w:szCs w:val="24"/>
        </w:rPr>
        <w:t>Univerzita Komenského v Bratislave (6 417</w:t>
      </w:r>
      <w:r>
        <w:rPr>
          <w:sz w:val="24"/>
          <w:szCs w:val="24"/>
        </w:rPr>
        <w:t> tis. eur) dostala dotácie napr. na projekt Systémová</w:t>
      </w:r>
      <w:r w:rsidRPr="00CA7A53">
        <w:rPr>
          <w:sz w:val="24"/>
          <w:szCs w:val="24"/>
        </w:rPr>
        <w:t xml:space="preserve"> verejn</w:t>
      </w:r>
      <w:r>
        <w:rPr>
          <w:sz w:val="24"/>
          <w:szCs w:val="24"/>
        </w:rPr>
        <w:t>á</w:t>
      </w:r>
      <w:r w:rsidRPr="00CA7A53">
        <w:rPr>
          <w:sz w:val="24"/>
          <w:szCs w:val="24"/>
        </w:rPr>
        <w:t xml:space="preserve"> výskumn</w:t>
      </w:r>
      <w:r>
        <w:rPr>
          <w:sz w:val="24"/>
          <w:szCs w:val="24"/>
        </w:rPr>
        <w:t>á</w:t>
      </w:r>
      <w:r w:rsidRPr="00CA7A53">
        <w:rPr>
          <w:sz w:val="24"/>
          <w:szCs w:val="24"/>
        </w:rPr>
        <w:t xml:space="preserve"> infraštruktúr</w:t>
      </w:r>
      <w:r>
        <w:rPr>
          <w:sz w:val="24"/>
          <w:szCs w:val="24"/>
        </w:rPr>
        <w:t>a</w:t>
      </w:r>
      <w:r w:rsidRPr="00CA7A53">
        <w:rPr>
          <w:sz w:val="24"/>
          <w:szCs w:val="24"/>
        </w:rPr>
        <w:t xml:space="preserve"> – </w:t>
      </w:r>
      <w:proofErr w:type="spellStart"/>
      <w:r w:rsidRPr="00CA7A53">
        <w:rPr>
          <w:sz w:val="24"/>
          <w:szCs w:val="24"/>
        </w:rPr>
        <w:t>biobanka</w:t>
      </w:r>
      <w:proofErr w:type="spellEnd"/>
      <w:r w:rsidRPr="00CA7A53">
        <w:rPr>
          <w:sz w:val="24"/>
          <w:szCs w:val="24"/>
        </w:rPr>
        <w:t xml:space="preserve"> pre nádorové a zriedkavé ochorenia</w:t>
      </w:r>
      <w:r>
        <w:rPr>
          <w:sz w:val="24"/>
          <w:szCs w:val="24"/>
        </w:rPr>
        <w:t xml:space="preserve">, </w:t>
      </w:r>
      <w:r w:rsidRPr="00CA7A53">
        <w:rPr>
          <w:sz w:val="24"/>
          <w:szCs w:val="24"/>
        </w:rPr>
        <w:t xml:space="preserve">Trenčianska univerzita A. Dubčeka (4 643 tis. eur) na projekt Centrum pre funkčné a povrchovo funkcionalizované sklá, na </w:t>
      </w:r>
      <w:r>
        <w:rPr>
          <w:sz w:val="24"/>
          <w:szCs w:val="24"/>
        </w:rPr>
        <w:t>rozvoj a podporu</w:t>
      </w:r>
      <w:r w:rsidRPr="00CA7A53">
        <w:rPr>
          <w:sz w:val="24"/>
          <w:szCs w:val="24"/>
        </w:rPr>
        <w:t xml:space="preserve"> </w:t>
      </w:r>
      <w:proofErr w:type="spellStart"/>
      <w:r w:rsidRPr="00CA7A53">
        <w:rPr>
          <w:sz w:val="24"/>
          <w:szCs w:val="24"/>
        </w:rPr>
        <w:t>výskumno</w:t>
      </w:r>
      <w:proofErr w:type="spellEnd"/>
      <w:r w:rsidRPr="00CA7A53">
        <w:rPr>
          <w:sz w:val="24"/>
          <w:szCs w:val="24"/>
        </w:rPr>
        <w:t xml:space="preserve"> – vývojových aktivít Centra pre testovanie kvality a diagnostiku materiálov v oblastiach špecializácie RIS3 S</w:t>
      </w:r>
      <w:r>
        <w:rPr>
          <w:sz w:val="24"/>
          <w:szCs w:val="24"/>
        </w:rPr>
        <w:t>K (</w:t>
      </w:r>
      <w:proofErr w:type="spellStart"/>
      <w:r w:rsidRPr="00CA7A53">
        <w:rPr>
          <w:sz w:val="24"/>
          <w:szCs w:val="24"/>
        </w:rPr>
        <w:t>Regional</w:t>
      </w:r>
      <w:proofErr w:type="spellEnd"/>
      <w:r w:rsidRPr="00CA7A53">
        <w:rPr>
          <w:sz w:val="24"/>
          <w:szCs w:val="24"/>
        </w:rPr>
        <w:t xml:space="preserve"> </w:t>
      </w:r>
      <w:proofErr w:type="spellStart"/>
      <w:r w:rsidRPr="00CA7A53">
        <w:rPr>
          <w:sz w:val="24"/>
          <w:szCs w:val="24"/>
        </w:rPr>
        <w:t>Innovation</w:t>
      </w:r>
      <w:proofErr w:type="spellEnd"/>
      <w:r w:rsidRPr="00CA7A53">
        <w:rPr>
          <w:sz w:val="24"/>
          <w:szCs w:val="24"/>
        </w:rPr>
        <w:t xml:space="preserve"> </w:t>
      </w:r>
      <w:proofErr w:type="spellStart"/>
      <w:r w:rsidRPr="00CA7A53">
        <w:rPr>
          <w:sz w:val="24"/>
          <w:szCs w:val="24"/>
        </w:rPr>
        <w:t>Smart</w:t>
      </w:r>
      <w:proofErr w:type="spellEnd"/>
      <w:r w:rsidRPr="00CA7A53">
        <w:rPr>
          <w:sz w:val="24"/>
          <w:szCs w:val="24"/>
        </w:rPr>
        <w:t xml:space="preserve"> </w:t>
      </w:r>
      <w:proofErr w:type="spellStart"/>
      <w:r w:rsidRPr="00CA7A53">
        <w:rPr>
          <w:sz w:val="24"/>
          <w:szCs w:val="24"/>
        </w:rPr>
        <w:t>Specialization</w:t>
      </w:r>
      <w:proofErr w:type="spellEnd"/>
      <w:r>
        <w:rPr>
          <w:rFonts w:ascii="Arial" w:hAnsi="Arial" w:cs="Arial"/>
          <w:color w:val="4D5156"/>
          <w:sz w:val="21"/>
          <w:szCs w:val="21"/>
          <w:shd w:val="clear" w:color="auto" w:fill="FFFFFF"/>
        </w:rPr>
        <w:t xml:space="preserve"> </w:t>
      </w:r>
      <w:proofErr w:type="spellStart"/>
      <w:r w:rsidRPr="00F30845">
        <w:rPr>
          <w:sz w:val="24"/>
          <w:szCs w:val="24"/>
        </w:rPr>
        <w:t>Strategy</w:t>
      </w:r>
      <w:proofErr w:type="spellEnd"/>
      <w:r w:rsidRPr="00F30845">
        <w:rPr>
          <w:sz w:val="24"/>
          <w:szCs w:val="24"/>
        </w:rPr>
        <w:t>)</w:t>
      </w:r>
      <w:r w:rsidRPr="00CA7A53">
        <w:rPr>
          <w:sz w:val="24"/>
          <w:szCs w:val="24"/>
        </w:rPr>
        <w:t>.</w:t>
      </w:r>
      <w:r w:rsidRPr="00EC586F">
        <w:rPr>
          <w:sz w:val="24"/>
          <w:szCs w:val="24"/>
        </w:rPr>
        <w:t xml:space="preserve"> </w:t>
      </w:r>
      <w:r w:rsidRPr="00EC586F">
        <w:rPr>
          <w:sz w:val="24"/>
          <w:szCs w:val="24"/>
          <w:u w:val="single"/>
        </w:rPr>
        <w:t>Ministerstvo životného prostredia SR</w:t>
      </w:r>
      <w:r>
        <w:rPr>
          <w:sz w:val="24"/>
          <w:szCs w:val="24"/>
        </w:rPr>
        <w:t xml:space="preserve"> poskytlo finančné prostriedky (8</w:t>
      </w:r>
      <w:r w:rsidRPr="00EC586F">
        <w:rPr>
          <w:sz w:val="24"/>
          <w:szCs w:val="24"/>
        </w:rPr>
        <w:t> </w:t>
      </w:r>
      <w:r>
        <w:rPr>
          <w:sz w:val="24"/>
          <w:szCs w:val="24"/>
        </w:rPr>
        <w:t>402</w:t>
      </w:r>
      <w:r w:rsidRPr="00EC586F">
        <w:rPr>
          <w:sz w:val="24"/>
          <w:szCs w:val="24"/>
        </w:rPr>
        <w:t xml:space="preserve"> tis. eur) </w:t>
      </w:r>
      <w:r>
        <w:rPr>
          <w:sz w:val="24"/>
          <w:szCs w:val="24"/>
        </w:rPr>
        <w:t>v </w:t>
      </w:r>
      <w:r w:rsidRPr="004B66AD">
        <w:rPr>
          <w:sz w:val="24"/>
          <w:szCs w:val="24"/>
        </w:rPr>
        <w:t xml:space="preserve">rámci Operačného programu Kvalita životného prostredia </w:t>
      </w:r>
      <w:r>
        <w:rPr>
          <w:sz w:val="24"/>
          <w:szCs w:val="24"/>
        </w:rPr>
        <w:t xml:space="preserve">napr. </w:t>
      </w:r>
      <w:r w:rsidRPr="004B66AD">
        <w:rPr>
          <w:sz w:val="24"/>
          <w:szCs w:val="24"/>
        </w:rPr>
        <w:t>na zn</w:t>
      </w:r>
      <w:r w:rsidRPr="004B66AD">
        <w:rPr>
          <w:rFonts w:eastAsia="Times New Roman"/>
          <w:sz w:val="24"/>
          <w:szCs w:val="24"/>
        </w:rPr>
        <w:t xml:space="preserve">íženie energetickej náročnosti budov. Najväčší príjemcovia </w:t>
      </w:r>
      <w:r w:rsidRPr="004B66AD">
        <w:rPr>
          <w:sz w:val="24"/>
          <w:szCs w:val="24"/>
        </w:rPr>
        <w:t xml:space="preserve">finančných prostriedkov </w:t>
      </w:r>
      <w:r>
        <w:rPr>
          <w:sz w:val="24"/>
          <w:szCs w:val="24"/>
        </w:rPr>
        <w:t>boli</w:t>
      </w:r>
      <w:r w:rsidRPr="004B66AD">
        <w:rPr>
          <w:sz w:val="24"/>
          <w:szCs w:val="24"/>
        </w:rPr>
        <w:t xml:space="preserve"> </w:t>
      </w:r>
      <w:r>
        <w:rPr>
          <w:sz w:val="24"/>
          <w:szCs w:val="24"/>
        </w:rPr>
        <w:t>Univerzita Mateja Bela v </w:t>
      </w:r>
      <w:r w:rsidRPr="004B66AD">
        <w:rPr>
          <w:sz w:val="24"/>
          <w:szCs w:val="24"/>
        </w:rPr>
        <w:t>Banskej Bystrici (1</w:t>
      </w:r>
      <w:r>
        <w:rPr>
          <w:sz w:val="24"/>
          <w:szCs w:val="24"/>
        </w:rPr>
        <w:t> </w:t>
      </w:r>
      <w:r w:rsidRPr="004B66AD">
        <w:rPr>
          <w:sz w:val="24"/>
          <w:szCs w:val="24"/>
        </w:rPr>
        <w:t>76</w:t>
      </w:r>
      <w:r>
        <w:rPr>
          <w:sz w:val="24"/>
          <w:szCs w:val="24"/>
        </w:rPr>
        <w:t>2 tis. eur</w:t>
      </w:r>
      <w:r w:rsidRPr="004B66AD">
        <w:rPr>
          <w:sz w:val="24"/>
          <w:szCs w:val="24"/>
        </w:rPr>
        <w:t>), Univerzita veterinárskeho lekárstv</w:t>
      </w:r>
      <w:r>
        <w:rPr>
          <w:sz w:val="24"/>
          <w:szCs w:val="24"/>
        </w:rPr>
        <w:t>a a farmácie v Košiciach (1 748 tis. eur</w:t>
      </w:r>
      <w:r w:rsidRPr="004B66AD">
        <w:rPr>
          <w:sz w:val="24"/>
          <w:szCs w:val="24"/>
        </w:rPr>
        <w:t>) a Univerzita Pavla Jozefa Šafárika v Košiciach (1</w:t>
      </w:r>
      <w:r>
        <w:rPr>
          <w:sz w:val="24"/>
          <w:szCs w:val="24"/>
        </w:rPr>
        <w:t> </w:t>
      </w:r>
      <w:r w:rsidRPr="004B66AD">
        <w:rPr>
          <w:sz w:val="24"/>
          <w:szCs w:val="24"/>
        </w:rPr>
        <w:t>5</w:t>
      </w:r>
      <w:r>
        <w:rPr>
          <w:sz w:val="24"/>
          <w:szCs w:val="24"/>
        </w:rPr>
        <w:t>90 tis. eur</w:t>
      </w:r>
      <w:r w:rsidRPr="00585059">
        <w:rPr>
          <w:sz w:val="24"/>
          <w:szCs w:val="24"/>
        </w:rPr>
        <w:t>).</w:t>
      </w:r>
    </w:p>
    <w:p w14:paraId="0562BE8F" w14:textId="77777777" w:rsidR="00574126" w:rsidRDefault="00574126" w:rsidP="00574126">
      <w:pPr>
        <w:spacing w:line="240" w:lineRule="auto"/>
        <w:rPr>
          <w:sz w:val="24"/>
          <w:szCs w:val="24"/>
        </w:rPr>
      </w:pPr>
      <w:r w:rsidRPr="00EB44B3">
        <w:rPr>
          <w:b/>
          <w:i/>
          <w:sz w:val="24"/>
          <w:szCs w:val="24"/>
        </w:rPr>
        <w:t>Ostatným subjektom verejnej správy</w:t>
      </w:r>
      <w:r w:rsidRPr="00EC586F">
        <w:rPr>
          <w:sz w:val="24"/>
          <w:szCs w:val="24"/>
        </w:rPr>
        <w:t xml:space="preserve"> boli poskytnuté finančné prostriedky v celkovej sume </w:t>
      </w:r>
      <w:r>
        <w:rPr>
          <w:sz w:val="24"/>
          <w:szCs w:val="24"/>
        </w:rPr>
        <w:t>24</w:t>
      </w:r>
      <w:r w:rsidRPr="00EC586F">
        <w:rPr>
          <w:sz w:val="24"/>
          <w:szCs w:val="24"/>
        </w:rPr>
        <w:t> </w:t>
      </w:r>
      <w:r>
        <w:rPr>
          <w:sz w:val="24"/>
          <w:szCs w:val="24"/>
        </w:rPr>
        <w:t>173</w:t>
      </w:r>
      <w:r w:rsidRPr="00EC586F">
        <w:rPr>
          <w:sz w:val="24"/>
          <w:szCs w:val="24"/>
        </w:rPr>
        <w:t xml:space="preserve"> tis. eur, z toho najviac poskytlo </w:t>
      </w:r>
      <w:r w:rsidRPr="00276143">
        <w:rPr>
          <w:sz w:val="24"/>
          <w:szCs w:val="24"/>
          <w:u w:val="single"/>
        </w:rPr>
        <w:t>Ministerstvo životného prostredia SR</w:t>
      </w:r>
      <w:r>
        <w:rPr>
          <w:sz w:val="24"/>
          <w:szCs w:val="24"/>
        </w:rPr>
        <w:t xml:space="preserve"> (9 055 tis. eur) Slovenskému vodohospodárskemu podniku (7 558 tis. eur) </w:t>
      </w:r>
      <w:r w:rsidRPr="00276143">
        <w:rPr>
          <w:sz w:val="24"/>
          <w:szCs w:val="24"/>
        </w:rPr>
        <w:t>v rámci Operačného programu Kvalita životného prostredia</w:t>
      </w:r>
      <w:r>
        <w:rPr>
          <w:sz w:val="24"/>
          <w:szCs w:val="24"/>
        </w:rPr>
        <w:t xml:space="preserve">. </w:t>
      </w:r>
      <w:r w:rsidRPr="00EC586F">
        <w:rPr>
          <w:sz w:val="24"/>
          <w:szCs w:val="24"/>
          <w:u w:val="single"/>
        </w:rPr>
        <w:t>Ministerstvo školstva, vedy, výskumu a športu SR</w:t>
      </w:r>
      <w:r w:rsidRPr="00EC586F">
        <w:rPr>
          <w:sz w:val="24"/>
          <w:szCs w:val="24"/>
        </w:rPr>
        <w:t xml:space="preserve"> (</w:t>
      </w:r>
      <w:r>
        <w:rPr>
          <w:sz w:val="24"/>
          <w:szCs w:val="24"/>
        </w:rPr>
        <w:t>7 500</w:t>
      </w:r>
      <w:r w:rsidRPr="00EC586F">
        <w:rPr>
          <w:sz w:val="24"/>
          <w:szCs w:val="24"/>
        </w:rPr>
        <w:t xml:space="preserve"> tis. eur) </w:t>
      </w:r>
      <w:r w:rsidRPr="00486BDD">
        <w:rPr>
          <w:sz w:val="24"/>
          <w:szCs w:val="24"/>
        </w:rPr>
        <w:t>pre Fond na podporu športu na realizáciu projektu modernizácie, rekonštrukcie a budovania športovej infraštruktúry národného významu</w:t>
      </w:r>
      <w:r>
        <w:rPr>
          <w:sz w:val="24"/>
          <w:szCs w:val="24"/>
        </w:rPr>
        <w:t>.</w:t>
      </w:r>
    </w:p>
    <w:tbl>
      <w:tblPr>
        <w:tblW w:w="9080" w:type="dxa"/>
        <w:tblCellMar>
          <w:left w:w="70" w:type="dxa"/>
          <w:right w:w="70" w:type="dxa"/>
        </w:tblCellMar>
        <w:tblLook w:val="04A0" w:firstRow="1" w:lastRow="0" w:firstColumn="1" w:lastColumn="0" w:noHBand="0" w:noVBand="1"/>
      </w:tblPr>
      <w:tblGrid>
        <w:gridCol w:w="3320"/>
        <w:gridCol w:w="960"/>
        <w:gridCol w:w="960"/>
        <w:gridCol w:w="960"/>
        <w:gridCol w:w="960"/>
        <w:gridCol w:w="960"/>
        <w:gridCol w:w="960"/>
      </w:tblGrid>
      <w:tr w:rsidR="00574126" w:rsidRPr="00011050" w14:paraId="4E623597" w14:textId="77777777" w:rsidTr="00574126">
        <w:trPr>
          <w:trHeight w:val="300"/>
        </w:trPr>
        <w:tc>
          <w:tcPr>
            <w:tcW w:w="9080" w:type="dxa"/>
            <w:gridSpan w:val="7"/>
            <w:tcBorders>
              <w:top w:val="nil"/>
              <w:left w:val="nil"/>
              <w:bottom w:val="single" w:sz="8" w:space="0" w:color="auto"/>
              <w:right w:val="nil"/>
            </w:tcBorders>
            <w:shd w:val="clear" w:color="auto" w:fill="auto"/>
            <w:vAlign w:val="center"/>
            <w:hideMark/>
          </w:tcPr>
          <w:p w14:paraId="292A1487" w14:textId="3D3DB285" w:rsidR="00574126" w:rsidRPr="00011050" w:rsidRDefault="00D50C99" w:rsidP="008B3212">
            <w:pPr>
              <w:spacing w:after="0" w:line="240" w:lineRule="auto"/>
              <w:rPr>
                <w:rFonts w:eastAsia="Times New Roman" w:cs="Times New Roman"/>
                <w:b/>
                <w:bCs/>
                <w:color w:val="5B9BD5"/>
                <w:sz w:val="20"/>
                <w:szCs w:val="20"/>
                <w:lang w:eastAsia="sk-SK"/>
              </w:rPr>
            </w:pPr>
            <w:r>
              <w:rPr>
                <w:rFonts w:eastAsia="Times New Roman" w:cs="Times New Roman"/>
                <w:b/>
                <w:bCs/>
                <w:color w:val="5B9BD5"/>
                <w:sz w:val="20"/>
                <w:szCs w:val="20"/>
                <w:lang w:eastAsia="sk-SK"/>
              </w:rPr>
              <w:t>Tabuľka 4</w:t>
            </w:r>
            <w:r w:rsidR="008B3212">
              <w:rPr>
                <w:rFonts w:eastAsia="Times New Roman" w:cs="Times New Roman"/>
                <w:b/>
                <w:bCs/>
                <w:color w:val="5B9BD5"/>
                <w:sz w:val="20"/>
                <w:szCs w:val="20"/>
                <w:lang w:eastAsia="sk-SK"/>
              </w:rPr>
              <w:t>3</w:t>
            </w:r>
            <w:r w:rsidR="00574126" w:rsidRPr="00011050">
              <w:rPr>
                <w:rFonts w:eastAsia="Times New Roman" w:cs="Times New Roman"/>
                <w:b/>
                <w:bCs/>
                <w:color w:val="5B9BD5"/>
                <w:sz w:val="20"/>
                <w:szCs w:val="20"/>
                <w:lang w:eastAsia="sk-SK"/>
              </w:rPr>
              <w:t xml:space="preserve"> - Transfery v rámci verejnej správy</w:t>
            </w:r>
          </w:p>
        </w:tc>
      </w:tr>
      <w:tr w:rsidR="00574126" w:rsidRPr="00011050" w14:paraId="268A8FC8" w14:textId="77777777" w:rsidTr="00CE362A">
        <w:trPr>
          <w:trHeight w:val="289"/>
        </w:trPr>
        <w:tc>
          <w:tcPr>
            <w:tcW w:w="3320" w:type="dxa"/>
            <w:vMerge w:val="restart"/>
            <w:tcBorders>
              <w:top w:val="nil"/>
              <w:left w:val="nil"/>
              <w:bottom w:val="single" w:sz="8" w:space="0" w:color="000000"/>
              <w:right w:val="nil"/>
            </w:tcBorders>
            <w:shd w:val="clear" w:color="auto" w:fill="auto"/>
            <w:vAlign w:val="center"/>
            <w:hideMark/>
          </w:tcPr>
          <w:p w14:paraId="28AEC4B0" w14:textId="77777777" w:rsidR="00574126" w:rsidRPr="00011050" w:rsidRDefault="00574126" w:rsidP="00574126">
            <w:pPr>
              <w:spacing w:after="0" w:line="240" w:lineRule="auto"/>
              <w:jc w:val="left"/>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v tis. eur</w:t>
            </w:r>
          </w:p>
        </w:tc>
        <w:tc>
          <w:tcPr>
            <w:tcW w:w="960" w:type="dxa"/>
            <w:tcBorders>
              <w:top w:val="nil"/>
              <w:left w:val="nil"/>
              <w:bottom w:val="nil"/>
              <w:right w:val="nil"/>
            </w:tcBorders>
            <w:shd w:val="clear" w:color="auto" w:fill="auto"/>
            <w:vAlign w:val="center"/>
            <w:hideMark/>
          </w:tcPr>
          <w:p w14:paraId="53BC5DD1"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2020 S</w:t>
            </w:r>
          </w:p>
        </w:tc>
        <w:tc>
          <w:tcPr>
            <w:tcW w:w="960" w:type="dxa"/>
            <w:tcBorders>
              <w:top w:val="nil"/>
              <w:left w:val="nil"/>
              <w:bottom w:val="nil"/>
              <w:right w:val="nil"/>
            </w:tcBorders>
            <w:shd w:val="clear" w:color="auto" w:fill="auto"/>
            <w:vAlign w:val="center"/>
            <w:hideMark/>
          </w:tcPr>
          <w:p w14:paraId="7C67F882"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2021 S</w:t>
            </w:r>
          </w:p>
        </w:tc>
        <w:tc>
          <w:tcPr>
            <w:tcW w:w="960" w:type="dxa"/>
            <w:tcBorders>
              <w:top w:val="nil"/>
              <w:left w:val="nil"/>
              <w:bottom w:val="nil"/>
              <w:right w:val="nil"/>
            </w:tcBorders>
            <w:shd w:val="clear" w:color="auto" w:fill="auto"/>
            <w:vAlign w:val="center"/>
            <w:hideMark/>
          </w:tcPr>
          <w:p w14:paraId="3BB58E69"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2022 R</w:t>
            </w:r>
          </w:p>
        </w:tc>
        <w:tc>
          <w:tcPr>
            <w:tcW w:w="960" w:type="dxa"/>
            <w:tcBorders>
              <w:top w:val="nil"/>
              <w:left w:val="nil"/>
              <w:bottom w:val="nil"/>
              <w:right w:val="nil"/>
            </w:tcBorders>
            <w:shd w:val="clear" w:color="auto" w:fill="auto"/>
            <w:vAlign w:val="center"/>
            <w:hideMark/>
          </w:tcPr>
          <w:p w14:paraId="3F251D4C"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2022 S</w:t>
            </w:r>
          </w:p>
        </w:tc>
        <w:tc>
          <w:tcPr>
            <w:tcW w:w="960" w:type="dxa"/>
            <w:tcBorders>
              <w:top w:val="nil"/>
              <w:left w:val="nil"/>
              <w:bottom w:val="nil"/>
              <w:right w:val="nil"/>
            </w:tcBorders>
            <w:shd w:val="clear" w:color="auto" w:fill="auto"/>
            <w:vAlign w:val="center"/>
            <w:hideMark/>
          </w:tcPr>
          <w:p w14:paraId="0DE1CD92"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Rozdiel</w:t>
            </w:r>
          </w:p>
        </w:tc>
        <w:tc>
          <w:tcPr>
            <w:tcW w:w="960" w:type="dxa"/>
            <w:tcBorders>
              <w:top w:val="nil"/>
              <w:left w:val="nil"/>
              <w:bottom w:val="nil"/>
              <w:right w:val="nil"/>
            </w:tcBorders>
            <w:shd w:val="clear" w:color="auto" w:fill="auto"/>
            <w:vAlign w:val="center"/>
            <w:hideMark/>
          </w:tcPr>
          <w:p w14:paraId="2A980F2A"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v %</w:t>
            </w:r>
          </w:p>
        </w:tc>
      </w:tr>
      <w:tr w:rsidR="00574126" w:rsidRPr="00011050" w14:paraId="72F2E096" w14:textId="77777777" w:rsidTr="00CE362A">
        <w:trPr>
          <w:trHeight w:val="289"/>
        </w:trPr>
        <w:tc>
          <w:tcPr>
            <w:tcW w:w="3320" w:type="dxa"/>
            <w:vMerge/>
            <w:tcBorders>
              <w:top w:val="nil"/>
              <w:left w:val="nil"/>
              <w:bottom w:val="single" w:sz="8" w:space="0" w:color="000000"/>
              <w:right w:val="nil"/>
            </w:tcBorders>
            <w:vAlign w:val="center"/>
            <w:hideMark/>
          </w:tcPr>
          <w:p w14:paraId="2CBAB71C" w14:textId="77777777" w:rsidR="00574126" w:rsidRPr="00011050" w:rsidRDefault="00574126" w:rsidP="00574126">
            <w:pPr>
              <w:spacing w:after="0" w:line="240" w:lineRule="auto"/>
              <w:jc w:val="left"/>
              <w:rPr>
                <w:rFonts w:eastAsia="Times New Roman" w:cs="Times New Roman"/>
                <w:b/>
                <w:bCs/>
                <w:color w:val="000000"/>
                <w:sz w:val="20"/>
                <w:szCs w:val="20"/>
                <w:lang w:eastAsia="sk-SK"/>
              </w:rPr>
            </w:pPr>
          </w:p>
        </w:tc>
        <w:tc>
          <w:tcPr>
            <w:tcW w:w="960" w:type="dxa"/>
            <w:tcBorders>
              <w:top w:val="nil"/>
              <w:left w:val="nil"/>
              <w:bottom w:val="single" w:sz="8" w:space="0" w:color="auto"/>
              <w:right w:val="nil"/>
            </w:tcBorders>
            <w:shd w:val="clear" w:color="auto" w:fill="auto"/>
            <w:vAlign w:val="center"/>
            <w:hideMark/>
          </w:tcPr>
          <w:p w14:paraId="120F83A4"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1</w:t>
            </w:r>
          </w:p>
        </w:tc>
        <w:tc>
          <w:tcPr>
            <w:tcW w:w="960" w:type="dxa"/>
            <w:tcBorders>
              <w:top w:val="nil"/>
              <w:left w:val="nil"/>
              <w:bottom w:val="single" w:sz="8" w:space="0" w:color="auto"/>
              <w:right w:val="nil"/>
            </w:tcBorders>
            <w:shd w:val="clear" w:color="auto" w:fill="auto"/>
            <w:vAlign w:val="center"/>
            <w:hideMark/>
          </w:tcPr>
          <w:p w14:paraId="7839F594"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2</w:t>
            </w:r>
          </w:p>
        </w:tc>
        <w:tc>
          <w:tcPr>
            <w:tcW w:w="960" w:type="dxa"/>
            <w:tcBorders>
              <w:top w:val="nil"/>
              <w:left w:val="nil"/>
              <w:bottom w:val="single" w:sz="8" w:space="0" w:color="auto"/>
              <w:right w:val="nil"/>
            </w:tcBorders>
            <w:shd w:val="clear" w:color="auto" w:fill="auto"/>
            <w:vAlign w:val="center"/>
            <w:hideMark/>
          </w:tcPr>
          <w:p w14:paraId="628F2826"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3</w:t>
            </w:r>
          </w:p>
        </w:tc>
        <w:tc>
          <w:tcPr>
            <w:tcW w:w="960" w:type="dxa"/>
            <w:tcBorders>
              <w:top w:val="nil"/>
              <w:left w:val="nil"/>
              <w:bottom w:val="single" w:sz="8" w:space="0" w:color="auto"/>
              <w:right w:val="nil"/>
            </w:tcBorders>
            <w:shd w:val="clear" w:color="auto" w:fill="auto"/>
            <w:vAlign w:val="center"/>
            <w:hideMark/>
          </w:tcPr>
          <w:p w14:paraId="29041D89"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4</w:t>
            </w:r>
          </w:p>
        </w:tc>
        <w:tc>
          <w:tcPr>
            <w:tcW w:w="960" w:type="dxa"/>
            <w:tcBorders>
              <w:top w:val="nil"/>
              <w:left w:val="nil"/>
              <w:bottom w:val="single" w:sz="8" w:space="0" w:color="auto"/>
              <w:right w:val="nil"/>
            </w:tcBorders>
            <w:shd w:val="clear" w:color="auto" w:fill="auto"/>
            <w:vAlign w:val="center"/>
            <w:hideMark/>
          </w:tcPr>
          <w:p w14:paraId="1DEDE18B"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5=4-3</w:t>
            </w:r>
          </w:p>
        </w:tc>
        <w:tc>
          <w:tcPr>
            <w:tcW w:w="960" w:type="dxa"/>
            <w:tcBorders>
              <w:top w:val="nil"/>
              <w:left w:val="nil"/>
              <w:bottom w:val="single" w:sz="8" w:space="0" w:color="auto"/>
              <w:right w:val="nil"/>
            </w:tcBorders>
            <w:shd w:val="clear" w:color="auto" w:fill="auto"/>
            <w:vAlign w:val="center"/>
            <w:hideMark/>
          </w:tcPr>
          <w:p w14:paraId="49F263FE" w14:textId="77777777" w:rsidR="00574126" w:rsidRPr="00011050" w:rsidRDefault="00574126" w:rsidP="00574126">
            <w:pPr>
              <w:spacing w:after="0" w:line="240" w:lineRule="auto"/>
              <w:jc w:val="center"/>
              <w:rPr>
                <w:rFonts w:eastAsia="Times New Roman" w:cs="Times New Roman"/>
                <w:b/>
                <w:bCs/>
                <w:color w:val="000000"/>
                <w:sz w:val="20"/>
                <w:szCs w:val="20"/>
                <w:lang w:eastAsia="sk-SK"/>
              </w:rPr>
            </w:pPr>
            <w:r w:rsidRPr="00011050">
              <w:rPr>
                <w:rFonts w:eastAsia="Times New Roman" w:cs="Times New Roman"/>
                <w:b/>
                <w:bCs/>
                <w:color w:val="000000"/>
                <w:sz w:val="20"/>
                <w:szCs w:val="20"/>
                <w:lang w:eastAsia="sk-SK"/>
              </w:rPr>
              <w:t>6=4-3</w:t>
            </w:r>
          </w:p>
        </w:tc>
      </w:tr>
      <w:tr w:rsidR="00574126" w:rsidRPr="00011050" w14:paraId="3D5A4762" w14:textId="77777777" w:rsidTr="00CE362A">
        <w:trPr>
          <w:trHeight w:val="289"/>
        </w:trPr>
        <w:tc>
          <w:tcPr>
            <w:tcW w:w="3320" w:type="dxa"/>
            <w:tcBorders>
              <w:top w:val="nil"/>
              <w:left w:val="nil"/>
              <w:bottom w:val="nil"/>
              <w:right w:val="nil"/>
            </w:tcBorders>
            <w:shd w:val="clear" w:color="auto" w:fill="auto"/>
            <w:vAlign w:val="center"/>
            <w:hideMark/>
          </w:tcPr>
          <w:p w14:paraId="6A9EC81C" w14:textId="77777777" w:rsidR="00574126" w:rsidRPr="00011050" w:rsidRDefault="00574126" w:rsidP="00574126">
            <w:pPr>
              <w:spacing w:after="0" w:line="240" w:lineRule="auto"/>
              <w:jc w:val="left"/>
              <w:rPr>
                <w:rFonts w:eastAsia="Times New Roman" w:cs="Times New Roman"/>
                <w:color w:val="000000"/>
                <w:sz w:val="20"/>
                <w:szCs w:val="20"/>
                <w:lang w:eastAsia="sk-SK"/>
              </w:rPr>
            </w:pPr>
            <w:r w:rsidRPr="00011050">
              <w:rPr>
                <w:rFonts w:eastAsia="Times New Roman" w:cs="Times New Roman"/>
                <w:color w:val="000000"/>
                <w:sz w:val="20"/>
                <w:szCs w:val="20"/>
                <w:lang w:eastAsia="sk-SK"/>
              </w:rPr>
              <w:t>Národnej diaľničnej spoločnosti</w:t>
            </w:r>
          </w:p>
        </w:tc>
        <w:tc>
          <w:tcPr>
            <w:tcW w:w="960" w:type="dxa"/>
            <w:tcBorders>
              <w:top w:val="nil"/>
              <w:left w:val="nil"/>
              <w:bottom w:val="nil"/>
              <w:right w:val="nil"/>
            </w:tcBorders>
            <w:shd w:val="clear" w:color="auto" w:fill="auto"/>
            <w:noWrap/>
            <w:vAlign w:val="center"/>
            <w:hideMark/>
          </w:tcPr>
          <w:p w14:paraId="686FD07B"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434 170</w:t>
            </w:r>
          </w:p>
        </w:tc>
        <w:tc>
          <w:tcPr>
            <w:tcW w:w="960" w:type="dxa"/>
            <w:tcBorders>
              <w:top w:val="nil"/>
              <w:left w:val="nil"/>
              <w:bottom w:val="nil"/>
              <w:right w:val="nil"/>
            </w:tcBorders>
            <w:shd w:val="clear" w:color="auto" w:fill="auto"/>
            <w:noWrap/>
            <w:vAlign w:val="center"/>
            <w:hideMark/>
          </w:tcPr>
          <w:p w14:paraId="249DF79F"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371 887</w:t>
            </w:r>
          </w:p>
        </w:tc>
        <w:tc>
          <w:tcPr>
            <w:tcW w:w="960" w:type="dxa"/>
            <w:tcBorders>
              <w:top w:val="nil"/>
              <w:left w:val="nil"/>
              <w:bottom w:val="nil"/>
              <w:right w:val="nil"/>
            </w:tcBorders>
            <w:shd w:val="clear" w:color="auto" w:fill="auto"/>
            <w:noWrap/>
            <w:vAlign w:val="center"/>
            <w:hideMark/>
          </w:tcPr>
          <w:p w14:paraId="5B3148AE"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362 048</w:t>
            </w:r>
          </w:p>
        </w:tc>
        <w:tc>
          <w:tcPr>
            <w:tcW w:w="960" w:type="dxa"/>
            <w:tcBorders>
              <w:top w:val="nil"/>
              <w:left w:val="nil"/>
              <w:bottom w:val="nil"/>
              <w:right w:val="nil"/>
            </w:tcBorders>
            <w:shd w:val="clear" w:color="auto" w:fill="auto"/>
            <w:noWrap/>
            <w:vAlign w:val="center"/>
            <w:hideMark/>
          </w:tcPr>
          <w:p w14:paraId="0CBE24B7"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441 132</w:t>
            </w:r>
          </w:p>
        </w:tc>
        <w:tc>
          <w:tcPr>
            <w:tcW w:w="960" w:type="dxa"/>
            <w:tcBorders>
              <w:top w:val="nil"/>
              <w:left w:val="nil"/>
              <w:bottom w:val="nil"/>
              <w:right w:val="nil"/>
            </w:tcBorders>
            <w:shd w:val="clear" w:color="auto" w:fill="auto"/>
            <w:noWrap/>
            <w:vAlign w:val="center"/>
            <w:hideMark/>
          </w:tcPr>
          <w:p w14:paraId="75932A5D"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79 084</w:t>
            </w:r>
          </w:p>
        </w:tc>
        <w:tc>
          <w:tcPr>
            <w:tcW w:w="960" w:type="dxa"/>
            <w:tcBorders>
              <w:top w:val="nil"/>
              <w:left w:val="nil"/>
              <w:bottom w:val="nil"/>
              <w:right w:val="nil"/>
            </w:tcBorders>
            <w:shd w:val="clear" w:color="auto" w:fill="auto"/>
            <w:noWrap/>
            <w:vAlign w:val="center"/>
            <w:hideMark/>
          </w:tcPr>
          <w:p w14:paraId="29CD203B" w14:textId="7F6D23A6" w:rsidR="00574126" w:rsidRPr="00574126" w:rsidRDefault="00DC6B0D" w:rsidP="00574126">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21,8</w:t>
            </w:r>
          </w:p>
        </w:tc>
      </w:tr>
      <w:tr w:rsidR="00574126" w:rsidRPr="00011050" w14:paraId="406747EA" w14:textId="77777777" w:rsidTr="00CE362A">
        <w:trPr>
          <w:trHeight w:val="289"/>
        </w:trPr>
        <w:tc>
          <w:tcPr>
            <w:tcW w:w="3320" w:type="dxa"/>
            <w:tcBorders>
              <w:top w:val="nil"/>
              <w:left w:val="nil"/>
              <w:bottom w:val="nil"/>
              <w:right w:val="nil"/>
            </w:tcBorders>
            <w:shd w:val="clear" w:color="auto" w:fill="auto"/>
            <w:vAlign w:val="center"/>
            <w:hideMark/>
          </w:tcPr>
          <w:p w14:paraId="4B714D2C" w14:textId="77777777" w:rsidR="00574126" w:rsidRPr="00011050" w:rsidRDefault="00574126" w:rsidP="00574126">
            <w:pPr>
              <w:spacing w:after="0" w:line="240" w:lineRule="auto"/>
              <w:jc w:val="left"/>
              <w:rPr>
                <w:rFonts w:eastAsia="Times New Roman" w:cs="Times New Roman"/>
                <w:color w:val="000000"/>
                <w:sz w:val="20"/>
                <w:szCs w:val="20"/>
                <w:lang w:eastAsia="sk-SK"/>
              </w:rPr>
            </w:pPr>
            <w:r w:rsidRPr="00011050">
              <w:rPr>
                <w:rFonts w:eastAsia="Times New Roman" w:cs="Times New Roman"/>
                <w:color w:val="000000"/>
                <w:sz w:val="20"/>
                <w:szCs w:val="20"/>
                <w:lang w:eastAsia="sk-SK"/>
              </w:rPr>
              <w:t>Obciam</w:t>
            </w:r>
          </w:p>
        </w:tc>
        <w:tc>
          <w:tcPr>
            <w:tcW w:w="960" w:type="dxa"/>
            <w:tcBorders>
              <w:top w:val="nil"/>
              <w:left w:val="nil"/>
              <w:bottom w:val="nil"/>
              <w:right w:val="nil"/>
            </w:tcBorders>
            <w:shd w:val="clear" w:color="auto" w:fill="auto"/>
            <w:noWrap/>
            <w:vAlign w:val="center"/>
            <w:hideMark/>
          </w:tcPr>
          <w:p w14:paraId="54AA7144"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325 274</w:t>
            </w:r>
          </w:p>
        </w:tc>
        <w:tc>
          <w:tcPr>
            <w:tcW w:w="960" w:type="dxa"/>
            <w:tcBorders>
              <w:top w:val="nil"/>
              <w:left w:val="nil"/>
              <w:bottom w:val="nil"/>
              <w:right w:val="nil"/>
            </w:tcBorders>
            <w:shd w:val="clear" w:color="auto" w:fill="auto"/>
            <w:noWrap/>
            <w:vAlign w:val="center"/>
            <w:hideMark/>
          </w:tcPr>
          <w:p w14:paraId="29C82734"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214 362</w:t>
            </w:r>
          </w:p>
        </w:tc>
        <w:tc>
          <w:tcPr>
            <w:tcW w:w="960" w:type="dxa"/>
            <w:tcBorders>
              <w:top w:val="nil"/>
              <w:left w:val="nil"/>
              <w:bottom w:val="nil"/>
              <w:right w:val="nil"/>
            </w:tcBorders>
            <w:shd w:val="clear" w:color="auto" w:fill="auto"/>
            <w:noWrap/>
            <w:vAlign w:val="center"/>
            <w:hideMark/>
          </w:tcPr>
          <w:p w14:paraId="7E94C623"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192 500</w:t>
            </w:r>
          </w:p>
        </w:tc>
        <w:tc>
          <w:tcPr>
            <w:tcW w:w="960" w:type="dxa"/>
            <w:tcBorders>
              <w:top w:val="nil"/>
              <w:left w:val="nil"/>
              <w:bottom w:val="nil"/>
              <w:right w:val="nil"/>
            </w:tcBorders>
            <w:shd w:val="clear" w:color="auto" w:fill="auto"/>
            <w:noWrap/>
            <w:vAlign w:val="center"/>
            <w:hideMark/>
          </w:tcPr>
          <w:p w14:paraId="2C821B29"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216 793</w:t>
            </w:r>
          </w:p>
        </w:tc>
        <w:tc>
          <w:tcPr>
            <w:tcW w:w="960" w:type="dxa"/>
            <w:tcBorders>
              <w:top w:val="nil"/>
              <w:left w:val="nil"/>
              <w:bottom w:val="nil"/>
              <w:right w:val="nil"/>
            </w:tcBorders>
            <w:shd w:val="clear" w:color="auto" w:fill="auto"/>
            <w:noWrap/>
            <w:vAlign w:val="center"/>
            <w:hideMark/>
          </w:tcPr>
          <w:p w14:paraId="1658C3D9"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24 293</w:t>
            </w:r>
          </w:p>
        </w:tc>
        <w:tc>
          <w:tcPr>
            <w:tcW w:w="960" w:type="dxa"/>
            <w:tcBorders>
              <w:top w:val="nil"/>
              <w:left w:val="nil"/>
              <w:bottom w:val="nil"/>
              <w:right w:val="nil"/>
            </w:tcBorders>
            <w:shd w:val="clear" w:color="auto" w:fill="auto"/>
            <w:noWrap/>
            <w:vAlign w:val="center"/>
            <w:hideMark/>
          </w:tcPr>
          <w:p w14:paraId="665E080A" w14:textId="162247BE" w:rsidR="00574126" w:rsidRPr="00574126" w:rsidRDefault="00E2122B" w:rsidP="00DC6B0D">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12,6</w:t>
            </w:r>
          </w:p>
        </w:tc>
      </w:tr>
      <w:tr w:rsidR="00574126" w:rsidRPr="00011050" w14:paraId="65F03891" w14:textId="77777777" w:rsidTr="00CE362A">
        <w:trPr>
          <w:trHeight w:val="289"/>
        </w:trPr>
        <w:tc>
          <w:tcPr>
            <w:tcW w:w="3320" w:type="dxa"/>
            <w:tcBorders>
              <w:top w:val="nil"/>
              <w:left w:val="nil"/>
              <w:bottom w:val="nil"/>
              <w:right w:val="nil"/>
            </w:tcBorders>
            <w:shd w:val="clear" w:color="auto" w:fill="auto"/>
            <w:vAlign w:val="center"/>
            <w:hideMark/>
          </w:tcPr>
          <w:p w14:paraId="553EC582" w14:textId="77777777" w:rsidR="00574126" w:rsidRPr="00011050" w:rsidRDefault="00574126" w:rsidP="00574126">
            <w:pPr>
              <w:spacing w:after="0" w:line="240" w:lineRule="auto"/>
              <w:jc w:val="left"/>
              <w:rPr>
                <w:rFonts w:eastAsia="Times New Roman" w:cs="Times New Roman"/>
                <w:color w:val="000000"/>
                <w:sz w:val="20"/>
                <w:szCs w:val="20"/>
                <w:lang w:eastAsia="sk-SK"/>
              </w:rPr>
            </w:pPr>
            <w:r w:rsidRPr="00011050">
              <w:rPr>
                <w:rFonts w:eastAsia="Times New Roman" w:cs="Times New Roman"/>
                <w:color w:val="000000"/>
                <w:sz w:val="20"/>
                <w:szCs w:val="20"/>
                <w:lang w:eastAsia="sk-SK"/>
              </w:rPr>
              <w:t>Železniciam SR</w:t>
            </w:r>
          </w:p>
        </w:tc>
        <w:tc>
          <w:tcPr>
            <w:tcW w:w="960" w:type="dxa"/>
            <w:tcBorders>
              <w:top w:val="nil"/>
              <w:left w:val="nil"/>
              <w:bottom w:val="nil"/>
              <w:right w:val="nil"/>
            </w:tcBorders>
            <w:shd w:val="clear" w:color="auto" w:fill="auto"/>
            <w:noWrap/>
            <w:vAlign w:val="center"/>
            <w:hideMark/>
          </w:tcPr>
          <w:p w14:paraId="642BDC79"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98 000</w:t>
            </w:r>
          </w:p>
        </w:tc>
        <w:tc>
          <w:tcPr>
            <w:tcW w:w="960" w:type="dxa"/>
            <w:tcBorders>
              <w:top w:val="nil"/>
              <w:left w:val="nil"/>
              <w:bottom w:val="nil"/>
              <w:right w:val="nil"/>
            </w:tcBorders>
            <w:shd w:val="clear" w:color="auto" w:fill="auto"/>
            <w:noWrap/>
            <w:vAlign w:val="center"/>
            <w:hideMark/>
          </w:tcPr>
          <w:p w14:paraId="01B5FC68"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130 654</w:t>
            </w:r>
          </w:p>
        </w:tc>
        <w:tc>
          <w:tcPr>
            <w:tcW w:w="960" w:type="dxa"/>
            <w:tcBorders>
              <w:top w:val="nil"/>
              <w:left w:val="nil"/>
              <w:bottom w:val="nil"/>
              <w:right w:val="nil"/>
            </w:tcBorders>
            <w:shd w:val="clear" w:color="auto" w:fill="auto"/>
            <w:noWrap/>
            <w:vAlign w:val="center"/>
            <w:hideMark/>
          </w:tcPr>
          <w:p w14:paraId="3DA0CB38"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0</w:t>
            </w:r>
          </w:p>
        </w:tc>
        <w:tc>
          <w:tcPr>
            <w:tcW w:w="960" w:type="dxa"/>
            <w:tcBorders>
              <w:top w:val="nil"/>
              <w:left w:val="nil"/>
              <w:bottom w:val="nil"/>
              <w:right w:val="nil"/>
            </w:tcBorders>
            <w:shd w:val="clear" w:color="auto" w:fill="auto"/>
            <w:noWrap/>
            <w:vAlign w:val="center"/>
            <w:hideMark/>
          </w:tcPr>
          <w:p w14:paraId="5CA0E7FB"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195 484</w:t>
            </w:r>
          </w:p>
        </w:tc>
        <w:tc>
          <w:tcPr>
            <w:tcW w:w="960" w:type="dxa"/>
            <w:tcBorders>
              <w:top w:val="nil"/>
              <w:left w:val="nil"/>
              <w:bottom w:val="nil"/>
              <w:right w:val="nil"/>
            </w:tcBorders>
            <w:shd w:val="clear" w:color="auto" w:fill="auto"/>
            <w:noWrap/>
            <w:vAlign w:val="center"/>
            <w:hideMark/>
          </w:tcPr>
          <w:p w14:paraId="23F0615A"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195 484</w:t>
            </w:r>
          </w:p>
        </w:tc>
        <w:tc>
          <w:tcPr>
            <w:tcW w:w="960" w:type="dxa"/>
            <w:tcBorders>
              <w:top w:val="nil"/>
              <w:left w:val="nil"/>
              <w:bottom w:val="nil"/>
              <w:right w:val="nil"/>
            </w:tcBorders>
            <w:shd w:val="clear" w:color="auto" w:fill="auto"/>
            <w:noWrap/>
            <w:vAlign w:val="center"/>
            <w:hideMark/>
          </w:tcPr>
          <w:p w14:paraId="57D37304" w14:textId="745CE3C5"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0</w:t>
            </w:r>
          </w:p>
        </w:tc>
      </w:tr>
      <w:tr w:rsidR="00574126" w:rsidRPr="00011050" w14:paraId="6409103E" w14:textId="77777777" w:rsidTr="00CE362A">
        <w:trPr>
          <w:trHeight w:val="289"/>
        </w:trPr>
        <w:tc>
          <w:tcPr>
            <w:tcW w:w="3320" w:type="dxa"/>
            <w:tcBorders>
              <w:top w:val="nil"/>
              <w:left w:val="nil"/>
              <w:bottom w:val="nil"/>
              <w:right w:val="nil"/>
            </w:tcBorders>
            <w:shd w:val="clear" w:color="auto" w:fill="auto"/>
            <w:vAlign w:val="center"/>
            <w:hideMark/>
          </w:tcPr>
          <w:p w14:paraId="4BB703E4" w14:textId="77777777" w:rsidR="00574126" w:rsidRPr="00011050" w:rsidRDefault="00574126" w:rsidP="00574126">
            <w:pPr>
              <w:spacing w:after="0" w:line="240" w:lineRule="auto"/>
              <w:jc w:val="left"/>
              <w:rPr>
                <w:rFonts w:eastAsia="Times New Roman" w:cs="Times New Roman"/>
                <w:color w:val="000000"/>
                <w:sz w:val="20"/>
                <w:szCs w:val="20"/>
                <w:lang w:eastAsia="sk-SK"/>
              </w:rPr>
            </w:pPr>
            <w:r w:rsidRPr="00011050">
              <w:rPr>
                <w:rFonts w:eastAsia="Times New Roman" w:cs="Times New Roman"/>
                <w:color w:val="000000"/>
                <w:sz w:val="20"/>
                <w:szCs w:val="20"/>
                <w:lang w:eastAsia="sk-SK"/>
              </w:rPr>
              <w:t>Štátnym príspevkovým organizáciám</w:t>
            </w:r>
          </w:p>
        </w:tc>
        <w:tc>
          <w:tcPr>
            <w:tcW w:w="960" w:type="dxa"/>
            <w:tcBorders>
              <w:top w:val="nil"/>
              <w:left w:val="nil"/>
              <w:bottom w:val="nil"/>
              <w:right w:val="nil"/>
            </w:tcBorders>
            <w:shd w:val="clear" w:color="auto" w:fill="auto"/>
            <w:noWrap/>
            <w:vAlign w:val="center"/>
            <w:hideMark/>
          </w:tcPr>
          <w:p w14:paraId="471D2D46"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152 338</w:t>
            </w:r>
          </w:p>
        </w:tc>
        <w:tc>
          <w:tcPr>
            <w:tcW w:w="960" w:type="dxa"/>
            <w:tcBorders>
              <w:top w:val="nil"/>
              <w:left w:val="nil"/>
              <w:bottom w:val="nil"/>
              <w:right w:val="nil"/>
            </w:tcBorders>
            <w:shd w:val="clear" w:color="auto" w:fill="auto"/>
            <w:noWrap/>
            <w:vAlign w:val="center"/>
            <w:hideMark/>
          </w:tcPr>
          <w:p w14:paraId="455EC267"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123 507</w:t>
            </w:r>
          </w:p>
        </w:tc>
        <w:tc>
          <w:tcPr>
            <w:tcW w:w="960" w:type="dxa"/>
            <w:tcBorders>
              <w:top w:val="nil"/>
              <w:left w:val="nil"/>
              <w:bottom w:val="nil"/>
              <w:right w:val="nil"/>
            </w:tcBorders>
            <w:shd w:val="clear" w:color="auto" w:fill="auto"/>
            <w:noWrap/>
            <w:vAlign w:val="center"/>
            <w:hideMark/>
          </w:tcPr>
          <w:p w14:paraId="5F54B971"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33 723</w:t>
            </w:r>
          </w:p>
        </w:tc>
        <w:tc>
          <w:tcPr>
            <w:tcW w:w="960" w:type="dxa"/>
            <w:tcBorders>
              <w:top w:val="nil"/>
              <w:left w:val="nil"/>
              <w:bottom w:val="nil"/>
              <w:right w:val="nil"/>
            </w:tcBorders>
            <w:shd w:val="clear" w:color="auto" w:fill="auto"/>
            <w:noWrap/>
            <w:vAlign w:val="center"/>
            <w:hideMark/>
          </w:tcPr>
          <w:p w14:paraId="505AFD97"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139 919</w:t>
            </w:r>
          </w:p>
        </w:tc>
        <w:tc>
          <w:tcPr>
            <w:tcW w:w="960" w:type="dxa"/>
            <w:tcBorders>
              <w:top w:val="nil"/>
              <w:left w:val="nil"/>
              <w:bottom w:val="nil"/>
              <w:right w:val="nil"/>
            </w:tcBorders>
            <w:shd w:val="clear" w:color="auto" w:fill="auto"/>
            <w:noWrap/>
            <w:vAlign w:val="center"/>
            <w:hideMark/>
          </w:tcPr>
          <w:p w14:paraId="4DBF6604"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106 196</w:t>
            </w:r>
          </w:p>
        </w:tc>
        <w:tc>
          <w:tcPr>
            <w:tcW w:w="960" w:type="dxa"/>
            <w:tcBorders>
              <w:top w:val="nil"/>
              <w:left w:val="nil"/>
              <w:bottom w:val="nil"/>
              <w:right w:val="nil"/>
            </w:tcBorders>
            <w:shd w:val="clear" w:color="auto" w:fill="auto"/>
            <w:noWrap/>
            <w:vAlign w:val="center"/>
            <w:hideMark/>
          </w:tcPr>
          <w:p w14:paraId="42B99154" w14:textId="3E2C9FB4" w:rsidR="00574126" w:rsidRPr="00574126" w:rsidRDefault="00E2122B" w:rsidP="00DC6B0D">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314,9</w:t>
            </w:r>
          </w:p>
        </w:tc>
      </w:tr>
      <w:tr w:rsidR="00574126" w:rsidRPr="00011050" w14:paraId="1AACEC1D" w14:textId="77777777" w:rsidTr="00CE362A">
        <w:trPr>
          <w:trHeight w:val="289"/>
        </w:trPr>
        <w:tc>
          <w:tcPr>
            <w:tcW w:w="3320" w:type="dxa"/>
            <w:tcBorders>
              <w:top w:val="nil"/>
              <w:left w:val="nil"/>
              <w:bottom w:val="nil"/>
              <w:right w:val="nil"/>
            </w:tcBorders>
            <w:shd w:val="clear" w:color="auto" w:fill="auto"/>
            <w:vAlign w:val="center"/>
            <w:hideMark/>
          </w:tcPr>
          <w:p w14:paraId="4AC0F45D" w14:textId="77777777" w:rsidR="00574126" w:rsidRPr="00011050" w:rsidRDefault="00574126" w:rsidP="00574126">
            <w:pPr>
              <w:spacing w:after="0" w:line="240" w:lineRule="auto"/>
              <w:jc w:val="left"/>
              <w:rPr>
                <w:rFonts w:eastAsia="Times New Roman" w:cs="Times New Roman"/>
                <w:color w:val="000000"/>
                <w:sz w:val="20"/>
                <w:szCs w:val="20"/>
                <w:lang w:eastAsia="sk-SK"/>
              </w:rPr>
            </w:pPr>
            <w:r w:rsidRPr="00011050">
              <w:rPr>
                <w:rFonts w:eastAsia="Times New Roman" w:cs="Times New Roman"/>
                <w:color w:val="000000"/>
                <w:sz w:val="20"/>
                <w:szCs w:val="20"/>
                <w:lang w:eastAsia="sk-SK"/>
              </w:rPr>
              <w:t>Železničnej spoločnosti Slovensko</w:t>
            </w:r>
          </w:p>
        </w:tc>
        <w:tc>
          <w:tcPr>
            <w:tcW w:w="960" w:type="dxa"/>
            <w:tcBorders>
              <w:top w:val="nil"/>
              <w:left w:val="nil"/>
              <w:bottom w:val="nil"/>
              <w:right w:val="nil"/>
            </w:tcBorders>
            <w:shd w:val="clear" w:color="auto" w:fill="auto"/>
            <w:noWrap/>
            <w:vAlign w:val="center"/>
            <w:hideMark/>
          </w:tcPr>
          <w:p w14:paraId="676B6574"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54 496</w:t>
            </w:r>
          </w:p>
        </w:tc>
        <w:tc>
          <w:tcPr>
            <w:tcW w:w="960" w:type="dxa"/>
            <w:tcBorders>
              <w:top w:val="nil"/>
              <w:left w:val="nil"/>
              <w:bottom w:val="nil"/>
              <w:right w:val="nil"/>
            </w:tcBorders>
            <w:shd w:val="clear" w:color="auto" w:fill="auto"/>
            <w:noWrap/>
            <w:vAlign w:val="center"/>
            <w:hideMark/>
          </w:tcPr>
          <w:p w14:paraId="1E2012E5"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173 863</w:t>
            </w:r>
          </w:p>
        </w:tc>
        <w:tc>
          <w:tcPr>
            <w:tcW w:w="960" w:type="dxa"/>
            <w:tcBorders>
              <w:top w:val="nil"/>
              <w:left w:val="nil"/>
              <w:bottom w:val="nil"/>
              <w:right w:val="nil"/>
            </w:tcBorders>
            <w:shd w:val="clear" w:color="auto" w:fill="auto"/>
            <w:noWrap/>
            <w:vAlign w:val="center"/>
            <w:hideMark/>
          </w:tcPr>
          <w:p w14:paraId="4F81A96A"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146 340</w:t>
            </w:r>
          </w:p>
        </w:tc>
        <w:tc>
          <w:tcPr>
            <w:tcW w:w="960" w:type="dxa"/>
            <w:tcBorders>
              <w:top w:val="nil"/>
              <w:left w:val="nil"/>
              <w:bottom w:val="nil"/>
              <w:right w:val="nil"/>
            </w:tcBorders>
            <w:shd w:val="clear" w:color="auto" w:fill="auto"/>
            <w:noWrap/>
            <w:vAlign w:val="center"/>
            <w:hideMark/>
          </w:tcPr>
          <w:p w14:paraId="3C4D39A0"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87 304</w:t>
            </w:r>
          </w:p>
        </w:tc>
        <w:tc>
          <w:tcPr>
            <w:tcW w:w="960" w:type="dxa"/>
            <w:tcBorders>
              <w:top w:val="nil"/>
              <w:left w:val="nil"/>
              <w:bottom w:val="nil"/>
              <w:right w:val="nil"/>
            </w:tcBorders>
            <w:shd w:val="clear" w:color="auto" w:fill="auto"/>
            <w:noWrap/>
            <w:vAlign w:val="center"/>
            <w:hideMark/>
          </w:tcPr>
          <w:p w14:paraId="79A87B19"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-59 036</w:t>
            </w:r>
          </w:p>
        </w:tc>
        <w:tc>
          <w:tcPr>
            <w:tcW w:w="960" w:type="dxa"/>
            <w:tcBorders>
              <w:top w:val="nil"/>
              <w:left w:val="nil"/>
              <w:bottom w:val="nil"/>
              <w:right w:val="nil"/>
            </w:tcBorders>
            <w:shd w:val="clear" w:color="auto" w:fill="auto"/>
            <w:noWrap/>
            <w:vAlign w:val="center"/>
            <w:hideMark/>
          </w:tcPr>
          <w:p w14:paraId="4F877554" w14:textId="104DADC6" w:rsidR="00574126" w:rsidRPr="00574126" w:rsidRDefault="00E2122B" w:rsidP="00DC6B0D">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-40,3</w:t>
            </w:r>
          </w:p>
        </w:tc>
      </w:tr>
      <w:tr w:rsidR="00574126" w:rsidRPr="00011050" w14:paraId="2D15C3B7" w14:textId="77777777" w:rsidTr="00CE362A">
        <w:trPr>
          <w:trHeight w:val="289"/>
        </w:trPr>
        <w:tc>
          <w:tcPr>
            <w:tcW w:w="3320" w:type="dxa"/>
            <w:tcBorders>
              <w:top w:val="nil"/>
              <w:left w:val="nil"/>
              <w:bottom w:val="nil"/>
              <w:right w:val="nil"/>
            </w:tcBorders>
            <w:shd w:val="clear" w:color="auto" w:fill="auto"/>
            <w:vAlign w:val="center"/>
            <w:hideMark/>
          </w:tcPr>
          <w:p w14:paraId="76EACAC8" w14:textId="77777777" w:rsidR="00574126" w:rsidRPr="00011050" w:rsidRDefault="00574126" w:rsidP="00574126">
            <w:pPr>
              <w:spacing w:after="0" w:line="240" w:lineRule="auto"/>
              <w:jc w:val="left"/>
              <w:rPr>
                <w:rFonts w:eastAsia="Times New Roman" w:cs="Times New Roman"/>
                <w:color w:val="000000"/>
                <w:sz w:val="20"/>
                <w:szCs w:val="20"/>
                <w:lang w:eastAsia="sk-SK"/>
              </w:rPr>
            </w:pPr>
            <w:r w:rsidRPr="00011050">
              <w:rPr>
                <w:rFonts w:eastAsia="Times New Roman" w:cs="Times New Roman"/>
                <w:color w:val="000000"/>
                <w:sz w:val="20"/>
                <w:szCs w:val="20"/>
                <w:lang w:eastAsia="sk-SK"/>
              </w:rPr>
              <w:t>Verejným vysokým školám</w:t>
            </w:r>
          </w:p>
        </w:tc>
        <w:tc>
          <w:tcPr>
            <w:tcW w:w="960" w:type="dxa"/>
            <w:tcBorders>
              <w:top w:val="nil"/>
              <w:left w:val="nil"/>
              <w:bottom w:val="nil"/>
              <w:right w:val="nil"/>
            </w:tcBorders>
            <w:shd w:val="clear" w:color="auto" w:fill="auto"/>
            <w:noWrap/>
            <w:vAlign w:val="center"/>
            <w:hideMark/>
          </w:tcPr>
          <w:p w14:paraId="287247FA"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33 520</w:t>
            </w:r>
          </w:p>
        </w:tc>
        <w:tc>
          <w:tcPr>
            <w:tcW w:w="960" w:type="dxa"/>
            <w:tcBorders>
              <w:top w:val="nil"/>
              <w:left w:val="nil"/>
              <w:bottom w:val="nil"/>
              <w:right w:val="nil"/>
            </w:tcBorders>
            <w:shd w:val="clear" w:color="auto" w:fill="auto"/>
            <w:noWrap/>
            <w:vAlign w:val="center"/>
            <w:hideMark/>
          </w:tcPr>
          <w:p w14:paraId="43401C42"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35 030</w:t>
            </w:r>
          </w:p>
        </w:tc>
        <w:tc>
          <w:tcPr>
            <w:tcW w:w="960" w:type="dxa"/>
            <w:tcBorders>
              <w:top w:val="nil"/>
              <w:left w:val="nil"/>
              <w:bottom w:val="nil"/>
              <w:right w:val="nil"/>
            </w:tcBorders>
            <w:shd w:val="clear" w:color="auto" w:fill="auto"/>
            <w:noWrap/>
            <w:vAlign w:val="center"/>
            <w:hideMark/>
          </w:tcPr>
          <w:p w14:paraId="0D88F309"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38 244</w:t>
            </w:r>
          </w:p>
        </w:tc>
        <w:tc>
          <w:tcPr>
            <w:tcW w:w="960" w:type="dxa"/>
            <w:tcBorders>
              <w:top w:val="nil"/>
              <w:left w:val="nil"/>
              <w:bottom w:val="nil"/>
              <w:right w:val="nil"/>
            </w:tcBorders>
            <w:shd w:val="clear" w:color="auto" w:fill="auto"/>
            <w:noWrap/>
            <w:vAlign w:val="center"/>
            <w:hideMark/>
          </w:tcPr>
          <w:p w14:paraId="59E058B0"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63 219</w:t>
            </w:r>
          </w:p>
        </w:tc>
        <w:tc>
          <w:tcPr>
            <w:tcW w:w="960" w:type="dxa"/>
            <w:tcBorders>
              <w:top w:val="nil"/>
              <w:left w:val="nil"/>
              <w:bottom w:val="nil"/>
              <w:right w:val="nil"/>
            </w:tcBorders>
            <w:shd w:val="clear" w:color="auto" w:fill="auto"/>
            <w:noWrap/>
            <w:vAlign w:val="center"/>
            <w:hideMark/>
          </w:tcPr>
          <w:p w14:paraId="0EB74F87"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24 975</w:t>
            </w:r>
          </w:p>
        </w:tc>
        <w:tc>
          <w:tcPr>
            <w:tcW w:w="960" w:type="dxa"/>
            <w:tcBorders>
              <w:top w:val="nil"/>
              <w:left w:val="nil"/>
              <w:bottom w:val="nil"/>
              <w:right w:val="nil"/>
            </w:tcBorders>
            <w:shd w:val="clear" w:color="auto" w:fill="auto"/>
            <w:noWrap/>
            <w:vAlign w:val="center"/>
            <w:hideMark/>
          </w:tcPr>
          <w:p w14:paraId="29729DA0" w14:textId="4627EE95" w:rsidR="00574126" w:rsidRPr="00574126" w:rsidRDefault="00E2122B" w:rsidP="00DC6B0D">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65,3</w:t>
            </w:r>
          </w:p>
        </w:tc>
      </w:tr>
      <w:tr w:rsidR="00574126" w:rsidRPr="00011050" w14:paraId="63CFA1F8" w14:textId="77777777" w:rsidTr="00CE362A">
        <w:trPr>
          <w:trHeight w:val="289"/>
        </w:trPr>
        <w:tc>
          <w:tcPr>
            <w:tcW w:w="3320" w:type="dxa"/>
            <w:tcBorders>
              <w:top w:val="nil"/>
              <w:left w:val="nil"/>
              <w:bottom w:val="nil"/>
              <w:right w:val="nil"/>
            </w:tcBorders>
            <w:shd w:val="clear" w:color="auto" w:fill="auto"/>
            <w:vAlign w:val="center"/>
            <w:hideMark/>
          </w:tcPr>
          <w:p w14:paraId="37020CFC" w14:textId="77777777" w:rsidR="00574126" w:rsidRPr="00011050" w:rsidRDefault="00574126" w:rsidP="00574126">
            <w:pPr>
              <w:spacing w:after="0" w:line="240" w:lineRule="auto"/>
              <w:jc w:val="left"/>
              <w:rPr>
                <w:rFonts w:eastAsia="Times New Roman" w:cs="Times New Roman"/>
                <w:color w:val="000000"/>
                <w:sz w:val="20"/>
                <w:szCs w:val="20"/>
                <w:lang w:eastAsia="sk-SK"/>
              </w:rPr>
            </w:pPr>
            <w:r w:rsidRPr="00011050">
              <w:rPr>
                <w:rFonts w:eastAsia="Times New Roman" w:cs="Times New Roman"/>
                <w:color w:val="000000"/>
                <w:sz w:val="20"/>
                <w:szCs w:val="20"/>
                <w:lang w:eastAsia="sk-SK"/>
              </w:rPr>
              <w:t>Vyšším územným celkom</w:t>
            </w:r>
          </w:p>
        </w:tc>
        <w:tc>
          <w:tcPr>
            <w:tcW w:w="960" w:type="dxa"/>
            <w:tcBorders>
              <w:top w:val="nil"/>
              <w:left w:val="nil"/>
              <w:bottom w:val="nil"/>
              <w:right w:val="nil"/>
            </w:tcBorders>
            <w:shd w:val="clear" w:color="auto" w:fill="auto"/>
            <w:noWrap/>
            <w:vAlign w:val="center"/>
            <w:hideMark/>
          </w:tcPr>
          <w:p w14:paraId="64B900A7"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56 333</w:t>
            </w:r>
          </w:p>
        </w:tc>
        <w:tc>
          <w:tcPr>
            <w:tcW w:w="960" w:type="dxa"/>
            <w:tcBorders>
              <w:top w:val="nil"/>
              <w:left w:val="nil"/>
              <w:bottom w:val="nil"/>
              <w:right w:val="nil"/>
            </w:tcBorders>
            <w:shd w:val="clear" w:color="auto" w:fill="auto"/>
            <w:noWrap/>
            <w:vAlign w:val="center"/>
            <w:hideMark/>
          </w:tcPr>
          <w:p w14:paraId="285AF018"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33 966</w:t>
            </w:r>
          </w:p>
        </w:tc>
        <w:tc>
          <w:tcPr>
            <w:tcW w:w="960" w:type="dxa"/>
            <w:tcBorders>
              <w:top w:val="nil"/>
              <w:left w:val="nil"/>
              <w:bottom w:val="nil"/>
              <w:right w:val="nil"/>
            </w:tcBorders>
            <w:shd w:val="clear" w:color="auto" w:fill="auto"/>
            <w:noWrap/>
            <w:vAlign w:val="center"/>
            <w:hideMark/>
          </w:tcPr>
          <w:p w14:paraId="43B99200"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1 250</w:t>
            </w:r>
          </w:p>
        </w:tc>
        <w:tc>
          <w:tcPr>
            <w:tcW w:w="960" w:type="dxa"/>
            <w:tcBorders>
              <w:top w:val="nil"/>
              <w:left w:val="nil"/>
              <w:bottom w:val="nil"/>
              <w:right w:val="nil"/>
            </w:tcBorders>
            <w:shd w:val="clear" w:color="auto" w:fill="auto"/>
            <w:noWrap/>
            <w:vAlign w:val="center"/>
            <w:hideMark/>
          </w:tcPr>
          <w:p w14:paraId="4122D634"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36 475</w:t>
            </w:r>
          </w:p>
        </w:tc>
        <w:tc>
          <w:tcPr>
            <w:tcW w:w="960" w:type="dxa"/>
            <w:tcBorders>
              <w:top w:val="nil"/>
              <w:left w:val="nil"/>
              <w:bottom w:val="nil"/>
              <w:right w:val="nil"/>
            </w:tcBorders>
            <w:shd w:val="clear" w:color="auto" w:fill="auto"/>
            <w:noWrap/>
            <w:vAlign w:val="center"/>
            <w:hideMark/>
          </w:tcPr>
          <w:p w14:paraId="70805850"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35 225</w:t>
            </w:r>
          </w:p>
        </w:tc>
        <w:tc>
          <w:tcPr>
            <w:tcW w:w="960" w:type="dxa"/>
            <w:tcBorders>
              <w:top w:val="nil"/>
              <w:left w:val="nil"/>
              <w:bottom w:val="nil"/>
              <w:right w:val="nil"/>
            </w:tcBorders>
            <w:shd w:val="clear" w:color="auto" w:fill="auto"/>
            <w:noWrap/>
            <w:vAlign w:val="center"/>
            <w:hideMark/>
          </w:tcPr>
          <w:p w14:paraId="06C8E396" w14:textId="7682D5D4" w:rsidR="00574126" w:rsidRPr="00574126" w:rsidRDefault="00E2122B" w:rsidP="00DC6B0D">
            <w:pPr>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2 818,0</w:t>
            </w:r>
          </w:p>
        </w:tc>
      </w:tr>
      <w:tr w:rsidR="00574126" w:rsidRPr="00011050" w14:paraId="5713B043" w14:textId="77777777" w:rsidTr="00CE362A">
        <w:trPr>
          <w:trHeight w:val="289"/>
        </w:trPr>
        <w:tc>
          <w:tcPr>
            <w:tcW w:w="3320" w:type="dxa"/>
            <w:tcBorders>
              <w:top w:val="nil"/>
              <w:left w:val="nil"/>
              <w:bottom w:val="single" w:sz="8" w:space="0" w:color="auto"/>
              <w:right w:val="nil"/>
            </w:tcBorders>
            <w:shd w:val="clear" w:color="auto" w:fill="auto"/>
            <w:vAlign w:val="center"/>
            <w:hideMark/>
          </w:tcPr>
          <w:p w14:paraId="2F8594F1" w14:textId="77777777" w:rsidR="00574126" w:rsidRPr="00011050" w:rsidRDefault="00574126" w:rsidP="00574126">
            <w:pPr>
              <w:spacing w:after="0" w:line="240" w:lineRule="auto"/>
              <w:jc w:val="left"/>
              <w:rPr>
                <w:rFonts w:eastAsia="Times New Roman" w:cs="Times New Roman"/>
                <w:color w:val="000000"/>
                <w:sz w:val="20"/>
                <w:szCs w:val="20"/>
                <w:lang w:eastAsia="sk-SK"/>
              </w:rPr>
            </w:pPr>
            <w:r w:rsidRPr="00011050">
              <w:rPr>
                <w:rFonts w:eastAsia="Times New Roman" w:cs="Times New Roman"/>
                <w:color w:val="000000"/>
                <w:sz w:val="20"/>
                <w:szCs w:val="20"/>
                <w:lang w:eastAsia="sk-SK"/>
              </w:rPr>
              <w:t>Ostatné</w:t>
            </w:r>
          </w:p>
        </w:tc>
        <w:tc>
          <w:tcPr>
            <w:tcW w:w="960" w:type="dxa"/>
            <w:tcBorders>
              <w:top w:val="nil"/>
              <w:left w:val="nil"/>
              <w:bottom w:val="single" w:sz="8" w:space="0" w:color="auto"/>
              <w:right w:val="nil"/>
            </w:tcBorders>
            <w:shd w:val="clear" w:color="auto" w:fill="auto"/>
            <w:noWrap/>
            <w:vAlign w:val="center"/>
            <w:hideMark/>
          </w:tcPr>
          <w:p w14:paraId="32AF9FF8"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34 758</w:t>
            </w:r>
          </w:p>
        </w:tc>
        <w:tc>
          <w:tcPr>
            <w:tcW w:w="960" w:type="dxa"/>
            <w:tcBorders>
              <w:top w:val="nil"/>
              <w:left w:val="nil"/>
              <w:bottom w:val="single" w:sz="8" w:space="0" w:color="auto"/>
              <w:right w:val="nil"/>
            </w:tcBorders>
            <w:shd w:val="clear" w:color="auto" w:fill="auto"/>
            <w:noWrap/>
            <w:vAlign w:val="center"/>
            <w:hideMark/>
          </w:tcPr>
          <w:p w14:paraId="1698AC56"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58 554</w:t>
            </w:r>
          </w:p>
        </w:tc>
        <w:tc>
          <w:tcPr>
            <w:tcW w:w="960" w:type="dxa"/>
            <w:tcBorders>
              <w:top w:val="nil"/>
              <w:left w:val="nil"/>
              <w:bottom w:val="single" w:sz="8" w:space="0" w:color="auto"/>
              <w:right w:val="nil"/>
            </w:tcBorders>
            <w:shd w:val="clear" w:color="auto" w:fill="auto"/>
            <w:noWrap/>
            <w:vAlign w:val="center"/>
            <w:hideMark/>
          </w:tcPr>
          <w:p w14:paraId="7A181E67"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17 979</w:t>
            </w:r>
          </w:p>
        </w:tc>
        <w:tc>
          <w:tcPr>
            <w:tcW w:w="960" w:type="dxa"/>
            <w:tcBorders>
              <w:top w:val="nil"/>
              <w:left w:val="nil"/>
              <w:bottom w:val="single" w:sz="8" w:space="0" w:color="auto"/>
              <w:right w:val="nil"/>
            </w:tcBorders>
            <w:shd w:val="clear" w:color="auto" w:fill="auto"/>
            <w:noWrap/>
            <w:vAlign w:val="center"/>
            <w:hideMark/>
          </w:tcPr>
          <w:p w14:paraId="0A535A58"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55 359</w:t>
            </w:r>
          </w:p>
        </w:tc>
        <w:tc>
          <w:tcPr>
            <w:tcW w:w="960" w:type="dxa"/>
            <w:tcBorders>
              <w:top w:val="nil"/>
              <w:left w:val="nil"/>
              <w:bottom w:val="single" w:sz="8" w:space="0" w:color="auto"/>
              <w:right w:val="nil"/>
            </w:tcBorders>
            <w:shd w:val="clear" w:color="auto" w:fill="auto"/>
            <w:noWrap/>
            <w:vAlign w:val="center"/>
            <w:hideMark/>
          </w:tcPr>
          <w:p w14:paraId="3ABD9E70" w14:textId="77777777" w:rsidR="00574126" w:rsidRPr="00574126" w:rsidRDefault="00574126" w:rsidP="00574126">
            <w:pPr>
              <w:spacing w:after="0" w:line="240" w:lineRule="auto"/>
              <w:jc w:val="right"/>
              <w:rPr>
                <w:rFonts w:eastAsia="Times New Roman" w:cs="Times New Roman"/>
                <w:color w:val="000000"/>
                <w:sz w:val="20"/>
                <w:szCs w:val="20"/>
                <w:lang w:eastAsia="sk-SK"/>
              </w:rPr>
            </w:pPr>
            <w:r w:rsidRPr="00574126">
              <w:rPr>
                <w:rFonts w:eastAsia="Times New Roman" w:cs="Times New Roman"/>
                <w:color w:val="000000"/>
                <w:sz w:val="20"/>
                <w:szCs w:val="20"/>
                <w:lang w:eastAsia="sk-SK"/>
              </w:rPr>
              <w:t>37 380</w:t>
            </w:r>
          </w:p>
        </w:tc>
        <w:tc>
          <w:tcPr>
            <w:tcW w:w="960" w:type="dxa"/>
            <w:tcBorders>
              <w:top w:val="nil"/>
              <w:left w:val="nil"/>
              <w:bottom w:val="single" w:sz="8" w:space="0" w:color="auto"/>
              <w:right w:val="nil"/>
            </w:tcBorders>
            <w:shd w:val="clear" w:color="auto" w:fill="auto"/>
            <w:noWrap/>
            <w:vAlign w:val="center"/>
            <w:hideMark/>
          </w:tcPr>
          <w:p w14:paraId="1773F892" w14:textId="5C8C3C45" w:rsidR="00574126" w:rsidRPr="00574126" w:rsidRDefault="00574126" w:rsidP="00574126">
            <w:pPr>
              <w:spacing w:after="0" w:line="240" w:lineRule="auto"/>
              <w:jc w:val="right"/>
              <w:rPr>
                <w:rFonts w:eastAsia="Times New Roman" w:cs="Times New Roman"/>
                <w:color w:val="000000"/>
                <w:sz w:val="20"/>
                <w:szCs w:val="20"/>
                <w:lang w:eastAsia="sk-SK"/>
              </w:rPr>
            </w:pPr>
          </w:p>
        </w:tc>
      </w:tr>
      <w:tr w:rsidR="00574126" w:rsidRPr="00574126" w14:paraId="064ED58A" w14:textId="77777777" w:rsidTr="00CE362A">
        <w:trPr>
          <w:trHeight w:val="289"/>
        </w:trPr>
        <w:tc>
          <w:tcPr>
            <w:tcW w:w="3320" w:type="dxa"/>
            <w:tcBorders>
              <w:top w:val="nil"/>
              <w:left w:val="nil"/>
              <w:bottom w:val="single" w:sz="8" w:space="0" w:color="auto"/>
              <w:right w:val="nil"/>
            </w:tcBorders>
            <w:shd w:val="clear" w:color="auto" w:fill="auto"/>
            <w:vAlign w:val="center"/>
            <w:hideMark/>
          </w:tcPr>
          <w:p w14:paraId="295DCF29" w14:textId="77777777" w:rsidR="00574126" w:rsidRPr="00574126" w:rsidRDefault="00574126" w:rsidP="00574126">
            <w:pPr>
              <w:spacing w:after="0" w:line="240" w:lineRule="auto"/>
              <w:rPr>
                <w:rFonts w:eastAsia="Times New Roman" w:cs="Times New Roman"/>
                <w:b/>
                <w:bCs/>
                <w:color w:val="000000"/>
                <w:sz w:val="20"/>
                <w:szCs w:val="20"/>
                <w:lang w:eastAsia="sk-SK"/>
              </w:rPr>
            </w:pPr>
            <w:r w:rsidRPr="00574126">
              <w:rPr>
                <w:rFonts w:eastAsia="Times New Roman" w:cs="Times New Roman"/>
                <w:b/>
                <w:bCs/>
                <w:color w:val="000000"/>
                <w:sz w:val="20"/>
                <w:szCs w:val="20"/>
                <w:lang w:eastAsia="sk-SK"/>
              </w:rPr>
              <w:t>spolu</w:t>
            </w:r>
          </w:p>
        </w:tc>
        <w:tc>
          <w:tcPr>
            <w:tcW w:w="960" w:type="dxa"/>
            <w:tcBorders>
              <w:top w:val="nil"/>
              <w:left w:val="nil"/>
              <w:bottom w:val="single" w:sz="8" w:space="0" w:color="auto"/>
              <w:right w:val="nil"/>
            </w:tcBorders>
            <w:shd w:val="clear" w:color="auto" w:fill="auto"/>
            <w:noWrap/>
            <w:vAlign w:val="center"/>
            <w:hideMark/>
          </w:tcPr>
          <w:p w14:paraId="0EE1230D" w14:textId="77777777" w:rsidR="00574126" w:rsidRPr="00574126" w:rsidRDefault="00574126" w:rsidP="00574126">
            <w:pPr>
              <w:spacing w:after="0" w:line="240" w:lineRule="auto"/>
              <w:jc w:val="right"/>
              <w:rPr>
                <w:rFonts w:eastAsia="Times New Roman" w:cs="Times New Roman"/>
                <w:b/>
                <w:color w:val="000000"/>
                <w:sz w:val="20"/>
                <w:szCs w:val="20"/>
                <w:lang w:eastAsia="sk-SK"/>
              </w:rPr>
            </w:pPr>
            <w:r w:rsidRPr="00574126">
              <w:rPr>
                <w:rFonts w:eastAsia="Times New Roman" w:cs="Times New Roman"/>
                <w:b/>
                <w:color w:val="000000"/>
                <w:sz w:val="20"/>
                <w:szCs w:val="20"/>
                <w:lang w:eastAsia="sk-SK"/>
              </w:rPr>
              <w:t>1 188 889</w:t>
            </w:r>
          </w:p>
        </w:tc>
        <w:tc>
          <w:tcPr>
            <w:tcW w:w="960" w:type="dxa"/>
            <w:tcBorders>
              <w:top w:val="nil"/>
              <w:left w:val="nil"/>
              <w:bottom w:val="single" w:sz="8" w:space="0" w:color="auto"/>
              <w:right w:val="nil"/>
            </w:tcBorders>
            <w:shd w:val="clear" w:color="auto" w:fill="auto"/>
            <w:noWrap/>
            <w:vAlign w:val="center"/>
            <w:hideMark/>
          </w:tcPr>
          <w:p w14:paraId="6E0A6450" w14:textId="77777777" w:rsidR="00574126" w:rsidRPr="00574126" w:rsidRDefault="00574126" w:rsidP="00574126">
            <w:pPr>
              <w:spacing w:after="0" w:line="240" w:lineRule="auto"/>
              <w:jc w:val="right"/>
              <w:rPr>
                <w:rFonts w:eastAsia="Times New Roman" w:cs="Times New Roman"/>
                <w:b/>
                <w:color w:val="000000"/>
                <w:sz w:val="20"/>
                <w:szCs w:val="20"/>
                <w:lang w:eastAsia="sk-SK"/>
              </w:rPr>
            </w:pPr>
            <w:r w:rsidRPr="00574126">
              <w:rPr>
                <w:rFonts w:eastAsia="Times New Roman" w:cs="Times New Roman"/>
                <w:b/>
                <w:color w:val="000000"/>
                <w:sz w:val="20"/>
                <w:szCs w:val="20"/>
                <w:lang w:eastAsia="sk-SK"/>
              </w:rPr>
              <w:t>1 141 823</w:t>
            </w:r>
          </w:p>
        </w:tc>
        <w:tc>
          <w:tcPr>
            <w:tcW w:w="960" w:type="dxa"/>
            <w:tcBorders>
              <w:top w:val="nil"/>
              <w:left w:val="nil"/>
              <w:bottom w:val="single" w:sz="8" w:space="0" w:color="auto"/>
              <w:right w:val="nil"/>
            </w:tcBorders>
            <w:shd w:val="clear" w:color="auto" w:fill="auto"/>
            <w:noWrap/>
            <w:vAlign w:val="center"/>
            <w:hideMark/>
          </w:tcPr>
          <w:p w14:paraId="1FB752EA" w14:textId="77777777" w:rsidR="00574126" w:rsidRPr="00574126" w:rsidRDefault="00574126" w:rsidP="00574126">
            <w:pPr>
              <w:spacing w:after="0" w:line="240" w:lineRule="auto"/>
              <w:jc w:val="right"/>
              <w:rPr>
                <w:rFonts w:eastAsia="Times New Roman" w:cs="Times New Roman"/>
                <w:b/>
                <w:color w:val="000000"/>
                <w:sz w:val="20"/>
                <w:szCs w:val="20"/>
                <w:lang w:eastAsia="sk-SK"/>
              </w:rPr>
            </w:pPr>
            <w:r w:rsidRPr="00574126">
              <w:rPr>
                <w:rFonts w:eastAsia="Times New Roman" w:cs="Times New Roman"/>
                <w:b/>
                <w:color w:val="000000"/>
                <w:sz w:val="20"/>
                <w:szCs w:val="20"/>
                <w:lang w:eastAsia="sk-SK"/>
              </w:rPr>
              <w:t>792 084</w:t>
            </w:r>
          </w:p>
        </w:tc>
        <w:tc>
          <w:tcPr>
            <w:tcW w:w="960" w:type="dxa"/>
            <w:tcBorders>
              <w:top w:val="nil"/>
              <w:left w:val="nil"/>
              <w:bottom w:val="single" w:sz="8" w:space="0" w:color="auto"/>
              <w:right w:val="nil"/>
            </w:tcBorders>
            <w:shd w:val="clear" w:color="auto" w:fill="auto"/>
            <w:noWrap/>
            <w:vAlign w:val="center"/>
            <w:hideMark/>
          </w:tcPr>
          <w:p w14:paraId="56F4AC9B" w14:textId="77777777" w:rsidR="00574126" w:rsidRPr="00574126" w:rsidRDefault="00574126" w:rsidP="00574126">
            <w:pPr>
              <w:spacing w:after="0" w:line="240" w:lineRule="auto"/>
              <w:jc w:val="right"/>
              <w:rPr>
                <w:rFonts w:eastAsia="Times New Roman" w:cs="Times New Roman"/>
                <w:b/>
                <w:color w:val="000000"/>
                <w:sz w:val="20"/>
                <w:szCs w:val="20"/>
                <w:lang w:eastAsia="sk-SK"/>
              </w:rPr>
            </w:pPr>
            <w:r w:rsidRPr="00574126">
              <w:rPr>
                <w:rFonts w:eastAsia="Times New Roman" w:cs="Times New Roman"/>
                <w:b/>
                <w:color w:val="000000"/>
                <w:sz w:val="20"/>
                <w:szCs w:val="20"/>
                <w:lang w:eastAsia="sk-SK"/>
              </w:rPr>
              <w:t>1 235 685</w:t>
            </w:r>
          </w:p>
        </w:tc>
        <w:tc>
          <w:tcPr>
            <w:tcW w:w="960" w:type="dxa"/>
            <w:tcBorders>
              <w:top w:val="nil"/>
              <w:left w:val="nil"/>
              <w:bottom w:val="single" w:sz="8" w:space="0" w:color="auto"/>
              <w:right w:val="nil"/>
            </w:tcBorders>
            <w:shd w:val="clear" w:color="auto" w:fill="auto"/>
            <w:noWrap/>
            <w:vAlign w:val="center"/>
            <w:hideMark/>
          </w:tcPr>
          <w:p w14:paraId="038E88BC" w14:textId="77777777" w:rsidR="00574126" w:rsidRPr="00574126" w:rsidRDefault="00574126" w:rsidP="00574126">
            <w:pPr>
              <w:spacing w:after="0" w:line="240" w:lineRule="auto"/>
              <w:jc w:val="right"/>
              <w:rPr>
                <w:rFonts w:eastAsia="Times New Roman" w:cs="Times New Roman"/>
                <w:b/>
                <w:color w:val="000000"/>
                <w:sz w:val="20"/>
                <w:szCs w:val="20"/>
                <w:lang w:eastAsia="sk-SK"/>
              </w:rPr>
            </w:pPr>
            <w:r w:rsidRPr="00574126">
              <w:rPr>
                <w:rFonts w:eastAsia="Times New Roman" w:cs="Times New Roman"/>
                <w:b/>
                <w:color w:val="000000"/>
                <w:sz w:val="20"/>
                <w:szCs w:val="20"/>
                <w:lang w:eastAsia="sk-SK"/>
              </w:rPr>
              <w:t>443 601</w:t>
            </w:r>
          </w:p>
        </w:tc>
        <w:tc>
          <w:tcPr>
            <w:tcW w:w="960" w:type="dxa"/>
            <w:tcBorders>
              <w:top w:val="nil"/>
              <w:left w:val="nil"/>
              <w:bottom w:val="single" w:sz="8" w:space="0" w:color="auto"/>
              <w:right w:val="nil"/>
            </w:tcBorders>
            <w:shd w:val="clear" w:color="auto" w:fill="auto"/>
            <w:noWrap/>
            <w:vAlign w:val="center"/>
            <w:hideMark/>
          </w:tcPr>
          <w:p w14:paraId="0E204048" w14:textId="2E5E40A6" w:rsidR="00574126" w:rsidRPr="00574126" w:rsidRDefault="00DC6B0D" w:rsidP="00574126">
            <w:pPr>
              <w:spacing w:after="0" w:line="240" w:lineRule="auto"/>
              <w:jc w:val="right"/>
              <w:rPr>
                <w:rFonts w:eastAsia="Times New Roman" w:cs="Times New Roman"/>
                <w:b/>
                <w:color w:val="000000"/>
                <w:sz w:val="20"/>
                <w:szCs w:val="20"/>
                <w:lang w:eastAsia="sk-SK"/>
              </w:rPr>
            </w:pPr>
            <w:r>
              <w:rPr>
                <w:rFonts w:eastAsia="Times New Roman" w:cs="Times New Roman"/>
                <w:b/>
                <w:color w:val="000000"/>
                <w:sz w:val="20"/>
                <w:szCs w:val="20"/>
                <w:lang w:eastAsia="sk-SK"/>
              </w:rPr>
              <w:t>5</w:t>
            </w:r>
            <w:r w:rsidR="00574126" w:rsidRPr="00574126">
              <w:rPr>
                <w:rFonts w:eastAsia="Times New Roman" w:cs="Times New Roman"/>
                <w:b/>
                <w:color w:val="000000"/>
                <w:sz w:val="20"/>
                <w:szCs w:val="20"/>
                <w:lang w:eastAsia="sk-SK"/>
              </w:rPr>
              <w:t>6</w:t>
            </w:r>
            <w:r>
              <w:rPr>
                <w:rFonts w:eastAsia="Times New Roman" w:cs="Times New Roman"/>
                <w:b/>
                <w:color w:val="000000"/>
                <w:sz w:val="20"/>
                <w:szCs w:val="20"/>
                <w:lang w:eastAsia="sk-SK"/>
              </w:rPr>
              <w:t>,0</w:t>
            </w:r>
          </w:p>
        </w:tc>
      </w:tr>
    </w:tbl>
    <w:p w14:paraId="674819FB" w14:textId="77777777" w:rsidR="00574126" w:rsidRPr="00574126" w:rsidRDefault="00574126" w:rsidP="00574126">
      <w:pPr>
        <w:spacing w:line="240" w:lineRule="auto"/>
        <w:jc w:val="right"/>
        <w:rPr>
          <w:sz w:val="18"/>
          <w:szCs w:val="18"/>
        </w:rPr>
      </w:pPr>
      <w:r w:rsidRPr="00574126">
        <w:rPr>
          <w:sz w:val="20"/>
          <w:szCs w:val="20"/>
        </w:rPr>
        <w:t>Zdroj: MF SR</w:t>
      </w:r>
    </w:p>
    <w:p w14:paraId="38351B96" w14:textId="27C289B9" w:rsidR="00574126" w:rsidRPr="00EC586F" w:rsidRDefault="00574126" w:rsidP="00574126">
      <w:pPr>
        <w:spacing w:line="240" w:lineRule="auto"/>
        <w:rPr>
          <w:sz w:val="24"/>
          <w:szCs w:val="24"/>
        </w:rPr>
      </w:pPr>
      <w:r w:rsidRPr="00EC586F">
        <w:rPr>
          <w:sz w:val="24"/>
          <w:szCs w:val="24"/>
        </w:rPr>
        <w:t>Transfery</w:t>
      </w:r>
      <w:r w:rsidRPr="00EC586F">
        <w:rPr>
          <w:b/>
          <w:i/>
          <w:sz w:val="24"/>
          <w:szCs w:val="24"/>
        </w:rPr>
        <w:t xml:space="preserve"> </w:t>
      </w:r>
      <w:r w:rsidRPr="00EB44B3">
        <w:rPr>
          <w:b/>
          <w:sz w:val="24"/>
          <w:szCs w:val="24"/>
        </w:rPr>
        <w:t>nefinančným subjektom</w:t>
      </w:r>
      <w:r w:rsidRPr="00EC586F">
        <w:rPr>
          <w:b/>
          <w:i/>
          <w:sz w:val="24"/>
          <w:szCs w:val="24"/>
        </w:rPr>
        <w:t xml:space="preserve"> </w:t>
      </w:r>
      <w:r w:rsidRPr="00EC586F">
        <w:rPr>
          <w:sz w:val="24"/>
          <w:szCs w:val="24"/>
        </w:rPr>
        <w:t xml:space="preserve">tvorili </w:t>
      </w:r>
      <w:r>
        <w:rPr>
          <w:sz w:val="24"/>
          <w:szCs w:val="24"/>
        </w:rPr>
        <w:t>185</w:t>
      </w:r>
      <w:r w:rsidRPr="00EC586F">
        <w:rPr>
          <w:sz w:val="24"/>
          <w:szCs w:val="24"/>
        </w:rPr>
        <w:t> </w:t>
      </w:r>
      <w:r>
        <w:rPr>
          <w:sz w:val="24"/>
          <w:szCs w:val="24"/>
        </w:rPr>
        <w:t>732</w:t>
      </w:r>
      <w:r w:rsidRPr="00EC586F">
        <w:rPr>
          <w:sz w:val="24"/>
          <w:szCs w:val="24"/>
        </w:rPr>
        <w:t> tis. eur, čo predstavuje 1</w:t>
      </w:r>
      <w:r>
        <w:rPr>
          <w:sz w:val="24"/>
          <w:szCs w:val="24"/>
        </w:rPr>
        <w:t>2</w:t>
      </w:r>
      <w:r w:rsidRPr="00EC586F">
        <w:rPr>
          <w:sz w:val="24"/>
          <w:szCs w:val="24"/>
        </w:rPr>
        <w:t>,</w:t>
      </w:r>
      <w:r>
        <w:rPr>
          <w:sz w:val="24"/>
          <w:szCs w:val="24"/>
        </w:rPr>
        <w:t>2</w:t>
      </w:r>
      <w:r w:rsidRPr="00EC586F">
        <w:rPr>
          <w:sz w:val="24"/>
          <w:szCs w:val="24"/>
        </w:rPr>
        <w:t xml:space="preserve"> % z celkovej výšky kapitálových transferov. Najvyššiu hodnotu vykazovali kapitoly</w:t>
      </w:r>
      <w:r>
        <w:rPr>
          <w:sz w:val="24"/>
          <w:szCs w:val="24"/>
        </w:rPr>
        <w:t xml:space="preserve"> Ministerstva hospodárstva SR (66</w:t>
      </w:r>
      <w:r w:rsidRPr="00EC586F">
        <w:rPr>
          <w:sz w:val="24"/>
          <w:szCs w:val="24"/>
        </w:rPr>
        <w:t> </w:t>
      </w:r>
      <w:r>
        <w:rPr>
          <w:sz w:val="24"/>
          <w:szCs w:val="24"/>
        </w:rPr>
        <w:t>938</w:t>
      </w:r>
      <w:r w:rsidRPr="00EC586F">
        <w:rPr>
          <w:sz w:val="24"/>
          <w:szCs w:val="24"/>
        </w:rPr>
        <w:t> tis. eur), Ministerstva životného prostredia SR (</w:t>
      </w:r>
      <w:r>
        <w:rPr>
          <w:sz w:val="24"/>
          <w:szCs w:val="24"/>
        </w:rPr>
        <w:t>52</w:t>
      </w:r>
      <w:r w:rsidRPr="00EC586F">
        <w:rPr>
          <w:sz w:val="24"/>
          <w:szCs w:val="24"/>
        </w:rPr>
        <w:t> </w:t>
      </w:r>
      <w:r>
        <w:rPr>
          <w:sz w:val="24"/>
          <w:szCs w:val="24"/>
        </w:rPr>
        <w:t>997</w:t>
      </w:r>
      <w:r w:rsidRPr="00EC586F">
        <w:rPr>
          <w:sz w:val="24"/>
          <w:szCs w:val="24"/>
        </w:rPr>
        <w:t> tis. eur), Ministerstva investícií, regionálneho rozvoja a informatizácie SR (</w:t>
      </w:r>
      <w:r>
        <w:rPr>
          <w:sz w:val="24"/>
          <w:szCs w:val="24"/>
        </w:rPr>
        <w:t>44</w:t>
      </w:r>
      <w:r w:rsidRPr="00EC586F">
        <w:rPr>
          <w:sz w:val="24"/>
          <w:szCs w:val="24"/>
        </w:rPr>
        <w:t> </w:t>
      </w:r>
      <w:r>
        <w:rPr>
          <w:sz w:val="24"/>
          <w:szCs w:val="24"/>
        </w:rPr>
        <w:t>239</w:t>
      </w:r>
      <w:r w:rsidRPr="00EC586F">
        <w:rPr>
          <w:sz w:val="24"/>
          <w:szCs w:val="24"/>
        </w:rPr>
        <w:t> tis. eur) a Ministerstva pôdohospo</w:t>
      </w:r>
      <w:r>
        <w:rPr>
          <w:sz w:val="24"/>
          <w:szCs w:val="24"/>
        </w:rPr>
        <w:t>dárstva a rozvoja vidieka SR (13</w:t>
      </w:r>
      <w:r w:rsidRPr="00EC586F">
        <w:rPr>
          <w:sz w:val="24"/>
          <w:szCs w:val="24"/>
        </w:rPr>
        <w:t> </w:t>
      </w:r>
      <w:r>
        <w:rPr>
          <w:sz w:val="24"/>
          <w:szCs w:val="24"/>
        </w:rPr>
        <w:t>385</w:t>
      </w:r>
      <w:r w:rsidRPr="00EC586F">
        <w:rPr>
          <w:sz w:val="24"/>
          <w:szCs w:val="24"/>
        </w:rPr>
        <w:t> tis. eur).</w:t>
      </w:r>
      <w:r>
        <w:rPr>
          <w:sz w:val="24"/>
          <w:szCs w:val="24"/>
        </w:rPr>
        <w:t xml:space="preserve"> Pôvodne rozpočtovaná suma 1 032 952 tis. eur predpokladala výdavky Ministerstva životného prostredia SR a Ministerstva dopravy a výstavby SR Ostatnej právnickej osobe.</w:t>
      </w:r>
    </w:p>
    <w:p w14:paraId="687026B3" w14:textId="77777777" w:rsidR="00574126" w:rsidRPr="00EC586F" w:rsidRDefault="00574126" w:rsidP="00574126">
      <w:pPr>
        <w:spacing w:line="240" w:lineRule="auto"/>
        <w:rPr>
          <w:sz w:val="24"/>
          <w:szCs w:val="24"/>
          <w:lang w:eastAsia="sk-SK"/>
        </w:rPr>
      </w:pPr>
      <w:r w:rsidRPr="00EB44B3">
        <w:rPr>
          <w:b/>
          <w:i/>
          <w:sz w:val="24"/>
          <w:szCs w:val="24"/>
        </w:rPr>
        <w:lastRenderedPageBreak/>
        <w:t>Ostatným právnickým osobám</w:t>
      </w:r>
      <w:r w:rsidRPr="00EC586F">
        <w:rPr>
          <w:sz w:val="24"/>
          <w:szCs w:val="24"/>
        </w:rPr>
        <w:t xml:space="preserve"> boli poskytnuté transfery v celkovej výške 1</w:t>
      </w:r>
      <w:r>
        <w:rPr>
          <w:sz w:val="24"/>
          <w:szCs w:val="24"/>
        </w:rPr>
        <w:t>46</w:t>
      </w:r>
      <w:r w:rsidRPr="00EC586F">
        <w:rPr>
          <w:sz w:val="24"/>
          <w:szCs w:val="24"/>
        </w:rPr>
        <w:t> </w:t>
      </w:r>
      <w:r>
        <w:rPr>
          <w:sz w:val="24"/>
          <w:szCs w:val="24"/>
        </w:rPr>
        <w:t>378</w:t>
      </w:r>
      <w:r w:rsidRPr="00EC586F">
        <w:rPr>
          <w:sz w:val="24"/>
          <w:szCs w:val="24"/>
        </w:rPr>
        <w:t xml:space="preserve"> tis. eur. </w:t>
      </w:r>
      <w:r>
        <w:rPr>
          <w:sz w:val="24"/>
          <w:szCs w:val="24"/>
        </w:rPr>
        <w:t>Naj</w:t>
      </w:r>
      <w:r w:rsidRPr="00EC586F">
        <w:rPr>
          <w:sz w:val="24"/>
          <w:szCs w:val="24"/>
        </w:rPr>
        <w:t xml:space="preserve">významnejšie prostriedky poskytlo </w:t>
      </w:r>
      <w:r w:rsidRPr="00EC586F">
        <w:rPr>
          <w:sz w:val="24"/>
          <w:szCs w:val="24"/>
          <w:u w:val="single"/>
        </w:rPr>
        <w:t>Ministerstvo hospodárstva SR</w:t>
      </w:r>
      <w:r w:rsidRPr="00EC586F">
        <w:rPr>
          <w:sz w:val="24"/>
          <w:szCs w:val="24"/>
        </w:rPr>
        <w:t xml:space="preserve"> vo výške </w:t>
      </w:r>
      <w:r>
        <w:rPr>
          <w:sz w:val="24"/>
          <w:szCs w:val="24"/>
        </w:rPr>
        <w:t>65</w:t>
      </w:r>
      <w:r w:rsidRPr="00EC586F">
        <w:rPr>
          <w:sz w:val="24"/>
          <w:szCs w:val="24"/>
        </w:rPr>
        <w:t> 39</w:t>
      </w:r>
      <w:r>
        <w:rPr>
          <w:sz w:val="24"/>
          <w:szCs w:val="24"/>
        </w:rPr>
        <w:t>6</w:t>
      </w:r>
      <w:r w:rsidRPr="00EC586F">
        <w:rPr>
          <w:sz w:val="24"/>
          <w:szCs w:val="24"/>
        </w:rPr>
        <w:t xml:space="preserve"> tis. eur. </w:t>
      </w:r>
      <w:r w:rsidRPr="0036483E">
        <w:rPr>
          <w:sz w:val="24"/>
          <w:szCs w:val="24"/>
          <w:lang w:eastAsia="sk-SK"/>
        </w:rPr>
        <w:t>Z toho 52 684 tis. eur bolo použitých v rámci operačného programu Integrovaná infraštruktúra na podporu trvalo udržateľnej mobility, hospodárskeho rastu, posilnenie výskumu, technologického rozvoja a inovácií a zvýšenie konkurencieschopnosti malých a stredných podnikov, prostredníctvom rozvoja dopravnej infraštruktúry, verejnej osobnej dopravy, informačnej spoločnosti, podpory výskumných, vývojových a inovačných kapacít a rozvoja malého a stredného podnikania.</w:t>
      </w:r>
      <w:r>
        <w:rPr>
          <w:sz w:val="24"/>
          <w:szCs w:val="24"/>
          <w:lang w:eastAsia="sk-SK"/>
        </w:rPr>
        <w:t xml:space="preserve"> </w:t>
      </w:r>
    </w:p>
    <w:p w14:paraId="31899FBB" w14:textId="77777777" w:rsidR="00574126" w:rsidRPr="001A7865" w:rsidRDefault="00574126" w:rsidP="00574126">
      <w:pPr>
        <w:spacing w:line="240" w:lineRule="auto"/>
        <w:rPr>
          <w:sz w:val="24"/>
          <w:szCs w:val="24"/>
          <w:lang w:eastAsia="sk-SK"/>
        </w:rPr>
      </w:pPr>
      <w:r w:rsidRPr="00EC586F">
        <w:rPr>
          <w:sz w:val="24"/>
          <w:szCs w:val="24"/>
          <w:u w:val="single"/>
        </w:rPr>
        <w:t>Ministerstvo investícií, regionálneho rozvoja a informatizácie SR</w:t>
      </w:r>
      <w:r w:rsidRPr="00EC586F">
        <w:rPr>
          <w:sz w:val="24"/>
          <w:szCs w:val="24"/>
        </w:rPr>
        <w:t xml:space="preserve"> vykázalo </w:t>
      </w:r>
      <w:r w:rsidRPr="00EC586F">
        <w:rPr>
          <w:sz w:val="24"/>
          <w:szCs w:val="24"/>
          <w:lang w:eastAsia="sk-SK"/>
        </w:rPr>
        <w:t xml:space="preserve">transfery v sume </w:t>
      </w:r>
      <w:r>
        <w:rPr>
          <w:sz w:val="24"/>
          <w:szCs w:val="24"/>
          <w:lang w:eastAsia="sk-SK"/>
        </w:rPr>
        <w:t>37</w:t>
      </w:r>
      <w:r w:rsidRPr="00EC586F">
        <w:rPr>
          <w:sz w:val="24"/>
          <w:szCs w:val="24"/>
          <w:lang w:eastAsia="sk-SK"/>
        </w:rPr>
        <w:t> </w:t>
      </w:r>
      <w:r>
        <w:rPr>
          <w:sz w:val="24"/>
          <w:szCs w:val="24"/>
          <w:lang w:eastAsia="sk-SK"/>
        </w:rPr>
        <w:t>117</w:t>
      </w:r>
      <w:r w:rsidRPr="00EC586F">
        <w:rPr>
          <w:sz w:val="24"/>
          <w:szCs w:val="24"/>
          <w:lang w:eastAsia="sk-SK"/>
        </w:rPr>
        <w:t xml:space="preserve"> tis. eur, </w:t>
      </w:r>
      <w:r>
        <w:rPr>
          <w:sz w:val="24"/>
          <w:szCs w:val="24"/>
          <w:lang w:eastAsia="sk-SK"/>
        </w:rPr>
        <w:t>z toho najviac (27 605 tis. eur)</w:t>
      </w:r>
      <w:r w:rsidRPr="001A7865">
        <w:rPr>
          <w:sz w:val="24"/>
          <w:szCs w:val="24"/>
          <w:lang w:eastAsia="sk-SK"/>
        </w:rPr>
        <w:t xml:space="preserve"> v rámci Integrovaného regionálneho operačného programu na implementáciu projektov v oblasti bezpečnej a</w:t>
      </w:r>
      <w:r>
        <w:rPr>
          <w:sz w:val="24"/>
          <w:szCs w:val="24"/>
          <w:lang w:eastAsia="sk-SK"/>
        </w:rPr>
        <w:t xml:space="preserve"> </w:t>
      </w:r>
      <w:r w:rsidRPr="001A7865">
        <w:rPr>
          <w:sz w:val="24"/>
          <w:szCs w:val="24"/>
          <w:lang w:eastAsia="sk-SK"/>
        </w:rPr>
        <w:t>ekologickej dopravy v regiónoch, zlepšovania efektívnosti a</w:t>
      </w:r>
      <w:r>
        <w:rPr>
          <w:sz w:val="24"/>
          <w:szCs w:val="24"/>
          <w:lang w:eastAsia="sk-SK"/>
        </w:rPr>
        <w:t xml:space="preserve"> </w:t>
      </w:r>
      <w:r w:rsidRPr="001A7865">
        <w:rPr>
          <w:sz w:val="24"/>
          <w:szCs w:val="24"/>
          <w:lang w:eastAsia="sk-SK"/>
        </w:rPr>
        <w:t>kvality služieb, mobilizácie kreatívneho potenciálu v regiónoch, zlepšovania kvality života v regiónoch s dôrazom na životné prostredie a p</w:t>
      </w:r>
      <w:r>
        <w:rPr>
          <w:sz w:val="24"/>
          <w:szCs w:val="24"/>
          <w:lang w:eastAsia="sk-SK"/>
        </w:rPr>
        <w:t>od</w:t>
      </w:r>
      <w:r w:rsidRPr="001A7865">
        <w:rPr>
          <w:sz w:val="24"/>
          <w:szCs w:val="24"/>
          <w:lang w:eastAsia="sk-SK"/>
        </w:rPr>
        <w:t>.</w:t>
      </w:r>
      <w:r>
        <w:rPr>
          <w:sz w:val="24"/>
          <w:szCs w:val="24"/>
          <w:lang w:eastAsia="sk-SK"/>
        </w:rPr>
        <w:t xml:space="preserve"> </w:t>
      </w:r>
      <w:r w:rsidRPr="001A7865">
        <w:rPr>
          <w:sz w:val="24"/>
          <w:szCs w:val="24"/>
          <w:lang w:eastAsia="sk-SK"/>
        </w:rPr>
        <w:t xml:space="preserve">Kapitola poskytla regionálne príspevky </w:t>
      </w:r>
      <w:r>
        <w:rPr>
          <w:sz w:val="24"/>
          <w:szCs w:val="24"/>
          <w:lang w:eastAsia="sk-SK"/>
        </w:rPr>
        <w:t>v </w:t>
      </w:r>
      <w:r w:rsidRPr="001A7865">
        <w:rPr>
          <w:sz w:val="24"/>
          <w:szCs w:val="24"/>
          <w:lang w:eastAsia="sk-SK"/>
        </w:rPr>
        <w:t>sume 9</w:t>
      </w:r>
      <w:r>
        <w:rPr>
          <w:sz w:val="24"/>
          <w:szCs w:val="24"/>
          <w:lang w:eastAsia="sk-SK"/>
        </w:rPr>
        <w:t> </w:t>
      </w:r>
      <w:r w:rsidRPr="001A7865">
        <w:rPr>
          <w:sz w:val="24"/>
          <w:szCs w:val="24"/>
          <w:lang w:eastAsia="sk-SK"/>
        </w:rPr>
        <w:t>51</w:t>
      </w:r>
      <w:r>
        <w:rPr>
          <w:sz w:val="24"/>
          <w:szCs w:val="24"/>
          <w:lang w:eastAsia="sk-SK"/>
        </w:rPr>
        <w:t>2 tis. </w:t>
      </w:r>
      <w:r w:rsidRPr="001A7865">
        <w:rPr>
          <w:sz w:val="24"/>
          <w:szCs w:val="24"/>
          <w:lang w:eastAsia="sk-SK"/>
        </w:rPr>
        <w:t>eur pre najmenej rozvinuté okresy v zmysle zákona č. 336/2015 Z.</w:t>
      </w:r>
      <w:r>
        <w:rPr>
          <w:sz w:val="24"/>
          <w:szCs w:val="24"/>
          <w:lang w:eastAsia="sk-SK"/>
        </w:rPr>
        <w:t xml:space="preserve"> </w:t>
      </w:r>
      <w:r w:rsidRPr="001A7865">
        <w:rPr>
          <w:sz w:val="24"/>
          <w:szCs w:val="24"/>
          <w:lang w:eastAsia="sk-SK"/>
        </w:rPr>
        <w:t xml:space="preserve">z. </w:t>
      </w:r>
      <w:r>
        <w:rPr>
          <w:sz w:val="24"/>
          <w:szCs w:val="24"/>
          <w:lang w:eastAsia="sk-SK"/>
        </w:rPr>
        <w:t>O</w:t>
      </w:r>
      <w:r w:rsidRPr="001A7865">
        <w:rPr>
          <w:sz w:val="24"/>
          <w:szCs w:val="24"/>
          <w:lang w:eastAsia="sk-SK"/>
        </w:rPr>
        <w:t xml:space="preserve"> podpore najmenej rozvinutých okresov a o zmene a doplnení niektorých zákonov</w:t>
      </w:r>
      <w:r>
        <w:rPr>
          <w:sz w:val="24"/>
          <w:szCs w:val="24"/>
          <w:lang w:eastAsia="sk-SK"/>
        </w:rPr>
        <w:t>.</w:t>
      </w:r>
    </w:p>
    <w:p w14:paraId="07C1A8B2" w14:textId="77777777" w:rsidR="00574126" w:rsidRPr="00C822FC" w:rsidRDefault="00574126" w:rsidP="00574126">
      <w:pPr>
        <w:spacing w:line="240" w:lineRule="auto"/>
        <w:rPr>
          <w:sz w:val="24"/>
          <w:szCs w:val="24"/>
          <w:lang w:eastAsia="sk-SK"/>
        </w:rPr>
      </w:pPr>
      <w:r w:rsidRPr="00EC586F">
        <w:rPr>
          <w:sz w:val="24"/>
          <w:szCs w:val="24"/>
          <w:u w:val="single"/>
        </w:rPr>
        <w:t>Ministerstvo životného prostredia SR</w:t>
      </w:r>
      <w:r w:rsidRPr="00EC586F">
        <w:rPr>
          <w:sz w:val="24"/>
          <w:szCs w:val="24"/>
        </w:rPr>
        <w:t xml:space="preserve"> poskytlo transfery v sume </w:t>
      </w:r>
      <w:r>
        <w:rPr>
          <w:sz w:val="24"/>
          <w:szCs w:val="24"/>
        </w:rPr>
        <w:t>24</w:t>
      </w:r>
      <w:r w:rsidRPr="00EC586F">
        <w:rPr>
          <w:sz w:val="24"/>
          <w:szCs w:val="24"/>
        </w:rPr>
        <w:t> </w:t>
      </w:r>
      <w:r>
        <w:rPr>
          <w:sz w:val="24"/>
          <w:szCs w:val="24"/>
        </w:rPr>
        <w:t>935</w:t>
      </w:r>
      <w:r w:rsidRPr="00EC586F">
        <w:rPr>
          <w:sz w:val="24"/>
          <w:szCs w:val="24"/>
        </w:rPr>
        <w:t xml:space="preserve"> tis. eur </w:t>
      </w:r>
      <w:r w:rsidRPr="00C822FC">
        <w:rPr>
          <w:sz w:val="24"/>
          <w:szCs w:val="24"/>
        </w:rPr>
        <w:t xml:space="preserve">v rámci programu Kvalita životného prostredia </w:t>
      </w:r>
      <w:r w:rsidRPr="00C822FC">
        <w:rPr>
          <w:sz w:val="24"/>
          <w:szCs w:val="24"/>
          <w:lang w:eastAsia="sk-SK"/>
        </w:rPr>
        <w:t>na účely zníženia energetickej náročnosti a zvýšenia využívania obnoviteľných zdrojov energie budov v podnikoch a</w:t>
      </w:r>
      <w:r>
        <w:rPr>
          <w:sz w:val="24"/>
          <w:szCs w:val="24"/>
          <w:lang w:eastAsia="sk-SK"/>
        </w:rPr>
        <w:t xml:space="preserve"> </w:t>
      </w:r>
      <w:r w:rsidRPr="00C822FC">
        <w:rPr>
          <w:sz w:val="24"/>
          <w:szCs w:val="24"/>
          <w:lang w:eastAsia="sk-SK"/>
        </w:rPr>
        <w:t xml:space="preserve">spoločnostiach, využitia </w:t>
      </w:r>
      <w:r>
        <w:rPr>
          <w:sz w:val="24"/>
          <w:szCs w:val="24"/>
          <w:lang w:eastAsia="sk-SK"/>
        </w:rPr>
        <w:t>geotermálnej energie v kúpeľoch a</w:t>
      </w:r>
      <w:r w:rsidRPr="00C822FC">
        <w:rPr>
          <w:sz w:val="24"/>
          <w:szCs w:val="24"/>
          <w:lang w:eastAsia="sk-SK"/>
        </w:rPr>
        <w:t xml:space="preserve"> </w:t>
      </w:r>
      <w:r>
        <w:rPr>
          <w:sz w:val="24"/>
          <w:szCs w:val="24"/>
          <w:lang w:eastAsia="sk-SK"/>
        </w:rPr>
        <w:t>pod</w:t>
      </w:r>
      <w:r w:rsidRPr="00C822FC">
        <w:rPr>
          <w:sz w:val="24"/>
          <w:szCs w:val="24"/>
          <w:lang w:eastAsia="sk-SK"/>
        </w:rPr>
        <w:t>.</w:t>
      </w:r>
      <w:r w:rsidRPr="003F0AD8">
        <w:rPr>
          <w:sz w:val="24"/>
          <w:szCs w:val="24"/>
          <w:lang w:eastAsia="sk-SK"/>
        </w:rPr>
        <w:t xml:space="preserve"> </w:t>
      </w:r>
      <w:r w:rsidRPr="00C822FC">
        <w:rPr>
          <w:sz w:val="24"/>
          <w:szCs w:val="24"/>
          <w:lang w:eastAsia="sk-SK"/>
        </w:rPr>
        <w:t xml:space="preserve">Najväčší príjemcovia finančných prostriedkov </w:t>
      </w:r>
      <w:r>
        <w:rPr>
          <w:sz w:val="24"/>
          <w:szCs w:val="24"/>
          <w:lang w:eastAsia="sk-SK"/>
        </w:rPr>
        <w:t>boli</w:t>
      </w:r>
      <w:r w:rsidRPr="00C822FC">
        <w:rPr>
          <w:sz w:val="24"/>
          <w:szCs w:val="24"/>
          <w:lang w:eastAsia="sk-SK"/>
        </w:rPr>
        <w:t>: Oravská</w:t>
      </w:r>
      <w:r>
        <w:rPr>
          <w:sz w:val="24"/>
          <w:szCs w:val="24"/>
          <w:lang w:eastAsia="sk-SK"/>
        </w:rPr>
        <w:t xml:space="preserve"> vodárenská spoločnosť, </w:t>
      </w:r>
      <w:proofErr w:type="spellStart"/>
      <w:r>
        <w:rPr>
          <w:sz w:val="24"/>
          <w:szCs w:val="24"/>
          <w:lang w:eastAsia="sk-SK"/>
        </w:rPr>
        <w:t>a.s</w:t>
      </w:r>
      <w:proofErr w:type="spellEnd"/>
      <w:r>
        <w:rPr>
          <w:sz w:val="24"/>
          <w:szCs w:val="24"/>
          <w:lang w:eastAsia="sk-SK"/>
        </w:rPr>
        <w:t>. (4 750 tis. eur</w:t>
      </w:r>
      <w:r w:rsidRPr="00C822FC">
        <w:rPr>
          <w:sz w:val="24"/>
          <w:szCs w:val="24"/>
          <w:lang w:eastAsia="sk-SK"/>
        </w:rPr>
        <w:t>),</w:t>
      </w:r>
      <w:r>
        <w:rPr>
          <w:sz w:val="24"/>
          <w:szCs w:val="24"/>
          <w:lang w:eastAsia="sk-SK"/>
        </w:rPr>
        <w:t xml:space="preserve"> Veolia Energia Levice, </w:t>
      </w:r>
      <w:proofErr w:type="spellStart"/>
      <w:r>
        <w:rPr>
          <w:sz w:val="24"/>
          <w:szCs w:val="24"/>
          <w:lang w:eastAsia="sk-SK"/>
        </w:rPr>
        <w:t>a.s</w:t>
      </w:r>
      <w:proofErr w:type="spellEnd"/>
      <w:r>
        <w:rPr>
          <w:sz w:val="24"/>
          <w:szCs w:val="24"/>
          <w:lang w:eastAsia="sk-SK"/>
        </w:rPr>
        <w:t>. (1 </w:t>
      </w:r>
      <w:r w:rsidRPr="00C822FC">
        <w:rPr>
          <w:sz w:val="24"/>
          <w:szCs w:val="24"/>
          <w:lang w:eastAsia="sk-SK"/>
        </w:rPr>
        <w:t>54</w:t>
      </w:r>
      <w:r>
        <w:rPr>
          <w:sz w:val="24"/>
          <w:szCs w:val="24"/>
          <w:lang w:eastAsia="sk-SK"/>
        </w:rPr>
        <w:t>3 tis. eur</w:t>
      </w:r>
      <w:r w:rsidRPr="00C822FC">
        <w:rPr>
          <w:sz w:val="24"/>
          <w:szCs w:val="24"/>
          <w:lang w:eastAsia="sk-SK"/>
        </w:rPr>
        <w:t xml:space="preserve">) a SPRAVBYTKOMFORT, </w:t>
      </w:r>
      <w:proofErr w:type="spellStart"/>
      <w:r w:rsidRPr="00C822FC">
        <w:rPr>
          <w:sz w:val="24"/>
          <w:szCs w:val="24"/>
          <w:lang w:eastAsia="sk-SK"/>
        </w:rPr>
        <w:t>a.s</w:t>
      </w:r>
      <w:proofErr w:type="spellEnd"/>
      <w:r w:rsidRPr="00C822FC">
        <w:rPr>
          <w:sz w:val="24"/>
          <w:szCs w:val="24"/>
          <w:lang w:eastAsia="sk-SK"/>
        </w:rPr>
        <w:t>. Prešov (1</w:t>
      </w:r>
      <w:r>
        <w:rPr>
          <w:sz w:val="24"/>
          <w:szCs w:val="24"/>
          <w:lang w:eastAsia="sk-SK"/>
        </w:rPr>
        <w:t> </w:t>
      </w:r>
      <w:r w:rsidRPr="00C822FC">
        <w:rPr>
          <w:sz w:val="24"/>
          <w:szCs w:val="24"/>
          <w:lang w:eastAsia="sk-SK"/>
        </w:rPr>
        <w:t>40</w:t>
      </w:r>
      <w:r>
        <w:rPr>
          <w:sz w:val="24"/>
          <w:szCs w:val="24"/>
          <w:lang w:eastAsia="sk-SK"/>
        </w:rPr>
        <w:t>5 </w:t>
      </w:r>
      <w:r w:rsidRPr="003F0AD8">
        <w:rPr>
          <w:sz w:val="24"/>
          <w:szCs w:val="24"/>
          <w:lang w:eastAsia="sk-SK"/>
        </w:rPr>
        <w:t>tis. eur</w:t>
      </w:r>
      <w:r w:rsidRPr="00C822FC">
        <w:rPr>
          <w:sz w:val="24"/>
          <w:szCs w:val="24"/>
          <w:lang w:eastAsia="sk-SK"/>
        </w:rPr>
        <w:t>).</w:t>
      </w:r>
    </w:p>
    <w:p w14:paraId="2B716D63" w14:textId="77777777" w:rsidR="00574126" w:rsidRPr="00EC586F" w:rsidRDefault="00574126" w:rsidP="00574126">
      <w:pPr>
        <w:spacing w:line="240" w:lineRule="auto"/>
        <w:rPr>
          <w:bCs/>
          <w:sz w:val="24"/>
          <w:szCs w:val="24"/>
        </w:rPr>
      </w:pPr>
      <w:r w:rsidRPr="00954FC1">
        <w:rPr>
          <w:sz w:val="24"/>
          <w:szCs w:val="24"/>
          <w:lang w:eastAsia="sk-SK"/>
        </w:rPr>
        <w:t>Čerpanie</w:t>
      </w:r>
      <w:r w:rsidRPr="00954FC1">
        <w:rPr>
          <w:sz w:val="24"/>
          <w:szCs w:val="24"/>
        </w:rPr>
        <w:t xml:space="preserve"> na </w:t>
      </w:r>
      <w:r w:rsidRPr="00EC586F">
        <w:rPr>
          <w:sz w:val="24"/>
          <w:szCs w:val="24"/>
          <w:u w:val="single"/>
        </w:rPr>
        <w:t>Ministerstv</w:t>
      </w:r>
      <w:r>
        <w:rPr>
          <w:sz w:val="24"/>
          <w:szCs w:val="24"/>
          <w:u w:val="single"/>
        </w:rPr>
        <w:t>e</w:t>
      </w:r>
      <w:r w:rsidRPr="00EC586F">
        <w:rPr>
          <w:sz w:val="24"/>
          <w:szCs w:val="24"/>
          <w:u w:val="single"/>
        </w:rPr>
        <w:t xml:space="preserve"> pôdohospodárstva a rozvoja vidieka SR</w:t>
      </w:r>
      <w:r w:rsidRPr="00EC586F">
        <w:rPr>
          <w:sz w:val="24"/>
          <w:szCs w:val="24"/>
        </w:rPr>
        <w:t xml:space="preserve"> </w:t>
      </w:r>
      <w:r w:rsidRPr="00EC586F">
        <w:rPr>
          <w:sz w:val="24"/>
          <w:szCs w:val="24"/>
          <w:lang w:eastAsia="sk-SK"/>
        </w:rPr>
        <w:t>(1</w:t>
      </w:r>
      <w:r>
        <w:rPr>
          <w:sz w:val="24"/>
          <w:szCs w:val="24"/>
          <w:lang w:eastAsia="sk-SK"/>
        </w:rPr>
        <w:t>1</w:t>
      </w:r>
      <w:r w:rsidRPr="00EC586F">
        <w:rPr>
          <w:sz w:val="24"/>
          <w:szCs w:val="24"/>
          <w:lang w:eastAsia="sk-SK"/>
        </w:rPr>
        <w:t> </w:t>
      </w:r>
      <w:r>
        <w:rPr>
          <w:sz w:val="24"/>
          <w:szCs w:val="24"/>
          <w:lang w:eastAsia="sk-SK"/>
        </w:rPr>
        <w:t>146</w:t>
      </w:r>
      <w:r w:rsidRPr="00EC586F">
        <w:rPr>
          <w:sz w:val="24"/>
          <w:szCs w:val="24"/>
          <w:lang w:eastAsia="sk-SK"/>
        </w:rPr>
        <w:t xml:space="preserve"> tis. eur) </w:t>
      </w:r>
      <w:r w:rsidRPr="00954FC1">
        <w:rPr>
          <w:sz w:val="24"/>
          <w:szCs w:val="24"/>
          <w:lang w:eastAsia="sk-SK"/>
        </w:rPr>
        <w:t>sa týkalo výhradne poskytnutia prostriedkov z EÚ a spolufinancovania</w:t>
      </w:r>
      <w:r w:rsidRPr="00583591">
        <w:rPr>
          <w:sz w:val="24"/>
          <w:szCs w:val="24"/>
          <w:lang w:eastAsia="sk-SK"/>
        </w:rPr>
        <w:t xml:space="preserve"> v rámci Programu rozvoja vidieka SR 2014-2022</w:t>
      </w:r>
      <w:r>
        <w:rPr>
          <w:sz w:val="24"/>
          <w:szCs w:val="24"/>
          <w:lang w:eastAsia="sk-SK"/>
        </w:rPr>
        <w:t>.</w:t>
      </w:r>
      <w:r w:rsidRPr="00583591">
        <w:rPr>
          <w:sz w:val="24"/>
          <w:szCs w:val="24"/>
          <w:lang w:eastAsia="sk-SK"/>
        </w:rPr>
        <w:t xml:space="preserve"> </w:t>
      </w:r>
      <w:r w:rsidRPr="00954FC1">
        <w:rPr>
          <w:sz w:val="24"/>
          <w:szCs w:val="24"/>
        </w:rPr>
        <w:t>Išlo napr. o p</w:t>
      </w:r>
      <w:r w:rsidRPr="00954FC1">
        <w:rPr>
          <w:bCs/>
          <w:sz w:val="24"/>
          <w:szCs w:val="24"/>
        </w:rPr>
        <w:t>odporu investíci</w:t>
      </w:r>
      <w:r>
        <w:rPr>
          <w:bCs/>
          <w:sz w:val="24"/>
          <w:szCs w:val="24"/>
        </w:rPr>
        <w:t>í</w:t>
      </w:r>
      <w:r w:rsidRPr="00954FC1">
        <w:rPr>
          <w:bCs/>
          <w:sz w:val="24"/>
          <w:szCs w:val="24"/>
        </w:rPr>
        <w:t xml:space="preserve"> do poľnohospodárskych </w:t>
      </w:r>
      <w:r w:rsidRPr="00954FC1">
        <w:rPr>
          <w:sz w:val="24"/>
          <w:szCs w:val="24"/>
        </w:rPr>
        <w:t>podnikov (5 811 tis. eur), investícií do lesných technológií a spracovania, do mobilizácie lesníckych výrobkov a ich uvádzania na trh</w:t>
      </w:r>
      <w:r>
        <w:rPr>
          <w:sz w:val="24"/>
          <w:szCs w:val="24"/>
        </w:rPr>
        <w:t xml:space="preserve"> (1 957 tis. eur) a</w:t>
      </w:r>
      <w:r w:rsidRPr="00954FC1">
        <w:rPr>
          <w:sz w:val="24"/>
          <w:szCs w:val="24"/>
        </w:rPr>
        <w:t xml:space="preserve"> do vytvárania a rozvoja nepoľnohospodár</w:t>
      </w:r>
      <w:r>
        <w:rPr>
          <w:sz w:val="24"/>
          <w:szCs w:val="24"/>
        </w:rPr>
        <w:t>skych činností (1 619 tis. eur)</w:t>
      </w:r>
      <w:r w:rsidRPr="00954FC1">
        <w:rPr>
          <w:bCs/>
          <w:sz w:val="24"/>
          <w:szCs w:val="24"/>
        </w:rPr>
        <w:t>.</w:t>
      </w:r>
    </w:p>
    <w:p w14:paraId="397E35B3" w14:textId="77777777" w:rsidR="00574126" w:rsidRPr="00AD4472" w:rsidRDefault="00574126" w:rsidP="00574126">
      <w:pPr>
        <w:spacing w:line="240" w:lineRule="auto"/>
        <w:rPr>
          <w:sz w:val="24"/>
          <w:szCs w:val="24"/>
        </w:rPr>
      </w:pPr>
      <w:r>
        <w:rPr>
          <w:sz w:val="24"/>
          <w:szCs w:val="24"/>
          <w:u w:val="single"/>
        </w:rPr>
        <w:t xml:space="preserve">Ministerstvo životného prostredia SR </w:t>
      </w:r>
      <w:r w:rsidRPr="00EA1EAB">
        <w:rPr>
          <w:sz w:val="24"/>
          <w:szCs w:val="24"/>
        </w:rPr>
        <w:t>zaznamenalo</w:t>
      </w:r>
      <w:r>
        <w:rPr>
          <w:sz w:val="24"/>
          <w:szCs w:val="24"/>
        </w:rPr>
        <w:t xml:space="preserve"> významný pokles skutočnosti oproti schválenému rozpočtu (o 465 059 tis. eur), vzhľadom na to, že </w:t>
      </w:r>
      <w:r w:rsidRPr="00EA1EAB">
        <w:rPr>
          <w:sz w:val="24"/>
          <w:szCs w:val="24"/>
        </w:rPr>
        <w:t xml:space="preserve">položka v rámci </w:t>
      </w:r>
      <w:r>
        <w:rPr>
          <w:sz w:val="24"/>
          <w:szCs w:val="24"/>
        </w:rPr>
        <w:t>Platobnej jednotky</w:t>
      </w:r>
      <w:r w:rsidRPr="00EA1EAB">
        <w:rPr>
          <w:sz w:val="24"/>
          <w:szCs w:val="24"/>
        </w:rPr>
        <w:t xml:space="preserve"> nie je nerozpočtovaná </w:t>
      </w:r>
      <w:r>
        <w:rPr>
          <w:sz w:val="24"/>
          <w:szCs w:val="24"/>
        </w:rPr>
        <w:t xml:space="preserve">a </w:t>
      </w:r>
      <w:r w:rsidRPr="00EA1EAB">
        <w:rPr>
          <w:sz w:val="24"/>
          <w:szCs w:val="24"/>
        </w:rPr>
        <w:t xml:space="preserve">pri rozpise schváleného rozpočtu do </w:t>
      </w:r>
      <w:proofErr w:type="spellStart"/>
      <w:r w:rsidRPr="00EA1EAB">
        <w:rPr>
          <w:sz w:val="24"/>
          <w:szCs w:val="24"/>
        </w:rPr>
        <w:t>RISu</w:t>
      </w:r>
      <w:proofErr w:type="spellEnd"/>
      <w:r w:rsidRPr="00EA1EAB">
        <w:rPr>
          <w:sz w:val="24"/>
          <w:szCs w:val="24"/>
        </w:rPr>
        <w:t xml:space="preserve"> používa len klasifikáciu 723002 a až následnými úpravami rozpočtu </w:t>
      </w:r>
      <w:r>
        <w:rPr>
          <w:sz w:val="24"/>
          <w:szCs w:val="24"/>
        </w:rPr>
        <w:t>dochádza k presunu prostriedkov</w:t>
      </w:r>
      <w:r w:rsidRPr="00EA1EAB">
        <w:rPr>
          <w:sz w:val="24"/>
          <w:szCs w:val="24"/>
        </w:rPr>
        <w:t xml:space="preserve"> podľa reáln</w:t>
      </w:r>
      <w:r>
        <w:rPr>
          <w:sz w:val="24"/>
          <w:szCs w:val="24"/>
        </w:rPr>
        <w:t>ych ú</w:t>
      </w:r>
      <w:r w:rsidRPr="00EA1EAB">
        <w:rPr>
          <w:sz w:val="24"/>
          <w:szCs w:val="24"/>
        </w:rPr>
        <w:t>hrad.</w:t>
      </w:r>
      <w:r>
        <w:rPr>
          <w:sz w:val="24"/>
          <w:szCs w:val="24"/>
        </w:rPr>
        <w:t xml:space="preserve"> </w:t>
      </w:r>
      <w:r w:rsidRPr="00EC586F">
        <w:rPr>
          <w:sz w:val="24"/>
          <w:szCs w:val="24"/>
          <w:u w:val="single"/>
        </w:rPr>
        <w:t>Ministerstvo dopravy a výstavby SR</w:t>
      </w:r>
      <w:r w:rsidRPr="00EC586F">
        <w:rPr>
          <w:sz w:val="24"/>
          <w:szCs w:val="24"/>
        </w:rPr>
        <w:t xml:space="preserve"> nezaznamenalo významné poskytnutie transferov, avšak významný bol pokles vykázanej skutočnosti oproti schválenému rozpočtu v sume </w:t>
      </w:r>
      <w:r w:rsidRPr="00AD4472">
        <w:rPr>
          <w:sz w:val="24"/>
          <w:szCs w:val="24"/>
        </w:rPr>
        <w:t xml:space="preserve">167 804 tis. eur, išlo o </w:t>
      </w:r>
      <w:r>
        <w:rPr>
          <w:sz w:val="24"/>
          <w:szCs w:val="24"/>
        </w:rPr>
        <w:t>presun</w:t>
      </w:r>
      <w:r w:rsidRPr="00AD4472">
        <w:rPr>
          <w:sz w:val="24"/>
          <w:szCs w:val="24"/>
        </w:rPr>
        <w:t xml:space="preserve"> </w:t>
      </w:r>
      <w:r>
        <w:rPr>
          <w:sz w:val="24"/>
          <w:szCs w:val="24"/>
        </w:rPr>
        <w:t xml:space="preserve">prostriedkov </w:t>
      </w:r>
      <w:r w:rsidRPr="00AD4472">
        <w:rPr>
          <w:sz w:val="24"/>
          <w:szCs w:val="24"/>
        </w:rPr>
        <w:t xml:space="preserve">medzi ekonomickými podpoložkami, </w:t>
      </w:r>
      <w:r>
        <w:rPr>
          <w:sz w:val="24"/>
          <w:szCs w:val="24"/>
        </w:rPr>
        <w:t>a</w:t>
      </w:r>
      <w:r w:rsidRPr="00AD4472">
        <w:rPr>
          <w:sz w:val="24"/>
          <w:szCs w:val="24"/>
        </w:rPr>
        <w:t xml:space="preserve"> viazani</w:t>
      </w:r>
      <w:r>
        <w:rPr>
          <w:sz w:val="24"/>
          <w:szCs w:val="24"/>
        </w:rPr>
        <w:t>e</w:t>
      </w:r>
      <w:r w:rsidRPr="00AD4472">
        <w:rPr>
          <w:sz w:val="24"/>
          <w:szCs w:val="24"/>
        </w:rPr>
        <w:t xml:space="preserve"> výdavkov na použitie do nasledujúceho rozpočtového roka</w:t>
      </w:r>
      <w:r>
        <w:rPr>
          <w:sz w:val="24"/>
          <w:szCs w:val="24"/>
        </w:rPr>
        <w:t>.</w:t>
      </w:r>
    </w:p>
    <w:p w14:paraId="39DED97D" w14:textId="77777777" w:rsidR="00574126" w:rsidRPr="006E2911" w:rsidRDefault="00574126" w:rsidP="00574126">
      <w:pPr>
        <w:spacing w:line="240" w:lineRule="auto"/>
        <w:rPr>
          <w:sz w:val="24"/>
          <w:szCs w:val="24"/>
        </w:rPr>
      </w:pPr>
      <w:r w:rsidRPr="00EC586F">
        <w:rPr>
          <w:sz w:val="24"/>
          <w:szCs w:val="24"/>
        </w:rPr>
        <w:t xml:space="preserve">Transfery </w:t>
      </w:r>
      <w:r w:rsidRPr="00EB44B3">
        <w:rPr>
          <w:b/>
          <w:i/>
          <w:sz w:val="24"/>
          <w:szCs w:val="24"/>
        </w:rPr>
        <w:t>právnickým osobám založeným štátom, obcou, alebo vyšším územným celkom</w:t>
      </w:r>
      <w:r w:rsidRPr="00EB44B3">
        <w:rPr>
          <w:i/>
          <w:sz w:val="24"/>
          <w:szCs w:val="24"/>
        </w:rPr>
        <w:t xml:space="preserve"> </w:t>
      </w:r>
      <w:r w:rsidRPr="00EB44B3">
        <w:rPr>
          <w:sz w:val="24"/>
          <w:szCs w:val="24"/>
        </w:rPr>
        <w:t>b</w:t>
      </w:r>
      <w:r w:rsidRPr="00EC586F">
        <w:rPr>
          <w:sz w:val="24"/>
          <w:szCs w:val="24"/>
        </w:rPr>
        <w:t xml:space="preserve">oli vykázané vo výške </w:t>
      </w:r>
      <w:r>
        <w:rPr>
          <w:sz w:val="24"/>
          <w:szCs w:val="24"/>
        </w:rPr>
        <w:t>32</w:t>
      </w:r>
      <w:r w:rsidRPr="00EC586F">
        <w:rPr>
          <w:sz w:val="24"/>
          <w:szCs w:val="24"/>
        </w:rPr>
        <w:t> </w:t>
      </w:r>
      <w:r>
        <w:rPr>
          <w:sz w:val="24"/>
          <w:szCs w:val="24"/>
        </w:rPr>
        <w:t>580</w:t>
      </w:r>
      <w:r w:rsidRPr="00EC586F">
        <w:rPr>
          <w:sz w:val="24"/>
          <w:szCs w:val="24"/>
        </w:rPr>
        <w:t xml:space="preserve"> tis. eur, najviac poskytlo </w:t>
      </w:r>
      <w:r w:rsidRPr="00EC586F">
        <w:rPr>
          <w:sz w:val="24"/>
          <w:szCs w:val="24"/>
          <w:u w:val="single"/>
        </w:rPr>
        <w:t>Ministerstvo životného prostredia SR</w:t>
      </w:r>
      <w:r>
        <w:rPr>
          <w:sz w:val="24"/>
          <w:szCs w:val="24"/>
        </w:rPr>
        <w:t xml:space="preserve"> (27 898</w:t>
      </w:r>
      <w:r w:rsidRPr="00EC586F">
        <w:rPr>
          <w:sz w:val="24"/>
          <w:szCs w:val="24"/>
        </w:rPr>
        <w:t xml:space="preserve"> tis. eur), </w:t>
      </w:r>
      <w:r w:rsidRPr="003F0AD8">
        <w:rPr>
          <w:sz w:val="24"/>
          <w:szCs w:val="24"/>
        </w:rPr>
        <w:t>na modernizácie rozvodov tepla, technológiu úpravy zmesového komunálneho odpadu pre jeho ďalšie využitie, zlepšenie odvádzania a čistenia komunálnych odpadových vôd, protipovodňové opatrenia</w:t>
      </w:r>
      <w:r>
        <w:rPr>
          <w:sz w:val="24"/>
          <w:szCs w:val="24"/>
        </w:rPr>
        <w:t xml:space="preserve"> a pod</w:t>
      </w:r>
      <w:r w:rsidRPr="003F0AD8">
        <w:rPr>
          <w:sz w:val="24"/>
          <w:szCs w:val="24"/>
        </w:rPr>
        <w:t xml:space="preserve">. </w:t>
      </w:r>
      <w:r w:rsidRPr="006E2911">
        <w:rPr>
          <w:sz w:val="24"/>
          <w:szCs w:val="24"/>
        </w:rPr>
        <w:t>Išlo o spoločnosti Stredoslovenská vodá</w:t>
      </w:r>
      <w:r>
        <w:rPr>
          <w:sz w:val="24"/>
          <w:szCs w:val="24"/>
        </w:rPr>
        <w:t xml:space="preserve">renská spoločnosť, </w:t>
      </w:r>
      <w:proofErr w:type="spellStart"/>
      <w:r>
        <w:rPr>
          <w:sz w:val="24"/>
          <w:szCs w:val="24"/>
        </w:rPr>
        <w:t>a.s</w:t>
      </w:r>
      <w:proofErr w:type="spellEnd"/>
      <w:r>
        <w:rPr>
          <w:sz w:val="24"/>
          <w:szCs w:val="24"/>
        </w:rPr>
        <w:t>. (11 </w:t>
      </w:r>
      <w:r w:rsidRPr="006E2911">
        <w:rPr>
          <w:sz w:val="24"/>
          <w:szCs w:val="24"/>
        </w:rPr>
        <w:t>57</w:t>
      </w:r>
      <w:r>
        <w:rPr>
          <w:sz w:val="24"/>
          <w:szCs w:val="24"/>
        </w:rPr>
        <w:t>2 tis. eur)</w:t>
      </w:r>
      <w:r w:rsidRPr="006E2911">
        <w:rPr>
          <w:sz w:val="24"/>
          <w:szCs w:val="24"/>
        </w:rPr>
        <w:t xml:space="preserve">, Slovenský </w:t>
      </w:r>
      <w:r>
        <w:rPr>
          <w:sz w:val="24"/>
          <w:szCs w:val="24"/>
        </w:rPr>
        <w:t xml:space="preserve">vodohospodársky podnik, </w:t>
      </w:r>
      <w:proofErr w:type="spellStart"/>
      <w:r>
        <w:rPr>
          <w:sz w:val="24"/>
          <w:szCs w:val="24"/>
        </w:rPr>
        <w:t>š.p</w:t>
      </w:r>
      <w:proofErr w:type="spellEnd"/>
      <w:r>
        <w:rPr>
          <w:sz w:val="24"/>
          <w:szCs w:val="24"/>
        </w:rPr>
        <w:t>. (8 209 tis. eur</w:t>
      </w:r>
      <w:r w:rsidRPr="006E2911">
        <w:rPr>
          <w:sz w:val="24"/>
          <w:szCs w:val="24"/>
        </w:rPr>
        <w:t xml:space="preserve">) a Technické služby mesta Partizánske, spol. </w:t>
      </w:r>
      <w:proofErr w:type="spellStart"/>
      <w:r w:rsidRPr="006E2911">
        <w:rPr>
          <w:sz w:val="24"/>
          <w:szCs w:val="24"/>
        </w:rPr>
        <w:t>s</w:t>
      </w:r>
      <w:r>
        <w:rPr>
          <w:sz w:val="24"/>
          <w:szCs w:val="24"/>
        </w:rPr>
        <w:t>.</w:t>
      </w:r>
      <w:r w:rsidRPr="006E2911">
        <w:rPr>
          <w:sz w:val="24"/>
          <w:szCs w:val="24"/>
        </w:rPr>
        <w:t>r.o</w:t>
      </w:r>
      <w:proofErr w:type="spellEnd"/>
      <w:r w:rsidRPr="006E2911">
        <w:rPr>
          <w:sz w:val="24"/>
          <w:szCs w:val="24"/>
        </w:rPr>
        <w:t>. (3</w:t>
      </w:r>
      <w:r>
        <w:rPr>
          <w:sz w:val="24"/>
          <w:szCs w:val="24"/>
        </w:rPr>
        <w:t> 123 tis. eur)</w:t>
      </w:r>
      <w:r w:rsidRPr="006E2911">
        <w:rPr>
          <w:sz w:val="24"/>
          <w:szCs w:val="24"/>
        </w:rPr>
        <w:t>.</w:t>
      </w:r>
    </w:p>
    <w:p w14:paraId="354A527F" w14:textId="77777777" w:rsidR="00574126" w:rsidRPr="00B97A3F" w:rsidRDefault="00574126" w:rsidP="00574126">
      <w:pPr>
        <w:spacing w:line="240" w:lineRule="auto"/>
        <w:rPr>
          <w:sz w:val="24"/>
          <w:szCs w:val="24"/>
        </w:rPr>
      </w:pPr>
      <w:r w:rsidRPr="00EB44B3">
        <w:rPr>
          <w:b/>
          <w:sz w:val="24"/>
          <w:szCs w:val="24"/>
        </w:rPr>
        <w:t>Transfery finančným inštitúciám</w:t>
      </w:r>
      <w:r w:rsidRPr="00D321DA">
        <w:rPr>
          <w:b/>
          <w:i/>
          <w:sz w:val="24"/>
          <w:szCs w:val="24"/>
        </w:rPr>
        <w:t xml:space="preserve"> </w:t>
      </w:r>
      <w:r w:rsidRPr="00EC586F">
        <w:rPr>
          <w:sz w:val="24"/>
          <w:szCs w:val="24"/>
        </w:rPr>
        <w:t xml:space="preserve">tvorili </w:t>
      </w:r>
      <w:r>
        <w:rPr>
          <w:sz w:val="24"/>
          <w:szCs w:val="24"/>
        </w:rPr>
        <w:t>70</w:t>
      </w:r>
      <w:r w:rsidRPr="00EC586F">
        <w:rPr>
          <w:sz w:val="24"/>
          <w:szCs w:val="24"/>
        </w:rPr>
        <w:t> </w:t>
      </w:r>
      <w:r>
        <w:rPr>
          <w:sz w:val="24"/>
          <w:szCs w:val="24"/>
        </w:rPr>
        <w:t>669</w:t>
      </w:r>
      <w:r w:rsidRPr="00EC586F">
        <w:rPr>
          <w:sz w:val="24"/>
          <w:szCs w:val="24"/>
        </w:rPr>
        <w:t xml:space="preserve"> tis. eur, z toho </w:t>
      </w:r>
      <w:r>
        <w:rPr>
          <w:sz w:val="24"/>
          <w:szCs w:val="24"/>
        </w:rPr>
        <w:t>celú sumu vykazovalo</w:t>
      </w:r>
      <w:r w:rsidRPr="00EC586F">
        <w:rPr>
          <w:sz w:val="24"/>
          <w:szCs w:val="24"/>
        </w:rPr>
        <w:t xml:space="preserve"> </w:t>
      </w:r>
      <w:r>
        <w:rPr>
          <w:sz w:val="24"/>
          <w:szCs w:val="24"/>
          <w:u w:val="single"/>
        </w:rPr>
        <w:t>Ministerstvo životného prostredia SR</w:t>
      </w:r>
      <w:r w:rsidRPr="00EC586F">
        <w:rPr>
          <w:sz w:val="24"/>
          <w:szCs w:val="24"/>
        </w:rPr>
        <w:t xml:space="preserve">, </w:t>
      </w:r>
      <w:r w:rsidRPr="00B97A3F">
        <w:rPr>
          <w:sz w:val="24"/>
          <w:szCs w:val="24"/>
        </w:rPr>
        <w:t xml:space="preserve">v rámci </w:t>
      </w:r>
      <w:r>
        <w:rPr>
          <w:sz w:val="24"/>
          <w:szCs w:val="24"/>
        </w:rPr>
        <w:t>o</w:t>
      </w:r>
      <w:r w:rsidRPr="00B97A3F">
        <w:rPr>
          <w:sz w:val="24"/>
          <w:szCs w:val="24"/>
        </w:rPr>
        <w:t>peračného programu Kvalita životného prostredia</w:t>
      </w:r>
      <w:r>
        <w:rPr>
          <w:sz w:val="24"/>
          <w:szCs w:val="24"/>
        </w:rPr>
        <w:t>. P</w:t>
      </w:r>
      <w:r w:rsidRPr="00B97A3F">
        <w:rPr>
          <w:sz w:val="24"/>
          <w:szCs w:val="24"/>
        </w:rPr>
        <w:t>ríjemc</w:t>
      </w:r>
      <w:r>
        <w:rPr>
          <w:sz w:val="24"/>
          <w:szCs w:val="24"/>
        </w:rPr>
        <w:t>om finančných prostriedkov bol</w:t>
      </w:r>
      <w:r w:rsidRPr="00B97A3F">
        <w:rPr>
          <w:sz w:val="24"/>
          <w:szCs w:val="24"/>
        </w:rPr>
        <w:t xml:space="preserve"> </w:t>
      </w:r>
      <w:r w:rsidRPr="00276143">
        <w:rPr>
          <w:sz w:val="24"/>
          <w:szCs w:val="24"/>
        </w:rPr>
        <w:t xml:space="preserve">Slovak </w:t>
      </w:r>
      <w:proofErr w:type="spellStart"/>
      <w:r w:rsidRPr="00276143">
        <w:rPr>
          <w:sz w:val="24"/>
          <w:szCs w:val="24"/>
        </w:rPr>
        <w:t>Investment</w:t>
      </w:r>
      <w:proofErr w:type="spellEnd"/>
      <w:r w:rsidRPr="00276143">
        <w:rPr>
          <w:sz w:val="24"/>
          <w:szCs w:val="24"/>
        </w:rPr>
        <w:t xml:space="preserve"> Holding, a</w:t>
      </w:r>
      <w:r w:rsidRPr="00B97A3F">
        <w:rPr>
          <w:sz w:val="24"/>
          <w:szCs w:val="24"/>
        </w:rPr>
        <w:t>. s.</w:t>
      </w:r>
      <w:r>
        <w:rPr>
          <w:sz w:val="24"/>
          <w:szCs w:val="24"/>
        </w:rPr>
        <w:t>, p</w:t>
      </w:r>
      <w:r w:rsidRPr="00276143">
        <w:rPr>
          <w:sz w:val="24"/>
          <w:szCs w:val="24"/>
        </w:rPr>
        <w:t xml:space="preserve">rostriedky boli použité </w:t>
      </w:r>
      <w:r>
        <w:rPr>
          <w:sz w:val="24"/>
          <w:szCs w:val="24"/>
        </w:rPr>
        <w:t>napr.</w:t>
      </w:r>
      <w:r w:rsidRPr="00276143">
        <w:rPr>
          <w:sz w:val="24"/>
          <w:szCs w:val="24"/>
        </w:rPr>
        <w:t xml:space="preserve"> na podpor</w:t>
      </w:r>
      <w:r>
        <w:rPr>
          <w:sz w:val="24"/>
          <w:szCs w:val="24"/>
        </w:rPr>
        <w:t>u</w:t>
      </w:r>
      <w:r w:rsidRPr="00276143">
        <w:rPr>
          <w:sz w:val="24"/>
          <w:szCs w:val="24"/>
        </w:rPr>
        <w:t xml:space="preserve"> udržateľného a efektívneho využívania energetických zdrojov a </w:t>
      </w:r>
      <w:r w:rsidRPr="00276143">
        <w:rPr>
          <w:sz w:val="24"/>
          <w:szCs w:val="24"/>
        </w:rPr>
        <w:lastRenderedPageBreak/>
        <w:t>zvýšeni</w:t>
      </w:r>
      <w:r>
        <w:rPr>
          <w:sz w:val="24"/>
          <w:szCs w:val="24"/>
        </w:rPr>
        <w:t>e</w:t>
      </w:r>
      <w:r w:rsidRPr="00276143">
        <w:rPr>
          <w:sz w:val="24"/>
          <w:szCs w:val="24"/>
        </w:rPr>
        <w:t xml:space="preserve"> miery zhodnocovania odpadov so zameraním na ich prípravu na opätovné použitie a recykláciu a podporu predchádzania vzniku biologicky rozložiteľných komunálnych odpadov.</w:t>
      </w:r>
    </w:p>
    <w:p w14:paraId="7F4BB3EA" w14:textId="77777777" w:rsidR="00574126" w:rsidRPr="007E3401" w:rsidRDefault="00574126" w:rsidP="00574126">
      <w:pPr>
        <w:spacing w:after="0" w:line="240" w:lineRule="auto"/>
        <w:rPr>
          <w:sz w:val="24"/>
          <w:szCs w:val="24"/>
        </w:rPr>
      </w:pPr>
      <w:r w:rsidRPr="00EB44B3">
        <w:rPr>
          <w:b/>
          <w:sz w:val="24"/>
          <w:szCs w:val="24"/>
        </w:rPr>
        <w:t>Transfery jednotlivcom a neziskovým právnickým osobám</w:t>
      </w:r>
      <w:r w:rsidRPr="00EC586F">
        <w:rPr>
          <w:sz w:val="24"/>
          <w:szCs w:val="24"/>
        </w:rPr>
        <w:t xml:space="preserve"> boli poskytnuté vo výške </w:t>
      </w:r>
      <w:r>
        <w:rPr>
          <w:sz w:val="24"/>
          <w:szCs w:val="24"/>
        </w:rPr>
        <w:t>28 818 </w:t>
      </w:r>
      <w:r w:rsidRPr="00EC586F">
        <w:rPr>
          <w:sz w:val="24"/>
          <w:szCs w:val="24"/>
        </w:rPr>
        <w:t>tis. eur (202</w:t>
      </w:r>
      <w:r>
        <w:rPr>
          <w:sz w:val="24"/>
          <w:szCs w:val="24"/>
        </w:rPr>
        <w:t>1</w:t>
      </w:r>
      <w:r w:rsidRPr="00EC586F">
        <w:rPr>
          <w:sz w:val="24"/>
          <w:szCs w:val="24"/>
        </w:rPr>
        <w:t xml:space="preserve">: 41 550 tis. eur), z toho </w:t>
      </w:r>
      <w:r w:rsidRPr="00EB44B3">
        <w:rPr>
          <w:b/>
          <w:i/>
          <w:sz w:val="24"/>
          <w:szCs w:val="24"/>
        </w:rPr>
        <w:t>neziskovej právnickej osobe</w:t>
      </w:r>
      <w:r>
        <w:rPr>
          <w:sz w:val="24"/>
          <w:szCs w:val="24"/>
        </w:rPr>
        <w:t xml:space="preserve"> 1</w:t>
      </w:r>
      <w:r w:rsidRPr="00EC586F">
        <w:rPr>
          <w:sz w:val="24"/>
          <w:szCs w:val="24"/>
        </w:rPr>
        <w:t>2 </w:t>
      </w:r>
      <w:r>
        <w:rPr>
          <w:sz w:val="24"/>
          <w:szCs w:val="24"/>
        </w:rPr>
        <w:t>696</w:t>
      </w:r>
      <w:r w:rsidRPr="00EC586F">
        <w:rPr>
          <w:sz w:val="24"/>
          <w:szCs w:val="24"/>
        </w:rPr>
        <w:t> tis. eur</w:t>
      </w:r>
      <w:r>
        <w:rPr>
          <w:sz w:val="24"/>
          <w:szCs w:val="24"/>
        </w:rPr>
        <w:t xml:space="preserve"> a </w:t>
      </w:r>
      <w:r w:rsidRPr="00EB44B3">
        <w:rPr>
          <w:b/>
          <w:i/>
          <w:sz w:val="24"/>
          <w:szCs w:val="24"/>
        </w:rPr>
        <w:t>občianskym združeniam, nadáciám a neinvestičným fondom</w:t>
      </w:r>
      <w:r w:rsidRPr="00EC586F">
        <w:rPr>
          <w:sz w:val="24"/>
          <w:szCs w:val="24"/>
        </w:rPr>
        <w:t xml:space="preserve"> boli poskytnuté vo výške 1</w:t>
      </w:r>
      <w:r>
        <w:rPr>
          <w:sz w:val="24"/>
          <w:szCs w:val="24"/>
        </w:rPr>
        <w:t>0</w:t>
      </w:r>
      <w:r w:rsidRPr="00EC586F">
        <w:rPr>
          <w:sz w:val="24"/>
          <w:szCs w:val="24"/>
        </w:rPr>
        <w:t> </w:t>
      </w:r>
      <w:r>
        <w:rPr>
          <w:sz w:val="24"/>
          <w:szCs w:val="24"/>
        </w:rPr>
        <w:t>309</w:t>
      </w:r>
      <w:r w:rsidRPr="00EC586F">
        <w:rPr>
          <w:sz w:val="24"/>
          <w:szCs w:val="24"/>
        </w:rPr>
        <w:t> tis. eur</w:t>
      </w:r>
      <w:r>
        <w:rPr>
          <w:sz w:val="24"/>
          <w:szCs w:val="24"/>
        </w:rPr>
        <w:t xml:space="preserve">. </w:t>
      </w:r>
      <w:r w:rsidRPr="00EC586F">
        <w:rPr>
          <w:sz w:val="24"/>
          <w:szCs w:val="24"/>
        </w:rPr>
        <w:t xml:space="preserve">Najviac prostriedkov poskytlo </w:t>
      </w:r>
      <w:r w:rsidRPr="00EC586F">
        <w:rPr>
          <w:sz w:val="24"/>
          <w:szCs w:val="24"/>
          <w:u w:val="single"/>
        </w:rPr>
        <w:t>Ministerstvo investícií, regionálneho rozvoja a informatizácie SR (</w:t>
      </w:r>
      <w:r>
        <w:rPr>
          <w:sz w:val="24"/>
          <w:szCs w:val="24"/>
          <w:u w:val="single"/>
        </w:rPr>
        <w:t>8</w:t>
      </w:r>
      <w:r w:rsidRPr="00EC586F">
        <w:rPr>
          <w:sz w:val="24"/>
          <w:szCs w:val="24"/>
          <w:u w:val="single"/>
        </w:rPr>
        <w:t> </w:t>
      </w:r>
      <w:r>
        <w:rPr>
          <w:sz w:val="24"/>
          <w:szCs w:val="24"/>
          <w:u w:val="single"/>
        </w:rPr>
        <w:t>342</w:t>
      </w:r>
      <w:r w:rsidRPr="00EC586F">
        <w:rPr>
          <w:sz w:val="24"/>
          <w:szCs w:val="24"/>
          <w:u w:val="single"/>
        </w:rPr>
        <w:t> tis. eur</w:t>
      </w:r>
      <w:r w:rsidRPr="007E3401">
        <w:rPr>
          <w:sz w:val="24"/>
          <w:szCs w:val="24"/>
          <w:u w:val="single"/>
        </w:rPr>
        <w:t>)</w:t>
      </w:r>
      <w:r w:rsidRPr="007E3401">
        <w:rPr>
          <w:sz w:val="24"/>
          <w:szCs w:val="24"/>
        </w:rPr>
        <w:t xml:space="preserve"> z Integrovaného regionálneho operačného programu na projekty zamerané najmä na zníženie dopadov pandémie COVID-19 v zdravotníckych zariadeniach, na rekonštrukcie zdravotníckych zariadení, zariadení sociálnych služieb, zvyšovanie kapacít žiakov stredných škôl na praktickom vyučovaní</w:t>
      </w:r>
      <w:r>
        <w:rPr>
          <w:sz w:val="24"/>
          <w:szCs w:val="24"/>
        </w:rPr>
        <w:t xml:space="preserve"> a</w:t>
      </w:r>
      <w:r w:rsidRPr="007E3401">
        <w:rPr>
          <w:sz w:val="24"/>
          <w:szCs w:val="24"/>
        </w:rPr>
        <w:t xml:space="preserve"> zvýšenie atraktivity cyklistickej dopravy. </w:t>
      </w:r>
    </w:p>
    <w:p w14:paraId="164219C9" w14:textId="77777777" w:rsidR="00574126" w:rsidRPr="00EC586F" w:rsidRDefault="00574126" w:rsidP="00574126">
      <w:pPr>
        <w:spacing w:line="240" w:lineRule="auto"/>
        <w:rPr>
          <w:sz w:val="24"/>
          <w:szCs w:val="24"/>
        </w:rPr>
      </w:pPr>
      <w:r w:rsidRPr="00EC586F">
        <w:rPr>
          <w:sz w:val="24"/>
          <w:szCs w:val="24"/>
          <w:u w:val="single"/>
        </w:rPr>
        <w:t xml:space="preserve">Ministerstvo </w:t>
      </w:r>
      <w:r>
        <w:rPr>
          <w:sz w:val="24"/>
          <w:szCs w:val="24"/>
          <w:u w:val="single"/>
        </w:rPr>
        <w:t>dopravy a výstavby</w:t>
      </w:r>
      <w:r w:rsidRPr="00EC586F">
        <w:rPr>
          <w:sz w:val="24"/>
          <w:szCs w:val="24"/>
          <w:u w:val="single"/>
        </w:rPr>
        <w:t xml:space="preserve"> SR</w:t>
      </w:r>
      <w:r>
        <w:rPr>
          <w:sz w:val="24"/>
          <w:szCs w:val="24"/>
        </w:rPr>
        <w:t xml:space="preserve"> poskytlo transfer (2 175</w:t>
      </w:r>
      <w:r w:rsidRPr="00EC586F">
        <w:rPr>
          <w:sz w:val="24"/>
          <w:szCs w:val="24"/>
        </w:rPr>
        <w:t xml:space="preserve"> tis. eur) </w:t>
      </w:r>
      <w:r w:rsidRPr="007E3401">
        <w:rPr>
          <w:sz w:val="24"/>
          <w:szCs w:val="24"/>
        </w:rPr>
        <w:t>v rámci podprogramu Výstavba a obnova bytového fondu dotácie na odstránenie systémových porúch bytových domov</w:t>
      </w:r>
      <w:r>
        <w:rPr>
          <w:sz w:val="24"/>
          <w:szCs w:val="24"/>
        </w:rPr>
        <w:t>.</w:t>
      </w:r>
      <w:r w:rsidRPr="007E3401">
        <w:rPr>
          <w:sz w:val="24"/>
          <w:szCs w:val="24"/>
        </w:rPr>
        <w:t xml:space="preserve"> </w:t>
      </w:r>
    </w:p>
    <w:p w14:paraId="00E3FE94" w14:textId="4CAD20B9" w:rsidR="00574126" w:rsidRDefault="00574126" w:rsidP="00574126">
      <w:pPr>
        <w:spacing w:line="240" w:lineRule="auto"/>
        <w:rPr>
          <w:sz w:val="24"/>
          <w:szCs w:val="24"/>
        </w:rPr>
      </w:pPr>
      <w:r w:rsidRPr="00EB44B3">
        <w:rPr>
          <w:b/>
          <w:i/>
          <w:sz w:val="24"/>
          <w:szCs w:val="24"/>
        </w:rPr>
        <w:t>Transfery občianskym združeniam, nadáciám a neinvestičným fondom</w:t>
      </w:r>
      <w:r w:rsidRPr="00EC586F">
        <w:rPr>
          <w:sz w:val="24"/>
          <w:szCs w:val="24"/>
        </w:rPr>
        <w:t xml:space="preserve"> boli poskytnuté vo výške 1</w:t>
      </w:r>
      <w:r>
        <w:rPr>
          <w:sz w:val="24"/>
          <w:szCs w:val="24"/>
        </w:rPr>
        <w:t>0</w:t>
      </w:r>
      <w:r w:rsidRPr="00EC586F">
        <w:rPr>
          <w:sz w:val="24"/>
          <w:szCs w:val="24"/>
        </w:rPr>
        <w:t> </w:t>
      </w:r>
      <w:r>
        <w:rPr>
          <w:sz w:val="24"/>
          <w:szCs w:val="24"/>
        </w:rPr>
        <w:t>309</w:t>
      </w:r>
      <w:r w:rsidRPr="00EC586F">
        <w:rPr>
          <w:sz w:val="24"/>
          <w:szCs w:val="24"/>
        </w:rPr>
        <w:t xml:space="preserve"> tis. eur, z toho najviac poskytlo </w:t>
      </w:r>
      <w:r w:rsidRPr="00EC586F">
        <w:rPr>
          <w:sz w:val="24"/>
          <w:szCs w:val="24"/>
          <w:u w:val="single"/>
        </w:rPr>
        <w:t xml:space="preserve">Ministerstvo školstva, vedy, výskumu a športu SR </w:t>
      </w:r>
      <w:r>
        <w:rPr>
          <w:sz w:val="24"/>
          <w:szCs w:val="24"/>
        </w:rPr>
        <w:t>(6 568</w:t>
      </w:r>
      <w:r w:rsidRPr="00EC586F">
        <w:rPr>
          <w:sz w:val="24"/>
          <w:szCs w:val="24"/>
        </w:rPr>
        <w:t xml:space="preserve"> tis. eur) </w:t>
      </w:r>
      <w:r w:rsidRPr="001E105B">
        <w:rPr>
          <w:sz w:val="24"/>
          <w:szCs w:val="24"/>
        </w:rPr>
        <w:t>na príspev</w:t>
      </w:r>
      <w:r>
        <w:rPr>
          <w:sz w:val="24"/>
          <w:szCs w:val="24"/>
        </w:rPr>
        <w:t xml:space="preserve">ok uznanému športu na materiálno – </w:t>
      </w:r>
      <w:r w:rsidRPr="001E105B">
        <w:rPr>
          <w:sz w:val="24"/>
          <w:szCs w:val="24"/>
        </w:rPr>
        <w:t>technické</w:t>
      </w:r>
      <w:r>
        <w:rPr>
          <w:sz w:val="24"/>
          <w:szCs w:val="24"/>
        </w:rPr>
        <w:t xml:space="preserve"> </w:t>
      </w:r>
      <w:r w:rsidRPr="001E105B">
        <w:rPr>
          <w:sz w:val="24"/>
          <w:szCs w:val="24"/>
        </w:rPr>
        <w:t>zabezpečenie reprezentácie, na národné športové projekty, na rekonštrukcie futbalových štadiónov Slovenského futbalového</w:t>
      </w:r>
      <w:r>
        <w:rPr>
          <w:sz w:val="24"/>
          <w:szCs w:val="24"/>
        </w:rPr>
        <w:t xml:space="preserve"> zväzu a</w:t>
      </w:r>
      <w:r w:rsidRPr="001E105B">
        <w:rPr>
          <w:sz w:val="24"/>
          <w:szCs w:val="24"/>
        </w:rPr>
        <w:t xml:space="preserve"> na materiálno- technické zabezpeče</w:t>
      </w:r>
      <w:r>
        <w:rPr>
          <w:sz w:val="24"/>
          <w:szCs w:val="24"/>
        </w:rPr>
        <w:t>nie športovej reprezentácie</w:t>
      </w:r>
      <w:r w:rsidRPr="001E105B">
        <w:rPr>
          <w:sz w:val="24"/>
          <w:szCs w:val="24"/>
        </w:rPr>
        <w:t>.</w:t>
      </w:r>
      <w:r w:rsidRPr="00EC586F">
        <w:rPr>
          <w:sz w:val="24"/>
          <w:szCs w:val="24"/>
        </w:rPr>
        <w:t xml:space="preserve"> </w:t>
      </w:r>
      <w:r w:rsidRPr="00EC586F">
        <w:rPr>
          <w:sz w:val="24"/>
          <w:szCs w:val="24"/>
          <w:u w:val="single"/>
        </w:rPr>
        <w:t>Ministerstvo investícií, regionálneho rozvoja a informatizácie SR</w:t>
      </w:r>
      <w:r w:rsidRPr="00EC586F">
        <w:rPr>
          <w:sz w:val="24"/>
          <w:szCs w:val="24"/>
        </w:rPr>
        <w:t xml:space="preserve"> (</w:t>
      </w:r>
      <w:r>
        <w:rPr>
          <w:sz w:val="24"/>
          <w:szCs w:val="24"/>
        </w:rPr>
        <w:t>2</w:t>
      </w:r>
      <w:r w:rsidRPr="00EC586F">
        <w:rPr>
          <w:sz w:val="24"/>
          <w:szCs w:val="24"/>
        </w:rPr>
        <w:t> </w:t>
      </w:r>
      <w:r>
        <w:rPr>
          <w:sz w:val="24"/>
          <w:szCs w:val="24"/>
        </w:rPr>
        <w:t>687</w:t>
      </w:r>
      <w:r w:rsidRPr="00EC586F">
        <w:rPr>
          <w:sz w:val="24"/>
          <w:szCs w:val="24"/>
        </w:rPr>
        <w:t xml:space="preserve"> tis. eur) </w:t>
      </w:r>
      <w:r w:rsidRPr="00977BB2">
        <w:rPr>
          <w:sz w:val="24"/>
          <w:szCs w:val="24"/>
        </w:rPr>
        <w:t xml:space="preserve">v rámci Integrovaného regionálneho operačného programu poskytlo dotácie najmä </w:t>
      </w:r>
      <w:r>
        <w:rPr>
          <w:sz w:val="24"/>
          <w:szCs w:val="24"/>
        </w:rPr>
        <w:t>na p</w:t>
      </w:r>
      <w:r w:rsidRPr="00977BB2">
        <w:rPr>
          <w:sz w:val="24"/>
          <w:szCs w:val="24"/>
        </w:rPr>
        <w:t xml:space="preserve">rojekty v oblasti poskytovania sociálnych služieb a sociálnoprávnej ochrany detí a sociálnej kurately v zariadeniach na komunitnej úrovni. </w:t>
      </w:r>
    </w:p>
    <w:p w14:paraId="28CD40AF" w14:textId="4B03DE9E" w:rsidR="00995FFF" w:rsidRDefault="00995FFF">
      <w:pPr>
        <w:spacing w:after="160" w:line="259" w:lineRule="auto"/>
        <w:jc w:val="left"/>
        <w:rPr>
          <w:sz w:val="24"/>
          <w:szCs w:val="24"/>
        </w:rPr>
      </w:pPr>
      <w:r>
        <w:rPr>
          <w:sz w:val="24"/>
          <w:szCs w:val="24"/>
        </w:rPr>
        <w:br w:type="page"/>
      </w:r>
    </w:p>
    <w:p w14:paraId="4D315620" w14:textId="45182C22" w:rsidR="0078085C" w:rsidRDefault="0078085C" w:rsidP="008D0228">
      <w:pPr>
        <w:pStyle w:val="Nadpis3"/>
        <w:spacing w:before="0"/>
      </w:pPr>
      <w:bookmarkStart w:id="48" w:name="_Toc132929093"/>
      <w:r w:rsidRPr="00935B24">
        <w:lastRenderedPageBreak/>
        <w:t>Výdavky podľa funkčnej klasifikácie</w:t>
      </w:r>
      <w:bookmarkEnd w:id="48"/>
    </w:p>
    <w:p w14:paraId="1EBD9AAC" w14:textId="77777777" w:rsidR="00574126" w:rsidRDefault="00574126" w:rsidP="00574126">
      <w:pPr>
        <w:spacing w:line="240" w:lineRule="auto"/>
        <w:rPr>
          <w:sz w:val="24"/>
          <w:szCs w:val="24"/>
        </w:rPr>
      </w:pPr>
      <w:bookmarkStart w:id="49" w:name="_Toc6415648"/>
      <w:r w:rsidRPr="00EC586F">
        <w:rPr>
          <w:sz w:val="24"/>
          <w:szCs w:val="24"/>
        </w:rPr>
        <w:t>Výdavky štátneho rozpočtu podľa funkčnej klasifikácie sa triedia v súlade s vyhláškou Štatistického úradu SR č. 257/2014 Z. z. (tzv. COFOG). Táto klasifikácia predstavuje rozdelenie výdavkov podľa funkcie, pričom funkciou sa rozumie určitá oblasť činností, ktorú daná organizácia financuje napr. oblasť školstva, zdravotníctva, kultúry, bezpečnosti a podobne. Výdavky sa triedia do tej funkcie, s ktorou súvisia, bez ohľadu na hlavný predmet činnosti samotnej organizácie.</w:t>
      </w:r>
    </w:p>
    <w:tbl>
      <w:tblPr>
        <w:tblW w:w="9223" w:type="dxa"/>
        <w:tblCellMar>
          <w:left w:w="70" w:type="dxa"/>
          <w:right w:w="70" w:type="dxa"/>
        </w:tblCellMar>
        <w:tblLook w:val="04A0" w:firstRow="1" w:lastRow="0" w:firstColumn="1" w:lastColumn="0" w:noHBand="0" w:noVBand="1"/>
      </w:tblPr>
      <w:tblGrid>
        <w:gridCol w:w="2795"/>
        <w:gridCol w:w="1074"/>
        <w:gridCol w:w="1134"/>
        <w:gridCol w:w="1134"/>
        <w:gridCol w:w="1276"/>
        <w:gridCol w:w="1134"/>
        <w:gridCol w:w="676"/>
      </w:tblGrid>
      <w:tr w:rsidR="00574126" w:rsidRPr="00336881" w14:paraId="332A1D19" w14:textId="77777777" w:rsidTr="00574126">
        <w:trPr>
          <w:trHeight w:val="450"/>
        </w:trPr>
        <w:tc>
          <w:tcPr>
            <w:tcW w:w="9223" w:type="dxa"/>
            <w:gridSpan w:val="7"/>
            <w:tcBorders>
              <w:top w:val="nil"/>
              <w:bottom w:val="single" w:sz="4" w:space="0" w:color="auto"/>
              <w:right w:val="nil"/>
            </w:tcBorders>
            <w:shd w:val="clear" w:color="auto" w:fill="auto"/>
            <w:vAlign w:val="center"/>
            <w:hideMark/>
          </w:tcPr>
          <w:p w14:paraId="6AE375C6" w14:textId="12AB8DB2" w:rsidR="00574126" w:rsidRPr="00EC586F" w:rsidRDefault="00D50C99" w:rsidP="008B3212">
            <w:pPr>
              <w:spacing w:after="0" w:line="240" w:lineRule="auto"/>
              <w:jc w:val="left"/>
              <w:rPr>
                <w:rFonts w:eastAsia="Times New Roman" w:cs="Times New Roman"/>
                <w:b/>
                <w:bCs/>
                <w:color w:val="5B9BD5" w:themeColor="accent1"/>
                <w:sz w:val="20"/>
                <w:szCs w:val="20"/>
                <w:lang w:eastAsia="sk-SK"/>
              </w:rPr>
            </w:pPr>
            <w:r>
              <w:rPr>
                <w:rFonts w:eastAsia="Times New Roman" w:cs="Times New Roman"/>
                <w:b/>
                <w:bCs/>
                <w:color w:val="5B9BD5" w:themeColor="accent1"/>
                <w:sz w:val="20"/>
                <w:szCs w:val="20"/>
                <w:lang w:eastAsia="sk-SK"/>
              </w:rPr>
              <w:t>Tabuľka 4</w:t>
            </w:r>
            <w:r w:rsidR="008B3212">
              <w:rPr>
                <w:rFonts w:eastAsia="Times New Roman" w:cs="Times New Roman"/>
                <w:b/>
                <w:bCs/>
                <w:color w:val="5B9BD5" w:themeColor="accent1"/>
                <w:sz w:val="20"/>
                <w:szCs w:val="20"/>
                <w:lang w:eastAsia="sk-SK"/>
              </w:rPr>
              <w:t>4</w:t>
            </w:r>
            <w:r w:rsidR="00574126">
              <w:rPr>
                <w:rFonts w:eastAsia="Times New Roman" w:cs="Times New Roman"/>
                <w:b/>
                <w:bCs/>
                <w:color w:val="5B9BD5" w:themeColor="accent1"/>
                <w:sz w:val="20"/>
                <w:szCs w:val="20"/>
                <w:lang w:eastAsia="sk-SK"/>
              </w:rPr>
              <w:t xml:space="preserve"> - </w:t>
            </w:r>
            <w:r w:rsidR="00574126" w:rsidRPr="00EC586F">
              <w:rPr>
                <w:rFonts w:eastAsia="Times New Roman" w:cs="Times New Roman"/>
                <w:b/>
                <w:bCs/>
                <w:color w:val="5B9BD5" w:themeColor="accent1"/>
                <w:sz w:val="20"/>
                <w:szCs w:val="20"/>
                <w:lang w:eastAsia="sk-SK"/>
              </w:rPr>
              <w:t xml:space="preserve">Výdavky štátneho rozpočtu </w:t>
            </w:r>
            <w:r w:rsidR="00574126" w:rsidRPr="00336881">
              <w:rPr>
                <w:rFonts w:eastAsia="Times New Roman" w:cs="Times New Roman"/>
                <w:b/>
                <w:bCs/>
                <w:color w:val="5B9BD5" w:themeColor="accent1"/>
                <w:sz w:val="20"/>
                <w:szCs w:val="20"/>
                <w:lang w:eastAsia="sk-SK"/>
              </w:rPr>
              <w:t xml:space="preserve">podľa funkčnej klasifikácie </w:t>
            </w:r>
          </w:p>
        </w:tc>
      </w:tr>
      <w:tr w:rsidR="00574126" w:rsidRPr="00EC586F" w14:paraId="6DDF6AFE" w14:textId="77777777" w:rsidTr="00CE362A">
        <w:trPr>
          <w:trHeight w:val="289"/>
        </w:trPr>
        <w:tc>
          <w:tcPr>
            <w:tcW w:w="2795" w:type="dxa"/>
            <w:vMerge w:val="restart"/>
            <w:tcBorders>
              <w:top w:val="nil"/>
              <w:left w:val="nil"/>
              <w:right w:val="nil"/>
            </w:tcBorders>
            <w:shd w:val="clear" w:color="auto" w:fill="auto"/>
            <w:vAlign w:val="center"/>
            <w:hideMark/>
          </w:tcPr>
          <w:p w14:paraId="71AB1EC5" w14:textId="77777777" w:rsidR="00574126" w:rsidRPr="00EC586F" w:rsidRDefault="00574126" w:rsidP="00574126">
            <w:pPr>
              <w:spacing w:after="0" w:line="240" w:lineRule="auto"/>
              <w:jc w:val="left"/>
              <w:rPr>
                <w:rFonts w:eastAsia="Times New Roman" w:cs="Times New Roman"/>
                <w:b/>
                <w:bCs/>
                <w:color w:val="000000"/>
                <w:sz w:val="20"/>
                <w:szCs w:val="20"/>
                <w:lang w:eastAsia="sk-SK"/>
              </w:rPr>
            </w:pPr>
            <w:r w:rsidRPr="00EC586F">
              <w:rPr>
                <w:rFonts w:eastAsia="Times New Roman" w:cs="Times New Roman"/>
                <w:b/>
                <w:bCs/>
                <w:sz w:val="20"/>
                <w:szCs w:val="20"/>
                <w:lang w:eastAsia="sk-SK"/>
              </w:rPr>
              <w:t>v tis. eur</w:t>
            </w:r>
            <w:r w:rsidRPr="00EC586F">
              <w:rPr>
                <w:rFonts w:eastAsia="Times New Roman" w:cs="Times New Roman"/>
                <w:b/>
                <w:bCs/>
                <w:color w:val="000000"/>
                <w:sz w:val="20"/>
                <w:szCs w:val="20"/>
                <w:lang w:eastAsia="sk-SK"/>
              </w:rPr>
              <w:t> </w:t>
            </w:r>
          </w:p>
        </w:tc>
        <w:tc>
          <w:tcPr>
            <w:tcW w:w="1074" w:type="dxa"/>
            <w:tcBorders>
              <w:top w:val="nil"/>
              <w:left w:val="nil"/>
              <w:bottom w:val="nil"/>
              <w:right w:val="nil"/>
            </w:tcBorders>
            <w:shd w:val="clear" w:color="auto" w:fill="auto"/>
            <w:vAlign w:val="center"/>
            <w:hideMark/>
          </w:tcPr>
          <w:p w14:paraId="4CC871D6"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2020</w:t>
            </w:r>
            <w:r w:rsidRPr="00336881">
              <w:rPr>
                <w:rFonts w:eastAsia="Times New Roman" w:cs="Times New Roman"/>
                <w:b/>
                <w:bCs/>
                <w:color w:val="000000"/>
                <w:sz w:val="20"/>
                <w:szCs w:val="20"/>
                <w:lang w:eastAsia="sk-SK"/>
              </w:rPr>
              <w:t xml:space="preserve"> S</w:t>
            </w:r>
          </w:p>
        </w:tc>
        <w:tc>
          <w:tcPr>
            <w:tcW w:w="1134" w:type="dxa"/>
            <w:tcBorders>
              <w:top w:val="nil"/>
              <w:left w:val="nil"/>
              <w:bottom w:val="nil"/>
              <w:right w:val="nil"/>
            </w:tcBorders>
            <w:shd w:val="clear" w:color="auto" w:fill="auto"/>
            <w:vAlign w:val="center"/>
            <w:hideMark/>
          </w:tcPr>
          <w:p w14:paraId="40C40BC3"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202</w:t>
            </w:r>
            <w:r>
              <w:rPr>
                <w:rFonts w:eastAsia="Times New Roman" w:cs="Times New Roman"/>
                <w:b/>
                <w:bCs/>
                <w:color w:val="000000"/>
                <w:sz w:val="20"/>
                <w:szCs w:val="20"/>
                <w:lang w:eastAsia="sk-SK"/>
              </w:rPr>
              <w:t>1</w:t>
            </w:r>
            <w:r w:rsidRPr="00336881">
              <w:rPr>
                <w:rFonts w:eastAsia="Times New Roman" w:cs="Times New Roman"/>
                <w:b/>
                <w:bCs/>
                <w:color w:val="000000"/>
                <w:sz w:val="20"/>
                <w:szCs w:val="20"/>
                <w:lang w:eastAsia="sk-SK"/>
              </w:rPr>
              <w:t xml:space="preserve"> S</w:t>
            </w:r>
          </w:p>
        </w:tc>
        <w:tc>
          <w:tcPr>
            <w:tcW w:w="1134" w:type="dxa"/>
            <w:tcBorders>
              <w:top w:val="nil"/>
              <w:left w:val="nil"/>
              <w:bottom w:val="nil"/>
              <w:right w:val="nil"/>
            </w:tcBorders>
            <w:shd w:val="clear" w:color="auto" w:fill="auto"/>
            <w:vAlign w:val="center"/>
            <w:hideMark/>
          </w:tcPr>
          <w:p w14:paraId="3C041CB2"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2</w:t>
            </w:r>
            <w:r>
              <w:rPr>
                <w:rFonts w:eastAsia="Times New Roman" w:cs="Times New Roman"/>
                <w:b/>
                <w:bCs/>
                <w:color w:val="000000"/>
                <w:sz w:val="20"/>
                <w:szCs w:val="20"/>
                <w:lang w:eastAsia="sk-SK"/>
              </w:rPr>
              <w:t>022</w:t>
            </w:r>
            <w:r w:rsidRPr="00336881">
              <w:rPr>
                <w:rFonts w:eastAsia="Times New Roman" w:cs="Times New Roman"/>
                <w:b/>
                <w:bCs/>
                <w:color w:val="000000"/>
                <w:sz w:val="20"/>
                <w:szCs w:val="20"/>
                <w:lang w:eastAsia="sk-SK"/>
              </w:rPr>
              <w:t xml:space="preserve"> R</w:t>
            </w:r>
          </w:p>
        </w:tc>
        <w:tc>
          <w:tcPr>
            <w:tcW w:w="1276" w:type="dxa"/>
            <w:tcBorders>
              <w:top w:val="nil"/>
              <w:left w:val="nil"/>
              <w:bottom w:val="nil"/>
              <w:right w:val="nil"/>
            </w:tcBorders>
            <w:shd w:val="clear" w:color="auto" w:fill="auto"/>
            <w:vAlign w:val="center"/>
            <w:hideMark/>
          </w:tcPr>
          <w:p w14:paraId="04CD9EE0"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202</w:t>
            </w:r>
            <w:r>
              <w:rPr>
                <w:rFonts w:eastAsia="Times New Roman" w:cs="Times New Roman"/>
                <w:b/>
                <w:bCs/>
                <w:color w:val="000000"/>
                <w:sz w:val="20"/>
                <w:szCs w:val="20"/>
                <w:lang w:eastAsia="sk-SK"/>
              </w:rPr>
              <w:t>2</w:t>
            </w:r>
            <w:r w:rsidRPr="00336881">
              <w:rPr>
                <w:rFonts w:eastAsia="Times New Roman" w:cs="Times New Roman"/>
                <w:b/>
                <w:bCs/>
                <w:color w:val="000000"/>
                <w:sz w:val="20"/>
                <w:szCs w:val="20"/>
                <w:lang w:eastAsia="sk-SK"/>
              </w:rPr>
              <w:t xml:space="preserve"> S</w:t>
            </w:r>
          </w:p>
        </w:tc>
        <w:tc>
          <w:tcPr>
            <w:tcW w:w="1134" w:type="dxa"/>
            <w:tcBorders>
              <w:top w:val="nil"/>
              <w:left w:val="nil"/>
              <w:bottom w:val="nil"/>
              <w:right w:val="nil"/>
            </w:tcBorders>
            <w:shd w:val="clear" w:color="auto" w:fill="auto"/>
            <w:vAlign w:val="center"/>
            <w:hideMark/>
          </w:tcPr>
          <w:p w14:paraId="5F54B26B"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Rozdiel</w:t>
            </w:r>
          </w:p>
        </w:tc>
        <w:tc>
          <w:tcPr>
            <w:tcW w:w="676" w:type="dxa"/>
            <w:tcBorders>
              <w:top w:val="nil"/>
              <w:left w:val="nil"/>
              <w:bottom w:val="nil"/>
              <w:right w:val="nil"/>
            </w:tcBorders>
            <w:shd w:val="clear" w:color="auto" w:fill="auto"/>
            <w:vAlign w:val="center"/>
            <w:hideMark/>
          </w:tcPr>
          <w:p w14:paraId="4F4D91CE"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v %</w:t>
            </w:r>
          </w:p>
        </w:tc>
      </w:tr>
      <w:tr w:rsidR="00574126" w:rsidRPr="00EC586F" w14:paraId="0E512A07" w14:textId="77777777" w:rsidTr="00CE362A">
        <w:trPr>
          <w:trHeight w:val="289"/>
        </w:trPr>
        <w:tc>
          <w:tcPr>
            <w:tcW w:w="2795" w:type="dxa"/>
            <w:vMerge/>
            <w:tcBorders>
              <w:left w:val="nil"/>
              <w:bottom w:val="single" w:sz="8" w:space="0" w:color="auto"/>
              <w:right w:val="nil"/>
            </w:tcBorders>
            <w:shd w:val="clear" w:color="auto" w:fill="auto"/>
            <w:vAlign w:val="center"/>
            <w:hideMark/>
          </w:tcPr>
          <w:p w14:paraId="2F188657"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p>
        </w:tc>
        <w:tc>
          <w:tcPr>
            <w:tcW w:w="1074" w:type="dxa"/>
            <w:tcBorders>
              <w:top w:val="nil"/>
              <w:left w:val="nil"/>
              <w:bottom w:val="single" w:sz="8" w:space="0" w:color="auto"/>
              <w:right w:val="nil"/>
            </w:tcBorders>
            <w:shd w:val="clear" w:color="auto" w:fill="auto"/>
            <w:vAlign w:val="center"/>
            <w:hideMark/>
          </w:tcPr>
          <w:p w14:paraId="5AE67904"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1</w:t>
            </w:r>
          </w:p>
        </w:tc>
        <w:tc>
          <w:tcPr>
            <w:tcW w:w="1134" w:type="dxa"/>
            <w:tcBorders>
              <w:top w:val="nil"/>
              <w:left w:val="nil"/>
              <w:bottom w:val="single" w:sz="8" w:space="0" w:color="auto"/>
              <w:right w:val="nil"/>
            </w:tcBorders>
            <w:shd w:val="clear" w:color="auto" w:fill="auto"/>
            <w:vAlign w:val="center"/>
            <w:hideMark/>
          </w:tcPr>
          <w:p w14:paraId="56BD7E3F"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2</w:t>
            </w:r>
          </w:p>
        </w:tc>
        <w:tc>
          <w:tcPr>
            <w:tcW w:w="1134" w:type="dxa"/>
            <w:tcBorders>
              <w:top w:val="nil"/>
              <w:left w:val="nil"/>
              <w:bottom w:val="single" w:sz="8" w:space="0" w:color="auto"/>
              <w:right w:val="nil"/>
            </w:tcBorders>
            <w:shd w:val="clear" w:color="auto" w:fill="auto"/>
            <w:vAlign w:val="center"/>
            <w:hideMark/>
          </w:tcPr>
          <w:p w14:paraId="3EA11107"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3</w:t>
            </w:r>
          </w:p>
        </w:tc>
        <w:tc>
          <w:tcPr>
            <w:tcW w:w="1276" w:type="dxa"/>
            <w:tcBorders>
              <w:top w:val="nil"/>
              <w:left w:val="nil"/>
              <w:bottom w:val="single" w:sz="8" w:space="0" w:color="auto"/>
              <w:right w:val="nil"/>
            </w:tcBorders>
            <w:shd w:val="clear" w:color="auto" w:fill="auto"/>
            <w:vAlign w:val="center"/>
            <w:hideMark/>
          </w:tcPr>
          <w:p w14:paraId="441700BA"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4</w:t>
            </w:r>
          </w:p>
        </w:tc>
        <w:tc>
          <w:tcPr>
            <w:tcW w:w="1134" w:type="dxa"/>
            <w:tcBorders>
              <w:top w:val="nil"/>
              <w:left w:val="nil"/>
              <w:bottom w:val="single" w:sz="8" w:space="0" w:color="auto"/>
              <w:right w:val="nil"/>
            </w:tcBorders>
            <w:shd w:val="clear" w:color="auto" w:fill="auto"/>
            <w:vAlign w:val="center"/>
            <w:hideMark/>
          </w:tcPr>
          <w:p w14:paraId="4183A87A"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5=4-3</w:t>
            </w:r>
          </w:p>
        </w:tc>
        <w:tc>
          <w:tcPr>
            <w:tcW w:w="676" w:type="dxa"/>
            <w:tcBorders>
              <w:top w:val="nil"/>
              <w:left w:val="nil"/>
              <w:bottom w:val="single" w:sz="8" w:space="0" w:color="auto"/>
              <w:right w:val="nil"/>
            </w:tcBorders>
            <w:shd w:val="clear" w:color="auto" w:fill="auto"/>
            <w:vAlign w:val="center"/>
            <w:hideMark/>
          </w:tcPr>
          <w:p w14:paraId="72E3200B" w14:textId="77777777" w:rsidR="00574126" w:rsidRPr="00EC586F" w:rsidRDefault="00574126" w:rsidP="00574126">
            <w:pPr>
              <w:spacing w:after="0" w:line="240" w:lineRule="auto"/>
              <w:jc w:val="center"/>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6=4-3</w:t>
            </w:r>
          </w:p>
        </w:tc>
      </w:tr>
      <w:tr w:rsidR="00574126" w:rsidRPr="00EC586F" w14:paraId="11EFACE7" w14:textId="77777777" w:rsidTr="00CE362A">
        <w:trPr>
          <w:trHeight w:val="289"/>
        </w:trPr>
        <w:tc>
          <w:tcPr>
            <w:tcW w:w="2795" w:type="dxa"/>
            <w:tcBorders>
              <w:top w:val="nil"/>
              <w:left w:val="nil"/>
              <w:bottom w:val="nil"/>
              <w:right w:val="nil"/>
            </w:tcBorders>
            <w:shd w:val="clear" w:color="auto" w:fill="auto"/>
            <w:vAlign w:val="center"/>
            <w:hideMark/>
          </w:tcPr>
          <w:p w14:paraId="5AC614E6" w14:textId="77777777" w:rsidR="00574126" w:rsidRPr="007776FE" w:rsidRDefault="00574126" w:rsidP="00574126">
            <w:pPr>
              <w:spacing w:after="0" w:line="240" w:lineRule="auto"/>
              <w:jc w:val="left"/>
              <w:rPr>
                <w:rFonts w:eastAsia="Times New Roman" w:cs="Times New Roman"/>
                <w:color w:val="000000"/>
                <w:sz w:val="20"/>
                <w:szCs w:val="20"/>
                <w:lang w:eastAsia="sk-SK"/>
              </w:rPr>
            </w:pPr>
            <w:r w:rsidRPr="007776FE">
              <w:rPr>
                <w:rFonts w:eastAsia="Times New Roman" w:cs="Times New Roman"/>
                <w:color w:val="000000"/>
                <w:sz w:val="20"/>
                <w:szCs w:val="20"/>
                <w:lang w:eastAsia="sk-SK"/>
              </w:rPr>
              <w:t>Sociálne zabezpečenie</w:t>
            </w:r>
          </w:p>
        </w:tc>
        <w:tc>
          <w:tcPr>
            <w:tcW w:w="1074" w:type="dxa"/>
            <w:tcBorders>
              <w:top w:val="nil"/>
              <w:left w:val="nil"/>
              <w:bottom w:val="nil"/>
              <w:right w:val="nil"/>
            </w:tcBorders>
            <w:shd w:val="clear" w:color="auto" w:fill="auto"/>
            <w:noWrap/>
            <w:vAlign w:val="center"/>
            <w:hideMark/>
          </w:tcPr>
          <w:p w14:paraId="7C1CAAE5"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5 281 817</w:t>
            </w:r>
          </w:p>
        </w:tc>
        <w:tc>
          <w:tcPr>
            <w:tcW w:w="1134" w:type="dxa"/>
            <w:tcBorders>
              <w:top w:val="nil"/>
              <w:left w:val="nil"/>
              <w:bottom w:val="nil"/>
              <w:right w:val="nil"/>
            </w:tcBorders>
            <w:shd w:val="clear" w:color="auto" w:fill="auto"/>
            <w:noWrap/>
            <w:vAlign w:val="center"/>
            <w:hideMark/>
          </w:tcPr>
          <w:p w14:paraId="72D5103E"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5 689 444</w:t>
            </w:r>
          </w:p>
        </w:tc>
        <w:tc>
          <w:tcPr>
            <w:tcW w:w="1134" w:type="dxa"/>
            <w:tcBorders>
              <w:top w:val="nil"/>
              <w:left w:val="nil"/>
              <w:bottom w:val="nil"/>
              <w:right w:val="nil"/>
            </w:tcBorders>
            <w:shd w:val="clear" w:color="auto" w:fill="auto"/>
            <w:noWrap/>
            <w:vAlign w:val="center"/>
            <w:hideMark/>
          </w:tcPr>
          <w:p w14:paraId="72DD20DE"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4 993 962</w:t>
            </w:r>
          </w:p>
        </w:tc>
        <w:tc>
          <w:tcPr>
            <w:tcW w:w="1276" w:type="dxa"/>
            <w:tcBorders>
              <w:top w:val="nil"/>
              <w:left w:val="nil"/>
              <w:bottom w:val="nil"/>
              <w:right w:val="nil"/>
            </w:tcBorders>
            <w:shd w:val="clear" w:color="auto" w:fill="auto"/>
            <w:noWrap/>
            <w:vAlign w:val="center"/>
            <w:hideMark/>
          </w:tcPr>
          <w:p w14:paraId="2842D8B7"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5 134 161</w:t>
            </w:r>
          </w:p>
        </w:tc>
        <w:tc>
          <w:tcPr>
            <w:tcW w:w="1134" w:type="dxa"/>
            <w:tcBorders>
              <w:top w:val="nil"/>
              <w:left w:val="nil"/>
              <w:bottom w:val="nil"/>
              <w:right w:val="nil"/>
            </w:tcBorders>
            <w:shd w:val="clear" w:color="000000" w:fill="FFFFFF"/>
            <w:vAlign w:val="center"/>
            <w:hideMark/>
          </w:tcPr>
          <w:p w14:paraId="2780A5E5"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140 199</w:t>
            </w:r>
          </w:p>
        </w:tc>
        <w:tc>
          <w:tcPr>
            <w:tcW w:w="0" w:type="auto"/>
            <w:tcBorders>
              <w:top w:val="nil"/>
              <w:left w:val="nil"/>
              <w:bottom w:val="nil"/>
              <w:right w:val="nil"/>
            </w:tcBorders>
            <w:shd w:val="clear" w:color="000000" w:fill="FFFFFF"/>
            <w:vAlign w:val="center"/>
            <w:hideMark/>
          </w:tcPr>
          <w:p w14:paraId="0D690BA0"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2,81</w:t>
            </w:r>
          </w:p>
        </w:tc>
      </w:tr>
      <w:tr w:rsidR="00574126" w:rsidRPr="00EC586F" w14:paraId="7BB228BE" w14:textId="77777777" w:rsidTr="00CE362A">
        <w:trPr>
          <w:trHeight w:val="289"/>
        </w:trPr>
        <w:tc>
          <w:tcPr>
            <w:tcW w:w="2795" w:type="dxa"/>
            <w:tcBorders>
              <w:top w:val="nil"/>
              <w:left w:val="nil"/>
              <w:bottom w:val="nil"/>
              <w:right w:val="nil"/>
            </w:tcBorders>
            <w:shd w:val="clear" w:color="auto" w:fill="auto"/>
            <w:vAlign w:val="center"/>
            <w:hideMark/>
          </w:tcPr>
          <w:p w14:paraId="32C8E11A" w14:textId="77777777" w:rsidR="00574126" w:rsidRPr="007776FE" w:rsidRDefault="00574126" w:rsidP="00574126">
            <w:pPr>
              <w:spacing w:after="0" w:line="240" w:lineRule="auto"/>
              <w:jc w:val="left"/>
              <w:rPr>
                <w:rFonts w:eastAsia="Times New Roman" w:cs="Times New Roman"/>
                <w:color w:val="000000"/>
                <w:sz w:val="20"/>
                <w:szCs w:val="20"/>
                <w:lang w:eastAsia="sk-SK"/>
              </w:rPr>
            </w:pPr>
            <w:r w:rsidRPr="007776FE">
              <w:rPr>
                <w:rFonts w:eastAsia="Times New Roman" w:cs="Times New Roman"/>
                <w:color w:val="000000"/>
                <w:sz w:val="20"/>
                <w:szCs w:val="20"/>
                <w:lang w:eastAsia="sk-SK"/>
              </w:rPr>
              <w:t>Všeobecné verejné služby</w:t>
            </w:r>
          </w:p>
        </w:tc>
        <w:tc>
          <w:tcPr>
            <w:tcW w:w="1074" w:type="dxa"/>
            <w:tcBorders>
              <w:top w:val="nil"/>
              <w:left w:val="nil"/>
              <w:bottom w:val="nil"/>
              <w:right w:val="nil"/>
            </w:tcBorders>
            <w:shd w:val="clear" w:color="auto" w:fill="auto"/>
            <w:noWrap/>
            <w:vAlign w:val="center"/>
            <w:hideMark/>
          </w:tcPr>
          <w:p w14:paraId="5F706B59"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5 169 293</w:t>
            </w:r>
          </w:p>
        </w:tc>
        <w:tc>
          <w:tcPr>
            <w:tcW w:w="1134" w:type="dxa"/>
            <w:tcBorders>
              <w:top w:val="nil"/>
              <w:left w:val="nil"/>
              <w:bottom w:val="nil"/>
              <w:right w:val="nil"/>
            </w:tcBorders>
            <w:shd w:val="clear" w:color="auto" w:fill="auto"/>
            <w:noWrap/>
            <w:vAlign w:val="center"/>
            <w:hideMark/>
          </w:tcPr>
          <w:p w14:paraId="76D32B6A"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3 986 143</w:t>
            </w:r>
          </w:p>
        </w:tc>
        <w:tc>
          <w:tcPr>
            <w:tcW w:w="1134" w:type="dxa"/>
            <w:tcBorders>
              <w:top w:val="nil"/>
              <w:left w:val="nil"/>
              <w:bottom w:val="nil"/>
              <w:right w:val="nil"/>
            </w:tcBorders>
            <w:shd w:val="clear" w:color="auto" w:fill="auto"/>
            <w:noWrap/>
            <w:vAlign w:val="center"/>
            <w:hideMark/>
          </w:tcPr>
          <w:p w14:paraId="1E358BE7"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7 624 219</w:t>
            </w:r>
          </w:p>
        </w:tc>
        <w:tc>
          <w:tcPr>
            <w:tcW w:w="1276" w:type="dxa"/>
            <w:tcBorders>
              <w:top w:val="nil"/>
              <w:left w:val="nil"/>
              <w:bottom w:val="nil"/>
              <w:right w:val="nil"/>
            </w:tcBorders>
            <w:shd w:val="clear" w:color="auto" w:fill="auto"/>
            <w:noWrap/>
            <w:vAlign w:val="center"/>
            <w:hideMark/>
          </w:tcPr>
          <w:p w14:paraId="0744E348"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4 849 805</w:t>
            </w:r>
          </w:p>
        </w:tc>
        <w:tc>
          <w:tcPr>
            <w:tcW w:w="1134" w:type="dxa"/>
            <w:tcBorders>
              <w:top w:val="nil"/>
              <w:left w:val="nil"/>
              <w:bottom w:val="nil"/>
              <w:right w:val="nil"/>
            </w:tcBorders>
            <w:shd w:val="clear" w:color="000000" w:fill="FFFFFF"/>
            <w:vAlign w:val="center"/>
            <w:hideMark/>
          </w:tcPr>
          <w:p w14:paraId="78CFE3C5"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-2 774 414</w:t>
            </w:r>
          </w:p>
        </w:tc>
        <w:tc>
          <w:tcPr>
            <w:tcW w:w="0" w:type="auto"/>
            <w:tcBorders>
              <w:top w:val="nil"/>
              <w:left w:val="nil"/>
              <w:bottom w:val="nil"/>
              <w:right w:val="nil"/>
            </w:tcBorders>
            <w:shd w:val="clear" w:color="000000" w:fill="FFFFFF"/>
            <w:vAlign w:val="center"/>
            <w:hideMark/>
          </w:tcPr>
          <w:p w14:paraId="5A61F99F"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-36,39</w:t>
            </w:r>
          </w:p>
        </w:tc>
      </w:tr>
      <w:tr w:rsidR="00574126" w:rsidRPr="00EC586F" w14:paraId="383F9F5E" w14:textId="77777777" w:rsidTr="00CE362A">
        <w:trPr>
          <w:trHeight w:val="289"/>
        </w:trPr>
        <w:tc>
          <w:tcPr>
            <w:tcW w:w="2795" w:type="dxa"/>
            <w:tcBorders>
              <w:top w:val="nil"/>
              <w:left w:val="nil"/>
              <w:bottom w:val="nil"/>
              <w:right w:val="nil"/>
            </w:tcBorders>
            <w:shd w:val="clear" w:color="auto" w:fill="auto"/>
            <w:vAlign w:val="center"/>
            <w:hideMark/>
          </w:tcPr>
          <w:p w14:paraId="7CD1F502" w14:textId="77777777" w:rsidR="00574126" w:rsidRPr="007776FE" w:rsidRDefault="00574126" w:rsidP="00574126">
            <w:pPr>
              <w:spacing w:after="0" w:line="240" w:lineRule="auto"/>
              <w:rPr>
                <w:rFonts w:eastAsia="Times New Roman" w:cs="Times New Roman"/>
                <w:color w:val="000000"/>
                <w:sz w:val="20"/>
                <w:szCs w:val="20"/>
                <w:lang w:eastAsia="sk-SK"/>
              </w:rPr>
            </w:pPr>
            <w:r w:rsidRPr="007776FE">
              <w:rPr>
                <w:rFonts w:eastAsia="Times New Roman" w:cs="Times New Roman"/>
                <w:color w:val="000000"/>
                <w:sz w:val="20"/>
                <w:szCs w:val="20"/>
                <w:lang w:eastAsia="sk-SK"/>
              </w:rPr>
              <w:t>Ekonomická oblasť</w:t>
            </w:r>
          </w:p>
        </w:tc>
        <w:tc>
          <w:tcPr>
            <w:tcW w:w="1074" w:type="dxa"/>
            <w:tcBorders>
              <w:top w:val="nil"/>
              <w:left w:val="nil"/>
              <w:bottom w:val="nil"/>
              <w:right w:val="nil"/>
            </w:tcBorders>
            <w:shd w:val="clear" w:color="auto" w:fill="auto"/>
            <w:noWrap/>
            <w:vAlign w:val="center"/>
            <w:hideMark/>
          </w:tcPr>
          <w:p w14:paraId="1DB154D3"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4 859 360</w:t>
            </w:r>
          </w:p>
        </w:tc>
        <w:tc>
          <w:tcPr>
            <w:tcW w:w="1134" w:type="dxa"/>
            <w:tcBorders>
              <w:top w:val="nil"/>
              <w:left w:val="nil"/>
              <w:bottom w:val="nil"/>
              <w:right w:val="nil"/>
            </w:tcBorders>
            <w:shd w:val="clear" w:color="auto" w:fill="auto"/>
            <w:noWrap/>
            <w:vAlign w:val="center"/>
            <w:hideMark/>
          </w:tcPr>
          <w:p w14:paraId="370FE950"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5 787 606</w:t>
            </w:r>
          </w:p>
        </w:tc>
        <w:tc>
          <w:tcPr>
            <w:tcW w:w="1134" w:type="dxa"/>
            <w:tcBorders>
              <w:top w:val="nil"/>
              <w:left w:val="nil"/>
              <w:bottom w:val="nil"/>
              <w:right w:val="nil"/>
            </w:tcBorders>
            <w:shd w:val="clear" w:color="auto" w:fill="auto"/>
            <w:noWrap/>
            <w:vAlign w:val="center"/>
            <w:hideMark/>
          </w:tcPr>
          <w:p w14:paraId="7876608D"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5 770 325</w:t>
            </w:r>
          </w:p>
        </w:tc>
        <w:tc>
          <w:tcPr>
            <w:tcW w:w="1276" w:type="dxa"/>
            <w:tcBorders>
              <w:top w:val="nil"/>
              <w:left w:val="nil"/>
              <w:bottom w:val="nil"/>
              <w:right w:val="nil"/>
            </w:tcBorders>
            <w:shd w:val="clear" w:color="auto" w:fill="auto"/>
            <w:noWrap/>
            <w:vAlign w:val="center"/>
            <w:hideMark/>
          </w:tcPr>
          <w:p w14:paraId="7062EDCB"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4 291 168</w:t>
            </w:r>
          </w:p>
        </w:tc>
        <w:tc>
          <w:tcPr>
            <w:tcW w:w="1134" w:type="dxa"/>
            <w:tcBorders>
              <w:top w:val="nil"/>
              <w:left w:val="nil"/>
              <w:bottom w:val="nil"/>
              <w:right w:val="nil"/>
            </w:tcBorders>
            <w:shd w:val="clear" w:color="000000" w:fill="FFFFFF"/>
            <w:vAlign w:val="center"/>
            <w:hideMark/>
          </w:tcPr>
          <w:p w14:paraId="1E49663B"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-1 479 157</w:t>
            </w:r>
          </w:p>
        </w:tc>
        <w:tc>
          <w:tcPr>
            <w:tcW w:w="0" w:type="auto"/>
            <w:tcBorders>
              <w:top w:val="nil"/>
              <w:left w:val="nil"/>
              <w:bottom w:val="nil"/>
              <w:right w:val="nil"/>
            </w:tcBorders>
            <w:shd w:val="clear" w:color="000000" w:fill="FFFFFF"/>
            <w:vAlign w:val="center"/>
            <w:hideMark/>
          </w:tcPr>
          <w:p w14:paraId="00E3A50D"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-25,63</w:t>
            </w:r>
          </w:p>
        </w:tc>
      </w:tr>
      <w:tr w:rsidR="00574126" w:rsidRPr="00EC586F" w14:paraId="6AB1D5FF" w14:textId="77777777" w:rsidTr="00CE362A">
        <w:trPr>
          <w:trHeight w:val="289"/>
        </w:trPr>
        <w:tc>
          <w:tcPr>
            <w:tcW w:w="2795" w:type="dxa"/>
            <w:tcBorders>
              <w:top w:val="nil"/>
              <w:left w:val="nil"/>
              <w:bottom w:val="nil"/>
              <w:right w:val="nil"/>
            </w:tcBorders>
            <w:shd w:val="clear" w:color="auto" w:fill="auto"/>
            <w:vAlign w:val="center"/>
            <w:hideMark/>
          </w:tcPr>
          <w:p w14:paraId="7BD1A31A" w14:textId="77777777" w:rsidR="00574126" w:rsidRPr="007776FE" w:rsidRDefault="00574126" w:rsidP="00574126">
            <w:pPr>
              <w:spacing w:after="0" w:line="240" w:lineRule="auto"/>
              <w:jc w:val="left"/>
              <w:rPr>
                <w:rFonts w:eastAsia="Times New Roman" w:cs="Times New Roman"/>
                <w:color w:val="000000"/>
                <w:sz w:val="20"/>
                <w:szCs w:val="20"/>
                <w:lang w:eastAsia="sk-SK"/>
              </w:rPr>
            </w:pPr>
            <w:r w:rsidRPr="007776FE">
              <w:rPr>
                <w:rFonts w:eastAsia="Times New Roman" w:cs="Times New Roman"/>
                <w:color w:val="000000"/>
                <w:sz w:val="20"/>
                <w:szCs w:val="20"/>
                <w:lang w:eastAsia="sk-SK"/>
              </w:rPr>
              <w:t>Vzdelávanie</w:t>
            </w:r>
          </w:p>
        </w:tc>
        <w:tc>
          <w:tcPr>
            <w:tcW w:w="1074" w:type="dxa"/>
            <w:tcBorders>
              <w:top w:val="nil"/>
              <w:left w:val="nil"/>
              <w:bottom w:val="nil"/>
              <w:right w:val="nil"/>
            </w:tcBorders>
            <w:shd w:val="clear" w:color="auto" w:fill="auto"/>
            <w:noWrap/>
            <w:vAlign w:val="center"/>
            <w:hideMark/>
          </w:tcPr>
          <w:p w14:paraId="346B0C77"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2 790 385</w:t>
            </w:r>
          </w:p>
        </w:tc>
        <w:tc>
          <w:tcPr>
            <w:tcW w:w="1134" w:type="dxa"/>
            <w:tcBorders>
              <w:top w:val="nil"/>
              <w:left w:val="nil"/>
              <w:bottom w:val="nil"/>
              <w:right w:val="nil"/>
            </w:tcBorders>
            <w:shd w:val="clear" w:color="auto" w:fill="auto"/>
            <w:noWrap/>
            <w:vAlign w:val="center"/>
            <w:hideMark/>
          </w:tcPr>
          <w:p w14:paraId="09C9F9FD"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2 960 035</w:t>
            </w:r>
          </w:p>
        </w:tc>
        <w:tc>
          <w:tcPr>
            <w:tcW w:w="1134" w:type="dxa"/>
            <w:tcBorders>
              <w:top w:val="nil"/>
              <w:left w:val="nil"/>
              <w:bottom w:val="nil"/>
              <w:right w:val="nil"/>
            </w:tcBorders>
            <w:shd w:val="clear" w:color="auto" w:fill="auto"/>
            <w:noWrap/>
            <w:vAlign w:val="center"/>
            <w:hideMark/>
          </w:tcPr>
          <w:p w14:paraId="248820B3"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3 212 522</w:t>
            </w:r>
          </w:p>
        </w:tc>
        <w:tc>
          <w:tcPr>
            <w:tcW w:w="1276" w:type="dxa"/>
            <w:tcBorders>
              <w:top w:val="nil"/>
              <w:left w:val="nil"/>
              <w:bottom w:val="nil"/>
              <w:right w:val="nil"/>
            </w:tcBorders>
            <w:shd w:val="clear" w:color="auto" w:fill="auto"/>
            <w:noWrap/>
            <w:vAlign w:val="center"/>
            <w:hideMark/>
          </w:tcPr>
          <w:p w14:paraId="155B38F0"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3 027 782</w:t>
            </w:r>
          </w:p>
        </w:tc>
        <w:tc>
          <w:tcPr>
            <w:tcW w:w="1134" w:type="dxa"/>
            <w:tcBorders>
              <w:top w:val="nil"/>
              <w:left w:val="nil"/>
              <w:bottom w:val="nil"/>
              <w:right w:val="nil"/>
            </w:tcBorders>
            <w:shd w:val="clear" w:color="000000" w:fill="FFFFFF"/>
            <w:vAlign w:val="center"/>
            <w:hideMark/>
          </w:tcPr>
          <w:p w14:paraId="67A414B8"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-184 740</w:t>
            </w:r>
          </w:p>
        </w:tc>
        <w:tc>
          <w:tcPr>
            <w:tcW w:w="0" w:type="auto"/>
            <w:tcBorders>
              <w:top w:val="nil"/>
              <w:left w:val="nil"/>
              <w:bottom w:val="nil"/>
              <w:right w:val="nil"/>
            </w:tcBorders>
            <w:shd w:val="clear" w:color="000000" w:fill="FFFFFF"/>
            <w:vAlign w:val="center"/>
            <w:hideMark/>
          </w:tcPr>
          <w:p w14:paraId="1CBBC644"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-5,75</w:t>
            </w:r>
          </w:p>
        </w:tc>
      </w:tr>
      <w:tr w:rsidR="00574126" w:rsidRPr="00EC586F" w14:paraId="0FB68B1F" w14:textId="77777777" w:rsidTr="00CE362A">
        <w:trPr>
          <w:trHeight w:val="289"/>
        </w:trPr>
        <w:tc>
          <w:tcPr>
            <w:tcW w:w="2795" w:type="dxa"/>
            <w:tcBorders>
              <w:top w:val="nil"/>
              <w:left w:val="nil"/>
              <w:bottom w:val="nil"/>
              <w:right w:val="nil"/>
            </w:tcBorders>
            <w:shd w:val="clear" w:color="auto" w:fill="auto"/>
            <w:vAlign w:val="center"/>
            <w:hideMark/>
          </w:tcPr>
          <w:p w14:paraId="436B99CA" w14:textId="79599C57" w:rsidR="00574126" w:rsidRPr="007776FE" w:rsidRDefault="00574126" w:rsidP="007776FE">
            <w:pPr>
              <w:spacing w:after="0" w:line="240" w:lineRule="auto"/>
              <w:jc w:val="left"/>
              <w:rPr>
                <w:rFonts w:eastAsia="Times New Roman" w:cs="Times New Roman"/>
                <w:color w:val="000000"/>
                <w:sz w:val="20"/>
                <w:szCs w:val="20"/>
                <w:lang w:eastAsia="sk-SK"/>
              </w:rPr>
            </w:pPr>
            <w:r w:rsidRPr="007776FE">
              <w:rPr>
                <w:rFonts w:eastAsia="Times New Roman" w:cs="Times New Roman"/>
                <w:color w:val="000000"/>
                <w:sz w:val="20"/>
                <w:szCs w:val="20"/>
                <w:lang w:eastAsia="sk-SK"/>
              </w:rPr>
              <w:t>Verejný poriadok a</w:t>
            </w:r>
            <w:r w:rsidR="007776FE" w:rsidRPr="007776FE">
              <w:rPr>
                <w:rFonts w:eastAsia="Times New Roman" w:cs="Times New Roman"/>
                <w:color w:val="000000"/>
                <w:sz w:val="20"/>
                <w:szCs w:val="20"/>
                <w:lang w:eastAsia="sk-SK"/>
              </w:rPr>
              <w:t xml:space="preserve"> </w:t>
            </w:r>
            <w:r w:rsidRPr="007776FE">
              <w:rPr>
                <w:rFonts w:eastAsia="Times New Roman" w:cs="Times New Roman"/>
                <w:color w:val="000000"/>
                <w:sz w:val="20"/>
                <w:szCs w:val="20"/>
                <w:lang w:eastAsia="sk-SK"/>
              </w:rPr>
              <w:t>bezpečnosť</w:t>
            </w:r>
          </w:p>
        </w:tc>
        <w:tc>
          <w:tcPr>
            <w:tcW w:w="1074" w:type="dxa"/>
            <w:tcBorders>
              <w:top w:val="nil"/>
              <w:left w:val="nil"/>
              <w:bottom w:val="nil"/>
              <w:right w:val="nil"/>
            </w:tcBorders>
            <w:shd w:val="clear" w:color="auto" w:fill="auto"/>
            <w:noWrap/>
            <w:vAlign w:val="center"/>
            <w:hideMark/>
          </w:tcPr>
          <w:p w14:paraId="11F7A16B"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2 251 808</w:t>
            </w:r>
          </w:p>
        </w:tc>
        <w:tc>
          <w:tcPr>
            <w:tcW w:w="1134" w:type="dxa"/>
            <w:tcBorders>
              <w:top w:val="nil"/>
              <w:left w:val="nil"/>
              <w:bottom w:val="nil"/>
              <w:right w:val="nil"/>
            </w:tcBorders>
            <w:shd w:val="clear" w:color="auto" w:fill="auto"/>
            <w:noWrap/>
            <w:vAlign w:val="center"/>
            <w:hideMark/>
          </w:tcPr>
          <w:p w14:paraId="63F840D6"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2 129 474</w:t>
            </w:r>
          </w:p>
        </w:tc>
        <w:tc>
          <w:tcPr>
            <w:tcW w:w="1134" w:type="dxa"/>
            <w:tcBorders>
              <w:top w:val="nil"/>
              <w:left w:val="nil"/>
              <w:bottom w:val="nil"/>
              <w:right w:val="nil"/>
            </w:tcBorders>
            <w:shd w:val="clear" w:color="auto" w:fill="auto"/>
            <w:noWrap/>
            <w:vAlign w:val="center"/>
            <w:hideMark/>
          </w:tcPr>
          <w:p w14:paraId="45DC5012"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2 257 939</w:t>
            </w:r>
          </w:p>
        </w:tc>
        <w:tc>
          <w:tcPr>
            <w:tcW w:w="1276" w:type="dxa"/>
            <w:tcBorders>
              <w:top w:val="nil"/>
              <w:left w:val="nil"/>
              <w:bottom w:val="nil"/>
              <w:right w:val="nil"/>
            </w:tcBorders>
            <w:shd w:val="clear" w:color="auto" w:fill="auto"/>
            <w:noWrap/>
            <w:vAlign w:val="center"/>
            <w:hideMark/>
          </w:tcPr>
          <w:p w14:paraId="2FF8A5D2"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2 359 477</w:t>
            </w:r>
          </w:p>
        </w:tc>
        <w:tc>
          <w:tcPr>
            <w:tcW w:w="1134" w:type="dxa"/>
            <w:tcBorders>
              <w:top w:val="nil"/>
              <w:left w:val="nil"/>
              <w:bottom w:val="nil"/>
              <w:right w:val="nil"/>
            </w:tcBorders>
            <w:shd w:val="clear" w:color="000000" w:fill="FFFFFF"/>
            <w:vAlign w:val="center"/>
            <w:hideMark/>
          </w:tcPr>
          <w:p w14:paraId="70FE369D"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101 538</w:t>
            </w:r>
          </w:p>
        </w:tc>
        <w:tc>
          <w:tcPr>
            <w:tcW w:w="0" w:type="auto"/>
            <w:tcBorders>
              <w:top w:val="nil"/>
              <w:left w:val="nil"/>
              <w:bottom w:val="nil"/>
              <w:right w:val="nil"/>
            </w:tcBorders>
            <w:shd w:val="clear" w:color="000000" w:fill="FFFFFF"/>
            <w:vAlign w:val="center"/>
            <w:hideMark/>
          </w:tcPr>
          <w:p w14:paraId="63821041"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4,50</w:t>
            </w:r>
          </w:p>
        </w:tc>
      </w:tr>
      <w:tr w:rsidR="00574126" w:rsidRPr="00EC586F" w14:paraId="0A674C6D" w14:textId="77777777" w:rsidTr="00CE362A">
        <w:trPr>
          <w:trHeight w:val="289"/>
        </w:trPr>
        <w:tc>
          <w:tcPr>
            <w:tcW w:w="2795" w:type="dxa"/>
            <w:tcBorders>
              <w:top w:val="nil"/>
              <w:left w:val="nil"/>
              <w:bottom w:val="nil"/>
              <w:right w:val="nil"/>
            </w:tcBorders>
            <w:shd w:val="clear" w:color="auto" w:fill="auto"/>
            <w:vAlign w:val="center"/>
            <w:hideMark/>
          </w:tcPr>
          <w:p w14:paraId="6903E140" w14:textId="77777777" w:rsidR="00574126" w:rsidRPr="007776FE" w:rsidRDefault="00574126" w:rsidP="00574126">
            <w:pPr>
              <w:spacing w:after="0" w:line="240" w:lineRule="auto"/>
              <w:jc w:val="left"/>
              <w:rPr>
                <w:rFonts w:eastAsia="Times New Roman" w:cs="Times New Roman"/>
                <w:color w:val="000000"/>
                <w:sz w:val="20"/>
                <w:szCs w:val="20"/>
                <w:lang w:eastAsia="sk-SK"/>
              </w:rPr>
            </w:pPr>
            <w:r w:rsidRPr="007776FE">
              <w:rPr>
                <w:rFonts w:eastAsia="Times New Roman" w:cs="Times New Roman"/>
                <w:color w:val="000000"/>
                <w:sz w:val="20"/>
                <w:szCs w:val="20"/>
                <w:lang w:eastAsia="sk-SK"/>
              </w:rPr>
              <w:t>Obrana</w:t>
            </w:r>
          </w:p>
        </w:tc>
        <w:tc>
          <w:tcPr>
            <w:tcW w:w="1074" w:type="dxa"/>
            <w:tcBorders>
              <w:top w:val="nil"/>
              <w:left w:val="nil"/>
              <w:bottom w:val="nil"/>
              <w:right w:val="nil"/>
            </w:tcBorders>
            <w:shd w:val="clear" w:color="auto" w:fill="auto"/>
            <w:noWrap/>
            <w:vAlign w:val="center"/>
            <w:hideMark/>
          </w:tcPr>
          <w:p w14:paraId="54E54EE8"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1 691 586</w:t>
            </w:r>
          </w:p>
        </w:tc>
        <w:tc>
          <w:tcPr>
            <w:tcW w:w="1134" w:type="dxa"/>
            <w:tcBorders>
              <w:top w:val="nil"/>
              <w:left w:val="nil"/>
              <w:bottom w:val="nil"/>
              <w:right w:val="nil"/>
            </w:tcBorders>
            <w:shd w:val="clear" w:color="auto" w:fill="auto"/>
            <w:noWrap/>
            <w:vAlign w:val="center"/>
            <w:hideMark/>
          </w:tcPr>
          <w:p w14:paraId="7C110161"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1 856 668</w:t>
            </w:r>
          </w:p>
        </w:tc>
        <w:tc>
          <w:tcPr>
            <w:tcW w:w="1134" w:type="dxa"/>
            <w:tcBorders>
              <w:top w:val="nil"/>
              <w:left w:val="nil"/>
              <w:bottom w:val="nil"/>
              <w:right w:val="nil"/>
            </w:tcBorders>
            <w:shd w:val="clear" w:color="auto" w:fill="auto"/>
            <w:noWrap/>
            <w:vAlign w:val="center"/>
            <w:hideMark/>
          </w:tcPr>
          <w:p w14:paraId="336EE40B"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1 253 033</w:t>
            </w:r>
          </w:p>
        </w:tc>
        <w:tc>
          <w:tcPr>
            <w:tcW w:w="1276" w:type="dxa"/>
            <w:tcBorders>
              <w:top w:val="nil"/>
              <w:left w:val="nil"/>
              <w:bottom w:val="nil"/>
              <w:right w:val="nil"/>
            </w:tcBorders>
            <w:shd w:val="clear" w:color="auto" w:fill="auto"/>
            <w:noWrap/>
            <w:vAlign w:val="center"/>
            <w:hideMark/>
          </w:tcPr>
          <w:p w14:paraId="402F52F0"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1 929 515</w:t>
            </w:r>
          </w:p>
        </w:tc>
        <w:tc>
          <w:tcPr>
            <w:tcW w:w="1134" w:type="dxa"/>
            <w:tcBorders>
              <w:top w:val="nil"/>
              <w:left w:val="nil"/>
              <w:bottom w:val="nil"/>
              <w:right w:val="nil"/>
            </w:tcBorders>
            <w:shd w:val="clear" w:color="000000" w:fill="FFFFFF"/>
            <w:vAlign w:val="center"/>
            <w:hideMark/>
          </w:tcPr>
          <w:p w14:paraId="728D8BF7"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676 482</w:t>
            </w:r>
          </w:p>
        </w:tc>
        <w:tc>
          <w:tcPr>
            <w:tcW w:w="0" w:type="auto"/>
            <w:tcBorders>
              <w:top w:val="nil"/>
              <w:left w:val="nil"/>
              <w:bottom w:val="nil"/>
              <w:right w:val="nil"/>
            </w:tcBorders>
            <w:shd w:val="clear" w:color="000000" w:fill="FFFFFF"/>
            <w:vAlign w:val="center"/>
            <w:hideMark/>
          </w:tcPr>
          <w:p w14:paraId="3B3F6736"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53,99</w:t>
            </w:r>
          </w:p>
        </w:tc>
      </w:tr>
      <w:tr w:rsidR="00574126" w:rsidRPr="00EC586F" w14:paraId="21166925" w14:textId="77777777" w:rsidTr="00CE362A">
        <w:trPr>
          <w:trHeight w:val="289"/>
        </w:trPr>
        <w:tc>
          <w:tcPr>
            <w:tcW w:w="2795" w:type="dxa"/>
            <w:tcBorders>
              <w:top w:val="nil"/>
              <w:left w:val="nil"/>
              <w:bottom w:val="nil"/>
              <w:right w:val="nil"/>
            </w:tcBorders>
            <w:shd w:val="clear" w:color="auto" w:fill="auto"/>
            <w:vAlign w:val="center"/>
            <w:hideMark/>
          </w:tcPr>
          <w:p w14:paraId="37EBA1DA" w14:textId="77777777" w:rsidR="00574126" w:rsidRPr="007776FE" w:rsidRDefault="00574126" w:rsidP="00574126">
            <w:pPr>
              <w:spacing w:after="0" w:line="240" w:lineRule="auto"/>
              <w:jc w:val="left"/>
              <w:rPr>
                <w:rFonts w:eastAsia="Times New Roman" w:cs="Times New Roman"/>
                <w:color w:val="000000"/>
                <w:sz w:val="20"/>
                <w:szCs w:val="20"/>
                <w:lang w:eastAsia="sk-SK"/>
              </w:rPr>
            </w:pPr>
            <w:r w:rsidRPr="007776FE">
              <w:rPr>
                <w:rFonts w:eastAsia="Times New Roman" w:cs="Times New Roman"/>
                <w:color w:val="000000"/>
                <w:sz w:val="20"/>
                <w:szCs w:val="20"/>
                <w:lang w:eastAsia="sk-SK"/>
              </w:rPr>
              <w:t>Zdravotníctvo</w:t>
            </w:r>
          </w:p>
        </w:tc>
        <w:tc>
          <w:tcPr>
            <w:tcW w:w="1074" w:type="dxa"/>
            <w:tcBorders>
              <w:top w:val="nil"/>
              <w:left w:val="nil"/>
              <w:bottom w:val="nil"/>
              <w:right w:val="nil"/>
            </w:tcBorders>
            <w:shd w:val="clear" w:color="auto" w:fill="auto"/>
            <w:noWrap/>
            <w:vAlign w:val="center"/>
            <w:hideMark/>
          </w:tcPr>
          <w:p w14:paraId="65AD0122"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371 336</w:t>
            </w:r>
          </w:p>
        </w:tc>
        <w:tc>
          <w:tcPr>
            <w:tcW w:w="1134" w:type="dxa"/>
            <w:tcBorders>
              <w:top w:val="nil"/>
              <w:left w:val="nil"/>
              <w:bottom w:val="nil"/>
              <w:right w:val="nil"/>
            </w:tcBorders>
            <w:shd w:val="clear" w:color="auto" w:fill="auto"/>
            <w:noWrap/>
            <w:vAlign w:val="center"/>
            <w:hideMark/>
          </w:tcPr>
          <w:p w14:paraId="3911667E"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818 761</w:t>
            </w:r>
          </w:p>
        </w:tc>
        <w:tc>
          <w:tcPr>
            <w:tcW w:w="1134" w:type="dxa"/>
            <w:tcBorders>
              <w:top w:val="nil"/>
              <w:left w:val="nil"/>
              <w:bottom w:val="nil"/>
              <w:right w:val="nil"/>
            </w:tcBorders>
            <w:shd w:val="clear" w:color="auto" w:fill="auto"/>
            <w:noWrap/>
            <w:vAlign w:val="center"/>
            <w:hideMark/>
          </w:tcPr>
          <w:p w14:paraId="6B95D440"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522 414</w:t>
            </w:r>
          </w:p>
        </w:tc>
        <w:tc>
          <w:tcPr>
            <w:tcW w:w="1276" w:type="dxa"/>
            <w:tcBorders>
              <w:top w:val="nil"/>
              <w:left w:val="nil"/>
              <w:bottom w:val="nil"/>
              <w:right w:val="nil"/>
            </w:tcBorders>
            <w:shd w:val="clear" w:color="auto" w:fill="auto"/>
            <w:noWrap/>
            <w:vAlign w:val="center"/>
            <w:hideMark/>
          </w:tcPr>
          <w:p w14:paraId="6DFC8B57"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893 568</w:t>
            </w:r>
          </w:p>
        </w:tc>
        <w:tc>
          <w:tcPr>
            <w:tcW w:w="1134" w:type="dxa"/>
            <w:tcBorders>
              <w:top w:val="nil"/>
              <w:left w:val="nil"/>
              <w:bottom w:val="nil"/>
              <w:right w:val="nil"/>
            </w:tcBorders>
            <w:shd w:val="clear" w:color="000000" w:fill="FFFFFF"/>
            <w:vAlign w:val="center"/>
            <w:hideMark/>
          </w:tcPr>
          <w:p w14:paraId="0C7A7E9F"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371 154</w:t>
            </w:r>
          </w:p>
        </w:tc>
        <w:tc>
          <w:tcPr>
            <w:tcW w:w="0" w:type="auto"/>
            <w:tcBorders>
              <w:top w:val="nil"/>
              <w:left w:val="nil"/>
              <w:bottom w:val="nil"/>
              <w:right w:val="nil"/>
            </w:tcBorders>
            <w:shd w:val="clear" w:color="000000" w:fill="FFFFFF"/>
            <w:vAlign w:val="center"/>
            <w:hideMark/>
          </w:tcPr>
          <w:p w14:paraId="52585089"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71,05</w:t>
            </w:r>
          </w:p>
        </w:tc>
      </w:tr>
      <w:tr w:rsidR="00574126" w:rsidRPr="00EC586F" w14:paraId="0DAF64D1" w14:textId="77777777" w:rsidTr="00CE362A">
        <w:trPr>
          <w:trHeight w:val="289"/>
        </w:trPr>
        <w:tc>
          <w:tcPr>
            <w:tcW w:w="2795" w:type="dxa"/>
            <w:tcBorders>
              <w:top w:val="nil"/>
              <w:left w:val="nil"/>
              <w:bottom w:val="nil"/>
              <w:right w:val="nil"/>
            </w:tcBorders>
            <w:shd w:val="clear" w:color="auto" w:fill="auto"/>
            <w:vAlign w:val="center"/>
            <w:hideMark/>
          </w:tcPr>
          <w:p w14:paraId="73CC6DF4" w14:textId="35C9FF8D" w:rsidR="00574126" w:rsidRPr="007776FE" w:rsidRDefault="00574126" w:rsidP="00574126">
            <w:pPr>
              <w:spacing w:after="0" w:line="240" w:lineRule="auto"/>
              <w:jc w:val="left"/>
              <w:rPr>
                <w:rFonts w:eastAsia="Times New Roman" w:cs="Times New Roman"/>
                <w:color w:val="000000"/>
                <w:sz w:val="20"/>
                <w:szCs w:val="20"/>
                <w:lang w:eastAsia="sk-SK"/>
              </w:rPr>
            </w:pPr>
            <w:r w:rsidRPr="007776FE">
              <w:rPr>
                <w:rFonts w:eastAsia="Times New Roman" w:cs="Times New Roman"/>
                <w:color w:val="000000"/>
                <w:sz w:val="20"/>
                <w:szCs w:val="20"/>
                <w:lang w:eastAsia="sk-SK"/>
              </w:rPr>
              <w:t>Rekreáci</w:t>
            </w:r>
            <w:r w:rsidR="007776FE" w:rsidRPr="007776FE">
              <w:rPr>
                <w:rFonts w:eastAsia="Times New Roman" w:cs="Times New Roman"/>
                <w:color w:val="000000"/>
                <w:sz w:val="20"/>
                <w:szCs w:val="20"/>
                <w:lang w:eastAsia="sk-SK"/>
              </w:rPr>
              <w:t>a, kultúra </w:t>
            </w:r>
            <w:r w:rsidRPr="007776FE">
              <w:rPr>
                <w:rFonts w:eastAsia="Times New Roman" w:cs="Times New Roman"/>
                <w:color w:val="000000"/>
                <w:sz w:val="20"/>
                <w:szCs w:val="20"/>
                <w:lang w:eastAsia="sk-SK"/>
              </w:rPr>
              <w:t>a náboženstvo</w:t>
            </w:r>
          </w:p>
        </w:tc>
        <w:tc>
          <w:tcPr>
            <w:tcW w:w="1074" w:type="dxa"/>
            <w:tcBorders>
              <w:top w:val="nil"/>
              <w:left w:val="nil"/>
              <w:bottom w:val="nil"/>
              <w:right w:val="nil"/>
            </w:tcBorders>
            <w:shd w:val="clear" w:color="auto" w:fill="auto"/>
            <w:noWrap/>
            <w:vAlign w:val="center"/>
            <w:hideMark/>
          </w:tcPr>
          <w:p w14:paraId="04A32EB8"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580 572</w:t>
            </w:r>
          </w:p>
        </w:tc>
        <w:tc>
          <w:tcPr>
            <w:tcW w:w="1134" w:type="dxa"/>
            <w:tcBorders>
              <w:top w:val="nil"/>
              <w:left w:val="nil"/>
              <w:bottom w:val="nil"/>
              <w:right w:val="nil"/>
            </w:tcBorders>
            <w:shd w:val="clear" w:color="auto" w:fill="auto"/>
            <w:noWrap/>
            <w:vAlign w:val="center"/>
            <w:hideMark/>
          </w:tcPr>
          <w:p w14:paraId="0343ECBD"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550 834</w:t>
            </w:r>
          </w:p>
        </w:tc>
        <w:tc>
          <w:tcPr>
            <w:tcW w:w="1134" w:type="dxa"/>
            <w:tcBorders>
              <w:top w:val="nil"/>
              <w:left w:val="nil"/>
              <w:bottom w:val="nil"/>
              <w:right w:val="nil"/>
            </w:tcBorders>
            <w:shd w:val="clear" w:color="auto" w:fill="auto"/>
            <w:noWrap/>
            <w:vAlign w:val="center"/>
            <w:hideMark/>
          </w:tcPr>
          <w:p w14:paraId="5FDDC25C"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469 473</w:t>
            </w:r>
          </w:p>
        </w:tc>
        <w:tc>
          <w:tcPr>
            <w:tcW w:w="1276" w:type="dxa"/>
            <w:tcBorders>
              <w:top w:val="nil"/>
              <w:left w:val="nil"/>
              <w:bottom w:val="nil"/>
              <w:right w:val="nil"/>
            </w:tcBorders>
            <w:shd w:val="clear" w:color="auto" w:fill="auto"/>
            <w:noWrap/>
            <w:vAlign w:val="center"/>
            <w:hideMark/>
          </w:tcPr>
          <w:p w14:paraId="59762A00"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527 589</w:t>
            </w:r>
          </w:p>
        </w:tc>
        <w:tc>
          <w:tcPr>
            <w:tcW w:w="1134" w:type="dxa"/>
            <w:tcBorders>
              <w:top w:val="nil"/>
              <w:left w:val="nil"/>
              <w:bottom w:val="nil"/>
              <w:right w:val="nil"/>
            </w:tcBorders>
            <w:shd w:val="clear" w:color="000000" w:fill="FFFFFF"/>
            <w:vAlign w:val="center"/>
            <w:hideMark/>
          </w:tcPr>
          <w:p w14:paraId="25362608"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58 116</w:t>
            </w:r>
          </w:p>
        </w:tc>
        <w:tc>
          <w:tcPr>
            <w:tcW w:w="0" w:type="auto"/>
            <w:tcBorders>
              <w:top w:val="nil"/>
              <w:left w:val="nil"/>
              <w:bottom w:val="nil"/>
              <w:right w:val="nil"/>
            </w:tcBorders>
            <w:shd w:val="clear" w:color="000000" w:fill="FFFFFF"/>
            <w:vAlign w:val="center"/>
            <w:hideMark/>
          </w:tcPr>
          <w:p w14:paraId="295DC731"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12,38</w:t>
            </w:r>
          </w:p>
        </w:tc>
      </w:tr>
      <w:tr w:rsidR="00574126" w:rsidRPr="00EC586F" w14:paraId="083113DC" w14:textId="77777777" w:rsidTr="00CE362A">
        <w:trPr>
          <w:trHeight w:val="289"/>
        </w:trPr>
        <w:tc>
          <w:tcPr>
            <w:tcW w:w="2795" w:type="dxa"/>
            <w:tcBorders>
              <w:top w:val="nil"/>
              <w:left w:val="nil"/>
              <w:bottom w:val="nil"/>
              <w:right w:val="nil"/>
            </w:tcBorders>
            <w:shd w:val="clear" w:color="auto" w:fill="auto"/>
            <w:vAlign w:val="center"/>
            <w:hideMark/>
          </w:tcPr>
          <w:p w14:paraId="1CBB5A61" w14:textId="77777777" w:rsidR="00574126" w:rsidRPr="007776FE" w:rsidRDefault="00574126" w:rsidP="00574126">
            <w:pPr>
              <w:spacing w:after="0" w:line="240" w:lineRule="auto"/>
              <w:jc w:val="left"/>
              <w:rPr>
                <w:rFonts w:eastAsia="Times New Roman" w:cs="Times New Roman"/>
                <w:color w:val="000000"/>
                <w:sz w:val="20"/>
                <w:szCs w:val="20"/>
                <w:lang w:eastAsia="sk-SK"/>
              </w:rPr>
            </w:pPr>
            <w:r w:rsidRPr="007776FE">
              <w:rPr>
                <w:rFonts w:eastAsia="Times New Roman" w:cs="Times New Roman"/>
                <w:color w:val="000000"/>
                <w:sz w:val="20"/>
                <w:szCs w:val="20"/>
                <w:lang w:eastAsia="sk-SK"/>
              </w:rPr>
              <w:t>Ochrana životného prostredia</w:t>
            </w:r>
          </w:p>
        </w:tc>
        <w:tc>
          <w:tcPr>
            <w:tcW w:w="1074" w:type="dxa"/>
            <w:tcBorders>
              <w:top w:val="nil"/>
              <w:left w:val="nil"/>
              <w:bottom w:val="nil"/>
              <w:right w:val="nil"/>
            </w:tcBorders>
            <w:shd w:val="clear" w:color="auto" w:fill="auto"/>
            <w:noWrap/>
            <w:vAlign w:val="center"/>
            <w:hideMark/>
          </w:tcPr>
          <w:p w14:paraId="5A86F468"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422 987</w:t>
            </w:r>
          </w:p>
        </w:tc>
        <w:tc>
          <w:tcPr>
            <w:tcW w:w="1134" w:type="dxa"/>
            <w:tcBorders>
              <w:top w:val="nil"/>
              <w:left w:val="nil"/>
              <w:bottom w:val="nil"/>
              <w:right w:val="nil"/>
            </w:tcBorders>
            <w:shd w:val="clear" w:color="auto" w:fill="auto"/>
            <w:noWrap/>
            <w:vAlign w:val="center"/>
            <w:hideMark/>
          </w:tcPr>
          <w:p w14:paraId="065B2A54"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343 969</w:t>
            </w:r>
          </w:p>
        </w:tc>
        <w:tc>
          <w:tcPr>
            <w:tcW w:w="1134" w:type="dxa"/>
            <w:tcBorders>
              <w:top w:val="nil"/>
              <w:left w:val="nil"/>
              <w:bottom w:val="nil"/>
              <w:right w:val="nil"/>
            </w:tcBorders>
            <w:shd w:val="clear" w:color="auto" w:fill="auto"/>
            <w:noWrap/>
            <w:vAlign w:val="center"/>
            <w:hideMark/>
          </w:tcPr>
          <w:p w14:paraId="7273853F"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549 103</w:t>
            </w:r>
          </w:p>
        </w:tc>
        <w:tc>
          <w:tcPr>
            <w:tcW w:w="1276" w:type="dxa"/>
            <w:tcBorders>
              <w:top w:val="nil"/>
              <w:left w:val="nil"/>
              <w:bottom w:val="nil"/>
              <w:right w:val="nil"/>
            </w:tcBorders>
            <w:shd w:val="clear" w:color="auto" w:fill="auto"/>
            <w:noWrap/>
            <w:vAlign w:val="center"/>
            <w:hideMark/>
          </w:tcPr>
          <w:p w14:paraId="54CBAC95"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438 344</w:t>
            </w:r>
          </w:p>
        </w:tc>
        <w:tc>
          <w:tcPr>
            <w:tcW w:w="1134" w:type="dxa"/>
            <w:tcBorders>
              <w:top w:val="nil"/>
              <w:left w:val="nil"/>
              <w:bottom w:val="nil"/>
              <w:right w:val="nil"/>
            </w:tcBorders>
            <w:shd w:val="clear" w:color="000000" w:fill="FFFFFF"/>
            <w:vAlign w:val="center"/>
            <w:hideMark/>
          </w:tcPr>
          <w:p w14:paraId="24A8C325"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-110 759</w:t>
            </w:r>
          </w:p>
        </w:tc>
        <w:tc>
          <w:tcPr>
            <w:tcW w:w="0" w:type="auto"/>
            <w:tcBorders>
              <w:top w:val="nil"/>
              <w:left w:val="nil"/>
              <w:bottom w:val="nil"/>
              <w:right w:val="nil"/>
            </w:tcBorders>
            <w:shd w:val="clear" w:color="000000" w:fill="FFFFFF"/>
            <w:vAlign w:val="center"/>
            <w:hideMark/>
          </w:tcPr>
          <w:p w14:paraId="7953354F"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-20,17</w:t>
            </w:r>
          </w:p>
        </w:tc>
      </w:tr>
      <w:tr w:rsidR="00574126" w:rsidRPr="00EC586F" w14:paraId="70DBE88A" w14:textId="77777777" w:rsidTr="00CE362A">
        <w:trPr>
          <w:trHeight w:val="289"/>
        </w:trPr>
        <w:tc>
          <w:tcPr>
            <w:tcW w:w="2795" w:type="dxa"/>
            <w:tcBorders>
              <w:top w:val="nil"/>
              <w:left w:val="nil"/>
              <w:bottom w:val="single" w:sz="8" w:space="0" w:color="auto"/>
              <w:right w:val="nil"/>
            </w:tcBorders>
            <w:shd w:val="clear" w:color="auto" w:fill="auto"/>
            <w:vAlign w:val="center"/>
            <w:hideMark/>
          </w:tcPr>
          <w:p w14:paraId="5DD391A6" w14:textId="658B8D3F" w:rsidR="00574126" w:rsidRPr="007776FE" w:rsidRDefault="007776FE" w:rsidP="007776FE">
            <w:pPr>
              <w:spacing w:after="0" w:line="240" w:lineRule="auto"/>
              <w:jc w:val="left"/>
              <w:rPr>
                <w:rFonts w:eastAsia="Times New Roman" w:cs="Times New Roman"/>
                <w:color w:val="000000"/>
                <w:sz w:val="20"/>
                <w:szCs w:val="20"/>
                <w:lang w:eastAsia="sk-SK"/>
              </w:rPr>
            </w:pPr>
            <w:r w:rsidRPr="007776FE">
              <w:rPr>
                <w:rFonts w:eastAsia="Times New Roman" w:cs="Times New Roman"/>
                <w:color w:val="000000"/>
                <w:sz w:val="20"/>
                <w:szCs w:val="20"/>
                <w:lang w:eastAsia="sk-SK"/>
              </w:rPr>
              <w:t>Bývanie </w:t>
            </w:r>
            <w:r w:rsidR="00574126" w:rsidRPr="007776FE">
              <w:rPr>
                <w:rFonts w:eastAsia="Times New Roman" w:cs="Times New Roman"/>
                <w:color w:val="000000"/>
                <w:sz w:val="20"/>
                <w:szCs w:val="20"/>
                <w:lang w:eastAsia="sk-SK"/>
              </w:rPr>
              <w:t>a</w:t>
            </w:r>
            <w:r w:rsidRPr="007776FE">
              <w:rPr>
                <w:rFonts w:eastAsia="Times New Roman" w:cs="Times New Roman"/>
                <w:color w:val="000000"/>
                <w:sz w:val="20"/>
                <w:szCs w:val="20"/>
                <w:lang w:eastAsia="sk-SK"/>
              </w:rPr>
              <w:t> občianska </w:t>
            </w:r>
            <w:r w:rsidR="00574126" w:rsidRPr="007776FE">
              <w:rPr>
                <w:rFonts w:eastAsia="Times New Roman" w:cs="Times New Roman"/>
                <w:color w:val="000000"/>
                <w:sz w:val="20"/>
                <w:szCs w:val="20"/>
                <w:lang w:eastAsia="sk-SK"/>
              </w:rPr>
              <w:t>vybavenosť</w:t>
            </w:r>
          </w:p>
        </w:tc>
        <w:tc>
          <w:tcPr>
            <w:tcW w:w="1074" w:type="dxa"/>
            <w:tcBorders>
              <w:top w:val="nil"/>
              <w:left w:val="nil"/>
              <w:bottom w:val="nil"/>
              <w:right w:val="nil"/>
            </w:tcBorders>
            <w:shd w:val="clear" w:color="auto" w:fill="auto"/>
            <w:noWrap/>
            <w:vAlign w:val="center"/>
            <w:hideMark/>
          </w:tcPr>
          <w:p w14:paraId="18876606"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89 912</w:t>
            </w:r>
          </w:p>
        </w:tc>
        <w:tc>
          <w:tcPr>
            <w:tcW w:w="1134" w:type="dxa"/>
            <w:tcBorders>
              <w:top w:val="nil"/>
              <w:left w:val="nil"/>
              <w:bottom w:val="single" w:sz="8" w:space="0" w:color="auto"/>
              <w:right w:val="nil"/>
            </w:tcBorders>
            <w:shd w:val="clear" w:color="auto" w:fill="auto"/>
            <w:noWrap/>
            <w:vAlign w:val="center"/>
            <w:hideMark/>
          </w:tcPr>
          <w:p w14:paraId="1D61AA0E"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88 491</w:t>
            </w:r>
          </w:p>
        </w:tc>
        <w:tc>
          <w:tcPr>
            <w:tcW w:w="1134" w:type="dxa"/>
            <w:tcBorders>
              <w:top w:val="nil"/>
              <w:left w:val="nil"/>
              <w:bottom w:val="nil"/>
              <w:right w:val="nil"/>
            </w:tcBorders>
            <w:shd w:val="clear" w:color="auto" w:fill="auto"/>
            <w:noWrap/>
            <w:vAlign w:val="center"/>
            <w:hideMark/>
          </w:tcPr>
          <w:p w14:paraId="46C5A591"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292 427</w:t>
            </w:r>
          </w:p>
        </w:tc>
        <w:tc>
          <w:tcPr>
            <w:tcW w:w="1276" w:type="dxa"/>
            <w:tcBorders>
              <w:top w:val="nil"/>
              <w:left w:val="nil"/>
              <w:bottom w:val="nil"/>
              <w:right w:val="nil"/>
            </w:tcBorders>
            <w:shd w:val="clear" w:color="auto" w:fill="auto"/>
            <w:noWrap/>
            <w:vAlign w:val="center"/>
            <w:hideMark/>
          </w:tcPr>
          <w:p w14:paraId="276D7448"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103 146</w:t>
            </w:r>
          </w:p>
        </w:tc>
        <w:tc>
          <w:tcPr>
            <w:tcW w:w="1134" w:type="dxa"/>
            <w:tcBorders>
              <w:top w:val="nil"/>
              <w:left w:val="nil"/>
              <w:bottom w:val="nil"/>
              <w:right w:val="nil"/>
            </w:tcBorders>
            <w:shd w:val="clear" w:color="000000" w:fill="FFFFFF"/>
            <w:vAlign w:val="center"/>
            <w:hideMark/>
          </w:tcPr>
          <w:p w14:paraId="2D12C85F"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-189 281</w:t>
            </w:r>
          </w:p>
        </w:tc>
        <w:tc>
          <w:tcPr>
            <w:tcW w:w="0" w:type="auto"/>
            <w:tcBorders>
              <w:top w:val="nil"/>
              <w:left w:val="nil"/>
              <w:bottom w:val="nil"/>
              <w:right w:val="nil"/>
            </w:tcBorders>
            <w:shd w:val="clear" w:color="000000" w:fill="FFFFFF"/>
            <w:vAlign w:val="center"/>
            <w:hideMark/>
          </w:tcPr>
          <w:p w14:paraId="449DB2A9" w14:textId="77777777" w:rsidR="00574126" w:rsidRPr="007776FE" w:rsidRDefault="00574126" w:rsidP="00574126">
            <w:pPr>
              <w:spacing w:after="0" w:line="240" w:lineRule="auto"/>
              <w:jc w:val="right"/>
              <w:rPr>
                <w:rFonts w:eastAsia="Times New Roman" w:cs="Times New Roman"/>
                <w:color w:val="000000"/>
                <w:sz w:val="20"/>
                <w:szCs w:val="20"/>
                <w:lang w:eastAsia="sk-SK"/>
              </w:rPr>
            </w:pPr>
            <w:r w:rsidRPr="007776FE">
              <w:rPr>
                <w:color w:val="000000"/>
                <w:sz w:val="20"/>
                <w:szCs w:val="20"/>
              </w:rPr>
              <w:t>-64,73</w:t>
            </w:r>
          </w:p>
        </w:tc>
      </w:tr>
      <w:tr w:rsidR="00574126" w:rsidRPr="00EC586F" w14:paraId="77F82CD0" w14:textId="77777777" w:rsidTr="00CE362A">
        <w:trPr>
          <w:trHeight w:val="289"/>
        </w:trPr>
        <w:tc>
          <w:tcPr>
            <w:tcW w:w="2795" w:type="dxa"/>
            <w:tcBorders>
              <w:top w:val="nil"/>
              <w:left w:val="nil"/>
              <w:bottom w:val="single" w:sz="8" w:space="0" w:color="auto"/>
              <w:right w:val="nil"/>
            </w:tcBorders>
            <w:shd w:val="clear" w:color="000000" w:fill="FFFFFF"/>
            <w:noWrap/>
            <w:vAlign w:val="center"/>
            <w:hideMark/>
          </w:tcPr>
          <w:p w14:paraId="3F74EC98" w14:textId="77777777" w:rsidR="00574126" w:rsidRPr="00EC586F" w:rsidRDefault="00574126" w:rsidP="00574126">
            <w:pPr>
              <w:spacing w:after="0" w:line="240" w:lineRule="auto"/>
              <w:jc w:val="left"/>
              <w:rPr>
                <w:rFonts w:eastAsia="Times New Roman" w:cs="Times New Roman"/>
                <w:b/>
                <w:bCs/>
                <w:color w:val="000000"/>
                <w:sz w:val="20"/>
                <w:szCs w:val="20"/>
                <w:lang w:eastAsia="sk-SK"/>
              </w:rPr>
            </w:pPr>
            <w:r w:rsidRPr="00EC586F">
              <w:rPr>
                <w:rFonts w:eastAsia="Times New Roman" w:cs="Times New Roman"/>
                <w:b/>
                <w:bCs/>
                <w:color w:val="000000"/>
                <w:sz w:val="20"/>
                <w:szCs w:val="20"/>
                <w:lang w:eastAsia="sk-SK"/>
              </w:rPr>
              <w:t>Spolu</w:t>
            </w:r>
          </w:p>
        </w:tc>
        <w:tc>
          <w:tcPr>
            <w:tcW w:w="1074" w:type="dxa"/>
            <w:tcBorders>
              <w:top w:val="single" w:sz="8" w:space="0" w:color="auto"/>
              <w:left w:val="nil"/>
              <w:bottom w:val="single" w:sz="8" w:space="0" w:color="auto"/>
              <w:right w:val="nil"/>
            </w:tcBorders>
            <w:shd w:val="clear" w:color="auto" w:fill="auto"/>
            <w:noWrap/>
            <w:vAlign w:val="center"/>
            <w:hideMark/>
          </w:tcPr>
          <w:p w14:paraId="03A563CE" w14:textId="77777777" w:rsidR="00574126" w:rsidRPr="00EC586F" w:rsidRDefault="00574126" w:rsidP="00574126">
            <w:pPr>
              <w:spacing w:after="0" w:line="240" w:lineRule="auto"/>
              <w:jc w:val="right"/>
              <w:rPr>
                <w:rFonts w:eastAsia="Times New Roman" w:cs="Times New Roman"/>
                <w:b/>
                <w:bCs/>
                <w:color w:val="000000"/>
                <w:sz w:val="20"/>
                <w:szCs w:val="20"/>
                <w:lang w:eastAsia="sk-SK"/>
              </w:rPr>
            </w:pPr>
            <w:r>
              <w:rPr>
                <w:b/>
                <w:bCs/>
                <w:color w:val="000000"/>
                <w:sz w:val="20"/>
                <w:szCs w:val="20"/>
              </w:rPr>
              <w:t>23 509 056</w:t>
            </w:r>
          </w:p>
        </w:tc>
        <w:tc>
          <w:tcPr>
            <w:tcW w:w="1134" w:type="dxa"/>
            <w:tcBorders>
              <w:top w:val="nil"/>
              <w:left w:val="nil"/>
              <w:bottom w:val="single" w:sz="8" w:space="0" w:color="auto"/>
              <w:right w:val="nil"/>
            </w:tcBorders>
            <w:shd w:val="clear" w:color="auto" w:fill="auto"/>
            <w:noWrap/>
            <w:vAlign w:val="center"/>
            <w:hideMark/>
          </w:tcPr>
          <w:p w14:paraId="7AF28E7A" w14:textId="77777777" w:rsidR="00574126" w:rsidRPr="00EC586F" w:rsidRDefault="00574126" w:rsidP="00574126">
            <w:pPr>
              <w:spacing w:after="0" w:line="240" w:lineRule="auto"/>
              <w:jc w:val="right"/>
              <w:rPr>
                <w:rFonts w:eastAsia="Times New Roman" w:cs="Times New Roman"/>
                <w:b/>
                <w:bCs/>
                <w:color w:val="000000"/>
                <w:sz w:val="20"/>
                <w:szCs w:val="20"/>
                <w:lang w:eastAsia="sk-SK"/>
              </w:rPr>
            </w:pPr>
            <w:r>
              <w:rPr>
                <w:b/>
                <w:bCs/>
                <w:color w:val="000000"/>
                <w:sz w:val="20"/>
                <w:szCs w:val="20"/>
              </w:rPr>
              <w:t>24 211 425</w:t>
            </w:r>
          </w:p>
        </w:tc>
        <w:tc>
          <w:tcPr>
            <w:tcW w:w="1134" w:type="dxa"/>
            <w:tcBorders>
              <w:top w:val="single" w:sz="8" w:space="0" w:color="auto"/>
              <w:left w:val="nil"/>
              <w:bottom w:val="single" w:sz="8" w:space="0" w:color="auto"/>
              <w:right w:val="nil"/>
            </w:tcBorders>
            <w:shd w:val="clear" w:color="auto" w:fill="auto"/>
            <w:noWrap/>
            <w:vAlign w:val="center"/>
            <w:hideMark/>
          </w:tcPr>
          <w:p w14:paraId="4650EAD0" w14:textId="77777777" w:rsidR="00574126" w:rsidRPr="00EC586F" w:rsidRDefault="00574126" w:rsidP="00574126">
            <w:pPr>
              <w:spacing w:after="0" w:line="240" w:lineRule="auto"/>
              <w:jc w:val="right"/>
              <w:rPr>
                <w:rFonts w:eastAsia="Times New Roman" w:cs="Times New Roman"/>
                <w:b/>
                <w:bCs/>
                <w:color w:val="000000"/>
                <w:sz w:val="20"/>
                <w:szCs w:val="20"/>
                <w:lang w:eastAsia="sk-SK"/>
              </w:rPr>
            </w:pPr>
            <w:r>
              <w:rPr>
                <w:b/>
                <w:bCs/>
                <w:color w:val="000000"/>
                <w:sz w:val="20"/>
                <w:szCs w:val="20"/>
              </w:rPr>
              <w:t>26 945 417</w:t>
            </w:r>
          </w:p>
        </w:tc>
        <w:tc>
          <w:tcPr>
            <w:tcW w:w="1276" w:type="dxa"/>
            <w:tcBorders>
              <w:top w:val="single" w:sz="8" w:space="0" w:color="auto"/>
              <w:left w:val="nil"/>
              <w:bottom w:val="single" w:sz="8" w:space="0" w:color="auto"/>
              <w:right w:val="nil"/>
            </w:tcBorders>
            <w:shd w:val="clear" w:color="auto" w:fill="auto"/>
            <w:noWrap/>
            <w:vAlign w:val="center"/>
            <w:hideMark/>
          </w:tcPr>
          <w:p w14:paraId="294CF738" w14:textId="77777777" w:rsidR="00574126" w:rsidRPr="00EC586F" w:rsidRDefault="00574126" w:rsidP="00574126">
            <w:pPr>
              <w:spacing w:after="0" w:line="240" w:lineRule="auto"/>
              <w:jc w:val="right"/>
              <w:rPr>
                <w:rFonts w:eastAsia="Times New Roman" w:cs="Times New Roman"/>
                <w:b/>
                <w:bCs/>
                <w:color w:val="000000"/>
                <w:sz w:val="20"/>
                <w:szCs w:val="20"/>
                <w:lang w:eastAsia="sk-SK"/>
              </w:rPr>
            </w:pPr>
            <w:r>
              <w:rPr>
                <w:b/>
                <w:bCs/>
                <w:color w:val="000000"/>
                <w:sz w:val="20"/>
                <w:szCs w:val="20"/>
              </w:rPr>
              <w:t>23 554 555</w:t>
            </w:r>
          </w:p>
        </w:tc>
        <w:tc>
          <w:tcPr>
            <w:tcW w:w="1134" w:type="dxa"/>
            <w:tcBorders>
              <w:top w:val="single" w:sz="8" w:space="0" w:color="auto"/>
              <w:left w:val="nil"/>
              <w:bottom w:val="single" w:sz="8" w:space="0" w:color="auto"/>
              <w:right w:val="nil"/>
            </w:tcBorders>
            <w:shd w:val="clear" w:color="auto" w:fill="auto"/>
            <w:noWrap/>
            <w:vAlign w:val="center"/>
            <w:hideMark/>
          </w:tcPr>
          <w:p w14:paraId="08B4E807" w14:textId="77777777" w:rsidR="00574126" w:rsidRPr="00EC586F" w:rsidRDefault="00574126" w:rsidP="00574126">
            <w:pPr>
              <w:spacing w:after="0" w:line="240" w:lineRule="auto"/>
              <w:jc w:val="right"/>
              <w:rPr>
                <w:rFonts w:eastAsia="Times New Roman" w:cs="Times New Roman"/>
                <w:b/>
                <w:bCs/>
                <w:color w:val="000000"/>
                <w:sz w:val="20"/>
                <w:szCs w:val="20"/>
                <w:lang w:eastAsia="sk-SK"/>
              </w:rPr>
            </w:pPr>
            <w:r>
              <w:rPr>
                <w:b/>
                <w:bCs/>
                <w:color w:val="000000"/>
                <w:sz w:val="20"/>
                <w:szCs w:val="20"/>
              </w:rPr>
              <w:t>-3 390 862</w:t>
            </w:r>
          </w:p>
        </w:tc>
        <w:tc>
          <w:tcPr>
            <w:tcW w:w="0" w:type="auto"/>
            <w:tcBorders>
              <w:top w:val="single" w:sz="8" w:space="0" w:color="auto"/>
              <w:left w:val="nil"/>
              <w:bottom w:val="single" w:sz="8" w:space="0" w:color="auto"/>
              <w:right w:val="nil"/>
            </w:tcBorders>
            <w:shd w:val="clear" w:color="auto" w:fill="auto"/>
            <w:noWrap/>
            <w:vAlign w:val="center"/>
            <w:hideMark/>
          </w:tcPr>
          <w:p w14:paraId="1F360F5D" w14:textId="77777777" w:rsidR="00574126" w:rsidRPr="00EC586F" w:rsidRDefault="00574126" w:rsidP="00574126">
            <w:pPr>
              <w:spacing w:after="0" w:line="240" w:lineRule="auto"/>
              <w:jc w:val="right"/>
              <w:rPr>
                <w:rFonts w:eastAsia="Times New Roman" w:cs="Times New Roman"/>
                <w:b/>
                <w:bCs/>
                <w:color w:val="000000"/>
                <w:sz w:val="20"/>
                <w:szCs w:val="20"/>
                <w:lang w:eastAsia="sk-SK"/>
              </w:rPr>
            </w:pPr>
            <w:r>
              <w:rPr>
                <w:b/>
                <w:bCs/>
                <w:color w:val="000000"/>
                <w:sz w:val="20"/>
                <w:szCs w:val="20"/>
              </w:rPr>
              <w:t>-12,58</w:t>
            </w:r>
          </w:p>
        </w:tc>
      </w:tr>
    </w:tbl>
    <w:p w14:paraId="06DC1317" w14:textId="7ADAB28A" w:rsidR="00574126" w:rsidRPr="00EC586F" w:rsidRDefault="00574126" w:rsidP="00574126">
      <w:pPr>
        <w:spacing w:line="240" w:lineRule="auto"/>
        <w:rPr>
          <w:sz w:val="18"/>
          <w:szCs w:val="18"/>
        </w:rPr>
      </w:pPr>
      <w:r w:rsidRPr="00EC586F">
        <w:rPr>
          <w:sz w:val="18"/>
          <w:szCs w:val="18"/>
        </w:rPr>
        <w:t xml:space="preserve">Oddiely funkčnej klasifikácie sú zoradené podľa </w:t>
      </w:r>
      <w:r w:rsidR="00995FFF">
        <w:rPr>
          <w:sz w:val="18"/>
          <w:szCs w:val="18"/>
        </w:rPr>
        <w:t xml:space="preserve">veľkosti </w:t>
      </w:r>
      <w:r w:rsidRPr="00EC586F">
        <w:rPr>
          <w:sz w:val="18"/>
          <w:szCs w:val="18"/>
        </w:rPr>
        <w:t>hodnoty za skutočnosť</w:t>
      </w:r>
      <w:r>
        <w:rPr>
          <w:sz w:val="18"/>
          <w:szCs w:val="18"/>
        </w:rPr>
        <w:t xml:space="preserve"> 2022</w:t>
      </w:r>
      <w:r>
        <w:rPr>
          <w:sz w:val="18"/>
          <w:szCs w:val="18"/>
        </w:rPr>
        <w:tab/>
      </w:r>
      <w:r>
        <w:rPr>
          <w:sz w:val="18"/>
          <w:szCs w:val="18"/>
        </w:rPr>
        <w:tab/>
      </w:r>
      <w:r>
        <w:rPr>
          <w:sz w:val="18"/>
          <w:szCs w:val="18"/>
        </w:rPr>
        <w:tab/>
      </w:r>
      <w:r w:rsidRPr="00EC586F">
        <w:rPr>
          <w:sz w:val="20"/>
          <w:szCs w:val="20"/>
        </w:rPr>
        <w:t>Zdroj: MF SR</w:t>
      </w:r>
    </w:p>
    <w:p w14:paraId="003E698C" w14:textId="6B8AB703" w:rsidR="006D2695" w:rsidRDefault="00574126" w:rsidP="00995FFF">
      <w:pPr>
        <w:spacing w:line="240" w:lineRule="auto"/>
        <w:rPr>
          <w:b/>
          <w:sz w:val="24"/>
          <w:szCs w:val="24"/>
        </w:rPr>
      </w:pPr>
      <w:r w:rsidRPr="00EC586F">
        <w:rPr>
          <w:sz w:val="24"/>
          <w:szCs w:val="24"/>
        </w:rPr>
        <w:t>Celkové výdavky podľa funkčnej klasifikácie sú zhodné s výdavkami podľa ekonomickej klasifikácie, sú však opi</w:t>
      </w:r>
      <w:r>
        <w:rPr>
          <w:sz w:val="24"/>
          <w:szCs w:val="24"/>
        </w:rPr>
        <w:t>sované z pohľadu činnosti, ktorú</w:t>
      </w:r>
      <w:r w:rsidRPr="00EC586F">
        <w:rPr>
          <w:sz w:val="24"/>
          <w:szCs w:val="24"/>
        </w:rPr>
        <w:t xml:space="preserve"> financujú rozpočtové organizácie štátnej správy. V prípade metodicky správneho uplatňovania tejto klasifikácie sú zdôvodnenia plnenia alebo prekročenia schváleného rozpočtu totožné s tými, ktoré sú uvedené v kapitole 3.2.1.</w:t>
      </w:r>
    </w:p>
    <w:p w14:paraId="5D602FD0" w14:textId="086E083B" w:rsidR="00574126" w:rsidRPr="006D2695" w:rsidRDefault="00574126" w:rsidP="006D2695">
      <w:pPr>
        <w:spacing w:before="240"/>
        <w:rPr>
          <w:b/>
          <w:color w:val="5B9BD5" w:themeColor="accent1"/>
          <w:sz w:val="24"/>
          <w:szCs w:val="24"/>
        </w:rPr>
      </w:pPr>
      <w:r w:rsidRPr="006D2695">
        <w:rPr>
          <w:b/>
          <w:color w:val="5B9BD5" w:themeColor="accent1"/>
          <w:sz w:val="24"/>
          <w:szCs w:val="24"/>
        </w:rPr>
        <w:t>Sociálne zabezpečenie</w:t>
      </w:r>
    </w:p>
    <w:p w14:paraId="4E17145B" w14:textId="77777777" w:rsidR="00574126" w:rsidRPr="00EC586F" w:rsidRDefault="00574126" w:rsidP="00574126">
      <w:pPr>
        <w:spacing w:line="240" w:lineRule="auto"/>
        <w:rPr>
          <w:sz w:val="24"/>
          <w:szCs w:val="24"/>
        </w:rPr>
      </w:pPr>
      <w:r w:rsidRPr="00EC586F">
        <w:rPr>
          <w:sz w:val="24"/>
          <w:szCs w:val="24"/>
        </w:rPr>
        <w:t>Výdavky v oddiele sociálne zabezpečenie tvorili 2</w:t>
      </w:r>
      <w:r>
        <w:rPr>
          <w:sz w:val="24"/>
          <w:szCs w:val="24"/>
        </w:rPr>
        <w:t>1</w:t>
      </w:r>
      <w:r w:rsidRPr="00EC586F">
        <w:rPr>
          <w:sz w:val="24"/>
          <w:szCs w:val="24"/>
        </w:rPr>
        <w:t>,</w:t>
      </w:r>
      <w:r>
        <w:rPr>
          <w:sz w:val="24"/>
          <w:szCs w:val="24"/>
        </w:rPr>
        <w:t>8</w:t>
      </w:r>
      <w:r w:rsidRPr="00EC586F">
        <w:rPr>
          <w:sz w:val="24"/>
          <w:szCs w:val="24"/>
        </w:rPr>
        <w:t xml:space="preserve"> % z celkových výdavkov. Ide o prostriedky štátneho rozpočtu, ktoré sa vynakladajú na poskytovanie sociálnej ochrany v starobe, na podporu rodiny a detí, na sociálnu pomoc občanom v hmotnej a sociálnej núdzi, na chorobu, invaliditu a ťažké zdravotné postihnutie a pod. V kapitole </w:t>
      </w:r>
      <w:r w:rsidRPr="002136EE">
        <w:rPr>
          <w:sz w:val="24"/>
          <w:szCs w:val="24"/>
          <w:u w:val="single"/>
        </w:rPr>
        <w:t>Všeobecná pokladničná správa</w:t>
      </w:r>
      <w:r w:rsidRPr="00EC586F">
        <w:rPr>
          <w:sz w:val="24"/>
          <w:szCs w:val="24"/>
        </w:rPr>
        <w:t xml:space="preserve"> bolo najväčšie čerpanie v skupine </w:t>
      </w:r>
      <w:r w:rsidRPr="00EC586F">
        <w:rPr>
          <w:i/>
          <w:sz w:val="24"/>
          <w:szCs w:val="24"/>
        </w:rPr>
        <w:t xml:space="preserve">Staroba </w:t>
      </w:r>
      <w:r>
        <w:rPr>
          <w:sz w:val="24"/>
          <w:szCs w:val="24"/>
        </w:rPr>
        <w:t>100</w:t>
      </w:r>
      <w:r w:rsidRPr="00EC586F">
        <w:rPr>
          <w:sz w:val="24"/>
          <w:szCs w:val="24"/>
        </w:rPr>
        <w:t> 000 tis. eur, ide o vyplatenie transferu Sociálnej poisťovni.</w:t>
      </w:r>
    </w:p>
    <w:p w14:paraId="6674C012" w14:textId="77777777" w:rsidR="00574126" w:rsidRPr="00467E1E" w:rsidRDefault="00574126" w:rsidP="00574126">
      <w:pPr>
        <w:spacing w:line="240" w:lineRule="auto"/>
        <w:rPr>
          <w:sz w:val="24"/>
          <w:szCs w:val="24"/>
        </w:rPr>
      </w:pPr>
      <w:r w:rsidRPr="00467E1E">
        <w:rPr>
          <w:sz w:val="24"/>
          <w:szCs w:val="24"/>
        </w:rPr>
        <w:t xml:space="preserve">Úspora finančných prostriedkov pôvodne rozpočtovaných na transfer od štátu v sume 300 000 </w:t>
      </w:r>
      <w:r>
        <w:rPr>
          <w:sz w:val="24"/>
          <w:szCs w:val="24"/>
        </w:rPr>
        <w:t>tis.</w:t>
      </w:r>
      <w:r w:rsidRPr="00467E1E">
        <w:rPr>
          <w:sz w:val="24"/>
          <w:szCs w:val="24"/>
        </w:rPr>
        <w:t xml:space="preserve"> eur sa realizovala v nadväznosti na vyššie očakávané príjmy z poistného od ekonomicky aktívnych obyvateľov, dlžné poistné a penále, kde </w:t>
      </w:r>
      <w:r>
        <w:rPr>
          <w:sz w:val="24"/>
          <w:szCs w:val="24"/>
        </w:rPr>
        <w:t>bol</w:t>
      </w:r>
      <w:r w:rsidRPr="00467E1E">
        <w:rPr>
          <w:sz w:val="24"/>
          <w:szCs w:val="24"/>
        </w:rPr>
        <w:t xml:space="preserve"> oproti schválenému rozpočtu zaznamenaný nárast o 250 003 </w:t>
      </w:r>
      <w:r>
        <w:rPr>
          <w:sz w:val="24"/>
          <w:szCs w:val="24"/>
        </w:rPr>
        <w:t>tis.</w:t>
      </w:r>
      <w:r w:rsidRPr="00467E1E">
        <w:rPr>
          <w:sz w:val="24"/>
          <w:szCs w:val="24"/>
        </w:rPr>
        <w:t xml:space="preserve"> eur (suma bez oddlženia). V auguste 2022 prebehlo oddlženie Sociálnej poisťovne v sume 198 636 </w:t>
      </w:r>
      <w:r>
        <w:rPr>
          <w:sz w:val="24"/>
          <w:szCs w:val="24"/>
        </w:rPr>
        <w:t>tis.</w:t>
      </w:r>
      <w:r w:rsidRPr="00467E1E">
        <w:rPr>
          <w:sz w:val="24"/>
          <w:szCs w:val="24"/>
        </w:rPr>
        <w:t xml:space="preserve"> eur, ktoré sa premietlo v zlepšení celkového hospodárenia subjektu. </w:t>
      </w:r>
    </w:p>
    <w:p w14:paraId="27F96AA7" w14:textId="77777777" w:rsidR="00574126" w:rsidRPr="006D2695" w:rsidRDefault="00574126" w:rsidP="006D2695">
      <w:pPr>
        <w:spacing w:before="240"/>
        <w:rPr>
          <w:b/>
          <w:color w:val="5B9BD5" w:themeColor="accent1"/>
          <w:sz w:val="24"/>
          <w:szCs w:val="24"/>
        </w:rPr>
      </w:pPr>
      <w:r w:rsidRPr="006D2695">
        <w:rPr>
          <w:b/>
          <w:color w:val="5B9BD5" w:themeColor="accent1"/>
          <w:sz w:val="24"/>
          <w:szCs w:val="24"/>
        </w:rPr>
        <w:t>Všeobecné verejné služby</w:t>
      </w:r>
    </w:p>
    <w:p w14:paraId="267D42AA" w14:textId="77777777" w:rsidR="00574126" w:rsidRPr="00EC586F" w:rsidRDefault="00574126" w:rsidP="00574126">
      <w:pPr>
        <w:spacing w:line="240" w:lineRule="auto"/>
        <w:rPr>
          <w:sz w:val="24"/>
          <w:szCs w:val="24"/>
        </w:rPr>
      </w:pPr>
      <w:r w:rsidRPr="00EC586F">
        <w:rPr>
          <w:sz w:val="24"/>
          <w:szCs w:val="24"/>
        </w:rPr>
        <w:t xml:space="preserve">Výdavky na všeobecné verejné služby tvorili </w:t>
      </w:r>
      <w:r>
        <w:rPr>
          <w:sz w:val="24"/>
          <w:szCs w:val="24"/>
        </w:rPr>
        <w:t>20</w:t>
      </w:r>
      <w:r w:rsidRPr="00EC586F">
        <w:rPr>
          <w:sz w:val="24"/>
          <w:szCs w:val="24"/>
        </w:rPr>
        <w:t>,</w:t>
      </w:r>
      <w:r>
        <w:rPr>
          <w:sz w:val="24"/>
          <w:szCs w:val="24"/>
        </w:rPr>
        <w:t>6</w:t>
      </w:r>
      <w:r w:rsidRPr="00EC586F">
        <w:rPr>
          <w:sz w:val="24"/>
          <w:szCs w:val="24"/>
        </w:rPr>
        <w:t xml:space="preserve"> % z celkových výdavkov štátneho rozpočtu. Tieto výdavky zahrňujú prostriedky verejnej správy na činnosť vymedzeného okruhu ústredných orgánov štátnej správy, výdavky na správu štátneho dlhu, na základný výskum</w:t>
      </w:r>
      <w:r>
        <w:rPr>
          <w:sz w:val="24"/>
          <w:szCs w:val="24"/>
        </w:rPr>
        <w:t xml:space="preserve"> a</w:t>
      </w:r>
      <w:r w:rsidRPr="00EC586F">
        <w:rPr>
          <w:sz w:val="24"/>
          <w:szCs w:val="24"/>
        </w:rPr>
        <w:t xml:space="preserve"> na zahraničnú hospodársku pomoc. </w:t>
      </w:r>
    </w:p>
    <w:p w14:paraId="2E733DDD" w14:textId="3051BCA7" w:rsidR="00574126" w:rsidRDefault="00574126" w:rsidP="00574126">
      <w:pPr>
        <w:spacing w:line="240" w:lineRule="auto"/>
        <w:rPr>
          <w:sz w:val="24"/>
          <w:szCs w:val="24"/>
        </w:rPr>
      </w:pPr>
      <w:r w:rsidRPr="00C516CD">
        <w:rPr>
          <w:sz w:val="24"/>
          <w:szCs w:val="24"/>
        </w:rPr>
        <w:lastRenderedPageBreak/>
        <w:t xml:space="preserve">Najviac finančných prostriedkov bolo čerpaných v oblasti </w:t>
      </w:r>
      <w:r w:rsidRPr="00C516CD">
        <w:rPr>
          <w:i/>
          <w:sz w:val="24"/>
          <w:szCs w:val="24"/>
        </w:rPr>
        <w:t>Výkonné a zákonodarné orgány, finančné a rozpočtové záležitosti, zahraničné vzťahy</w:t>
      </w:r>
      <w:r w:rsidRPr="00C516CD">
        <w:rPr>
          <w:sz w:val="24"/>
          <w:szCs w:val="24"/>
        </w:rPr>
        <w:t xml:space="preserve"> (</w:t>
      </w:r>
      <w:r>
        <w:rPr>
          <w:sz w:val="24"/>
          <w:szCs w:val="24"/>
        </w:rPr>
        <w:t>3</w:t>
      </w:r>
      <w:r w:rsidRPr="00C516CD">
        <w:rPr>
          <w:sz w:val="24"/>
          <w:szCs w:val="24"/>
        </w:rPr>
        <w:t> </w:t>
      </w:r>
      <w:r>
        <w:rPr>
          <w:sz w:val="24"/>
          <w:szCs w:val="24"/>
        </w:rPr>
        <w:t>097</w:t>
      </w:r>
      <w:r w:rsidRPr="00C516CD">
        <w:rPr>
          <w:sz w:val="24"/>
          <w:szCs w:val="24"/>
        </w:rPr>
        <w:t> </w:t>
      </w:r>
      <w:r>
        <w:rPr>
          <w:sz w:val="24"/>
          <w:szCs w:val="24"/>
        </w:rPr>
        <w:t>800</w:t>
      </w:r>
      <w:r w:rsidRPr="00C516CD">
        <w:rPr>
          <w:sz w:val="24"/>
          <w:szCs w:val="24"/>
        </w:rPr>
        <w:t xml:space="preserve"> tis. eur). V rámci </w:t>
      </w:r>
      <w:r w:rsidRPr="00C516CD">
        <w:rPr>
          <w:i/>
          <w:sz w:val="24"/>
          <w:szCs w:val="24"/>
        </w:rPr>
        <w:t>finančných a rozpočtových záležitostí</w:t>
      </w:r>
      <w:r w:rsidRPr="00C516CD">
        <w:rPr>
          <w:sz w:val="24"/>
          <w:szCs w:val="24"/>
        </w:rPr>
        <w:t xml:space="preserve"> vykazuje kapitola </w:t>
      </w:r>
      <w:r w:rsidRPr="00C516CD">
        <w:rPr>
          <w:sz w:val="24"/>
          <w:szCs w:val="24"/>
          <w:u w:val="single"/>
        </w:rPr>
        <w:t>Všeobecná pokladničná správa</w:t>
      </w:r>
      <w:r w:rsidRPr="00C516CD">
        <w:rPr>
          <w:sz w:val="24"/>
          <w:szCs w:val="24"/>
        </w:rPr>
        <w:t xml:space="preserve"> sumu </w:t>
      </w:r>
      <w:r>
        <w:rPr>
          <w:sz w:val="24"/>
          <w:szCs w:val="24"/>
        </w:rPr>
        <w:t>1 005 363 tis. </w:t>
      </w:r>
      <w:r w:rsidRPr="00C516CD">
        <w:rPr>
          <w:sz w:val="24"/>
          <w:szCs w:val="24"/>
        </w:rPr>
        <w:t>eur (2021: 415 284 tis. eur)</w:t>
      </w:r>
      <w:r>
        <w:rPr>
          <w:sz w:val="24"/>
          <w:szCs w:val="24"/>
        </w:rPr>
        <w:t>.</w:t>
      </w:r>
      <w:r w:rsidRPr="00C516CD">
        <w:rPr>
          <w:sz w:val="24"/>
          <w:szCs w:val="24"/>
        </w:rPr>
        <w:t xml:space="preserve"> </w:t>
      </w:r>
      <w:r>
        <w:rPr>
          <w:sz w:val="24"/>
          <w:szCs w:val="24"/>
        </w:rPr>
        <w:t>I</w:t>
      </w:r>
      <w:r w:rsidRPr="008F4D31">
        <w:rPr>
          <w:sz w:val="24"/>
          <w:szCs w:val="24"/>
        </w:rPr>
        <w:t xml:space="preserve">šlo napr. </w:t>
      </w:r>
      <w:r>
        <w:rPr>
          <w:sz w:val="24"/>
          <w:szCs w:val="24"/>
        </w:rPr>
        <w:t>o doplnenie štátnych finančných aktív za</w:t>
      </w:r>
      <w:r w:rsidRPr="00B90E46">
        <w:rPr>
          <w:sz w:val="24"/>
          <w:szCs w:val="24"/>
        </w:rPr>
        <w:t xml:space="preserve"> účel</w:t>
      </w:r>
      <w:r>
        <w:rPr>
          <w:sz w:val="24"/>
          <w:szCs w:val="24"/>
        </w:rPr>
        <w:t>om</w:t>
      </w:r>
      <w:r w:rsidRPr="00B90E46">
        <w:rPr>
          <w:sz w:val="24"/>
          <w:szCs w:val="24"/>
        </w:rPr>
        <w:t xml:space="preserve"> </w:t>
      </w:r>
      <w:r>
        <w:rPr>
          <w:sz w:val="24"/>
          <w:szCs w:val="24"/>
        </w:rPr>
        <w:t>posilnenia kapitálových fondov</w:t>
      </w:r>
      <w:r w:rsidRPr="00B90E46">
        <w:rPr>
          <w:sz w:val="24"/>
          <w:szCs w:val="24"/>
        </w:rPr>
        <w:t xml:space="preserve"> spoločnosti Slovenský plynárenský priemysel </w:t>
      </w:r>
      <w:proofErr w:type="spellStart"/>
      <w:r w:rsidRPr="00B90E46">
        <w:rPr>
          <w:sz w:val="24"/>
          <w:szCs w:val="24"/>
        </w:rPr>
        <w:t>a.s</w:t>
      </w:r>
      <w:proofErr w:type="spellEnd"/>
      <w:r w:rsidRPr="00B90E46">
        <w:rPr>
          <w:sz w:val="24"/>
          <w:szCs w:val="24"/>
        </w:rPr>
        <w:t>.</w:t>
      </w:r>
      <w:r>
        <w:rPr>
          <w:sz w:val="24"/>
          <w:szCs w:val="24"/>
        </w:rPr>
        <w:t xml:space="preserve"> (500 000 tis. eur)</w:t>
      </w:r>
      <w:r>
        <w:rPr>
          <w:rStyle w:val="Odkaznapoznmkupodiarou"/>
          <w:sz w:val="24"/>
          <w:szCs w:val="24"/>
        </w:rPr>
        <w:footnoteReference w:id="30"/>
      </w:r>
      <w:r>
        <w:rPr>
          <w:sz w:val="24"/>
          <w:szCs w:val="24"/>
        </w:rPr>
        <w:t>. Ďalej boli účty štátnych finančných aktív posilnené za účelom krytia p</w:t>
      </w:r>
      <w:r w:rsidRPr="004C6E9B">
        <w:rPr>
          <w:sz w:val="24"/>
          <w:szCs w:val="24"/>
        </w:rPr>
        <w:t>odporný</w:t>
      </w:r>
      <w:r>
        <w:rPr>
          <w:sz w:val="24"/>
          <w:szCs w:val="24"/>
        </w:rPr>
        <w:t>ch</w:t>
      </w:r>
      <w:r w:rsidRPr="004C6E9B">
        <w:rPr>
          <w:sz w:val="24"/>
          <w:szCs w:val="24"/>
        </w:rPr>
        <w:t xml:space="preserve"> opatren</w:t>
      </w:r>
      <w:r>
        <w:rPr>
          <w:sz w:val="24"/>
          <w:szCs w:val="24"/>
        </w:rPr>
        <w:t>í Ministerstva pôdohospodárstva a rozvoja vidieka SR</w:t>
      </w:r>
      <w:r w:rsidRPr="004C6E9B">
        <w:rPr>
          <w:sz w:val="24"/>
          <w:szCs w:val="24"/>
        </w:rPr>
        <w:t xml:space="preserve"> na spracovanie produktov poľnohospodárskej prvovýroby</w:t>
      </w:r>
      <w:r>
        <w:rPr>
          <w:sz w:val="24"/>
          <w:szCs w:val="24"/>
        </w:rPr>
        <w:t xml:space="preserve"> (250 000 tis. </w:t>
      </w:r>
      <w:r w:rsidRPr="00CC0AFF">
        <w:rPr>
          <w:sz w:val="24"/>
          <w:szCs w:val="24"/>
        </w:rPr>
        <w:t>eur)</w:t>
      </w:r>
      <w:r w:rsidRPr="00CC0AFF">
        <w:rPr>
          <w:rStyle w:val="Odkaznapoznmkupodiarou"/>
          <w:sz w:val="24"/>
          <w:szCs w:val="24"/>
        </w:rPr>
        <w:footnoteReference w:id="31"/>
      </w:r>
      <w:r w:rsidRPr="00CC0AFF">
        <w:rPr>
          <w:sz w:val="24"/>
          <w:szCs w:val="24"/>
        </w:rPr>
        <w:t xml:space="preserve">. </w:t>
      </w:r>
    </w:p>
    <w:p w14:paraId="1619136A" w14:textId="77777777" w:rsidR="00574126" w:rsidRDefault="00574126" w:rsidP="00574126">
      <w:pPr>
        <w:spacing w:line="240" w:lineRule="auto"/>
        <w:rPr>
          <w:sz w:val="24"/>
          <w:szCs w:val="24"/>
        </w:rPr>
      </w:pPr>
      <w:r w:rsidRPr="0092405F">
        <w:rPr>
          <w:i/>
          <w:sz w:val="24"/>
          <w:szCs w:val="24"/>
        </w:rPr>
        <w:t>Odvody do rozpočtu Európskej únie</w:t>
      </w:r>
      <w:r w:rsidRPr="00757CE8">
        <w:rPr>
          <w:sz w:val="24"/>
          <w:szCs w:val="24"/>
        </w:rPr>
        <w:t xml:space="preserve"> založené na dani z pridanej hodnoty a hrubom národnom produkte dosiahli v kapitole </w:t>
      </w:r>
      <w:r w:rsidRPr="00757CE8">
        <w:rPr>
          <w:sz w:val="24"/>
          <w:szCs w:val="24"/>
          <w:u w:val="single"/>
        </w:rPr>
        <w:t>Všeobecná pokladničná správa</w:t>
      </w:r>
      <w:r w:rsidRPr="00757CE8">
        <w:rPr>
          <w:sz w:val="24"/>
          <w:szCs w:val="24"/>
        </w:rPr>
        <w:t xml:space="preserve"> sumu 940 226 tis. eur. </w:t>
      </w:r>
    </w:p>
    <w:p w14:paraId="5B0A91F6" w14:textId="77777777" w:rsidR="00574126" w:rsidRPr="006D2695" w:rsidRDefault="00574126" w:rsidP="006D2695">
      <w:pPr>
        <w:spacing w:before="240"/>
        <w:rPr>
          <w:b/>
          <w:color w:val="5B9BD5" w:themeColor="accent1"/>
          <w:sz w:val="24"/>
          <w:szCs w:val="24"/>
        </w:rPr>
      </w:pPr>
      <w:r w:rsidRPr="006D2695">
        <w:rPr>
          <w:b/>
          <w:color w:val="5B9BD5" w:themeColor="accent1"/>
          <w:sz w:val="24"/>
          <w:szCs w:val="24"/>
        </w:rPr>
        <w:t>Ekonomická oblasť</w:t>
      </w:r>
    </w:p>
    <w:p w14:paraId="3F8E7D02" w14:textId="77777777" w:rsidR="00574126" w:rsidRPr="00F67FFA" w:rsidRDefault="00574126" w:rsidP="00574126">
      <w:pPr>
        <w:spacing w:after="0" w:line="240" w:lineRule="auto"/>
        <w:rPr>
          <w:sz w:val="24"/>
          <w:szCs w:val="24"/>
        </w:rPr>
      </w:pPr>
      <w:r w:rsidRPr="00EC586F">
        <w:rPr>
          <w:sz w:val="24"/>
          <w:szCs w:val="24"/>
        </w:rPr>
        <w:t xml:space="preserve">Výdavky v tomto oddiele tvorili </w:t>
      </w:r>
      <w:r>
        <w:rPr>
          <w:sz w:val="24"/>
          <w:szCs w:val="24"/>
        </w:rPr>
        <w:t>18</w:t>
      </w:r>
      <w:r w:rsidRPr="00EC586F">
        <w:rPr>
          <w:sz w:val="24"/>
          <w:szCs w:val="24"/>
        </w:rPr>
        <w:t>,</w:t>
      </w:r>
      <w:r>
        <w:rPr>
          <w:sz w:val="24"/>
          <w:szCs w:val="24"/>
        </w:rPr>
        <w:t>2</w:t>
      </w:r>
      <w:r w:rsidRPr="00EC586F">
        <w:rPr>
          <w:sz w:val="24"/>
          <w:szCs w:val="24"/>
        </w:rPr>
        <w:t xml:space="preserve"> % z celkových výdavkov. V rámci ekonomickej oblasti sa triedia výdavky súvisiace s rôznymi druhmi dopravy a budovaním dopravnej infraštruktúry, s poľnohospodárstvom, lesníctvom, odvetviami palív a energií, ťažbou nerastných surovín a pod.</w:t>
      </w:r>
      <w:r w:rsidRPr="00EC586F">
        <w:rPr>
          <w:sz w:val="24"/>
          <w:szCs w:val="24"/>
          <w:highlight w:val="yellow"/>
        </w:rPr>
        <w:t xml:space="preserve"> </w:t>
      </w:r>
      <w:r w:rsidRPr="00EC586F">
        <w:rPr>
          <w:sz w:val="24"/>
          <w:szCs w:val="24"/>
        </w:rPr>
        <w:t>V porovnaní s minulým rokom došlo k zníženiu výdavkov o</w:t>
      </w:r>
      <w:r>
        <w:rPr>
          <w:sz w:val="24"/>
          <w:szCs w:val="24"/>
        </w:rPr>
        <w:t> </w:t>
      </w:r>
      <w:r w:rsidRPr="00B33335">
        <w:rPr>
          <w:sz w:val="24"/>
          <w:szCs w:val="24"/>
        </w:rPr>
        <w:t>1</w:t>
      </w:r>
      <w:r>
        <w:rPr>
          <w:sz w:val="24"/>
          <w:szCs w:val="24"/>
        </w:rPr>
        <w:t> </w:t>
      </w:r>
      <w:r w:rsidRPr="00B33335">
        <w:rPr>
          <w:sz w:val="24"/>
          <w:szCs w:val="24"/>
        </w:rPr>
        <w:t>496 438</w:t>
      </w:r>
      <w:r w:rsidRPr="00EC586F">
        <w:rPr>
          <w:sz w:val="24"/>
          <w:szCs w:val="24"/>
        </w:rPr>
        <w:t xml:space="preserve"> tis. eur najmä </w:t>
      </w:r>
      <w:r w:rsidRPr="00F67FFA">
        <w:rPr>
          <w:sz w:val="24"/>
          <w:szCs w:val="24"/>
        </w:rPr>
        <w:t>vplyvom poklesu u </w:t>
      </w:r>
      <w:r w:rsidRPr="00F67FFA">
        <w:rPr>
          <w:sz w:val="24"/>
          <w:szCs w:val="24"/>
          <w:u w:val="single"/>
        </w:rPr>
        <w:t xml:space="preserve">Ministerstva </w:t>
      </w:r>
      <w:r w:rsidRPr="00F51DB7">
        <w:rPr>
          <w:sz w:val="24"/>
          <w:szCs w:val="24"/>
          <w:u w:val="single"/>
        </w:rPr>
        <w:t>práce, sociálnych vecí a rodiny SR</w:t>
      </w:r>
      <w:r w:rsidRPr="00F51DB7">
        <w:rPr>
          <w:sz w:val="24"/>
          <w:szCs w:val="24"/>
        </w:rPr>
        <w:t xml:space="preserve"> o 1 399 511 tis. eur, dôvodom bol</w:t>
      </w:r>
      <w:r>
        <w:rPr>
          <w:sz w:val="24"/>
          <w:szCs w:val="24"/>
        </w:rPr>
        <w:t xml:space="preserve">o ukončenie </w:t>
      </w:r>
      <w:r w:rsidRPr="00F51DB7">
        <w:rPr>
          <w:sz w:val="24"/>
          <w:szCs w:val="24"/>
        </w:rPr>
        <w:t xml:space="preserve">financovanie projektu Prvá pomoc </w:t>
      </w:r>
      <w:r>
        <w:rPr>
          <w:sz w:val="24"/>
          <w:szCs w:val="24"/>
        </w:rPr>
        <w:t>od</w:t>
      </w:r>
      <w:r w:rsidRPr="00F51DB7">
        <w:rPr>
          <w:sz w:val="24"/>
          <w:szCs w:val="24"/>
        </w:rPr>
        <w:t xml:space="preserve"> </w:t>
      </w:r>
      <w:r>
        <w:rPr>
          <w:sz w:val="24"/>
          <w:szCs w:val="24"/>
        </w:rPr>
        <w:t>konca februára</w:t>
      </w:r>
      <w:r w:rsidRPr="00F51DB7">
        <w:rPr>
          <w:sz w:val="24"/>
          <w:szCs w:val="24"/>
        </w:rPr>
        <w:t xml:space="preserve"> 2022</w:t>
      </w:r>
      <w:r>
        <w:rPr>
          <w:sz w:val="24"/>
          <w:szCs w:val="24"/>
        </w:rPr>
        <w:t>.</w:t>
      </w:r>
    </w:p>
    <w:p w14:paraId="585E8C1E" w14:textId="77777777" w:rsidR="00574126" w:rsidRPr="00D40EDA" w:rsidRDefault="00574126" w:rsidP="00574126">
      <w:pPr>
        <w:spacing w:after="0" w:line="240" w:lineRule="auto"/>
        <w:rPr>
          <w:sz w:val="24"/>
          <w:szCs w:val="24"/>
        </w:rPr>
      </w:pPr>
      <w:r w:rsidRPr="00DB3F65">
        <w:rPr>
          <w:sz w:val="24"/>
          <w:szCs w:val="24"/>
        </w:rPr>
        <w:t xml:space="preserve">Najvyššie výdavky v tejto oblasti malo </w:t>
      </w:r>
      <w:r w:rsidRPr="00DB3F65">
        <w:rPr>
          <w:sz w:val="24"/>
          <w:szCs w:val="24"/>
          <w:u w:val="single"/>
        </w:rPr>
        <w:t>Ministerstvo dopravy a výstavby SR</w:t>
      </w:r>
      <w:r w:rsidRPr="00DB3F65">
        <w:rPr>
          <w:sz w:val="24"/>
          <w:szCs w:val="24"/>
        </w:rPr>
        <w:t xml:space="preserve"> (2 078 460 tis. eur), </w:t>
      </w:r>
      <w:r w:rsidRPr="00DB3F65">
        <w:rPr>
          <w:sz w:val="24"/>
          <w:szCs w:val="24"/>
          <w:u w:val="single"/>
        </w:rPr>
        <w:t>Ministerstvo pôdohospodárstva a rozvoja vidieka SR</w:t>
      </w:r>
      <w:r w:rsidRPr="00DB3F65">
        <w:rPr>
          <w:sz w:val="24"/>
          <w:szCs w:val="24"/>
        </w:rPr>
        <w:t xml:space="preserve"> (733 582 tis. eur)</w:t>
      </w:r>
      <w:r>
        <w:rPr>
          <w:sz w:val="24"/>
          <w:szCs w:val="24"/>
        </w:rPr>
        <w:t xml:space="preserve">, </w:t>
      </w:r>
      <w:r w:rsidRPr="008448B9">
        <w:rPr>
          <w:sz w:val="24"/>
          <w:szCs w:val="24"/>
          <w:u w:val="single"/>
        </w:rPr>
        <w:t>Ministerstvo hospodárstva SR</w:t>
      </w:r>
      <w:r w:rsidRPr="008448B9">
        <w:rPr>
          <w:sz w:val="24"/>
          <w:szCs w:val="24"/>
        </w:rPr>
        <w:t xml:space="preserve"> (544 895 tis. eur) a </w:t>
      </w:r>
      <w:r w:rsidRPr="008448B9">
        <w:rPr>
          <w:sz w:val="24"/>
          <w:szCs w:val="24"/>
          <w:u w:val="single"/>
        </w:rPr>
        <w:t>Ministerstvo práce, sociálnych vecí a rodiny SR</w:t>
      </w:r>
      <w:r w:rsidRPr="00DB3F65">
        <w:rPr>
          <w:sz w:val="24"/>
          <w:szCs w:val="24"/>
        </w:rPr>
        <w:t xml:space="preserve"> (529 524</w:t>
      </w:r>
      <w:r>
        <w:rPr>
          <w:sz w:val="24"/>
          <w:szCs w:val="24"/>
        </w:rPr>
        <w:t> tis. eur)</w:t>
      </w:r>
      <w:r w:rsidRPr="00DB3F65">
        <w:rPr>
          <w:sz w:val="24"/>
          <w:szCs w:val="24"/>
        </w:rPr>
        <w:t xml:space="preserve">. </w:t>
      </w:r>
    </w:p>
    <w:p w14:paraId="3E32454C" w14:textId="77777777" w:rsidR="00574126" w:rsidRDefault="00574126" w:rsidP="00574126">
      <w:pPr>
        <w:spacing w:line="240" w:lineRule="auto"/>
        <w:rPr>
          <w:sz w:val="24"/>
          <w:szCs w:val="24"/>
        </w:rPr>
      </w:pPr>
      <w:r>
        <w:rPr>
          <w:sz w:val="24"/>
          <w:szCs w:val="24"/>
        </w:rPr>
        <w:t xml:space="preserve">Najvyššie výdavky boli dosiahnuté v skupine </w:t>
      </w:r>
      <w:r w:rsidRPr="00B66B45">
        <w:rPr>
          <w:i/>
          <w:sz w:val="24"/>
          <w:szCs w:val="24"/>
        </w:rPr>
        <w:t>Doprava</w:t>
      </w:r>
      <w:r>
        <w:rPr>
          <w:sz w:val="24"/>
          <w:szCs w:val="24"/>
        </w:rPr>
        <w:t xml:space="preserve">, a to </w:t>
      </w:r>
      <w:r w:rsidRPr="00B66B45">
        <w:rPr>
          <w:sz w:val="24"/>
          <w:szCs w:val="24"/>
        </w:rPr>
        <w:t>1</w:t>
      </w:r>
      <w:r>
        <w:rPr>
          <w:sz w:val="24"/>
          <w:szCs w:val="24"/>
        </w:rPr>
        <w:t> </w:t>
      </w:r>
      <w:r w:rsidRPr="00B66B45">
        <w:rPr>
          <w:sz w:val="24"/>
          <w:szCs w:val="24"/>
        </w:rPr>
        <w:t>936</w:t>
      </w:r>
      <w:r>
        <w:rPr>
          <w:sz w:val="24"/>
          <w:szCs w:val="24"/>
        </w:rPr>
        <w:t> 675 </w:t>
      </w:r>
      <w:r w:rsidRPr="00B66B45">
        <w:rPr>
          <w:sz w:val="24"/>
          <w:szCs w:val="24"/>
        </w:rPr>
        <w:t>tis. eur (202</w:t>
      </w:r>
      <w:r>
        <w:rPr>
          <w:sz w:val="24"/>
          <w:szCs w:val="24"/>
        </w:rPr>
        <w:t>1</w:t>
      </w:r>
      <w:r w:rsidRPr="00B66B45">
        <w:rPr>
          <w:sz w:val="24"/>
          <w:szCs w:val="24"/>
        </w:rPr>
        <w:t>: 2 156</w:t>
      </w:r>
      <w:r>
        <w:rPr>
          <w:sz w:val="24"/>
          <w:szCs w:val="24"/>
        </w:rPr>
        <w:t> </w:t>
      </w:r>
      <w:r w:rsidRPr="00B66B45">
        <w:rPr>
          <w:sz w:val="24"/>
          <w:szCs w:val="24"/>
        </w:rPr>
        <w:t>363</w:t>
      </w:r>
      <w:r>
        <w:rPr>
          <w:sz w:val="24"/>
          <w:szCs w:val="24"/>
        </w:rPr>
        <w:t> </w:t>
      </w:r>
      <w:r w:rsidRPr="00B66B45">
        <w:rPr>
          <w:sz w:val="24"/>
          <w:szCs w:val="24"/>
        </w:rPr>
        <w:t xml:space="preserve">tis. eur), </w:t>
      </w:r>
      <w:r>
        <w:rPr>
          <w:sz w:val="24"/>
          <w:szCs w:val="24"/>
        </w:rPr>
        <w:t xml:space="preserve">na ktorých sa podieľalo predovšetkým Ministerstvo dopravy a výstavby SR (1 936 423 tis. eur). </w:t>
      </w:r>
      <w:r w:rsidRPr="00B66B45">
        <w:rPr>
          <w:sz w:val="24"/>
          <w:szCs w:val="24"/>
        </w:rPr>
        <w:t xml:space="preserve">V skupine </w:t>
      </w:r>
      <w:r w:rsidRPr="00B66B45">
        <w:rPr>
          <w:i/>
          <w:sz w:val="24"/>
          <w:szCs w:val="24"/>
        </w:rPr>
        <w:t>Všeobecná ekonomická, obchodná a pracovná oblasť</w:t>
      </w:r>
      <w:r w:rsidRPr="00B66B45">
        <w:rPr>
          <w:sz w:val="24"/>
          <w:szCs w:val="24"/>
        </w:rPr>
        <w:t xml:space="preserve"> </w:t>
      </w:r>
      <w:r>
        <w:rPr>
          <w:sz w:val="24"/>
          <w:szCs w:val="24"/>
        </w:rPr>
        <w:t>boli výdavky v hodnote 1 113 909 tis. eur.</w:t>
      </w:r>
    </w:p>
    <w:p w14:paraId="29994BC1" w14:textId="77777777" w:rsidR="00574126" w:rsidRDefault="00574126" w:rsidP="00574126">
      <w:pPr>
        <w:spacing w:line="240" w:lineRule="auto"/>
        <w:rPr>
          <w:sz w:val="24"/>
          <w:szCs w:val="24"/>
        </w:rPr>
      </w:pPr>
      <w:r w:rsidRPr="001F14F9">
        <w:rPr>
          <w:sz w:val="24"/>
          <w:szCs w:val="24"/>
        </w:rPr>
        <w:t xml:space="preserve">Prostriedky za </w:t>
      </w:r>
      <w:r w:rsidRPr="001F14F9">
        <w:rPr>
          <w:i/>
          <w:sz w:val="24"/>
          <w:szCs w:val="24"/>
        </w:rPr>
        <w:t xml:space="preserve">Všeobecnú pracovnú oblasť </w:t>
      </w:r>
      <w:r w:rsidRPr="001F14F9">
        <w:rPr>
          <w:sz w:val="24"/>
          <w:szCs w:val="24"/>
          <w:u w:val="single"/>
        </w:rPr>
        <w:t>Ministerstva práce, sociálnych vecí a rodiny SR</w:t>
      </w:r>
      <w:r w:rsidRPr="001F14F9">
        <w:rPr>
          <w:sz w:val="24"/>
          <w:szCs w:val="24"/>
        </w:rPr>
        <w:t xml:space="preserve"> dosiahli hodnotu 511 790 tis. eur, z </w:t>
      </w:r>
      <w:r w:rsidRPr="003D489D">
        <w:rPr>
          <w:sz w:val="24"/>
          <w:szCs w:val="24"/>
        </w:rPr>
        <w:t>toho 278 130 tis. eur na peňažné príspevky na kompenzáciu</w:t>
      </w:r>
      <w:r>
        <w:rPr>
          <w:sz w:val="24"/>
          <w:szCs w:val="24"/>
        </w:rPr>
        <w:t xml:space="preserve">, na </w:t>
      </w:r>
      <w:r w:rsidRPr="003D489D">
        <w:rPr>
          <w:sz w:val="24"/>
          <w:szCs w:val="24"/>
        </w:rPr>
        <w:t>dofinancovanie projektu Prvá pomoc za obdobie do 28. 2. 2022</w:t>
      </w:r>
      <w:r>
        <w:rPr>
          <w:sz w:val="24"/>
          <w:szCs w:val="24"/>
        </w:rPr>
        <w:t>.</w:t>
      </w:r>
    </w:p>
    <w:p w14:paraId="78FBE81A" w14:textId="1F664CB9" w:rsidR="00574126" w:rsidRDefault="00574126" w:rsidP="00574126">
      <w:pPr>
        <w:spacing w:line="240" w:lineRule="auto"/>
        <w:rPr>
          <w:sz w:val="24"/>
          <w:szCs w:val="24"/>
        </w:rPr>
      </w:pPr>
      <w:r w:rsidRPr="001F14F9">
        <w:rPr>
          <w:sz w:val="24"/>
          <w:szCs w:val="24"/>
        </w:rPr>
        <w:t xml:space="preserve">V skupine </w:t>
      </w:r>
      <w:r w:rsidRPr="001F14F9">
        <w:rPr>
          <w:i/>
          <w:sz w:val="24"/>
          <w:szCs w:val="24"/>
        </w:rPr>
        <w:t>Poľnohospodárstvo, lesníctvo, rybárstvo a poľovníctvo</w:t>
      </w:r>
      <w:r w:rsidRPr="001F14F9">
        <w:rPr>
          <w:sz w:val="24"/>
          <w:szCs w:val="24"/>
        </w:rPr>
        <w:t xml:space="preserve"> bola dosiahnutá skutočnosť </w:t>
      </w:r>
      <w:r>
        <w:rPr>
          <w:sz w:val="24"/>
          <w:szCs w:val="24"/>
        </w:rPr>
        <w:t>719 </w:t>
      </w:r>
      <w:r w:rsidRPr="001F14F9">
        <w:rPr>
          <w:sz w:val="24"/>
          <w:szCs w:val="24"/>
        </w:rPr>
        <w:t xml:space="preserve">733 tis. eur (2021: 753 292 tis. eur), </w:t>
      </w:r>
      <w:r>
        <w:rPr>
          <w:sz w:val="24"/>
          <w:szCs w:val="24"/>
        </w:rPr>
        <w:t>z toho najviac poskytlo</w:t>
      </w:r>
      <w:r w:rsidRPr="009778FE">
        <w:rPr>
          <w:sz w:val="24"/>
          <w:szCs w:val="24"/>
        </w:rPr>
        <w:t xml:space="preserve"> </w:t>
      </w:r>
      <w:r w:rsidRPr="00CD50F3">
        <w:rPr>
          <w:sz w:val="24"/>
          <w:szCs w:val="24"/>
          <w:u w:val="single"/>
        </w:rPr>
        <w:t>Ministerstv</w:t>
      </w:r>
      <w:r>
        <w:rPr>
          <w:sz w:val="24"/>
          <w:szCs w:val="24"/>
          <w:u w:val="single"/>
        </w:rPr>
        <w:t>o</w:t>
      </w:r>
      <w:r w:rsidRPr="00CD50F3">
        <w:rPr>
          <w:sz w:val="24"/>
          <w:szCs w:val="24"/>
          <w:u w:val="single"/>
        </w:rPr>
        <w:t xml:space="preserve"> pôdohospodárstva a rozvoja vidieka SR</w:t>
      </w:r>
      <w:r w:rsidRPr="009778FE">
        <w:rPr>
          <w:sz w:val="24"/>
          <w:szCs w:val="24"/>
        </w:rPr>
        <w:t xml:space="preserve"> ostatnej právnickej osobe napr. na</w:t>
      </w:r>
      <w:r>
        <w:rPr>
          <w:sz w:val="24"/>
          <w:szCs w:val="24"/>
        </w:rPr>
        <w:t xml:space="preserve"> </w:t>
      </w:r>
      <w:r w:rsidRPr="009778FE">
        <w:rPr>
          <w:sz w:val="24"/>
          <w:szCs w:val="24"/>
        </w:rPr>
        <w:t>plat</w:t>
      </w:r>
      <w:r>
        <w:rPr>
          <w:sz w:val="24"/>
          <w:szCs w:val="24"/>
        </w:rPr>
        <w:t>by</w:t>
      </w:r>
      <w:r w:rsidRPr="009778FE">
        <w:rPr>
          <w:sz w:val="24"/>
          <w:szCs w:val="24"/>
        </w:rPr>
        <w:t xml:space="preserve"> </w:t>
      </w:r>
      <w:proofErr w:type="spellStart"/>
      <w:r>
        <w:rPr>
          <w:sz w:val="24"/>
          <w:szCs w:val="24"/>
        </w:rPr>
        <w:t>agroenvironmentálnych</w:t>
      </w:r>
      <w:proofErr w:type="spellEnd"/>
      <w:r w:rsidRPr="009778FE">
        <w:rPr>
          <w:sz w:val="24"/>
          <w:szCs w:val="24"/>
        </w:rPr>
        <w:t xml:space="preserve"> záväzk</w:t>
      </w:r>
      <w:r>
        <w:rPr>
          <w:sz w:val="24"/>
          <w:szCs w:val="24"/>
        </w:rPr>
        <w:t>ov súvisiacich s klímou, platby</w:t>
      </w:r>
      <w:r w:rsidRPr="009778FE">
        <w:rPr>
          <w:sz w:val="24"/>
          <w:szCs w:val="24"/>
        </w:rPr>
        <w:t xml:space="preserve"> na udržiavanie postupov a metód ekologického poľnohospodárstva</w:t>
      </w:r>
      <w:r>
        <w:rPr>
          <w:sz w:val="24"/>
          <w:szCs w:val="24"/>
        </w:rPr>
        <w:t xml:space="preserve"> a iné. Išlo</w:t>
      </w:r>
      <w:r w:rsidRPr="009778FE">
        <w:rPr>
          <w:sz w:val="24"/>
          <w:szCs w:val="24"/>
        </w:rPr>
        <w:t xml:space="preserve"> o financovanie operačných programov v oblasti poľnohospodárstva zo zdrojov EÚ.</w:t>
      </w:r>
    </w:p>
    <w:p w14:paraId="7304281A" w14:textId="77777777" w:rsidR="00574126" w:rsidRPr="00EC22CC" w:rsidRDefault="00574126" w:rsidP="00574126">
      <w:pPr>
        <w:spacing w:line="240" w:lineRule="auto"/>
        <w:rPr>
          <w:sz w:val="24"/>
          <w:szCs w:val="24"/>
        </w:rPr>
      </w:pPr>
      <w:r w:rsidRPr="00773E7A">
        <w:rPr>
          <w:sz w:val="24"/>
          <w:szCs w:val="24"/>
          <w:u w:val="single"/>
        </w:rPr>
        <w:t>Ministerstvo hospodárstva SR</w:t>
      </w:r>
      <w:r>
        <w:rPr>
          <w:sz w:val="24"/>
          <w:szCs w:val="24"/>
        </w:rPr>
        <w:t xml:space="preserve"> poskytlo finančné prostriedky v rámci </w:t>
      </w:r>
      <w:r w:rsidRPr="00EC22CC">
        <w:rPr>
          <w:i/>
          <w:sz w:val="24"/>
          <w:szCs w:val="24"/>
        </w:rPr>
        <w:t>všeobecnej ekonomickej a obchodnej oblasti</w:t>
      </w:r>
      <w:r>
        <w:rPr>
          <w:sz w:val="24"/>
          <w:szCs w:val="24"/>
        </w:rPr>
        <w:t xml:space="preserve"> spoločnosti Slovak </w:t>
      </w:r>
      <w:proofErr w:type="spellStart"/>
      <w:r>
        <w:rPr>
          <w:sz w:val="24"/>
          <w:szCs w:val="24"/>
        </w:rPr>
        <w:t>Investment</w:t>
      </w:r>
      <w:proofErr w:type="spellEnd"/>
      <w:r>
        <w:rPr>
          <w:sz w:val="24"/>
          <w:szCs w:val="24"/>
        </w:rPr>
        <w:t xml:space="preserve"> Holding, </w:t>
      </w:r>
      <w:proofErr w:type="spellStart"/>
      <w:r>
        <w:rPr>
          <w:sz w:val="24"/>
          <w:szCs w:val="24"/>
        </w:rPr>
        <w:t>a.s</w:t>
      </w:r>
      <w:proofErr w:type="spellEnd"/>
      <w:r>
        <w:rPr>
          <w:sz w:val="24"/>
          <w:szCs w:val="24"/>
        </w:rPr>
        <w:t xml:space="preserve">. (161 856 tis. eur), </w:t>
      </w:r>
      <w:r w:rsidRPr="008B7F79">
        <w:rPr>
          <w:sz w:val="24"/>
          <w:szCs w:val="24"/>
        </w:rPr>
        <w:t>na podporu ekonomicky životaschopných projektov</w:t>
      </w:r>
      <w:r>
        <w:rPr>
          <w:sz w:val="24"/>
          <w:szCs w:val="24"/>
        </w:rPr>
        <w:t xml:space="preserve"> malých a stredných podnikov</w:t>
      </w:r>
      <w:r w:rsidRPr="008B7F79">
        <w:rPr>
          <w:sz w:val="24"/>
          <w:szCs w:val="24"/>
        </w:rPr>
        <w:t>, pri ktorých sa predpokladá návratnosť prostriedkov alebo úspora nákladov</w:t>
      </w:r>
      <w:r>
        <w:rPr>
          <w:sz w:val="24"/>
          <w:szCs w:val="24"/>
        </w:rPr>
        <w:t>,</w:t>
      </w:r>
      <w:r w:rsidRPr="008B7F79">
        <w:rPr>
          <w:sz w:val="24"/>
          <w:szCs w:val="24"/>
        </w:rPr>
        <w:t xml:space="preserve"> na zvyšovanie konkurencieschopnosti a na zvýšenie kapitalizácie slovenských podnikov a zlepš</w:t>
      </w:r>
      <w:r>
        <w:rPr>
          <w:sz w:val="24"/>
          <w:szCs w:val="24"/>
        </w:rPr>
        <w:t>enie</w:t>
      </w:r>
      <w:r w:rsidRPr="008B7F79">
        <w:rPr>
          <w:sz w:val="24"/>
          <w:szCs w:val="24"/>
        </w:rPr>
        <w:t xml:space="preserve"> ich možnosti pre expanziu na vnútornom trhu EÚ, ako </w:t>
      </w:r>
      <w:r>
        <w:rPr>
          <w:sz w:val="24"/>
          <w:szCs w:val="24"/>
        </w:rPr>
        <w:t>aj</w:t>
      </w:r>
      <w:r w:rsidRPr="008B7F79">
        <w:rPr>
          <w:sz w:val="24"/>
          <w:szCs w:val="24"/>
        </w:rPr>
        <w:t xml:space="preserve"> na trhoch tretích krajín.</w:t>
      </w:r>
      <w:r>
        <w:rPr>
          <w:sz w:val="24"/>
          <w:szCs w:val="24"/>
        </w:rPr>
        <w:t xml:space="preserve"> V rámci skupiny </w:t>
      </w:r>
      <w:r w:rsidRPr="00EC22CC">
        <w:rPr>
          <w:i/>
          <w:sz w:val="24"/>
          <w:szCs w:val="24"/>
        </w:rPr>
        <w:t>Palivá</w:t>
      </w:r>
      <w:r>
        <w:rPr>
          <w:i/>
          <w:sz w:val="24"/>
          <w:szCs w:val="24"/>
        </w:rPr>
        <w:t xml:space="preserve"> </w:t>
      </w:r>
      <w:r>
        <w:rPr>
          <w:sz w:val="24"/>
          <w:szCs w:val="24"/>
        </w:rPr>
        <w:t>poskytlo finančné prostriedky ostatným právnickým osobám na podporu financovania nákladov na energie (156 036 tis. eur).</w:t>
      </w:r>
    </w:p>
    <w:p w14:paraId="5505F147" w14:textId="77777777" w:rsidR="00995FFF" w:rsidRDefault="00995FFF">
      <w:pPr>
        <w:spacing w:after="160" w:line="259" w:lineRule="auto"/>
        <w:jc w:val="left"/>
        <w:rPr>
          <w:b/>
          <w:color w:val="5B9BD5" w:themeColor="accent1"/>
          <w:sz w:val="24"/>
          <w:szCs w:val="24"/>
        </w:rPr>
      </w:pPr>
      <w:r>
        <w:rPr>
          <w:b/>
          <w:color w:val="5B9BD5" w:themeColor="accent1"/>
          <w:sz w:val="24"/>
          <w:szCs w:val="24"/>
        </w:rPr>
        <w:br w:type="page"/>
      </w:r>
    </w:p>
    <w:p w14:paraId="018354A0" w14:textId="4C402CDD" w:rsidR="00574126" w:rsidRPr="006D2695" w:rsidRDefault="00574126" w:rsidP="006D2695">
      <w:pPr>
        <w:spacing w:before="240"/>
        <w:rPr>
          <w:b/>
          <w:color w:val="5B9BD5" w:themeColor="accent1"/>
          <w:sz w:val="24"/>
          <w:szCs w:val="24"/>
        </w:rPr>
      </w:pPr>
      <w:r w:rsidRPr="006D2695">
        <w:rPr>
          <w:b/>
          <w:color w:val="5B9BD5" w:themeColor="accent1"/>
          <w:sz w:val="24"/>
          <w:szCs w:val="24"/>
        </w:rPr>
        <w:lastRenderedPageBreak/>
        <w:t>Vzdelávanie</w:t>
      </w:r>
    </w:p>
    <w:p w14:paraId="26523640" w14:textId="77777777" w:rsidR="00574126" w:rsidRDefault="00574126" w:rsidP="00574126">
      <w:pPr>
        <w:spacing w:after="0" w:line="240" w:lineRule="auto"/>
        <w:rPr>
          <w:sz w:val="24"/>
          <w:szCs w:val="24"/>
        </w:rPr>
      </w:pPr>
      <w:r w:rsidRPr="00EC586F">
        <w:rPr>
          <w:sz w:val="24"/>
          <w:szCs w:val="24"/>
        </w:rPr>
        <w:t>Výdavky na vzdelávani</w:t>
      </w:r>
      <w:r>
        <w:rPr>
          <w:sz w:val="24"/>
          <w:szCs w:val="24"/>
        </w:rPr>
        <w:t>e v roku 2022 predstavovali 12,8</w:t>
      </w:r>
      <w:r w:rsidRPr="00EC586F">
        <w:rPr>
          <w:sz w:val="24"/>
          <w:szCs w:val="24"/>
        </w:rPr>
        <w:t xml:space="preserve"> % z celkových výdavkov. Okrem financovania všetkých stupňov vzdelávania sa výdavky vynaložili aj na služby v školstve, napr. v oblasti stravovania, dopravy, lekárskej starostlivosti a na činnosť orgánov a organizácií, ktoré vzdelávanie zabezpečujú. </w:t>
      </w:r>
      <w:r w:rsidRPr="008546F4">
        <w:rPr>
          <w:sz w:val="24"/>
          <w:szCs w:val="24"/>
        </w:rPr>
        <w:t xml:space="preserve">Najvyššie celkové výdavky určené na vzdelávanie boli na kapitole </w:t>
      </w:r>
      <w:r w:rsidRPr="008546F4">
        <w:rPr>
          <w:sz w:val="24"/>
          <w:szCs w:val="24"/>
          <w:u w:val="single"/>
        </w:rPr>
        <w:t>Ministerstva školstva, vedy, výskumu a športu SR</w:t>
      </w:r>
      <w:r w:rsidRPr="008546F4">
        <w:rPr>
          <w:sz w:val="24"/>
          <w:szCs w:val="24"/>
        </w:rPr>
        <w:t xml:space="preserve"> (2 941 080 tis. eur). </w:t>
      </w:r>
      <w:r>
        <w:rPr>
          <w:sz w:val="24"/>
          <w:szCs w:val="24"/>
        </w:rPr>
        <w:t>Dôvodom medziročného nárastu je presun škôl a školských zariadení z pôsobnosti Ministerstva vnútra SR do pôsobnosti Ministerstva školstva, vedy, výskumu a športu SR.</w:t>
      </w:r>
    </w:p>
    <w:p w14:paraId="3AF7EA9A" w14:textId="77777777" w:rsidR="00574126" w:rsidRPr="00EC586F" w:rsidRDefault="00574126" w:rsidP="00574126">
      <w:pPr>
        <w:spacing w:line="240" w:lineRule="auto"/>
        <w:rPr>
          <w:sz w:val="24"/>
          <w:szCs w:val="24"/>
        </w:rPr>
      </w:pPr>
      <w:r w:rsidRPr="00761F7F">
        <w:rPr>
          <w:sz w:val="24"/>
          <w:szCs w:val="24"/>
        </w:rPr>
        <w:t xml:space="preserve">V oblasti vzdelávania boli výdavky vynaložené najmä na </w:t>
      </w:r>
      <w:r w:rsidRPr="00761F7F">
        <w:rPr>
          <w:i/>
          <w:sz w:val="24"/>
          <w:szCs w:val="24"/>
        </w:rPr>
        <w:t>sekundárne vzdelávanie</w:t>
      </w:r>
      <w:r w:rsidRPr="00761F7F">
        <w:rPr>
          <w:sz w:val="24"/>
          <w:szCs w:val="24"/>
        </w:rPr>
        <w:t xml:space="preserve"> vo výške </w:t>
      </w:r>
      <w:r>
        <w:rPr>
          <w:sz w:val="24"/>
          <w:szCs w:val="24"/>
        </w:rPr>
        <w:t>1 620 </w:t>
      </w:r>
      <w:r w:rsidRPr="00A22D1D">
        <w:rPr>
          <w:sz w:val="24"/>
          <w:szCs w:val="24"/>
        </w:rPr>
        <w:t>828 tis. eur</w:t>
      </w:r>
      <w:r>
        <w:rPr>
          <w:sz w:val="24"/>
          <w:szCs w:val="24"/>
        </w:rPr>
        <w:t>, išlo o výdavky obciam a vyšším územných celkom n</w:t>
      </w:r>
      <w:r w:rsidRPr="00A22D1D">
        <w:rPr>
          <w:sz w:val="24"/>
          <w:szCs w:val="24"/>
        </w:rPr>
        <w:t>a úhradu nákladov preneseného výkonu štátnej sp</w:t>
      </w:r>
      <w:r>
        <w:rPr>
          <w:sz w:val="24"/>
          <w:szCs w:val="24"/>
        </w:rPr>
        <w:t>rávy</w:t>
      </w:r>
      <w:r w:rsidRPr="00A22D1D">
        <w:rPr>
          <w:sz w:val="24"/>
          <w:szCs w:val="24"/>
        </w:rPr>
        <w:t xml:space="preserve"> a na </w:t>
      </w:r>
      <w:r w:rsidRPr="00A22D1D">
        <w:rPr>
          <w:i/>
          <w:sz w:val="24"/>
          <w:szCs w:val="24"/>
        </w:rPr>
        <w:t>terciárne vzdelávanie</w:t>
      </w:r>
      <w:r w:rsidRPr="00A22D1D">
        <w:rPr>
          <w:sz w:val="24"/>
          <w:szCs w:val="24"/>
        </w:rPr>
        <w:t xml:space="preserve"> vo výške 390 625 tis. eur.</w:t>
      </w:r>
      <w:r>
        <w:rPr>
          <w:sz w:val="24"/>
          <w:szCs w:val="24"/>
        </w:rPr>
        <w:t xml:space="preserve"> </w:t>
      </w:r>
    </w:p>
    <w:p w14:paraId="53EFE182" w14:textId="77777777" w:rsidR="00574126" w:rsidRPr="006D2695" w:rsidRDefault="00574126" w:rsidP="006D2695">
      <w:pPr>
        <w:spacing w:before="240"/>
        <w:rPr>
          <w:b/>
          <w:color w:val="5B9BD5" w:themeColor="accent1"/>
          <w:sz w:val="24"/>
          <w:szCs w:val="24"/>
        </w:rPr>
      </w:pPr>
      <w:r w:rsidRPr="006D2695">
        <w:rPr>
          <w:b/>
          <w:color w:val="5B9BD5" w:themeColor="accent1"/>
          <w:sz w:val="24"/>
          <w:szCs w:val="24"/>
        </w:rPr>
        <w:t>Verejný poriadok a bezpečnosť</w:t>
      </w:r>
    </w:p>
    <w:p w14:paraId="34AB2C5E" w14:textId="77777777" w:rsidR="00574126" w:rsidRDefault="00574126" w:rsidP="00574126">
      <w:pPr>
        <w:spacing w:after="0" w:line="240" w:lineRule="auto"/>
        <w:rPr>
          <w:sz w:val="24"/>
          <w:szCs w:val="24"/>
        </w:rPr>
      </w:pPr>
      <w:r w:rsidRPr="00EC586F">
        <w:rPr>
          <w:sz w:val="24"/>
          <w:szCs w:val="24"/>
        </w:rPr>
        <w:t xml:space="preserve">Výdavky predstavovali </w:t>
      </w:r>
      <w:r>
        <w:rPr>
          <w:sz w:val="24"/>
          <w:szCs w:val="24"/>
        </w:rPr>
        <w:t>10</w:t>
      </w:r>
      <w:r w:rsidRPr="00EC586F">
        <w:rPr>
          <w:sz w:val="24"/>
          <w:szCs w:val="24"/>
        </w:rPr>
        <w:t>,</w:t>
      </w:r>
      <w:r>
        <w:rPr>
          <w:sz w:val="24"/>
          <w:szCs w:val="24"/>
        </w:rPr>
        <w:t>0</w:t>
      </w:r>
      <w:r w:rsidRPr="00EC586F">
        <w:rPr>
          <w:sz w:val="24"/>
          <w:szCs w:val="24"/>
        </w:rPr>
        <w:t xml:space="preserve"> % z celkových výdavkov. Ide o oblasť činností štátnej polície, súdov, potreby väzenstva, ochranu pred požiarmi a financovanie ústredných orgánov, ktoré tieto činnosti kompetenčne zabezpečujú. </w:t>
      </w:r>
      <w:r>
        <w:rPr>
          <w:sz w:val="24"/>
          <w:szCs w:val="24"/>
        </w:rPr>
        <w:t xml:space="preserve">Najvyššiu hodnotu dosahuje kapitola </w:t>
      </w:r>
      <w:r w:rsidRPr="0013573C">
        <w:rPr>
          <w:sz w:val="24"/>
          <w:szCs w:val="24"/>
          <w:u w:val="single"/>
        </w:rPr>
        <w:t>Ministerstva vnútra SR</w:t>
      </w:r>
      <w:r>
        <w:rPr>
          <w:sz w:val="24"/>
          <w:szCs w:val="24"/>
        </w:rPr>
        <w:t xml:space="preserve"> </w:t>
      </w:r>
      <w:r w:rsidRPr="0013573C">
        <w:rPr>
          <w:sz w:val="24"/>
          <w:szCs w:val="24"/>
        </w:rPr>
        <w:t>1</w:t>
      </w:r>
      <w:r>
        <w:rPr>
          <w:sz w:val="24"/>
          <w:szCs w:val="24"/>
        </w:rPr>
        <w:t> </w:t>
      </w:r>
      <w:r w:rsidRPr="0013573C">
        <w:rPr>
          <w:sz w:val="24"/>
          <w:szCs w:val="24"/>
        </w:rPr>
        <w:t>462</w:t>
      </w:r>
      <w:r>
        <w:rPr>
          <w:sz w:val="24"/>
          <w:szCs w:val="24"/>
        </w:rPr>
        <w:t> </w:t>
      </w:r>
      <w:r w:rsidRPr="0013573C">
        <w:rPr>
          <w:sz w:val="24"/>
          <w:szCs w:val="24"/>
        </w:rPr>
        <w:t>59</w:t>
      </w:r>
      <w:r>
        <w:rPr>
          <w:sz w:val="24"/>
          <w:szCs w:val="24"/>
        </w:rPr>
        <w:t>8 tis. eur.</w:t>
      </w:r>
    </w:p>
    <w:p w14:paraId="25D1DA75" w14:textId="77777777" w:rsidR="00574126" w:rsidRDefault="00574126" w:rsidP="00574126">
      <w:pPr>
        <w:spacing w:line="240" w:lineRule="auto"/>
        <w:rPr>
          <w:sz w:val="24"/>
          <w:szCs w:val="24"/>
          <w:highlight w:val="yellow"/>
        </w:rPr>
      </w:pPr>
      <w:r w:rsidRPr="0013573C">
        <w:rPr>
          <w:sz w:val="24"/>
          <w:szCs w:val="24"/>
        </w:rPr>
        <w:t>Výdavky oproti minulému roku vzrástli o 230 </w:t>
      </w:r>
      <w:r w:rsidRPr="00AD188A">
        <w:rPr>
          <w:sz w:val="24"/>
          <w:szCs w:val="24"/>
        </w:rPr>
        <w:t>00</w:t>
      </w:r>
      <w:r>
        <w:rPr>
          <w:sz w:val="24"/>
          <w:szCs w:val="24"/>
        </w:rPr>
        <w:t>3</w:t>
      </w:r>
      <w:r w:rsidRPr="00AD188A">
        <w:rPr>
          <w:sz w:val="24"/>
          <w:szCs w:val="24"/>
        </w:rPr>
        <w:t> tis. eur. Na celkovom náraste sa podieľali</w:t>
      </w:r>
      <w:r>
        <w:rPr>
          <w:sz w:val="24"/>
          <w:szCs w:val="24"/>
        </w:rPr>
        <w:t xml:space="preserve"> predovšetkým výdavky v skupine </w:t>
      </w:r>
      <w:r w:rsidRPr="00AD188A">
        <w:rPr>
          <w:i/>
          <w:sz w:val="24"/>
          <w:szCs w:val="24"/>
        </w:rPr>
        <w:t>verejný poriadok a bezpečnosť</w:t>
      </w:r>
      <w:r w:rsidRPr="00AD188A">
        <w:rPr>
          <w:sz w:val="24"/>
          <w:szCs w:val="24"/>
        </w:rPr>
        <w:t xml:space="preserve"> </w:t>
      </w:r>
      <w:r w:rsidRPr="00AD188A">
        <w:rPr>
          <w:i/>
          <w:sz w:val="24"/>
          <w:szCs w:val="24"/>
        </w:rPr>
        <w:t>inde neklasifikované</w:t>
      </w:r>
      <w:r>
        <w:rPr>
          <w:i/>
          <w:sz w:val="24"/>
          <w:szCs w:val="24"/>
        </w:rPr>
        <w:t xml:space="preserve"> </w:t>
      </w:r>
      <w:r w:rsidRPr="00DE7630">
        <w:rPr>
          <w:sz w:val="24"/>
          <w:szCs w:val="24"/>
        </w:rPr>
        <w:t>o 129 195 tis. eur a </w:t>
      </w:r>
      <w:r w:rsidRPr="00DE7630">
        <w:rPr>
          <w:i/>
          <w:sz w:val="24"/>
          <w:szCs w:val="24"/>
        </w:rPr>
        <w:t>policajné služby</w:t>
      </w:r>
      <w:r w:rsidRPr="00DE7630">
        <w:rPr>
          <w:sz w:val="24"/>
          <w:szCs w:val="24"/>
        </w:rPr>
        <w:t xml:space="preserve"> o 63 142 tis. eur</w:t>
      </w:r>
      <w:r>
        <w:rPr>
          <w:sz w:val="24"/>
          <w:szCs w:val="24"/>
        </w:rPr>
        <w:t>.</w:t>
      </w:r>
    </w:p>
    <w:p w14:paraId="7EB678D7" w14:textId="77777777" w:rsidR="00574126" w:rsidRPr="006D2695" w:rsidRDefault="00574126" w:rsidP="006D2695">
      <w:pPr>
        <w:spacing w:before="240"/>
        <w:rPr>
          <w:b/>
          <w:color w:val="5B9BD5" w:themeColor="accent1"/>
          <w:sz w:val="24"/>
          <w:szCs w:val="24"/>
        </w:rPr>
      </w:pPr>
      <w:r w:rsidRPr="006D2695">
        <w:rPr>
          <w:b/>
          <w:color w:val="5B9BD5" w:themeColor="accent1"/>
          <w:sz w:val="24"/>
          <w:szCs w:val="24"/>
        </w:rPr>
        <w:t>Obrana</w:t>
      </w:r>
    </w:p>
    <w:p w14:paraId="3946D51B" w14:textId="60DBF2F3" w:rsidR="00574126" w:rsidRPr="009778FE" w:rsidRDefault="00574126" w:rsidP="00574126">
      <w:pPr>
        <w:spacing w:line="240" w:lineRule="auto"/>
        <w:rPr>
          <w:sz w:val="24"/>
          <w:szCs w:val="24"/>
        </w:rPr>
      </w:pPr>
      <w:r w:rsidRPr="00EC586F">
        <w:rPr>
          <w:sz w:val="24"/>
          <w:szCs w:val="24"/>
        </w:rPr>
        <w:t xml:space="preserve">Výdavky v oddiele </w:t>
      </w:r>
      <w:r>
        <w:rPr>
          <w:sz w:val="24"/>
          <w:szCs w:val="24"/>
        </w:rPr>
        <w:t>o</w:t>
      </w:r>
      <w:r w:rsidRPr="00EC586F">
        <w:rPr>
          <w:sz w:val="24"/>
          <w:szCs w:val="24"/>
        </w:rPr>
        <w:t xml:space="preserve">brana tvoria </w:t>
      </w:r>
      <w:r>
        <w:rPr>
          <w:sz w:val="24"/>
          <w:szCs w:val="24"/>
        </w:rPr>
        <w:t>8</w:t>
      </w:r>
      <w:r w:rsidRPr="00EC586F">
        <w:rPr>
          <w:sz w:val="24"/>
          <w:szCs w:val="24"/>
        </w:rPr>
        <w:t>,</w:t>
      </w:r>
      <w:r>
        <w:rPr>
          <w:sz w:val="24"/>
          <w:szCs w:val="24"/>
        </w:rPr>
        <w:t>2</w:t>
      </w:r>
      <w:r w:rsidRPr="00EC586F">
        <w:rPr>
          <w:sz w:val="24"/>
          <w:szCs w:val="24"/>
        </w:rPr>
        <w:t xml:space="preserve"> % z celkových výdavkov. Ide hlavne o výdavky na vojenskú a civilnú ochranu a zahraničnú vojenskú pomoc. </w:t>
      </w:r>
      <w:r w:rsidRPr="00AB34BC">
        <w:rPr>
          <w:sz w:val="24"/>
          <w:szCs w:val="24"/>
        </w:rPr>
        <w:t xml:space="preserve">Výdavky na vojenskú obranu dosiahli </w:t>
      </w:r>
      <w:r>
        <w:rPr>
          <w:sz w:val="24"/>
          <w:szCs w:val="24"/>
        </w:rPr>
        <w:t>1 743 346</w:t>
      </w:r>
      <w:r w:rsidRPr="00AB34BC">
        <w:rPr>
          <w:sz w:val="24"/>
          <w:szCs w:val="24"/>
        </w:rPr>
        <w:t xml:space="preserve"> tis. eur, z toho výdavky </w:t>
      </w:r>
      <w:r w:rsidRPr="00AB34BC">
        <w:rPr>
          <w:sz w:val="24"/>
          <w:szCs w:val="24"/>
          <w:u w:val="single"/>
        </w:rPr>
        <w:t>Ministerstva obrany SR</w:t>
      </w:r>
      <w:r w:rsidRPr="00AB34BC">
        <w:rPr>
          <w:sz w:val="24"/>
          <w:szCs w:val="24"/>
        </w:rPr>
        <w:t xml:space="preserve"> boli v celkovej hodnote </w:t>
      </w:r>
      <w:r>
        <w:rPr>
          <w:sz w:val="24"/>
          <w:szCs w:val="24"/>
        </w:rPr>
        <w:t>1 734 298</w:t>
      </w:r>
      <w:r w:rsidRPr="00AB34BC">
        <w:rPr>
          <w:sz w:val="24"/>
          <w:szCs w:val="24"/>
        </w:rPr>
        <w:t xml:space="preserve"> tis. eur, kde na mzdové prostriedky sa </w:t>
      </w:r>
      <w:r w:rsidRPr="00BD6E7A">
        <w:rPr>
          <w:sz w:val="24"/>
          <w:szCs w:val="24"/>
        </w:rPr>
        <w:t>použilo 577 583 tis. eur a na obstaranie tovarov a služieb 402 830 tis. </w:t>
      </w:r>
      <w:r w:rsidRPr="00993ED9">
        <w:rPr>
          <w:sz w:val="24"/>
          <w:szCs w:val="24"/>
        </w:rPr>
        <w:t>eur</w:t>
      </w:r>
      <w:r>
        <w:rPr>
          <w:sz w:val="24"/>
          <w:szCs w:val="24"/>
        </w:rPr>
        <w:t xml:space="preserve">. </w:t>
      </w:r>
      <w:r w:rsidRPr="009778FE">
        <w:rPr>
          <w:sz w:val="24"/>
          <w:szCs w:val="24"/>
        </w:rPr>
        <w:t>Na špeciálne služby tvorili výdavky hodnotu 101 545 tis. eur, najmä na plnenie úloh obrany štátu a v súvislosti s realizáciou modernizačných projektov rezortu obrany (výdavky súvisiace s technickou podporou k projektu Lietadlá SPARTAN a k projektom rádiolokátorov).</w:t>
      </w:r>
    </w:p>
    <w:p w14:paraId="6D6A302B" w14:textId="77777777" w:rsidR="00574126" w:rsidRPr="006D2695" w:rsidRDefault="00574126" w:rsidP="006D2695">
      <w:pPr>
        <w:spacing w:before="240"/>
        <w:rPr>
          <w:b/>
          <w:color w:val="5B9BD5" w:themeColor="accent1"/>
          <w:sz w:val="24"/>
          <w:szCs w:val="24"/>
        </w:rPr>
      </w:pPr>
      <w:r w:rsidRPr="006D2695">
        <w:rPr>
          <w:b/>
          <w:color w:val="5B9BD5" w:themeColor="accent1"/>
          <w:sz w:val="24"/>
          <w:szCs w:val="24"/>
        </w:rPr>
        <w:t>Zdravotníctvo</w:t>
      </w:r>
    </w:p>
    <w:p w14:paraId="1DC6C6C7" w14:textId="77777777" w:rsidR="00574126" w:rsidRPr="00187FD7" w:rsidRDefault="00574126" w:rsidP="00574126">
      <w:pPr>
        <w:spacing w:line="240" w:lineRule="auto"/>
        <w:rPr>
          <w:sz w:val="24"/>
          <w:szCs w:val="24"/>
        </w:rPr>
      </w:pPr>
      <w:r w:rsidRPr="00EC586F">
        <w:rPr>
          <w:sz w:val="24"/>
          <w:szCs w:val="24"/>
        </w:rPr>
        <w:t>Výdavky v tomto oddiele tvorili 3,</w:t>
      </w:r>
      <w:r>
        <w:rPr>
          <w:sz w:val="24"/>
          <w:szCs w:val="24"/>
        </w:rPr>
        <w:t>8</w:t>
      </w:r>
      <w:r w:rsidRPr="00EC586F">
        <w:rPr>
          <w:sz w:val="24"/>
          <w:szCs w:val="24"/>
        </w:rPr>
        <w:t xml:space="preserve"> % z celkových výdavkov. Patria sem výdavky, ktoré zahŕňajú činnosti ako je ústavná a ambulantná zdravotná starostlivosť, verejné zdravotné služby (prevádzka krvnej banky, zisťovanie chorôb, zber epidemiologických údajov). </w:t>
      </w:r>
      <w:r w:rsidRPr="009C37A4">
        <w:rPr>
          <w:sz w:val="24"/>
          <w:szCs w:val="24"/>
        </w:rPr>
        <w:t xml:space="preserve">Na výdavkoch sa najväčšou mierou podieľalo </w:t>
      </w:r>
      <w:r w:rsidRPr="009C37A4">
        <w:rPr>
          <w:sz w:val="24"/>
          <w:szCs w:val="24"/>
          <w:u w:val="single"/>
        </w:rPr>
        <w:t>Ministerstvo zdravotníctva SR</w:t>
      </w:r>
      <w:r w:rsidRPr="009C37A4">
        <w:rPr>
          <w:sz w:val="24"/>
          <w:szCs w:val="24"/>
        </w:rPr>
        <w:t xml:space="preserve"> (822 155 tis. eur), ktoré v skupine z</w:t>
      </w:r>
      <w:r w:rsidRPr="009C37A4">
        <w:rPr>
          <w:i/>
          <w:sz w:val="24"/>
          <w:szCs w:val="24"/>
        </w:rPr>
        <w:t>dravotníctvo inde neklasifikované</w:t>
      </w:r>
      <w:r w:rsidRPr="009C37A4">
        <w:rPr>
          <w:sz w:val="24"/>
          <w:szCs w:val="24"/>
        </w:rPr>
        <w:t xml:space="preserve"> čerpalo výdavky vo výške 562 767</w:t>
      </w:r>
      <w:r>
        <w:rPr>
          <w:sz w:val="24"/>
          <w:szCs w:val="24"/>
        </w:rPr>
        <w:t> tis. eur (2021</w:t>
      </w:r>
      <w:r w:rsidRPr="009C37A4">
        <w:rPr>
          <w:sz w:val="24"/>
          <w:szCs w:val="24"/>
        </w:rPr>
        <w:t>: 458 987 tis. eur). Išlo napr. o dotácie určené na všeobecný materiál</w:t>
      </w:r>
      <w:r>
        <w:rPr>
          <w:sz w:val="24"/>
          <w:szCs w:val="24"/>
        </w:rPr>
        <w:t>,</w:t>
      </w:r>
      <w:r w:rsidRPr="009C37A4">
        <w:rPr>
          <w:sz w:val="24"/>
          <w:szCs w:val="24"/>
        </w:rPr>
        <w:t xml:space="preserve"> </w:t>
      </w:r>
      <w:r w:rsidRPr="00187FD7">
        <w:rPr>
          <w:sz w:val="24"/>
          <w:szCs w:val="24"/>
        </w:rPr>
        <w:t xml:space="preserve">najmä na nákup liekov, </w:t>
      </w:r>
      <w:r>
        <w:rPr>
          <w:sz w:val="24"/>
          <w:szCs w:val="24"/>
        </w:rPr>
        <w:t>vakcín a</w:t>
      </w:r>
      <w:r w:rsidRPr="00187FD7">
        <w:rPr>
          <w:sz w:val="24"/>
          <w:szCs w:val="24"/>
        </w:rPr>
        <w:t xml:space="preserve"> antigénových testov</w:t>
      </w:r>
      <w:r>
        <w:rPr>
          <w:sz w:val="24"/>
          <w:szCs w:val="24"/>
        </w:rPr>
        <w:t>.</w:t>
      </w:r>
      <w:r w:rsidRPr="00187FD7">
        <w:rPr>
          <w:sz w:val="24"/>
          <w:szCs w:val="24"/>
        </w:rPr>
        <w:t xml:space="preserve"> </w:t>
      </w:r>
    </w:p>
    <w:p w14:paraId="6DC47C29" w14:textId="77777777" w:rsidR="00574126" w:rsidRPr="00EC586F" w:rsidRDefault="00574126" w:rsidP="00574126">
      <w:pPr>
        <w:spacing w:line="240" w:lineRule="auto"/>
        <w:rPr>
          <w:sz w:val="24"/>
          <w:szCs w:val="24"/>
        </w:rPr>
      </w:pPr>
      <w:r w:rsidRPr="00B1782D">
        <w:rPr>
          <w:sz w:val="24"/>
          <w:szCs w:val="24"/>
        </w:rPr>
        <w:t>V skupine</w:t>
      </w:r>
      <w:r w:rsidRPr="00B1782D">
        <w:rPr>
          <w:b/>
          <w:sz w:val="24"/>
          <w:szCs w:val="24"/>
        </w:rPr>
        <w:t xml:space="preserve"> </w:t>
      </w:r>
      <w:r w:rsidRPr="00B1782D">
        <w:rPr>
          <w:i/>
          <w:sz w:val="24"/>
          <w:szCs w:val="24"/>
        </w:rPr>
        <w:t>ústavná zdravotná starostlivosť</w:t>
      </w:r>
      <w:r w:rsidRPr="00B1782D">
        <w:rPr>
          <w:sz w:val="24"/>
          <w:szCs w:val="24"/>
        </w:rPr>
        <w:t xml:space="preserve"> realizovalo </w:t>
      </w:r>
      <w:r w:rsidRPr="00B1782D">
        <w:rPr>
          <w:sz w:val="24"/>
          <w:szCs w:val="24"/>
          <w:u w:val="single"/>
        </w:rPr>
        <w:t>Ministerstvo zdravotníctva SR</w:t>
      </w:r>
      <w:r w:rsidRPr="00B1782D">
        <w:rPr>
          <w:sz w:val="24"/>
          <w:szCs w:val="24"/>
        </w:rPr>
        <w:t xml:space="preserve"> výdavky vo výške 184 322 tis. eur (2021: 198 735 tis. eur), najmä na zdravotnú starostlivosť poskytovanú vo všeobecných nemocniciach.</w:t>
      </w:r>
      <w:r w:rsidRPr="00EC586F">
        <w:rPr>
          <w:sz w:val="24"/>
          <w:szCs w:val="24"/>
        </w:rPr>
        <w:t xml:space="preserve"> </w:t>
      </w:r>
    </w:p>
    <w:p w14:paraId="25DC0FC1" w14:textId="77777777" w:rsidR="00574126" w:rsidRPr="006D2695" w:rsidRDefault="00574126" w:rsidP="006D2695">
      <w:pPr>
        <w:spacing w:before="240"/>
        <w:rPr>
          <w:b/>
          <w:color w:val="5B9BD5" w:themeColor="accent1"/>
          <w:sz w:val="24"/>
          <w:szCs w:val="24"/>
        </w:rPr>
      </w:pPr>
      <w:r w:rsidRPr="006D2695">
        <w:rPr>
          <w:b/>
          <w:color w:val="5B9BD5" w:themeColor="accent1"/>
          <w:sz w:val="24"/>
          <w:szCs w:val="24"/>
        </w:rPr>
        <w:t>Rekreácia, kultúra a náboženstvo</w:t>
      </w:r>
    </w:p>
    <w:p w14:paraId="06553775" w14:textId="77777777" w:rsidR="00574126" w:rsidRPr="00EC586F" w:rsidRDefault="00574126" w:rsidP="00574126">
      <w:pPr>
        <w:spacing w:line="240" w:lineRule="auto"/>
        <w:rPr>
          <w:sz w:val="24"/>
          <w:szCs w:val="24"/>
        </w:rPr>
      </w:pPr>
      <w:r w:rsidRPr="00EC586F">
        <w:rPr>
          <w:sz w:val="24"/>
          <w:szCs w:val="24"/>
        </w:rPr>
        <w:t>Výdavky na rekreácie, kultúru a náboženstvo boli vo výške 5</w:t>
      </w:r>
      <w:r>
        <w:rPr>
          <w:sz w:val="24"/>
          <w:szCs w:val="24"/>
        </w:rPr>
        <w:t>27</w:t>
      </w:r>
      <w:r w:rsidRPr="00EC586F">
        <w:rPr>
          <w:sz w:val="24"/>
          <w:szCs w:val="24"/>
        </w:rPr>
        <w:t> </w:t>
      </w:r>
      <w:r>
        <w:rPr>
          <w:sz w:val="24"/>
          <w:szCs w:val="24"/>
        </w:rPr>
        <w:t>589</w:t>
      </w:r>
      <w:r w:rsidRPr="00EC586F">
        <w:rPr>
          <w:sz w:val="24"/>
          <w:szCs w:val="24"/>
        </w:rPr>
        <w:t xml:space="preserve"> tis. eur. Najväčšia časť výdavkov bola dosiahnutá v kapitole </w:t>
      </w:r>
      <w:r w:rsidRPr="002136EE">
        <w:rPr>
          <w:sz w:val="24"/>
          <w:szCs w:val="24"/>
          <w:u w:val="single"/>
        </w:rPr>
        <w:t>Ministerstva kultúry SR</w:t>
      </w:r>
      <w:r w:rsidRPr="00EC586F">
        <w:rPr>
          <w:sz w:val="24"/>
          <w:szCs w:val="24"/>
        </w:rPr>
        <w:t xml:space="preserve"> (3</w:t>
      </w:r>
      <w:r>
        <w:rPr>
          <w:sz w:val="24"/>
          <w:szCs w:val="24"/>
        </w:rPr>
        <w:t>58</w:t>
      </w:r>
      <w:r w:rsidRPr="00EC586F">
        <w:rPr>
          <w:sz w:val="24"/>
          <w:szCs w:val="24"/>
        </w:rPr>
        <w:t> </w:t>
      </w:r>
      <w:r>
        <w:rPr>
          <w:sz w:val="24"/>
          <w:szCs w:val="24"/>
        </w:rPr>
        <w:t>136</w:t>
      </w:r>
      <w:r w:rsidRPr="00EC586F">
        <w:rPr>
          <w:sz w:val="24"/>
          <w:szCs w:val="24"/>
        </w:rPr>
        <w:t xml:space="preserve"> tis. eur). </w:t>
      </w:r>
      <w:r>
        <w:rPr>
          <w:sz w:val="24"/>
          <w:szCs w:val="24"/>
        </w:rPr>
        <w:t>N</w:t>
      </w:r>
      <w:r w:rsidRPr="00EC586F">
        <w:rPr>
          <w:sz w:val="24"/>
          <w:szCs w:val="24"/>
        </w:rPr>
        <w:t xml:space="preserve">ajvyššie </w:t>
      </w:r>
      <w:r w:rsidRPr="00EC586F">
        <w:rPr>
          <w:sz w:val="24"/>
          <w:szCs w:val="24"/>
        </w:rPr>
        <w:lastRenderedPageBreak/>
        <w:t xml:space="preserve">výdavky boli v skupine </w:t>
      </w:r>
      <w:r w:rsidRPr="00EC586F">
        <w:rPr>
          <w:i/>
          <w:sz w:val="24"/>
          <w:szCs w:val="24"/>
        </w:rPr>
        <w:t>kultúrnych služieb</w:t>
      </w:r>
      <w:r w:rsidRPr="00EC586F">
        <w:rPr>
          <w:sz w:val="24"/>
          <w:szCs w:val="24"/>
        </w:rPr>
        <w:t xml:space="preserve"> v celkovej výške 23</w:t>
      </w:r>
      <w:r>
        <w:rPr>
          <w:sz w:val="24"/>
          <w:szCs w:val="24"/>
        </w:rPr>
        <w:t>0</w:t>
      </w:r>
      <w:r w:rsidRPr="00EC586F">
        <w:rPr>
          <w:sz w:val="24"/>
          <w:szCs w:val="24"/>
        </w:rPr>
        <w:t> </w:t>
      </w:r>
      <w:r>
        <w:rPr>
          <w:sz w:val="24"/>
          <w:szCs w:val="24"/>
        </w:rPr>
        <w:t>432</w:t>
      </w:r>
      <w:r w:rsidRPr="00EC586F">
        <w:rPr>
          <w:sz w:val="24"/>
          <w:szCs w:val="24"/>
        </w:rPr>
        <w:t> tis. eur a</w:t>
      </w:r>
      <w:r>
        <w:rPr>
          <w:sz w:val="24"/>
          <w:szCs w:val="24"/>
        </w:rPr>
        <w:t xml:space="preserve"> </w:t>
      </w:r>
      <w:r w:rsidRPr="00EC586F">
        <w:rPr>
          <w:sz w:val="24"/>
          <w:szCs w:val="24"/>
        </w:rPr>
        <w:t xml:space="preserve">v skupine </w:t>
      </w:r>
      <w:r w:rsidRPr="00EC586F">
        <w:rPr>
          <w:i/>
          <w:sz w:val="24"/>
          <w:szCs w:val="24"/>
        </w:rPr>
        <w:t xml:space="preserve">rekreačné a športové služby </w:t>
      </w:r>
      <w:r w:rsidRPr="00EC586F">
        <w:rPr>
          <w:sz w:val="24"/>
          <w:szCs w:val="24"/>
        </w:rPr>
        <w:t>1</w:t>
      </w:r>
      <w:r>
        <w:rPr>
          <w:sz w:val="24"/>
          <w:szCs w:val="24"/>
        </w:rPr>
        <w:t>41</w:t>
      </w:r>
      <w:r w:rsidRPr="00EC586F">
        <w:rPr>
          <w:sz w:val="24"/>
          <w:szCs w:val="24"/>
        </w:rPr>
        <w:t> </w:t>
      </w:r>
      <w:r>
        <w:rPr>
          <w:sz w:val="24"/>
          <w:szCs w:val="24"/>
        </w:rPr>
        <w:t>673</w:t>
      </w:r>
      <w:r w:rsidRPr="00EC586F">
        <w:rPr>
          <w:sz w:val="24"/>
          <w:szCs w:val="24"/>
        </w:rPr>
        <w:t xml:space="preserve"> tis. eur. </w:t>
      </w:r>
      <w:r>
        <w:rPr>
          <w:sz w:val="24"/>
          <w:szCs w:val="24"/>
        </w:rPr>
        <w:t xml:space="preserve">Rovnako ako v predchádzajúcom roku nastal medziročný pokles predovšetkým v skupine </w:t>
      </w:r>
      <w:r w:rsidRPr="00EC586F">
        <w:rPr>
          <w:i/>
          <w:sz w:val="24"/>
          <w:szCs w:val="24"/>
        </w:rPr>
        <w:t>rekreačné a športové služby</w:t>
      </w:r>
      <w:r w:rsidRPr="00EC586F">
        <w:rPr>
          <w:sz w:val="24"/>
          <w:szCs w:val="24"/>
        </w:rPr>
        <w:t xml:space="preserve"> </w:t>
      </w:r>
      <w:r>
        <w:rPr>
          <w:sz w:val="24"/>
          <w:szCs w:val="24"/>
        </w:rPr>
        <w:t>o </w:t>
      </w:r>
      <w:r w:rsidRPr="00EC586F">
        <w:rPr>
          <w:sz w:val="24"/>
          <w:szCs w:val="24"/>
        </w:rPr>
        <w:t>2</w:t>
      </w:r>
      <w:r>
        <w:rPr>
          <w:sz w:val="24"/>
          <w:szCs w:val="24"/>
        </w:rPr>
        <w:t>1</w:t>
      </w:r>
      <w:r w:rsidRPr="00EC586F">
        <w:rPr>
          <w:sz w:val="24"/>
          <w:szCs w:val="24"/>
        </w:rPr>
        <w:t> 8</w:t>
      </w:r>
      <w:r>
        <w:rPr>
          <w:sz w:val="24"/>
          <w:szCs w:val="24"/>
        </w:rPr>
        <w:t>23</w:t>
      </w:r>
      <w:r w:rsidRPr="00EC586F">
        <w:rPr>
          <w:sz w:val="24"/>
          <w:szCs w:val="24"/>
        </w:rPr>
        <w:t> tis. eur.</w:t>
      </w:r>
    </w:p>
    <w:p w14:paraId="0E3D3CE7" w14:textId="77777777" w:rsidR="00574126" w:rsidRPr="006D2695" w:rsidRDefault="00574126" w:rsidP="006D2695">
      <w:pPr>
        <w:spacing w:before="240"/>
        <w:rPr>
          <w:b/>
          <w:color w:val="5B9BD5" w:themeColor="accent1"/>
          <w:sz w:val="24"/>
          <w:szCs w:val="24"/>
        </w:rPr>
      </w:pPr>
      <w:r w:rsidRPr="006D2695">
        <w:rPr>
          <w:b/>
          <w:color w:val="5B9BD5" w:themeColor="accent1"/>
          <w:sz w:val="24"/>
          <w:szCs w:val="24"/>
        </w:rPr>
        <w:t>Ochrana životného prostredia</w:t>
      </w:r>
    </w:p>
    <w:p w14:paraId="5E5622A3" w14:textId="77777777" w:rsidR="00574126" w:rsidRPr="00EC586F" w:rsidRDefault="00574126" w:rsidP="00574126">
      <w:pPr>
        <w:spacing w:line="240" w:lineRule="auto"/>
        <w:rPr>
          <w:sz w:val="24"/>
          <w:szCs w:val="24"/>
        </w:rPr>
      </w:pPr>
      <w:r w:rsidRPr="00EC586F">
        <w:rPr>
          <w:sz w:val="24"/>
          <w:szCs w:val="24"/>
        </w:rPr>
        <w:t>Výd</w:t>
      </w:r>
      <w:r>
        <w:rPr>
          <w:sz w:val="24"/>
          <w:szCs w:val="24"/>
        </w:rPr>
        <w:t>avky v tomto oddiele tvorili 1,9</w:t>
      </w:r>
      <w:r w:rsidRPr="00EC586F">
        <w:rPr>
          <w:sz w:val="24"/>
          <w:szCs w:val="24"/>
        </w:rPr>
        <w:t xml:space="preserve"> % z celkových výdavkov. </w:t>
      </w:r>
      <w:r w:rsidRPr="000E758E">
        <w:rPr>
          <w:sz w:val="24"/>
          <w:szCs w:val="24"/>
        </w:rPr>
        <w:t xml:space="preserve">V tomto odvetví výdavky v hodnote 438 344 tis. eur boli rovnako ako v predchádzajúcich rozpočtových obdobiach vynaložené najmä na </w:t>
      </w:r>
      <w:r w:rsidRPr="00222D01">
        <w:rPr>
          <w:i/>
          <w:sz w:val="24"/>
          <w:szCs w:val="24"/>
        </w:rPr>
        <w:t>znižovanie znečisťovania</w:t>
      </w:r>
      <w:r w:rsidRPr="00C93834">
        <w:rPr>
          <w:sz w:val="24"/>
          <w:szCs w:val="24"/>
        </w:rPr>
        <w:t xml:space="preserve"> (</w:t>
      </w:r>
      <w:r>
        <w:rPr>
          <w:sz w:val="24"/>
          <w:szCs w:val="24"/>
        </w:rPr>
        <w:t>191 065</w:t>
      </w:r>
      <w:r w:rsidRPr="00C93834">
        <w:rPr>
          <w:sz w:val="24"/>
          <w:szCs w:val="24"/>
        </w:rPr>
        <w:t xml:space="preserve"> tis. eur) a </w:t>
      </w:r>
      <w:r w:rsidRPr="00222D01">
        <w:rPr>
          <w:i/>
          <w:sz w:val="24"/>
          <w:szCs w:val="24"/>
        </w:rPr>
        <w:t>na nakladanie s odpadmi</w:t>
      </w:r>
      <w:r w:rsidRPr="00C93834">
        <w:rPr>
          <w:sz w:val="24"/>
          <w:szCs w:val="24"/>
        </w:rPr>
        <w:t xml:space="preserve"> (</w:t>
      </w:r>
      <w:r>
        <w:rPr>
          <w:sz w:val="24"/>
          <w:szCs w:val="24"/>
        </w:rPr>
        <w:t>129 578</w:t>
      </w:r>
      <w:r w:rsidRPr="00C93834">
        <w:rPr>
          <w:sz w:val="24"/>
          <w:szCs w:val="24"/>
        </w:rPr>
        <w:t> tis. eur</w:t>
      </w:r>
      <w:r w:rsidRPr="00CA6B8A">
        <w:rPr>
          <w:sz w:val="24"/>
          <w:szCs w:val="24"/>
        </w:rPr>
        <w:t xml:space="preserve">). </w:t>
      </w:r>
      <w:r>
        <w:rPr>
          <w:sz w:val="24"/>
          <w:szCs w:val="24"/>
        </w:rPr>
        <w:t>Na celkovom medziročnom náraste o 94 375 tis. eur sa najviac podieľalo</w:t>
      </w:r>
      <w:r w:rsidRPr="00CA6B8A">
        <w:rPr>
          <w:sz w:val="24"/>
          <w:szCs w:val="24"/>
        </w:rPr>
        <w:t xml:space="preserve"> </w:t>
      </w:r>
      <w:r w:rsidRPr="00CA6B8A">
        <w:rPr>
          <w:i/>
          <w:sz w:val="24"/>
          <w:szCs w:val="24"/>
        </w:rPr>
        <w:t xml:space="preserve">znižovanie znečisťovania, </w:t>
      </w:r>
      <w:r w:rsidRPr="00CA6B8A">
        <w:rPr>
          <w:sz w:val="24"/>
          <w:szCs w:val="24"/>
        </w:rPr>
        <w:t>a to o</w:t>
      </w:r>
      <w:r>
        <w:rPr>
          <w:sz w:val="24"/>
          <w:szCs w:val="24"/>
        </w:rPr>
        <w:t> </w:t>
      </w:r>
      <w:r w:rsidRPr="00CA6B8A">
        <w:rPr>
          <w:sz w:val="24"/>
          <w:szCs w:val="24"/>
        </w:rPr>
        <w:t>52</w:t>
      </w:r>
      <w:r>
        <w:rPr>
          <w:sz w:val="24"/>
          <w:szCs w:val="24"/>
        </w:rPr>
        <w:t> </w:t>
      </w:r>
      <w:r w:rsidRPr="00CA6B8A">
        <w:rPr>
          <w:sz w:val="24"/>
          <w:szCs w:val="24"/>
        </w:rPr>
        <w:t>991 tis. eur.</w:t>
      </w:r>
    </w:p>
    <w:p w14:paraId="297BB450" w14:textId="77777777" w:rsidR="00574126" w:rsidRPr="006D2695" w:rsidRDefault="00574126" w:rsidP="006D2695">
      <w:pPr>
        <w:spacing w:before="240"/>
        <w:rPr>
          <w:b/>
          <w:color w:val="5B9BD5" w:themeColor="accent1"/>
          <w:sz w:val="24"/>
          <w:szCs w:val="24"/>
        </w:rPr>
      </w:pPr>
      <w:r w:rsidRPr="006D2695">
        <w:rPr>
          <w:b/>
          <w:color w:val="5B9BD5" w:themeColor="accent1"/>
          <w:sz w:val="24"/>
          <w:szCs w:val="24"/>
        </w:rPr>
        <w:t>Bývanie a občianska vybavenosť</w:t>
      </w:r>
    </w:p>
    <w:p w14:paraId="09C12686" w14:textId="77777777" w:rsidR="00574126" w:rsidRPr="00EC586F" w:rsidRDefault="00574126" w:rsidP="00574126">
      <w:pPr>
        <w:spacing w:line="240" w:lineRule="auto"/>
        <w:rPr>
          <w:b/>
          <w:sz w:val="24"/>
          <w:szCs w:val="24"/>
        </w:rPr>
      </w:pPr>
      <w:r w:rsidRPr="00EC586F">
        <w:rPr>
          <w:sz w:val="24"/>
          <w:szCs w:val="24"/>
        </w:rPr>
        <w:t xml:space="preserve">Výdavky v tomto oddiele dosiahli výšku </w:t>
      </w:r>
      <w:r>
        <w:rPr>
          <w:sz w:val="24"/>
          <w:szCs w:val="24"/>
        </w:rPr>
        <w:t>103</w:t>
      </w:r>
      <w:r w:rsidRPr="00EC586F">
        <w:rPr>
          <w:sz w:val="24"/>
          <w:szCs w:val="24"/>
        </w:rPr>
        <w:t> </w:t>
      </w:r>
      <w:r>
        <w:rPr>
          <w:sz w:val="24"/>
          <w:szCs w:val="24"/>
        </w:rPr>
        <w:t>146</w:t>
      </w:r>
      <w:r w:rsidRPr="00EC586F">
        <w:rPr>
          <w:sz w:val="24"/>
          <w:szCs w:val="24"/>
        </w:rPr>
        <w:t xml:space="preserve"> tis. eur a v rozhodujúcej miere sa na nich podieľalo </w:t>
      </w:r>
      <w:r w:rsidRPr="002136EE">
        <w:rPr>
          <w:sz w:val="24"/>
          <w:szCs w:val="24"/>
          <w:u w:val="single"/>
        </w:rPr>
        <w:t>Ministerstvo dopravy a výstavby SR</w:t>
      </w:r>
      <w:r>
        <w:rPr>
          <w:sz w:val="24"/>
          <w:szCs w:val="24"/>
        </w:rPr>
        <w:t xml:space="preserve"> (62 </w:t>
      </w:r>
      <w:r w:rsidRPr="000E758E">
        <w:rPr>
          <w:sz w:val="24"/>
          <w:szCs w:val="24"/>
        </w:rPr>
        <w:t>613</w:t>
      </w:r>
      <w:r>
        <w:rPr>
          <w:sz w:val="24"/>
          <w:szCs w:val="24"/>
        </w:rPr>
        <w:t> tis. </w:t>
      </w:r>
      <w:r w:rsidRPr="00EC586F">
        <w:rPr>
          <w:sz w:val="24"/>
          <w:szCs w:val="24"/>
        </w:rPr>
        <w:t xml:space="preserve">eur). Výdavky boli použité na výstavbu a obnovu bytového fondu, pre Štátny fond rozvoja bývania na štátnu prémiu k stavebnému sporeniu, na poskytnutie štátneho príspevku a štátneho príspevku pre mladých k hypotekárnym úverom, na náhradné nájomné byty. </w:t>
      </w:r>
    </w:p>
    <w:p w14:paraId="4B61EC04" w14:textId="3DCAB195" w:rsidR="008E4CC7" w:rsidRDefault="00574126" w:rsidP="00995FFF">
      <w:pPr>
        <w:spacing w:line="240" w:lineRule="auto"/>
        <w:rPr>
          <w:b/>
          <w:i/>
        </w:rPr>
      </w:pPr>
      <w:r w:rsidRPr="00EC586F">
        <w:rPr>
          <w:b/>
          <w:i/>
        </w:rPr>
        <w:t>Podrobný prehľad o výdavko</w:t>
      </w:r>
      <w:r>
        <w:rPr>
          <w:b/>
          <w:i/>
        </w:rPr>
        <w:t>ch</w:t>
      </w:r>
      <w:r w:rsidRPr="00EC586F">
        <w:rPr>
          <w:b/>
          <w:i/>
        </w:rPr>
        <w:t xml:space="preserve"> štátneho rozpočtu podľa funkčnej klasifikácie je uvedený v tab. č. 11 tabuľkovej prílohy štátneho záverečného účtu.</w:t>
      </w:r>
      <w:bookmarkEnd w:id="49"/>
    </w:p>
    <w:p w14:paraId="240B6DDC" w14:textId="77777777" w:rsidR="00043553" w:rsidRDefault="00043553" w:rsidP="00995FFF">
      <w:pPr>
        <w:spacing w:line="240" w:lineRule="auto"/>
      </w:pPr>
    </w:p>
    <w:p w14:paraId="1401525A" w14:textId="06C37BDF" w:rsidR="00672440" w:rsidRDefault="00672440" w:rsidP="00642B82">
      <w:pPr>
        <w:pStyle w:val="Nadpis3"/>
      </w:pPr>
      <w:bookmarkStart w:id="50" w:name="_Toc132929094"/>
      <w:r w:rsidRPr="0062740A">
        <w:t>Vzťahy štátneho rozpočtu k</w:t>
      </w:r>
      <w:r w:rsidR="0045778F">
        <w:t> </w:t>
      </w:r>
      <w:r w:rsidRPr="0062740A">
        <w:t>obciam</w:t>
      </w:r>
      <w:bookmarkEnd w:id="50"/>
    </w:p>
    <w:p w14:paraId="7E9A0BD3" w14:textId="77777777" w:rsidR="0045778F" w:rsidRDefault="0045778F" w:rsidP="0045778F">
      <w:pPr>
        <w:suppressAutoHyphens/>
        <w:spacing w:line="240" w:lineRule="auto"/>
        <w:rPr>
          <w:rFonts w:cs="Times New Roman"/>
          <w:color w:val="000000" w:themeColor="text1"/>
          <w:sz w:val="24"/>
          <w:szCs w:val="24"/>
        </w:rPr>
      </w:pPr>
      <w:r w:rsidRPr="008C66D7">
        <w:rPr>
          <w:rFonts w:cs="Times New Roman"/>
          <w:color w:val="000000" w:themeColor="text1"/>
          <w:sz w:val="24"/>
          <w:szCs w:val="24"/>
        </w:rPr>
        <w:t>V roku 2022 bolo do rozpočtov obcí poskytnutých celkovo 1 701 892 tis. eur vo forme bežných a kapitálových transferov, čo je za ostatné tri roky najnižšia suma.</w:t>
      </w:r>
      <w:r>
        <w:rPr>
          <w:rFonts w:cs="Times New Roman"/>
          <w:color w:val="000000" w:themeColor="text1"/>
          <w:sz w:val="24"/>
          <w:szCs w:val="24"/>
        </w:rPr>
        <w:t xml:space="preserve"> Reálne čerpanie však prevyšuje ,,pred </w:t>
      </w:r>
      <w:proofErr w:type="spellStart"/>
      <w:r>
        <w:rPr>
          <w:rFonts w:cs="Times New Roman"/>
          <w:color w:val="000000" w:themeColor="text1"/>
          <w:sz w:val="24"/>
          <w:szCs w:val="24"/>
        </w:rPr>
        <w:t>covidový</w:t>
      </w:r>
      <w:proofErr w:type="spellEnd"/>
      <w:r>
        <w:rPr>
          <w:rFonts w:cs="Times New Roman"/>
          <w:color w:val="000000" w:themeColor="text1"/>
          <w:sz w:val="24"/>
          <w:szCs w:val="24"/>
        </w:rPr>
        <w:t>“ rok 2019, kedy bolo poskytnutých spolu 1 505 636 tis. eur.</w:t>
      </w:r>
      <w:r w:rsidRPr="008C66D7">
        <w:rPr>
          <w:rFonts w:cs="Times New Roman"/>
          <w:color w:val="000000" w:themeColor="text1"/>
          <w:sz w:val="24"/>
          <w:szCs w:val="24"/>
        </w:rPr>
        <w:t xml:space="preserve"> Bežné transfery tvorili sumu 1 485 099 tis. eur a kapitálové transfery čiastku 216 793 tis. eur. V porovnaní so skutočnosťou 2021 je to v úhrne za všetky zdroje výdavkov (vrátane EÚ a mimorozpočtových zdrojov) menej o 61 503 tis. eur, zo zdroja 111 (štátny rozpočet) až o 128 495 tis. eur menej.</w:t>
      </w:r>
    </w:p>
    <w:p w14:paraId="76C49276" w14:textId="77777777" w:rsidR="0045778F" w:rsidRDefault="0045778F" w:rsidP="0045778F">
      <w:pPr>
        <w:suppressAutoHyphens/>
        <w:spacing w:line="240" w:lineRule="auto"/>
        <w:rPr>
          <w:rFonts w:cs="Times New Roman"/>
          <w:color w:val="000000" w:themeColor="text1"/>
          <w:sz w:val="24"/>
          <w:szCs w:val="24"/>
        </w:rPr>
      </w:pPr>
      <w:r w:rsidRPr="008C66D7">
        <w:rPr>
          <w:rFonts w:cs="Times New Roman"/>
          <w:color w:val="000000" w:themeColor="text1"/>
          <w:sz w:val="24"/>
          <w:szCs w:val="24"/>
        </w:rPr>
        <w:t xml:space="preserve">Transfery zo zdroja 111 boli poskytnuté v sume 1 348 685 tis. eur. Z toho bežné transfery tvorili čiastku 1 336 044 tis. eur a kapitálové transfery sumu 12 641 tis. eur. Na financovanie kompetencií preneseného výkonu štátnej správy bolo poskytnutých </w:t>
      </w:r>
      <w:r>
        <w:rPr>
          <w:rFonts w:cs="Times New Roman"/>
          <w:color w:val="000000" w:themeColor="text1"/>
          <w:sz w:val="24"/>
          <w:szCs w:val="24"/>
        </w:rPr>
        <w:t xml:space="preserve">zo všetkých zdrojov </w:t>
      </w:r>
      <w:r w:rsidRPr="008C66D7">
        <w:rPr>
          <w:rFonts w:cs="Times New Roman"/>
          <w:color w:val="000000" w:themeColor="text1"/>
          <w:sz w:val="24"/>
          <w:szCs w:val="24"/>
        </w:rPr>
        <w:t xml:space="preserve">1 270 357 tis. eur (2021: 1 201 038 tis. eur) len v rámci bežných transferov, a to v kapitolách Ministerstva školstva, vedy, výskumu a športu SR 1 235 831 tis. eur (2021: 0 tis. eur), Ministerstva vnútra SR suma 26 050 tis. eur (2021: 1 179 848 tis. eur) a Ministerstva dopravy a výstavby SR suma 8 476 tis. eur (2021: 8 476 tis. eur). </w:t>
      </w:r>
    </w:p>
    <w:tbl>
      <w:tblPr>
        <w:tblW w:w="9583" w:type="dxa"/>
        <w:tblCellMar>
          <w:left w:w="70" w:type="dxa"/>
          <w:right w:w="70" w:type="dxa"/>
        </w:tblCellMar>
        <w:tblLook w:val="04A0" w:firstRow="1" w:lastRow="0" w:firstColumn="1" w:lastColumn="0" w:noHBand="0" w:noVBand="1"/>
      </w:tblPr>
      <w:tblGrid>
        <w:gridCol w:w="2835"/>
        <w:gridCol w:w="997"/>
        <w:gridCol w:w="956"/>
        <w:gridCol w:w="956"/>
        <w:gridCol w:w="1078"/>
        <w:gridCol w:w="1017"/>
        <w:gridCol w:w="926"/>
        <w:gridCol w:w="818"/>
      </w:tblGrid>
      <w:tr w:rsidR="0045778F" w:rsidRPr="008B3212" w14:paraId="1BD213E5" w14:textId="77777777" w:rsidTr="00EB5625">
        <w:trPr>
          <w:trHeight w:val="523"/>
        </w:trPr>
        <w:tc>
          <w:tcPr>
            <w:tcW w:w="8765" w:type="dxa"/>
            <w:gridSpan w:val="7"/>
            <w:tcBorders>
              <w:top w:val="nil"/>
              <w:left w:val="nil"/>
              <w:bottom w:val="single" w:sz="8" w:space="0" w:color="auto"/>
              <w:right w:val="nil"/>
            </w:tcBorders>
            <w:shd w:val="clear" w:color="auto" w:fill="auto"/>
            <w:vAlign w:val="center"/>
            <w:hideMark/>
          </w:tcPr>
          <w:p w14:paraId="6E33BFF6" w14:textId="4BE4C93E" w:rsidR="0045778F" w:rsidRPr="008B3212" w:rsidRDefault="00240940" w:rsidP="008B3212">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Tabuľka 4</w:t>
            </w:r>
            <w:r w:rsidR="008B3212" w:rsidRPr="008B3212">
              <w:rPr>
                <w:rFonts w:eastAsia="Times New Roman" w:cs="Times New Roman"/>
                <w:b/>
                <w:bCs/>
                <w:color w:val="5B9BD5" w:themeColor="accent1"/>
                <w:sz w:val="18"/>
                <w:szCs w:val="18"/>
                <w:lang w:eastAsia="sk-SK"/>
              </w:rPr>
              <w:t>5</w:t>
            </w:r>
            <w:r w:rsidR="00D50C99" w:rsidRPr="008B3212">
              <w:rPr>
                <w:rFonts w:eastAsia="Times New Roman" w:cs="Times New Roman"/>
                <w:b/>
                <w:bCs/>
                <w:color w:val="5B9BD5" w:themeColor="accent1"/>
                <w:sz w:val="18"/>
                <w:szCs w:val="18"/>
                <w:lang w:eastAsia="sk-SK"/>
              </w:rPr>
              <w:t xml:space="preserve"> - </w:t>
            </w:r>
            <w:r w:rsidR="0045778F" w:rsidRPr="008B3212">
              <w:rPr>
                <w:rFonts w:eastAsia="Times New Roman" w:cs="Times New Roman"/>
                <w:b/>
                <w:bCs/>
                <w:color w:val="5B9BD5" w:themeColor="accent1"/>
                <w:sz w:val="18"/>
                <w:szCs w:val="18"/>
                <w:lang w:eastAsia="sk-SK"/>
              </w:rPr>
              <w:t>Transfery poskytnuté obciam podľa oddielov funkčnej klasifikácie</w:t>
            </w:r>
          </w:p>
        </w:tc>
        <w:tc>
          <w:tcPr>
            <w:tcW w:w="818" w:type="dxa"/>
            <w:tcBorders>
              <w:top w:val="nil"/>
              <w:left w:val="nil"/>
              <w:bottom w:val="single" w:sz="8" w:space="0" w:color="auto"/>
              <w:right w:val="nil"/>
            </w:tcBorders>
            <w:shd w:val="clear" w:color="auto" w:fill="auto"/>
            <w:noWrap/>
            <w:vAlign w:val="bottom"/>
            <w:hideMark/>
          </w:tcPr>
          <w:p w14:paraId="52582D63" w14:textId="77777777" w:rsidR="0045778F" w:rsidRPr="008B3212" w:rsidRDefault="0045778F" w:rsidP="008B3212">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 </w:t>
            </w:r>
          </w:p>
        </w:tc>
      </w:tr>
      <w:tr w:rsidR="0045778F" w:rsidRPr="008C66D7" w14:paraId="17612033" w14:textId="77777777" w:rsidTr="00EB5625">
        <w:trPr>
          <w:trHeight w:val="289"/>
        </w:trPr>
        <w:tc>
          <w:tcPr>
            <w:tcW w:w="2835" w:type="dxa"/>
            <w:tcBorders>
              <w:top w:val="nil"/>
              <w:left w:val="nil"/>
              <w:bottom w:val="nil"/>
              <w:right w:val="nil"/>
            </w:tcBorders>
            <w:shd w:val="clear" w:color="auto" w:fill="auto"/>
            <w:vAlign w:val="center"/>
            <w:hideMark/>
          </w:tcPr>
          <w:p w14:paraId="6552055E" w14:textId="77777777" w:rsidR="0045778F" w:rsidRPr="008C66D7" w:rsidRDefault="0045778F" w:rsidP="00391C90">
            <w:pPr>
              <w:spacing w:after="0" w:line="240" w:lineRule="auto"/>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 xml:space="preserve"> v tis. eur</w:t>
            </w:r>
          </w:p>
        </w:tc>
        <w:tc>
          <w:tcPr>
            <w:tcW w:w="997" w:type="dxa"/>
            <w:tcBorders>
              <w:top w:val="nil"/>
              <w:left w:val="nil"/>
              <w:bottom w:val="nil"/>
              <w:right w:val="nil"/>
            </w:tcBorders>
            <w:shd w:val="clear" w:color="auto" w:fill="auto"/>
            <w:vAlign w:val="center"/>
            <w:hideMark/>
          </w:tcPr>
          <w:p w14:paraId="16A4C470" w14:textId="77777777" w:rsidR="0045778F" w:rsidRPr="008C66D7" w:rsidRDefault="0045778F" w:rsidP="00391C90">
            <w:pPr>
              <w:spacing w:after="0" w:line="240" w:lineRule="auto"/>
              <w:jc w:val="center"/>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2020 S</w:t>
            </w:r>
          </w:p>
        </w:tc>
        <w:tc>
          <w:tcPr>
            <w:tcW w:w="956" w:type="dxa"/>
            <w:tcBorders>
              <w:top w:val="nil"/>
              <w:left w:val="nil"/>
              <w:bottom w:val="nil"/>
              <w:right w:val="nil"/>
            </w:tcBorders>
            <w:shd w:val="clear" w:color="auto" w:fill="auto"/>
            <w:vAlign w:val="center"/>
            <w:hideMark/>
          </w:tcPr>
          <w:p w14:paraId="4A10B5A2" w14:textId="77777777" w:rsidR="0045778F" w:rsidRPr="008C66D7" w:rsidRDefault="0045778F" w:rsidP="00391C90">
            <w:pPr>
              <w:spacing w:after="0" w:line="240" w:lineRule="auto"/>
              <w:jc w:val="center"/>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2021 S</w:t>
            </w:r>
          </w:p>
        </w:tc>
        <w:tc>
          <w:tcPr>
            <w:tcW w:w="956" w:type="dxa"/>
            <w:tcBorders>
              <w:top w:val="nil"/>
              <w:left w:val="nil"/>
              <w:bottom w:val="nil"/>
              <w:right w:val="nil"/>
            </w:tcBorders>
            <w:shd w:val="clear" w:color="auto" w:fill="auto"/>
            <w:vAlign w:val="center"/>
            <w:hideMark/>
          </w:tcPr>
          <w:p w14:paraId="7E14E37C" w14:textId="77777777" w:rsidR="0045778F" w:rsidRPr="008C66D7" w:rsidRDefault="0045778F" w:rsidP="00391C90">
            <w:pPr>
              <w:spacing w:after="0" w:line="240" w:lineRule="auto"/>
              <w:jc w:val="center"/>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2022 R</w:t>
            </w:r>
          </w:p>
        </w:tc>
        <w:tc>
          <w:tcPr>
            <w:tcW w:w="1078" w:type="dxa"/>
            <w:tcBorders>
              <w:top w:val="nil"/>
              <w:left w:val="nil"/>
              <w:bottom w:val="nil"/>
              <w:right w:val="nil"/>
            </w:tcBorders>
            <w:shd w:val="clear" w:color="auto" w:fill="auto"/>
            <w:vAlign w:val="center"/>
            <w:hideMark/>
          </w:tcPr>
          <w:p w14:paraId="026811DF" w14:textId="77777777" w:rsidR="0045778F" w:rsidRPr="008C66D7" w:rsidRDefault="0045778F" w:rsidP="00391C90">
            <w:pPr>
              <w:spacing w:after="0" w:line="240" w:lineRule="auto"/>
              <w:jc w:val="center"/>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2022 S</w:t>
            </w:r>
          </w:p>
        </w:tc>
        <w:tc>
          <w:tcPr>
            <w:tcW w:w="1017" w:type="dxa"/>
            <w:tcBorders>
              <w:top w:val="nil"/>
              <w:left w:val="nil"/>
              <w:bottom w:val="nil"/>
              <w:right w:val="nil"/>
            </w:tcBorders>
            <w:shd w:val="clear" w:color="auto" w:fill="auto"/>
            <w:vAlign w:val="center"/>
            <w:hideMark/>
          </w:tcPr>
          <w:p w14:paraId="6D825B5F" w14:textId="77777777" w:rsidR="0045778F" w:rsidRPr="008C66D7" w:rsidRDefault="0045778F" w:rsidP="00391C90">
            <w:pPr>
              <w:spacing w:after="0" w:line="240" w:lineRule="auto"/>
              <w:jc w:val="center"/>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z toho: zdroj 111</w:t>
            </w:r>
            <w:r w:rsidRPr="008C66D7">
              <w:rPr>
                <w:rFonts w:ascii="Arial Narrow" w:eastAsia="Times New Roman" w:hAnsi="Arial Narrow" w:cs="Times New Roman"/>
                <w:b/>
                <w:bCs/>
                <w:color w:val="000000"/>
                <w:sz w:val="20"/>
                <w:szCs w:val="20"/>
                <w:lang w:eastAsia="sk-SK"/>
              </w:rPr>
              <w:t>*</w:t>
            </w:r>
          </w:p>
        </w:tc>
        <w:tc>
          <w:tcPr>
            <w:tcW w:w="925" w:type="dxa"/>
            <w:tcBorders>
              <w:top w:val="nil"/>
              <w:left w:val="nil"/>
              <w:bottom w:val="nil"/>
              <w:right w:val="nil"/>
            </w:tcBorders>
            <w:shd w:val="clear" w:color="auto" w:fill="auto"/>
            <w:vAlign w:val="center"/>
            <w:hideMark/>
          </w:tcPr>
          <w:p w14:paraId="3CF830AB" w14:textId="77777777" w:rsidR="0045778F" w:rsidRPr="008C66D7" w:rsidRDefault="0045778F" w:rsidP="00391C90">
            <w:pPr>
              <w:spacing w:after="0" w:line="240" w:lineRule="auto"/>
              <w:jc w:val="center"/>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Rozdiel</w:t>
            </w:r>
          </w:p>
        </w:tc>
        <w:tc>
          <w:tcPr>
            <w:tcW w:w="818" w:type="dxa"/>
            <w:tcBorders>
              <w:top w:val="nil"/>
              <w:left w:val="nil"/>
              <w:bottom w:val="nil"/>
              <w:right w:val="nil"/>
            </w:tcBorders>
            <w:shd w:val="clear" w:color="auto" w:fill="auto"/>
            <w:vAlign w:val="center"/>
            <w:hideMark/>
          </w:tcPr>
          <w:p w14:paraId="186FE2EB" w14:textId="77777777" w:rsidR="0045778F" w:rsidRPr="008C66D7" w:rsidRDefault="0045778F" w:rsidP="00391C90">
            <w:pPr>
              <w:spacing w:after="0" w:line="240" w:lineRule="auto"/>
              <w:jc w:val="center"/>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v %</w:t>
            </w:r>
          </w:p>
        </w:tc>
      </w:tr>
      <w:tr w:rsidR="0045778F" w:rsidRPr="008C66D7" w14:paraId="7CD41427" w14:textId="77777777" w:rsidTr="00EB5625">
        <w:trPr>
          <w:trHeight w:val="289"/>
        </w:trPr>
        <w:tc>
          <w:tcPr>
            <w:tcW w:w="2835" w:type="dxa"/>
            <w:tcBorders>
              <w:top w:val="nil"/>
              <w:left w:val="nil"/>
              <w:bottom w:val="single" w:sz="8" w:space="0" w:color="auto"/>
              <w:right w:val="nil"/>
            </w:tcBorders>
            <w:shd w:val="clear" w:color="auto" w:fill="auto"/>
            <w:vAlign w:val="center"/>
            <w:hideMark/>
          </w:tcPr>
          <w:p w14:paraId="041CFB4E" w14:textId="77777777" w:rsidR="0045778F" w:rsidRPr="008C66D7" w:rsidRDefault="0045778F" w:rsidP="00391C90">
            <w:pPr>
              <w:spacing w:after="0" w:line="240" w:lineRule="auto"/>
              <w:rPr>
                <w:rFonts w:eastAsia="Times New Roman" w:cs="Times New Roman"/>
                <w:b/>
                <w:bCs/>
                <w:color w:val="FFFFFF"/>
                <w:sz w:val="20"/>
                <w:szCs w:val="20"/>
                <w:lang w:eastAsia="sk-SK"/>
              </w:rPr>
            </w:pPr>
            <w:r w:rsidRPr="008C66D7">
              <w:rPr>
                <w:rFonts w:eastAsia="Times New Roman" w:cs="Times New Roman"/>
                <w:b/>
                <w:bCs/>
                <w:color w:val="FFFFFF"/>
                <w:sz w:val="20"/>
                <w:szCs w:val="20"/>
                <w:lang w:eastAsia="sk-SK"/>
              </w:rPr>
              <w:t> </w:t>
            </w:r>
          </w:p>
        </w:tc>
        <w:tc>
          <w:tcPr>
            <w:tcW w:w="997" w:type="dxa"/>
            <w:tcBorders>
              <w:top w:val="nil"/>
              <w:left w:val="nil"/>
              <w:bottom w:val="single" w:sz="8" w:space="0" w:color="auto"/>
              <w:right w:val="nil"/>
            </w:tcBorders>
            <w:shd w:val="clear" w:color="auto" w:fill="auto"/>
            <w:vAlign w:val="center"/>
            <w:hideMark/>
          </w:tcPr>
          <w:p w14:paraId="66E18A58" w14:textId="77777777" w:rsidR="0045778F" w:rsidRPr="008C66D7" w:rsidRDefault="0045778F" w:rsidP="00391C90">
            <w:pPr>
              <w:spacing w:after="0" w:line="240" w:lineRule="auto"/>
              <w:jc w:val="center"/>
              <w:rPr>
                <w:rFonts w:eastAsia="Times New Roman" w:cs="Times New Roman"/>
                <w:b/>
                <w:bCs/>
                <w:sz w:val="20"/>
                <w:szCs w:val="20"/>
                <w:lang w:eastAsia="sk-SK"/>
              </w:rPr>
            </w:pPr>
            <w:r w:rsidRPr="008C66D7">
              <w:rPr>
                <w:rFonts w:eastAsia="Times New Roman" w:cs="Times New Roman"/>
                <w:b/>
                <w:bCs/>
                <w:sz w:val="20"/>
                <w:szCs w:val="20"/>
                <w:lang w:eastAsia="sk-SK"/>
              </w:rPr>
              <w:t>1</w:t>
            </w:r>
          </w:p>
        </w:tc>
        <w:tc>
          <w:tcPr>
            <w:tcW w:w="956" w:type="dxa"/>
            <w:tcBorders>
              <w:top w:val="nil"/>
              <w:left w:val="nil"/>
              <w:bottom w:val="single" w:sz="8" w:space="0" w:color="auto"/>
              <w:right w:val="nil"/>
            </w:tcBorders>
            <w:shd w:val="clear" w:color="auto" w:fill="auto"/>
            <w:vAlign w:val="center"/>
            <w:hideMark/>
          </w:tcPr>
          <w:p w14:paraId="758535D8" w14:textId="77777777" w:rsidR="0045778F" w:rsidRPr="008C66D7" w:rsidRDefault="0045778F" w:rsidP="00391C90">
            <w:pPr>
              <w:spacing w:after="0" w:line="240" w:lineRule="auto"/>
              <w:jc w:val="center"/>
              <w:rPr>
                <w:rFonts w:eastAsia="Times New Roman" w:cs="Times New Roman"/>
                <w:b/>
                <w:bCs/>
                <w:sz w:val="20"/>
                <w:szCs w:val="20"/>
                <w:lang w:eastAsia="sk-SK"/>
              </w:rPr>
            </w:pPr>
            <w:r w:rsidRPr="008C66D7">
              <w:rPr>
                <w:rFonts w:eastAsia="Times New Roman" w:cs="Times New Roman"/>
                <w:b/>
                <w:bCs/>
                <w:sz w:val="20"/>
                <w:szCs w:val="20"/>
                <w:lang w:eastAsia="sk-SK"/>
              </w:rPr>
              <w:t>2</w:t>
            </w:r>
          </w:p>
        </w:tc>
        <w:tc>
          <w:tcPr>
            <w:tcW w:w="956" w:type="dxa"/>
            <w:tcBorders>
              <w:top w:val="nil"/>
              <w:left w:val="nil"/>
              <w:bottom w:val="single" w:sz="8" w:space="0" w:color="auto"/>
              <w:right w:val="nil"/>
            </w:tcBorders>
            <w:shd w:val="clear" w:color="auto" w:fill="auto"/>
            <w:vAlign w:val="center"/>
            <w:hideMark/>
          </w:tcPr>
          <w:p w14:paraId="126FA48B" w14:textId="77777777" w:rsidR="0045778F" w:rsidRPr="008C66D7" w:rsidRDefault="0045778F" w:rsidP="00391C90">
            <w:pPr>
              <w:spacing w:after="0" w:line="240" w:lineRule="auto"/>
              <w:jc w:val="center"/>
              <w:rPr>
                <w:rFonts w:eastAsia="Times New Roman" w:cs="Times New Roman"/>
                <w:b/>
                <w:bCs/>
                <w:sz w:val="20"/>
                <w:szCs w:val="20"/>
                <w:lang w:eastAsia="sk-SK"/>
              </w:rPr>
            </w:pPr>
            <w:r w:rsidRPr="008C66D7">
              <w:rPr>
                <w:rFonts w:eastAsia="Times New Roman" w:cs="Times New Roman"/>
                <w:b/>
                <w:bCs/>
                <w:sz w:val="20"/>
                <w:szCs w:val="20"/>
                <w:lang w:eastAsia="sk-SK"/>
              </w:rPr>
              <w:t>3</w:t>
            </w:r>
          </w:p>
        </w:tc>
        <w:tc>
          <w:tcPr>
            <w:tcW w:w="1078" w:type="dxa"/>
            <w:tcBorders>
              <w:top w:val="nil"/>
              <w:left w:val="nil"/>
              <w:bottom w:val="single" w:sz="8" w:space="0" w:color="auto"/>
              <w:right w:val="nil"/>
            </w:tcBorders>
            <w:shd w:val="clear" w:color="auto" w:fill="auto"/>
            <w:vAlign w:val="center"/>
            <w:hideMark/>
          </w:tcPr>
          <w:p w14:paraId="600832C0" w14:textId="77777777" w:rsidR="0045778F" w:rsidRPr="008C66D7" w:rsidRDefault="0045778F" w:rsidP="00391C90">
            <w:pPr>
              <w:spacing w:after="0" w:line="240" w:lineRule="auto"/>
              <w:jc w:val="center"/>
              <w:rPr>
                <w:rFonts w:eastAsia="Times New Roman" w:cs="Times New Roman"/>
                <w:b/>
                <w:bCs/>
                <w:sz w:val="20"/>
                <w:szCs w:val="20"/>
                <w:lang w:eastAsia="sk-SK"/>
              </w:rPr>
            </w:pPr>
            <w:r w:rsidRPr="008C66D7">
              <w:rPr>
                <w:rFonts w:eastAsia="Times New Roman" w:cs="Times New Roman"/>
                <w:b/>
                <w:bCs/>
                <w:sz w:val="20"/>
                <w:szCs w:val="20"/>
                <w:lang w:eastAsia="sk-SK"/>
              </w:rPr>
              <w:t>4</w:t>
            </w:r>
          </w:p>
        </w:tc>
        <w:tc>
          <w:tcPr>
            <w:tcW w:w="1017" w:type="dxa"/>
            <w:tcBorders>
              <w:top w:val="nil"/>
              <w:left w:val="nil"/>
              <w:bottom w:val="single" w:sz="8" w:space="0" w:color="auto"/>
              <w:right w:val="nil"/>
            </w:tcBorders>
            <w:shd w:val="clear" w:color="auto" w:fill="auto"/>
            <w:vAlign w:val="center"/>
            <w:hideMark/>
          </w:tcPr>
          <w:p w14:paraId="358FC9D1" w14:textId="77777777" w:rsidR="0045778F" w:rsidRPr="008C66D7" w:rsidRDefault="0045778F" w:rsidP="00391C90">
            <w:pPr>
              <w:spacing w:after="0" w:line="240" w:lineRule="auto"/>
              <w:jc w:val="center"/>
              <w:rPr>
                <w:rFonts w:eastAsia="Times New Roman" w:cs="Times New Roman"/>
                <w:b/>
                <w:bCs/>
                <w:sz w:val="20"/>
                <w:szCs w:val="20"/>
                <w:lang w:eastAsia="sk-SK"/>
              </w:rPr>
            </w:pPr>
            <w:r w:rsidRPr="008C66D7">
              <w:rPr>
                <w:rFonts w:eastAsia="Times New Roman" w:cs="Times New Roman"/>
                <w:b/>
                <w:bCs/>
                <w:sz w:val="20"/>
                <w:szCs w:val="20"/>
                <w:lang w:eastAsia="sk-SK"/>
              </w:rPr>
              <w:t>5</w:t>
            </w:r>
          </w:p>
        </w:tc>
        <w:tc>
          <w:tcPr>
            <w:tcW w:w="925" w:type="dxa"/>
            <w:tcBorders>
              <w:top w:val="nil"/>
              <w:left w:val="nil"/>
              <w:bottom w:val="single" w:sz="8" w:space="0" w:color="auto"/>
              <w:right w:val="nil"/>
            </w:tcBorders>
            <w:shd w:val="clear" w:color="auto" w:fill="auto"/>
            <w:vAlign w:val="center"/>
            <w:hideMark/>
          </w:tcPr>
          <w:p w14:paraId="683E1723" w14:textId="77777777" w:rsidR="0045778F" w:rsidRPr="008C66D7" w:rsidRDefault="0045778F" w:rsidP="00391C90">
            <w:pPr>
              <w:spacing w:after="0" w:line="240" w:lineRule="auto"/>
              <w:jc w:val="center"/>
              <w:rPr>
                <w:rFonts w:eastAsia="Times New Roman" w:cs="Times New Roman"/>
                <w:b/>
                <w:bCs/>
                <w:sz w:val="20"/>
                <w:szCs w:val="20"/>
                <w:lang w:eastAsia="sk-SK"/>
              </w:rPr>
            </w:pPr>
            <w:r w:rsidRPr="008C66D7">
              <w:rPr>
                <w:rFonts w:eastAsia="Times New Roman" w:cs="Times New Roman"/>
                <w:b/>
                <w:bCs/>
                <w:sz w:val="20"/>
                <w:szCs w:val="20"/>
                <w:lang w:eastAsia="sk-SK"/>
              </w:rPr>
              <w:t>6=4-3</w:t>
            </w:r>
          </w:p>
        </w:tc>
        <w:tc>
          <w:tcPr>
            <w:tcW w:w="818" w:type="dxa"/>
            <w:tcBorders>
              <w:top w:val="nil"/>
              <w:left w:val="nil"/>
              <w:bottom w:val="single" w:sz="8" w:space="0" w:color="auto"/>
              <w:right w:val="nil"/>
            </w:tcBorders>
            <w:shd w:val="clear" w:color="auto" w:fill="auto"/>
            <w:vAlign w:val="center"/>
            <w:hideMark/>
          </w:tcPr>
          <w:p w14:paraId="310A8D1B" w14:textId="77777777" w:rsidR="0045778F" w:rsidRPr="008C66D7" w:rsidRDefault="0045778F" w:rsidP="00391C90">
            <w:pPr>
              <w:spacing w:after="0" w:line="240" w:lineRule="auto"/>
              <w:jc w:val="center"/>
              <w:rPr>
                <w:rFonts w:eastAsia="Times New Roman" w:cs="Times New Roman"/>
                <w:b/>
                <w:bCs/>
                <w:sz w:val="20"/>
                <w:szCs w:val="20"/>
                <w:lang w:eastAsia="sk-SK"/>
              </w:rPr>
            </w:pPr>
            <w:r w:rsidRPr="008C66D7">
              <w:rPr>
                <w:rFonts w:eastAsia="Times New Roman" w:cs="Times New Roman"/>
                <w:b/>
                <w:bCs/>
                <w:sz w:val="20"/>
                <w:szCs w:val="20"/>
                <w:lang w:eastAsia="sk-SK"/>
              </w:rPr>
              <w:t>7=4-3</w:t>
            </w:r>
          </w:p>
        </w:tc>
      </w:tr>
      <w:tr w:rsidR="0045778F" w:rsidRPr="008C66D7" w14:paraId="4C86232D" w14:textId="77777777" w:rsidTr="00EB5625">
        <w:trPr>
          <w:trHeight w:val="289"/>
        </w:trPr>
        <w:tc>
          <w:tcPr>
            <w:tcW w:w="2835" w:type="dxa"/>
            <w:tcBorders>
              <w:top w:val="nil"/>
              <w:left w:val="nil"/>
              <w:bottom w:val="nil"/>
              <w:right w:val="nil"/>
            </w:tcBorders>
            <w:shd w:val="clear" w:color="000000" w:fill="FFFFFF"/>
            <w:vAlign w:val="center"/>
            <w:hideMark/>
          </w:tcPr>
          <w:p w14:paraId="6F162A14" w14:textId="77777777" w:rsidR="0045778F" w:rsidRPr="008C66D7" w:rsidRDefault="0045778F" w:rsidP="00391C90">
            <w:pPr>
              <w:spacing w:after="0" w:line="240" w:lineRule="auto"/>
              <w:rPr>
                <w:rFonts w:eastAsia="Times New Roman" w:cs="Times New Roman"/>
                <w:color w:val="000000"/>
                <w:sz w:val="20"/>
                <w:szCs w:val="20"/>
                <w:lang w:eastAsia="sk-SK"/>
              </w:rPr>
            </w:pPr>
            <w:r w:rsidRPr="008C66D7">
              <w:rPr>
                <w:rFonts w:eastAsia="Times New Roman" w:cs="Times New Roman"/>
                <w:color w:val="000000"/>
                <w:sz w:val="20"/>
                <w:szCs w:val="20"/>
                <w:lang w:eastAsia="sk-SK"/>
              </w:rPr>
              <w:t>Vzdelávanie</w:t>
            </w:r>
          </w:p>
        </w:tc>
        <w:tc>
          <w:tcPr>
            <w:tcW w:w="997" w:type="dxa"/>
            <w:tcBorders>
              <w:top w:val="nil"/>
              <w:left w:val="nil"/>
              <w:bottom w:val="nil"/>
              <w:right w:val="nil"/>
            </w:tcBorders>
            <w:shd w:val="clear" w:color="auto" w:fill="auto"/>
            <w:noWrap/>
            <w:vAlign w:val="center"/>
            <w:hideMark/>
          </w:tcPr>
          <w:p w14:paraId="405942AB"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1 147 803</w:t>
            </w:r>
          </w:p>
        </w:tc>
        <w:tc>
          <w:tcPr>
            <w:tcW w:w="956" w:type="dxa"/>
            <w:tcBorders>
              <w:top w:val="nil"/>
              <w:left w:val="nil"/>
              <w:bottom w:val="nil"/>
              <w:right w:val="nil"/>
            </w:tcBorders>
            <w:shd w:val="clear" w:color="auto" w:fill="auto"/>
            <w:noWrap/>
            <w:vAlign w:val="center"/>
            <w:hideMark/>
          </w:tcPr>
          <w:p w14:paraId="3B5F6846"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1 213 265</w:t>
            </w:r>
          </w:p>
        </w:tc>
        <w:tc>
          <w:tcPr>
            <w:tcW w:w="956" w:type="dxa"/>
            <w:tcBorders>
              <w:top w:val="nil"/>
              <w:left w:val="nil"/>
              <w:bottom w:val="nil"/>
              <w:right w:val="nil"/>
            </w:tcBorders>
            <w:shd w:val="clear" w:color="000000" w:fill="FFFFFF"/>
            <w:noWrap/>
            <w:vAlign w:val="center"/>
            <w:hideMark/>
          </w:tcPr>
          <w:p w14:paraId="56300A36"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1 304 863</w:t>
            </w:r>
          </w:p>
        </w:tc>
        <w:tc>
          <w:tcPr>
            <w:tcW w:w="1078" w:type="dxa"/>
            <w:tcBorders>
              <w:top w:val="nil"/>
              <w:left w:val="nil"/>
              <w:bottom w:val="nil"/>
              <w:right w:val="nil"/>
            </w:tcBorders>
            <w:shd w:val="clear" w:color="auto" w:fill="auto"/>
            <w:noWrap/>
            <w:vAlign w:val="center"/>
            <w:hideMark/>
          </w:tcPr>
          <w:p w14:paraId="0C04B015"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1 265 978</w:t>
            </w:r>
          </w:p>
        </w:tc>
        <w:tc>
          <w:tcPr>
            <w:tcW w:w="1017" w:type="dxa"/>
            <w:tcBorders>
              <w:top w:val="nil"/>
              <w:left w:val="nil"/>
              <w:bottom w:val="nil"/>
              <w:right w:val="nil"/>
            </w:tcBorders>
            <w:shd w:val="clear" w:color="auto" w:fill="auto"/>
            <w:noWrap/>
            <w:vAlign w:val="center"/>
            <w:hideMark/>
          </w:tcPr>
          <w:p w14:paraId="2AE3CFC6"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1 211 492</w:t>
            </w:r>
          </w:p>
        </w:tc>
        <w:tc>
          <w:tcPr>
            <w:tcW w:w="925" w:type="dxa"/>
            <w:tcBorders>
              <w:top w:val="nil"/>
              <w:left w:val="nil"/>
              <w:bottom w:val="nil"/>
              <w:right w:val="nil"/>
            </w:tcBorders>
            <w:shd w:val="clear" w:color="000000" w:fill="FFFFFF"/>
            <w:vAlign w:val="center"/>
            <w:hideMark/>
          </w:tcPr>
          <w:p w14:paraId="00A6B6FA"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-38 885</w:t>
            </w:r>
          </w:p>
        </w:tc>
        <w:tc>
          <w:tcPr>
            <w:tcW w:w="818" w:type="dxa"/>
            <w:tcBorders>
              <w:top w:val="nil"/>
              <w:left w:val="nil"/>
              <w:bottom w:val="nil"/>
              <w:right w:val="nil"/>
            </w:tcBorders>
            <w:shd w:val="clear" w:color="000000" w:fill="FFFFFF"/>
            <w:vAlign w:val="center"/>
            <w:hideMark/>
          </w:tcPr>
          <w:p w14:paraId="16C63258"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-3,0</w:t>
            </w:r>
          </w:p>
        </w:tc>
      </w:tr>
      <w:tr w:rsidR="0045778F" w:rsidRPr="008C66D7" w14:paraId="60AAFE7E" w14:textId="77777777" w:rsidTr="00EB5625">
        <w:trPr>
          <w:trHeight w:val="289"/>
        </w:trPr>
        <w:tc>
          <w:tcPr>
            <w:tcW w:w="2835" w:type="dxa"/>
            <w:tcBorders>
              <w:top w:val="nil"/>
              <w:left w:val="nil"/>
              <w:bottom w:val="nil"/>
              <w:right w:val="nil"/>
            </w:tcBorders>
            <w:shd w:val="clear" w:color="000000" w:fill="FFFFFF"/>
            <w:noWrap/>
            <w:vAlign w:val="center"/>
            <w:hideMark/>
          </w:tcPr>
          <w:p w14:paraId="51004615" w14:textId="77777777" w:rsidR="0045778F" w:rsidRPr="008C66D7" w:rsidRDefault="0045778F" w:rsidP="00391C90">
            <w:pPr>
              <w:spacing w:after="0" w:line="240" w:lineRule="auto"/>
              <w:rPr>
                <w:rFonts w:eastAsia="Times New Roman" w:cs="Times New Roman"/>
                <w:color w:val="000000"/>
                <w:sz w:val="20"/>
                <w:szCs w:val="20"/>
                <w:lang w:eastAsia="sk-SK"/>
              </w:rPr>
            </w:pPr>
            <w:r w:rsidRPr="008C66D7">
              <w:rPr>
                <w:rFonts w:eastAsia="Times New Roman" w:cs="Times New Roman"/>
                <w:color w:val="000000"/>
                <w:sz w:val="20"/>
                <w:szCs w:val="20"/>
                <w:lang w:eastAsia="sk-SK"/>
              </w:rPr>
              <w:t>Ekonomická oblasť</w:t>
            </w:r>
          </w:p>
        </w:tc>
        <w:tc>
          <w:tcPr>
            <w:tcW w:w="997" w:type="dxa"/>
            <w:tcBorders>
              <w:top w:val="nil"/>
              <w:left w:val="nil"/>
              <w:bottom w:val="nil"/>
              <w:right w:val="nil"/>
            </w:tcBorders>
            <w:shd w:val="clear" w:color="auto" w:fill="auto"/>
            <w:noWrap/>
            <w:vAlign w:val="center"/>
            <w:hideMark/>
          </w:tcPr>
          <w:p w14:paraId="128D75CA"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235 586</w:t>
            </w:r>
          </w:p>
        </w:tc>
        <w:tc>
          <w:tcPr>
            <w:tcW w:w="956" w:type="dxa"/>
            <w:tcBorders>
              <w:top w:val="nil"/>
              <w:left w:val="nil"/>
              <w:bottom w:val="nil"/>
              <w:right w:val="nil"/>
            </w:tcBorders>
            <w:shd w:val="clear" w:color="auto" w:fill="auto"/>
            <w:noWrap/>
            <w:vAlign w:val="center"/>
            <w:hideMark/>
          </w:tcPr>
          <w:p w14:paraId="57EC77E9"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149 171</w:t>
            </w:r>
          </w:p>
        </w:tc>
        <w:tc>
          <w:tcPr>
            <w:tcW w:w="956" w:type="dxa"/>
            <w:tcBorders>
              <w:top w:val="nil"/>
              <w:left w:val="nil"/>
              <w:bottom w:val="nil"/>
              <w:right w:val="nil"/>
            </w:tcBorders>
            <w:shd w:val="clear" w:color="000000" w:fill="FFFFFF"/>
            <w:noWrap/>
            <w:vAlign w:val="center"/>
            <w:hideMark/>
          </w:tcPr>
          <w:p w14:paraId="25C101F5"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9 086</w:t>
            </w:r>
          </w:p>
        </w:tc>
        <w:tc>
          <w:tcPr>
            <w:tcW w:w="1078" w:type="dxa"/>
            <w:tcBorders>
              <w:top w:val="nil"/>
              <w:left w:val="nil"/>
              <w:bottom w:val="nil"/>
              <w:right w:val="nil"/>
            </w:tcBorders>
            <w:shd w:val="clear" w:color="auto" w:fill="auto"/>
            <w:noWrap/>
            <w:vAlign w:val="center"/>
            <w:hideMark/>
          </w:tcPr>
          <w:p w14:paraId="7874E573"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113 439</w:t>
            </w:r>
          </w:p>
        </w:tc>
        <w:tc>
          <w:tcPr>
            <w:tcW w:w="1017" w:type="dxa"/>
            <w:tcBorders>
              <w:top w:val="nil"/>
              <w:left w:val="nil"/>
              <w:bottom w:val="nil"/>
              <w:right w:val="nil"/>
            </w:tcBorders>
            <w:shd w:val="clear" w:color="auto" w:fill="auto"/>
            <w:noWrap/>
            <w:vAlign w:val="center"/>
            <w:hideMark/>
          </w:tcPr>
          <w:p w14:paraId="379357A0"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13 830</w:t>
            </w:r>
          </w:p>
        </w:tc>
        <w:tc>
          <w:tcPr>
            <w:tcW w:w="925" w:type="dxa"/>
            <w:tcBorders>
              <w:top w:val="nil"/>
              <w:left w:val="nil"/>
              <w:bottom w:val="nil"/>
              <w:right w:val="nil"/>
            </w:tcBorders>
            <w:shd w:val="clear" w:color="000000" w:fill="FFFFFF"/>
            <w:vAlign w:val="center"/>
            <w:hideMark/>
          </w:tcPr>
          <w:p w14:paraId="2A956FDD"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104 353</w:t>
            </w:r>
          </w:p>
        </w:tc>
        <w:tc>
          <w:tcPr>
            <w:tcW w:w="818" w:type="dxa"/>
            <w:tcBorders>
              <w:top w:val="nil"/>
              <w:left w:val="nil"/>
              <w:bottom w:val="nil"/>
              <w:right w:val="nil"/>
            </w:tcBorders>
            <w:shd w:val="clear" w:color="000000" w:fill="FFFFFF"/>
            <w:vAlign w:val="center"/>
            <w:hideMark/>
          </w:tcPr>
          <w:p w14:paraId="41F149DA"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1 148,5</w:t>
            </w:r>
          </w:p>
        </w:tc>
      </w:tr>
      <w:tr w:rsidR="0045778F" w:rsidRPr="008C66D7" w14:paraId="53875199" w14:textId="77777777" w:rsidTr="00EB5625">
        <w:trPr>
          <w:trHeight w:val="289"/>
        </w:trPr>
        <w:tc>
          <w:tcPr>
            <w:tcW w:w="2835" w:type="dxa"/>
            <w:tcBorders>
              <w:top w:val="nil"/>
              <w:left w:val="nil"/>
              <w:bottom w:val="nil"/>
              <w:right w:val="nil"/>
            </w:tcBorders>
            <w:shd w:val="clear" w:color="000000" w:fill="FFFFFF"/>
            <w:noWrap/>
            <w:vAlign w:val="center"/>
            <w:hideMark/>
          </w:tcPr>
          <w:p w14:paraId="1AF220DC" w14:textId="77777777" w:rsidR="0045778F" w:rsidRPr="008C66D7" w:rsidRDefault="0045778F" w:rsidP="00391C90">
            <w:pPr>
              <w:spacing w:after="0" w:line="240" w:lineRule="auto"/>
              <w:rPr>
                <w:rFonts w:eastAsia="Times New Roman" w:cs="Times New Roman"/>
                <w:color w:val="000000"/>
                <w:sz w:val="20"/>
                <w:szCs w:val="20"/>
                <w:lang w:eastAsia="sk-SK"/>
              </w:rPr>
            </w:pPr>
            <w:r w:rsidRPr="008C66D7">
              <w:rPr>
                <w:rFonts w:eastAsia="Times New Roman" w:cs="Times New Roman"/>
                <w:color w:val="000000"/>
                <w:sz w:val="20"/>
                <w:szCs w:val="20"/>
                <w:lang w:eastAsia="sk-SK"/>
              </w:rPr>
              <w:t>Sociálne zabezpečenie</w:t>
            </w:r>
          </w:p>
        </w:tc>
        <w:tc>
          <w:tcPr>
            <w:tcW w:w="997" w:type="dxa"/>
            <w:tcBorders>
              <w:top w:val="nil"/>
              <w:left w:val="nil"/>
              <w:bottom w:val="nil"/>
              <w:right w:val="nil"/>
            </w:tcBorders>
            <w:shd w:val="clear" w:color="auto" w:fill="auto"/>
            <w:noWrap/>
            <w:vAlign w:val="center"/>
            <w:hideMark/>
          </w:tcPr>
          <w:p w14:paraId="55E35FC7"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157 051</w:t>
            </w:r>
          </w:p>
        </w:tc>
        <w:tc>
          <w:tcPr>
            <w:tcW w:w="956" w:type="dxa"/>
            <w:tcBorders>
              <w:top w:val="nil"/>
              <w:left w:val="nil"/>
              <w:bottom w:val="nil"/>
              <w:right w:val="nil"/>
            </w:tcBorders>
            <w:shd w:val="clear" w:color="auto" w:fill="auto"/>
            <w:noWrap/>
            <w:vAlign w:val="center"/>
            <w:hideMark/>
          </w:tcPr>
          <w:p w14:paraId="0EDE368E"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160 779</w:t>
            </w:r>
          </w:p>
        </w:tc>
        <w:tc>
          <w:tcPr>
            <w:tcW w:w="956" w:type="dxa"/>
            <w:tcBorders>
              <w:top w:val="nil"/>
              <w:left w:val="nil"/>
              <w:bottom w:val="nil"/>
              <w:right w:val="nil"/>
            </w:tcBorders>
            <w:shd w:val="clear" w:color="000000" w:fill="FFFFFF"/>
            <w:noWrap/>
            <w:vAlign w:val="center"/>
            <w:hideMark/>
          </w:tcPr>
          <w:p w14:paraId="7DDF9037"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88 615</w:t>
            </w:r>
          </w:p>
        </w:tc>
        <w:tc>
          <w:tcPr>
            <w:tcW w:w="1078" w:type="dxa"/>
            <w:tcBorders>
              <w:top w:val="nil"/>
              <w:left w:val="nil"/>
              <w:bottom w:val="nil"/>
              <w:right w:val="nil"/>
            </w:tcBorders>
            <w:shd w:val="clear" w:color="auto" w:fill="auto"/>
            <w:noWrap/>
            <w:vAlign w:val="center"/>
            <w:hideMark/>
          </w:tcPr>
          <w:p w14:paraId="04AC9BC0"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107 528</w:t>
            </w:r>
          </w:p>
        </w:tc>
        <w:tc>
          <w:tcPr>
            <w:tcW w:w="1017" w:type="dxa"/>
            <w:tcBorders>
              <w:top w:val="nil"/>
              <w:left w:val="nil"/>
              <w:bottom w:val="nil"/>
              <w:right w:val="nil"/>
            </w:tcBorders>
            <w:shd w:val="clear" w:color="auto" w:fill="auto"/>
            <w:noWrap/>
            <w:vAlign w:val="center"/>
            <w:hideMark/>
          </w:tcPr>
          <w:p w14:paraId="6CDFBB56"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81 969</w:t>
            </w:r>
          </w:p>
        </w:tc>
        <w:tc>
          <w:tcPr>
            <w:tcW w:w="925" w:type="dxa"/>
            <w:tcBorders>
              <w:top w:val="nil"/>
              <w:left w:val="nil"/>
              <w:bottom w:val="nil"/>
              <w:right w:val="nil"/>
            </w:tcBorders>
            <w:shd w:val="clear" w:color="000000" w:fill="FFFFFF"/>
            <w:vAlign w:val="center"/>
            <w:hideMark/>
          </w:tcPr>
          <w:p w14:paraId="5E22C0FC"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18 913</w:t>
            </w:r>
          </w:p>
        </w:tc>
        <w:tc>
          <w:tcPr>
            <w:tcW w:w="818" w:type="dxa"/>
            <w:tcBorders>
              <w:top w:val="nil"/>
              <w:left w:val="nil"/>
              <w:bottom w:val="nil"/>
              <w:right w:val="nil"/>
            </w:tcBorders>
            <w:shd w:val="clear" w:color="000000" w:fill="FFFFFF"/>
            <w:vAlign w:val="center"/>
            <w:hideMark/>
          </w:tcPr>
          <w:p w14:paraId="76526F5E"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21,3</w:t>
            </w:r>
          </w:p>
        </w:tc>
      </w:tr>
      <w:tr w:rsidR="0045778F" w:rsidRPr="008C66D7" w14:paraId="1845822B" w14:textId="77777777" w:rsidTr="00EB5625">
        <w:trPr>
          <w:trHeight w:val="289"/>
        </w:trPr>
        <w:tc>
          <w:tcPr>
            <w:tcW w:w="2835" w:type="dxa"/>
            <w:tcBorders>
              <w:top w:val="nil"/>
              <w:left w:val="nil"/>
              <w:bottom w:val="nil"/>
              <w:right w:val="nil"/>
            </w:tcBorders>
            <w:shd w:val="clear" w:color="000000" w:fill="FFFFFF"/>
            <w:noWrap/>
            <w:vAlign w:val="center"/>
            <w:hideMark/>
          </w:tcPr>
          <w:p w14:paraId="09523C84" w14:textId="77777777" w:rsidR="0045778F" w:rsidRPr="008C66D7" w:rsidRDefault="0045778F" w:rsidP="00391C90">
            <w:pPr>
              <w:spacing w:after="0" w:line="240" w:lineRule="auto"/>
              <w:rPr>
                <w:rFonts w:eastAsia="Times New Roman" w:cs="Times New Roman"/>
                <w:color w:val="000000"/>
                <w:sz w:val="20"/>
                <w:szCs w:val="20"/>
                <w:lang w:eastAsia="sk-SK"/>
              </w:rPr>
            </w:pPr>
            <w:r w:rsidRPr="008C66D7">
              <w:rPr>
                <w:rFonts w:eastAsia="Times New Roman" w:cs="Times New Roman"/>
                <w:color w:val="000000"/>
                <w:sz w:val="20"/>
                <w:szCs w:val="20"/>
                <w:lang w:eastAsia="sk-SK"/>
              </w:rPr>
              <w:t>Všeobecné verejné služby</w:t>
            </w:r>
          </w:p>
        </w:tc>
        <w:tc>
          <w:tcPr>
            <w:tcW w:w="997" w:type="dxa"/>
            <w:tcBorders>
              <w:top w:val="nil"/>
              <w:left w:val="nil"/>
              <w:bottom w:val="nil"/>
              <w:right w:val="nil"/>
            </w:tcBorders>
            <w:shd w:val="clear" w:color="auto" w:fill="auto"/>
            <w:noWrap/>
            <w:vAlign w:val="center"/>
            <w:hideMark/>
          </w:tcPr>
          <w:p w14:paraId="32E856F1"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65 096</w:t>
            </w:r>
          </w:p>
        </w:tc>
        <w:tc>
          <w:tcPr>
            <w:tcW w:w="956" w:type="dxa"/>
            <w:tcBorders>
              <w:top w:val="nil"/>
              <w:left w:val="nil"/>
              <w:bottom w:val="nil"/>
              <w:right w:val="nil"/>
            </w:tcBorders>
            <w:shd w:val="clear" w:color="auto" w:fill="auto"/>
            <w:noWrap/>
            <w:vAlign w:val="center"/>
            <w:hideMark/>
          </w:tcPr>
          <w:p w14:paraId="165C1DDD"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146 631</w:t>
            </w:r>
          </w:p>
        </w:tc>
        <w:tc>
          <w:tcPr>
            <w:tcW w:w="956" w:type="dxa"/>
            <w:tcBorders>
              <w:top w:val="nil"/>
              <w:left w:val="nil"/>
              <w:bottom w:val="nil"/>
              <w:right w:val="nil"/>
            </w:tcBorders>
            <w:shd w:val="clear" w:color="000000" w:fill="FFFFFF"/>
            <w:noWrap/>
            <w:vAlign w:val="center"/>
            <w:hideMark/>
          </w:tcPr>
          <w:p w14:paraId="66F2779B"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22 807</w:t>
            </w:r>
          </w:p>
        </w:tc>
        <w:tc>
          <w:tcPr>
            <w:tcW w:w="1078" w:type="dxa"/>
            <w:tcBorders>
              <w:top w:val="nil"/>
              <w:left w:val="nil"/>
              <w:bottom w:val="nil"/>
              <w:right w:val="nil"/>
            </w:tcBorders>
            <w:shd w:val="clear" w:color="auto" w:fill="auto"/>
            <w:noWrap/>
            <w:vAlign w:val="center"/>
            <w:hideMark/>
          </w:tcPr>
          <w:p w14:paraId="7EE36AB8"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105 775</w:t>
            </w:r>
          </w:p>
        </w:tc>
        <w:tc>
          <w:tcPr>
            <w:tcW w:w="1017" w:type="dxa"/>
            <w:tcBorders>
              <w:top w:val="nil"/>
              <w:left w:val="nil"/>
              <w:bottom w:val="nil"/>
              <w:right w:val="nil"/>
            </w:tcBorders>
            <w:shd w:val="clear" w:color="auto" w:fill="auto"/>
            <w:noWrap/>
            <w:vAlign w:val="center"/>
            <w:hideMark/>
          </w:tcPr>
          <w:p w14:paraId="758206E2"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37 217</w:t>
            </w:r>
          </w:p>
        </w:tc>
        <w:tc>
          <w:tcPr>
            <w:tcW w:w="925" w:type="dxa"/>
            <w:tcBorders>
              <w:top w:val="nil"/>
              <w:left w:val="nil"/>
              <w:bottom w:val="nil"/>
              <w:right w:val="nil"/>
            </w:tcBorders>
            <w:shd w:val="clear" w:color="000000" w:fill="FFFFFF"/>
            <w:vAlign w:val="center"/>
            <w:hideMark/>
          </w:tcPr>
          <w:p w14:paraId="184EF7A0"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82 968</w:t>
            </w:r>
          </w:p>
        </w:tc>
        <w:tc>
          <w:tcPr>
            <w:tcW w:w="818" w:type="dxa"/>
            <w:tcBorders>
              <w:top w:val="nil"/>
              <w:left w:val="nil"/>
              <w:bottom w:val="nil"/>
              <w:right w:val="nil"/>
            </w:tcBorders>
            <w:shd w:val="clear" w:color="000000" w:fill="FFFFFF"/>
            <w:vAlign w:val="center"/>
            <w:hideMark/>
          </w:tcPr>
          <w:p w14:paraId="287E81C7"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363,8</w:t>
            </w:r>
          </w:p>
        </w:tc>
      </w:tr>
      <w:tr w:rsidR="0045778F" w:rsidRPr="008C66D7" w14:paraId="1A9B3211" w14:textId="77777777" w:rsidTr="00EB5625">
        <w:trPr>
          <w:trHeight w:val="289"/>
        </w:trPr>
        <w:tc>
          <w:tcPr>
            <w:tcW w:w="2835" w:type="dxa"/>
            <w:tcBorders>
              <w:top w:val="nil"/>
              <w:left w:val="nil"/>
              <w:bottom w:val="nil"/>
              <w:right w:val="nil"/>
            </w:tcBorders>
            <w:shd w:val="clear" w:color="000000" w:fill="FFFFFF"/>
            <w:vAlign w:val="center"/>
            <w:hideMark/>
          </w:tcPr>
          <w:p w14:paraId="3D9F5B0D" w14:textId="77777777" w:rsidR="0045778F" w:rsidRPr="008C66D7" w:rsidRDefault="0045778F" w:rsidP="00391C90">
            <w:pPr>
              <w:spacing w:after="0" w:line="240" w:lineRule="auto"/>
              <w:rPr>
                <w:rFonts w:eastAsia="Times New Roman" w:cs="Times New Roman"/>
                <w:color w:val="000000"/>
                <w:sz w:val="20"/>
                <w:szCs w:val="20"/>
                <w:lang w:eastAsia="sk-SK"/>
              </w:rPr>
            </w:pPr>
            <w:r w:rsidRPr="008C66D7">
              <w:rPr>
                <w:rFonts w:eastAsia="Times New Roman" w:cs="Times New Roman"/>
                <w:color w:val="000000"/>
                <w:sz w:val="20"/>
                <w:szCs w:val="20"/>
                <w:lang w:eastAsia="sk-SK"/>
              </w:rPr>
              <w:t>Ochrana životného prostredia</w:t>
            </w:r>
          </w:p>
        </w:tc>
        <w:tc>
          <w:tcPr>
            <w:tcW w:w="997" w:type="dxa"/>
            <w:tcBorders>
              <w:top w:val="nil"/>
              <w:left w:val="nil"/>
              <w:bottom w:val="nil"/>
              <w:right w:val="nil"/>
            </w:tcBorders>
            <w:shd w:val="clear" w:color="auto" w:fill="auto"/>
            <w:noWrap/>
            <w:vAlign w:val="center"/>
            <w:hideMark/>
          </w:tcPr>
          <w:p w14:paraId="2574DABD"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92 425</w:t>
            </w:r>
          </w:p>
        </w:tc>
        <w:tc>
          <w:tcPr>
            <w:tcW w:w="956" w:type="dxa"/>
            <w:tcBorders>
              <w:top w:val="nil"/>
              <w:left w:val="nil"/>
              <w:bottom w:val="nil"/>
              <w:right w:val="nil"/>
            </w:tcBorders>
            <w:shd w:val="clear" w:color="auto" w:fill="auto"/>
            <w:noWrap/>
            <w:vAlign w:val="center"/>
            <w:hideMark/>
          </w:tcPr>
          <w:p w14:paraId="0EF85669"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51 838</w:t>
            </w:r>
          </w:p>
        </w:tc>
        <w:tc>
          <w:tcPr>
            <w:tcW w:w="956" w:type="dxa"/>
            <w:tcBorders>
              <w:top w:val="nil"/>
              <w:left w:val="nil"/>
              <w:bottom w:val="nil"/>
              <w:right w:val="nil"/>
            </w:tcBorders>
            <w:shd w:val="clear" w:color="000000" w:fill="FFFFFF"/>
            <w:noWrap/>
            <w:vAlign w:val="center"/>
            <w:hideMark/>
          </w:tcPr>
          <w:p w14:paraId="6817B423"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0</w:t>
            </w:r>
          </w:p>
        </w:tc>
        <w:tc>
          <w:tcPr>
            <w:tcW w:w="1078" w:type="dxa"/>
            <w:tcBorders>
              <w:top w:val="nil"/>
              <w:left w:val="nil"/>
              <w:bottom w:val="nil"/>
              <w:right w:val="nil"/>
            </w:tcBorders>
            <w:shd w:val="clear" w:color="auto" w:fill="auto"/>
            <w:noWrap/>
            <w:vAlign w:val="center"/>
            <w:hideMark/>
          </w:tcPr>
          <w:p w14:paraId="7066932E"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52 787</w:t>
            </w:r>
          </w:p>
        </w:tc>
        <w:tc>
          <w:tcPr>
            <w:tcW w:w="1017" w:type="dxa"/>
            <w:tcBorders>
              <w:top w:val="nil"/>
              <w:left w:val="nil"/>
              <w:bottom w:val="nil"/>
              <w:right w:val="nil"/>
            </w:tcBorders>
            <w:shd w:val="clear" w:color="auto" w:fill="auto"/>
            <w:noWrap/>
            <w:vAlign w:val="center"/>
            <w:hideMark/>
          </w:tcPr>
          <w:p w14:paraId="2A293E34"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0</w:t>
            </w:r>
          </w:p>
        </w:tc>
        <w:tc>
          <w:tcPr>
            <w:tcW w:w="925" w:type="dxa"/>
            <w:tcBorders>
              <w:top w:val="nil"/>
              <w:left w:val="nil"/>
              <w:bottom w:val="nil"/>
              <w:right w:val="nil"/>
            </w:tcBorders>
            <w:shd w:val="clear" w:color="000000" w:fill="FFFFFF"/>
            <w:vAlign w:val="center"/>
            <w:hideMark/>
          </w:tcPr>
          <w:p w14:paraId="0B44195A"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52 787</w:t>
            </w:r>
          </w:p>
        </w:tc>
        <w:tc>
          <w:tcPr>
            <w:tcW w:w="818" w:type="dxa"/>
            <w:tcBorders>
              <w:top w:val="nil"/>
              <w:left w:val="nil"/>
              <w:bottom w:val="nil"/>
              <w:right w:val="nil"/>
            </w:tcBorders>
            <w:shd w:val="clear" w:color="000000" w:fill="FFFFFF"/>
            <w:vAlign w:val="center"/>
            <w:hideMark/>
          </w:tcPr>
          <w:p w14:paraId="4E8D379C"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x</w:t>
            </w:r>
          </w:p>
        </w:tc>
      </w:tr>
      <w:tr w:rsidR="0045778F" w:rsidRPr="008C66D7" w14:paraId="0CDC0597" w14:textId="77777777" w:rsidTr="00EB5625">
        <w:trPr>
          <w:trHeight w:val="289"/>
        </w:trPr>
        <w:tc>
          <w:tcPr>
            <w:tcW w:w="2835" w:type="dxa"/>
            <w:tcBorders>
              <w:top w:val="nil"/>
              <w:left w:val="nil"/>
              <w:bottom w:val="nil"/>
              <w:right w:val="nil"/>
            </w:tcBorders>
            <w:shd w:val="clear" w:color="000000" w:fill="FFFFFF"/>
            <w:vAlign w:val="center"/>
            <w:hideMark/>
          </w:tcPr>
          <w:p w14:paraId="4EDC7A36" w14:textId="77777777" w:rsidR="0045778F" w:rsidRPr="008C66D7" w:rsidRDefault="0045778F" w:rsidP="00391C90">
            <w:pPr>
              <w:spacing w:after="0" w:line="240" w:lineRule="auto"/>
              <w:rPr>
                <w:rFonts w:eastAsia="Times New Roman" w:cs="Times New Roman"/>
                <w:color w:val="000000"/>
                <w:sz w:val="20"/>
                <w:szCs w:val="20"/>
                <w:lang w:eastAsia="sk-SK"/>
              </w:rPr>
            </w:pPr>
            <w:r w:rsidRPr="008C66D7">
              <w:rPr>
                <w:rFonts w:eastAsia="Times New Roman" w:cs="Times New Roman"/>
                <w:color w:val="000000"/>
                <w:sz w:val="20"/>
                <w:szCs w:val="20"/>
                <w:lang w:eastAsia="sk-SK"/>
              </w:rPr>
              <w:t>Bývanie a občianska vybavenosť</w:t>
            </w:r>
          </w:p>
        </w:tc>
        <w:tc>
          <w:tcPr>
            <w:tcW w:w="997" w:type="dxa"/>
            <w:tcBorders>
              <w:top w:val="nil"/>
              <w:left w:val="nil"/>
              <w:bottom w:val="nil"/>
              <w:right w:val="nil"/>
            </w:tcBorders>
            <w:shd w:val="clear" w:color="auto" w:fill="auto"/>
            <w:noWrap/>
            <w:vAlign w:val="center"/>
            <w:hideMark/>
          </w:tcPr>
          <w:p w14:paraId="7B4940C1"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17 982</w:t>
            </w:r>
          </w:p>
        </w:tc>
        <w:tc>
          <w:tcPr>
            <w:tcW w:w="956" w:type="dxa"/>
            <w:tcBorders>
              <w:top w:val="nil"/>
              <w:left w:val="nil"/>
              <w:bottom w:val="nil"/>
              <w:right w:val="nil"/>
            </w:tcBorders>
            <w:shd w:val="clear" w:color="auto" w:fill="auto"/>
            <w:noWrap/>
            <w:vAlign w:val="center"/>
            <w:hideMark/>
          </w:tcPr>
          <w:p w14:paraId="444635D5"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27 276</w:t>
            </w:r>
          </w:p>
        </w:tc>
        <w:tc>
          <w:tcPr>
            <w:tcW w:w="956" w:type="dxa"/>
            <w:tcBorders>
              <w:top w:val="nil"/>
              <w:left w:val="nil"/>
              <w:bottom w:val="nil"/>
              <w:right w:val="nil"/>
            </w:tcBorders>
            <w:shd w:val="clear" w:color="000000" w:fill="FFFFFF"/>
            <w:noWrap/>
            <w:vAlign w:val="center"/>
            <w:hideMark/>
          </w:tcPr>
          <w:p w14:paraId="548C00D2"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0</w:t>
            </w:r>
          </w:p>
        </w:tc>
        <w:tc>
          <w:tcPr>
            <w:tcW w:w="1078" w:type="dxa"/>
            <w:tcBorders>
              <w:top w:val="nil"/>
              <w:left w:val="nil"/>
              <w:bottom w:val="nil"/>
              <w:right w:val="nil"/>
            </w:tcBorders>
            <w:shd w:val="clear" w:color="auto" w:fill="auto"/>
            <w:noWrap/>
            <w:vAlign w:val="center"/>
            <w:hideMark/>
          </w:tcPr>
          <w:p w14:paraId="1A086D54"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41 366</w:t>
            </w:r>
          </w:p>
        </w:tc>
        <w:tc>
          <w:tcPr>
            <w:tcW w:w="1017" w:type="dxa"/>
            <w:tcBorders>
              <w:top w:val="nil"/>
              <w:left w:val="nil"/>
              <w:bottom w:val="nil"/>
              <w:right w:val="nil"/>
            </w:tcBorders>
            <w:shd w:val="clear" w:color="auto" w:fill="auto"/>
            <w:noWrap/>
            <w:vAlign w:val="center"/>
            <w:hideMark/>
          </w:tcPr>
          <w:p w14:paraId="5056FEB7"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73</w:t>
            </w:r>
          </w:p>
        </w:tc>
        <w:tc>
          <w:tcPr>
            <w:tcW w:w="925" w:type="dxa"/>
            <w:tcBorders>
              <w:top w:val="nil"/>
              <w:left w:val="nil"/>
              <w:bottom w:val="nil"/>
              <w:right w:val="nil"/>
            </w:tcBorders>
            <w:shd w:val="clear" w:color="000000" w:fill="FFFFFF"/>
            <w:vAlign w:val="center"/>
            <w:hideMark/>
          </w:tcPr>
          <w:p w14:paraId="34768C19"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41 366</w:t>
            </w:r>
          </w:p>
        </w:tc>
        <w:tc>
          <w:tcPr>
            <w:tcW w:w="818" w:type="dxa"/>
            <w:tcBorders>
              <w:top w:val="nil"/>
              <w:left w:val="nil"/>
              <w:bottom w:val="nil"/>
              <w:right w:val="nil"/>
            </w:tcBorders>
            <w:shd w:val="clear" w:color="000000" w:fill="FFFFFF"/>
            <w:vAlign w:val="center"/>
            <w:hideMark/>
          </w:tcPr>
          <w:p w14:paraId="42E957D9"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x</w:t>
            </w:r>
          </w:p>
        </w:tc>
      </w:tr>
      <w:tr w:rsidR="0045778F" w:rsidRPr="008C66D7" w14:paraId="6DAC408F" w14:textId="77777777" w:rsidTr="00EB5625">
        <w:trPr>
          <w:trHeight w:val="289"/>
        </w:trPr>
        <w:tc>
          <w:tcPr>
            <w:tcW w:w="2835" w:type="dxa"/>
            <w:tcBorders>
              <w:top w:val="nil"/>
              <w:left w:val="nil"/>
              <w:bottom w:val="nil"/>
              <w:right w:val="nil"/>
            </w:tcBorders>
            <w:shd w:val="clear" w:color="000000" w:fill="FFFFFF"/>
            <w:noWrap/>
            <w:vAlign w:val="center"/>
            <w:hideMark/>
          </w:tcPr>
          <w:p w14:paraId="6FCF1897" w14:textId="77777777" w:rsidR="0045778F" w:rsidRPr="008C66D7" w:rsidRDefault="0045778F" w:rsidP="00391C90">
            <w:pPr>
              <w:spacing w:after="0" w:line="240" w:lineRule="auto"/>
              <w:rPr>
                <w:rFonts w:eastAsia="Times New Roman" w:cs="Times New Roman"/>
                <w:color w:val="000000"/>
                <w:sz w:val="20"/>
                <w:szCs w:val="20"/>
                <w:lang w:eastAsia="sk-SK"/>
              </w:rPr>
            </w:pPr>
            <w:r w:rsidRPr="008C66D7">
              <w:rPr>
                <w:rFonts w:eastAsia="Times New Roman" w:cs="Times New Roman"/>
                <w:color w:val="000000"/>
                <w:sz w:val="20"/>
                <w:szCs w:val="20"/>
                <w:lang w:eastAsia="sk-SK"/>
              </w:rPr>
              <w:lastRenderedPageBreak/>
              <w:t>Verejný poriadok a bezpečnosť</w:t>
            </w:r>
          </w:p>
        </w:tc>
        <w:tc>
          <w:tcPr>
            <w:tcW w:w="997" w:type="dxa"/>
            <w:tcBorders>
              <w:top w:val="nil"/>
              <w:left w:val="nil"/>
              <w:bottom w:val="nil"/>
              <w:right w:val="nil"/>
            </w:tcBorders>
            <w:shd w:val="clear" w:color="auto" w:fill="auto"/>
            <w:noWrap/>
            <w:vAlign w:val="center"/>
            <w:hideMark/>
          </w:tcPr>
          <w:p w14:paraId="76EF5588"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13 058</w:t>
            </w:r>
          </w:p>
        </w:tc>
        <w:tc>
          <w:tcPr>
            <w:tcW w:w="956" w:type="dxa"/>
            <w:tcBorders>
              <w:top w:val="nil"/>
              <w:left w:val="nil"/>
              <w:bottom w:val="nil"/>
              <w:right w:val="nil"/>
            </w:tcBorders>
            <w:shd w:val="clear" w:color="auto" w:fill="auto"/>
            <w:noWrap/>
            <w:vAlign w:val="center"/>
            <w:hideMark/>
          </w:tcPr>
          <w:p w14:paraId="56B14C33"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3 789</w:t>
            </w:r>
          </w:p>
        </w:tc>
        <w:tc>
          <w:tcPr>
            <w:tcW w:w="956" w:type="dxa"/>
            <w:tcBorders>
              <w:top w:val="nil"/>
              <w:left w:val="nil"/>
              <w:bottom w:val="nil"/>
              <w:right w:val="nil"/>
            </w:tcBorders>
            <w:shd w:val="clear" w:color="000000" w:fill="FFFFFF"/>
            <w:noWrap/>
            <w:vAlign w:val="center"/>
            <w:hideMark/>
          </w:tcPr>
          <w:p w14:paraId="6AC51BDD"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660</w:t>
            </w:r>
          </w:p>
        </w:tc>
        <w:tc>
          <w:tcPr>
            <w:tcW w:w="1078" w:type="dxa"/>
            <w:tcBorders>
              <w:top w:val="nil"/>
              <w:left w:val="nil"/>
              <w:bottom w:val="nil"/>
              <w:right w:val="nil"/>
            </w:tcBorders>
            <w:shd w:val="clear" w:color="auto" w:fill="auto"/>
            <w:noWrap/>
            <w:vAlign w:val="center"/>
            <w:hideMark/>
          </w:tcPr>
          <w:p w14:paraId="26CAD73C"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10 575</w:t>
            </w:r>
          </w:p>
        </w:tc>
        <w:tc>
          <w:tcPr>
            <w:tcW w:w="1017" w:type="dxa"/>
            <w:tcBorders>
              <w:top w:val="nil"/>
              <w:left w:val="nil"/>
              <w:bottom w:val="nil"/>
              <w:right w:val="nil"/>
            </w:tcBorders>
            <w:shd w:val="clear" w:color="auto" w:fill="auto"/>
            <w:noWrap/>
            <w:vAlign w:val="center"/>
            <w:hideMark/>
          </w:tcPr>
          <w:p w14:paraId="4EAFECA4"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710</w:t>
            </w:r>
          </w:p>
        </w:tc>
        <w:tc>
          <w:tcPr>
            <w:tcW w:w="925" w:type="dxa"/>
            <w:tcBorders>
              <w:top w:val="nil"/>
              <w:left w:val="nil"/>
              <w:bottom w:val="nil"/>
              <w:right w:val="nil"/>
            </w:tcBorders>
            <w:shd w:val="clear" w:color="000000" w:fill="FFFFFF"/>
            <w:vAlign w:val="center"/>
            <w:hideMark/>
          </w:tcPr>
          <w:p w14:paraId="4E16333B"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9 915</w:t>
            </w:r>
          </w:p>
        </w:tc>
        <w:tc>
          <w:tcPr>
            <w:tcW w:w="818" w:type="dxa"/>
            <w:tcBorders>
              <w:top w:val="nil"/>
              <w:left w:val="nil"/>
              <w:bottom w:val="nil"/>
              <w:right w:val="nil"/>
            </w:tcBorders>
            <w:shd w:val="clear" w:color="000000" w:fill="FFFFFF"/>
            <w:vAlign w:val="center"/>
            <w:hideMark/>
          </w:tcPr>
          <w:p w14:paraId="44B84E9A"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1 502,3</w:t>
            </w:r>
          </w:p>
        </w:tc>
      </w:tr>
      <w:tr w:rsidR="0045778F" w:rsidRPr="008C66D7" w14:paraId="7ED1854E" w14:textId="77777777" w:rsidTr="00EB5625">
        <w:trPr>
          <w:trHeight w:val="289"/>
        </w:trPr>
        <w:tc>
          <w:tcPr>
            <w:tcW w:w="2835" w:type="dxa"/>
            <w:tcBorders>
              <w:top w:val="nil"/>
              <w:left w:val="nil"/>
              <w:bottom w:val="nil"/>
              <w:right w:val="nil"/>
            </w:tcBorders>
            <w:shd w:val="clear" w:color="000000" w:fill="FFFFFF"/>
            <w:vAlign w:val="center"/>
            <w:hideMark/>
          </w:tcPr>
          <w:p w14:paraId="0435AD42" w14:textId="77777777" w:rsidR="0045778F" w:rsidRPr="008C66D7" w:rsidRDefault="0045778F" w:rsidP="00391C90">
            <w:pPr>
              <w:spacing w:after="0" w:line="240" w:lineRule="auto"/>
              <w:rPr>
                <w:rFonts w:eastAsia="Times New Roman" w:cs="Times New Roman"/>
                <w:color w:val="000000"/>
                <w:sz w:val="20"/>
                <w:szCs w:val="20"/>
                <w:lang w:eastAsia="sk-SK"/>
              </w:rPr>
            </w:pPr>
            <w:r w:rsidRPr="008C66D7">
              <w:rPr>
                <w:rFonts w:eastAsia="Times New Roman" w:cs="Times New Roman"/>
                <w:color w:val="000000"/>
                <w:sz w:val="20"/>
                <w:szCs w:val="20"/>
                <w:lang w:eastAsia="sk-SK"/>
              </w:rPr>
              <w:t>Rekreácia, kultúra a náboženstvo</w:t>
            </w:r>
          </w:p>
        </w:tc>
        <w:tc>
          <w:tcPr>
            <w:tcW w:w="997" w:type="dxa"/>
            <w:tcBorders>
              <w:top w:val="nil"/>
              <w:left w:val="nil"/>
              <w:bottom w:val="nil"/>
              <w:right w:val="nil"/>
            </w:tcBorders>
            <w:shd w:val="clear" w:color="auto" w:fill="auto"/>
            <w:noWrap/>
            <w:vAlign w:val="center"/>
            <w:hideMark/>
          </w:tcPr>
          <w:p w14:paraId="1A446178"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27 997</w:t>
            </w:r>
          </w:p>
        </w:tc>
        <w:tc>
          <w:tcPr>
            <w:tcW w:w="956" w:type="dxa"/>
            <w:tcBorders>
              <w:top w:val="nil"/>
              <w:left w:val="nil"/>
              <w:bottom w:val="nil"/>
              <w:right w:val="nil"/>
            </w:tcBorders>
            <w:shd w:val="clear" w:color="auto" w:fill="auto"/>
            <w:noWrap/>
            <w:vAlign w:val="center"/>
            <w:hideMark/>
          </w:tcPr>
          <w:p w14:paraId="4C5BFDAD"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10 630</w:t>
            </w:r>
          </w:p>
        </w:tc>
        <w:tc>
          <w:tcPr>
            <w:tcW w:w="956" w:type="dxa"/>
            <w:tcBorders>
              <w:top w:val="nil"/>
              <w:left w:val="nil"/>
              <w:bottom w:val="nil"/>
              <w:right w:val="nil"/>
            </w:tcBorders>
            <w:shd w:val="clear" w:color="000000" w:fill="FFFFFF"/>
            <w:noWrap/>
            <w:vAlign w:val="center"/>
            <w:hideMark/>
          </w:tcPr>
          <w:p w14:paraId="001FC1D3"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0</w:t>
            </w:r>
          </w:p>
        </w:tc>
        <w:tc>
          <w:tcPr>
            <w:tcW w:w="1078" w:type="dxa"/>
            <w:tcBorders>
              <w:top w:val="nil"/>
              <w:left w:val="nil"/>
              <w:bottom w:val="nil"/>
              <w:right w:val="nil"/>
            </w:tcBorders>
            <w:shd w:val="clear" w:color="auto" w:fill="auto"/>
            <w:noWrap/>
            <w:vAlign w:val="center"/>
            <w:hideMark/>
          </w:tcPr>
          <w:p w14:paraId="5D5B6550"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4 444</w:t>
            </w:r>
          </w:p>
        </w:tc>
        <w:tc>
          <w:tcPr>
            <w:tcW w:w="1017" w:type="dxa"/>
            <w:tcBorders>
              <w:top w:val="nil"/>
              <w:left w:val="nil"/>
              <w:bottom w:val="nil"/>
              <w:right w:val="nil"/>
            </w:tcBorders>
            <w:shd w:val="clear" w:color="auto" w:fill="auto"/>
            <w:noWrap/>
            <w:vAlign w:val="center"/>
            <w:hideMark/>
          </w:tcPr>
          <w:p w14:paraId="164A879B"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3 394</w:t>
            </w:r>
          </w:p>
        </w:tc>
        <w:tc>
          <w:tcPr>
            <w:tcW w:w="925" w:type="dxa"/>
            <w:tcBorders>
              <w:top w:val="nil"/>
              <w:left w:val="nil"/>
              <w:bottom w:val="nil"/>
              <w:right w:val="nil"/>
            </w:tcBorders>
            <w:shd w:val="clear" w:color="000000" w:fill="FFFFFF"/>
            <w:vAlign w:val="center"/>
            <w:hideMark/>
          </w:tcPr>
          <w:p w14:paraId="4441097E"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4 444</w:t>
            </w:r>
          </w:p>
        </w:tc>
        <w:tc>
          <w:tcPr>
            <w:tcW w:w="818" w:type="dxa"/>
            <w:tcBorders>
              <w:top w:val="nil"/>
              <w:left w:val="nil"/>
              <w:bottom w:val="nil"/>
              <w:right w:val="nil"/>
            </w:tcBorders>
            <w:shd w:val="clear" w:color="000000" w:fill="FFFFFF"/>
            <w:vAlign w:val="center"/>
            <w:hideMark/>
          </w:tcPr>
          <w:p w14:paraId="0E160BDB"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x</w:t>
            </w:r>
          </w:p>
        </w:tc>
      </w:tr>
      <w:tr w:rsidR="0045778F" w:rsidRPr="008C66D7" w14:paraId="683D3D71" w14:textId="77777777" w:rsidTr="00EB5625">
        <w:trPr>
          <w:trHeight w:val="289"/>
        </w:trPr>
        <w:tc>
          <w:tcPr>
            <w:tcW w:w="2835" w:type="dxa"/>
            <w:tcBorders>
              <w:top w:val="nil"/>
              <w:left w:val="nil"/>
              <w:bottom w:val="nil"/>
              <w:right w:val="nil"/>
            </w:tcBorders>
            <w:shd w:val="clear" w:color="000000" w:fill="FFFFFF"/>
            <w:vAlign w:val="center"/>
            <w:hideMark/>
          </w:tcPr>
          <w:p w14:paraId="46F3FCBE" w14:textId="77777777" w:rsidR="0045778F" w:rsidRPr="008C66D7" w:rsidRDefault="0045778F" w:rsidP="00391C90">
            <w:pPr>
              <w:spacing w:after="0" w:line="240" w:lineRule="auto"/>
              <w:rPr>
                <w:rFonts w:eastAsia="Times New Roman" w:cs="Times New Roman"/>
                <w:color w:val="000000"/>
                <w:sz w:val="20"/>
                <w:szCs w:val="20"/>
                <w:lang w:eastAsia="sk-SK"/>
              </w:rPr>
            </w:pPr>
            <w:r w:rsidRPr="008C66D7">
              <w:rPr>
                <w:rFonts w:eastAsia="Times New Roman" w:cs="Times New Roman"/>
                <w:color w:val="000000"/>
                <w:sz w:val="20"/>
                <w:szCs w:val="20"/>
                <w:lang w:eastAsia="sk-SK"/>
              </w:rPr>
              <w:t>Zdravotníctvo</w:t>
            </w:r>
          </w:p>
        </w:tc>
        <w:tc>
          <w:tcPr>
            <w:tcW w:w="997" w:type="dxa"/>
            <w:tcBorders>
              <w:top w:val="nil"/>
              <w:left w:val="nil"/>
              <w:bottom w:val="nil"/>
              <w:right w:val="nil"/>
            </w:tcBorders>
            <w:shd w:val="clear" w:color="auto" w:fill="auto"/>
            <w:noWrap/>
            <w:vAlign w:val="center"/>
            <w:hideMark/>
          </w:tcPr>
          <w:p w14:paraId="1933E529"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0</w:t>
            </w:r>
          </w:p>
        </w:tc>
        <w:tc>
          <w:tcPr>
            <w:tcW w:w="956" w:type="dxa"/>
            <w:tcBorders>
              <w:top w:val="nil"/>
              <w:left w:val="nil"/>
              <w:bottom w:val="nil"/>
              <w:right w:val="nil"/>
            </w:tcBorders>
            <w:shd w:val="clear" w:color="auto" w:fill="auto"/>
            <w:noWrap/>
            <w:vAlign w:val="center"/>
            <w:hideMark/>
          </w:tcPr>
          <w:p w14:paraId="76EB0B17"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16</w:t>
            </w:r>
          </w:p>
        </w:tc>
        <w:tc>
          <w:tcPr>
            <w:tcW w:w="956" w:type="dxa"/>
            <w:tcBorders>
              <w:top w:val="nil"/>
              <w:left w:val="nil"/>
              <w:bottom w:val="nil"/>
              <w:right w:val="nil"/>
            </w:tcBorders>
            <w:shd w:val="clear" w:color="000000" w:fill="FFFFFF"/>
            <w:noWrap/>
            <w:vAlign w:val="center"/>
            <w:hideMark/>
          </w:tcPr>
          <w:p w14:paraId="32157036"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x</w:t>
            </w:r>
          </w:p>
        </w:tc>
        <w:tc>
          <w:tcPr>
            <w:tcW w:w="1078" w:type="dxa"/>
            <w:tcBorders>
              <w:top w:val="nil"/>
              <w:left w:val="nil"/>
              <w:bottom w:val="nil"/>
              <w:right w:val="nil"/>
            </w:tcBorders>
            <w:shd w:val="clear" w:color="auto" w:fill="auto"/>
            <w:noWrap/>
            <w:vAlign w:val="center"/>
            <w:hideMark/>
          </w:tcPr>
          <w:p w14:paraId="7B7E8F05"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x</w:t>
            </w:r>
          </w:p>
        </w:tc>
        <w:tc>
          <w:tcPr>
            <w:tcW w:w="1017" w:type="dxa"/>
            <w:tcBorders>
              <w:top w:val="nil"/>
              <w:left w:val="nil"/>
              <w:bottom w:val="nil"/>
              <w:right w:val="nil"/>
            </w:tcBorders>
            <w:shd w:val="clear" w:color="auto" w:fill="auto"/>
            <w:noWrap/>
            <w:vAlign w:val="center"/>
            <w:hideMark/>
          </w:tcPr>
          <w:p w14:paraId="4141B6FD"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x</w:t>
            </w:r>
          </w:p>
        </w:tc>
        <w:tc>
          <w:tcPr>
            <w:tcW w:w="925" w:type="dxa"/>
            <w:tcBorders>
              <w:top w:val="nil"/>
              <w:left w:val="nil"/>
              <w:bottom w:val="nil"/>
              <w:right w:val="nil"/>
            </w:tcBorders>
            <w:shd w:val="clear" w:color="000000" w:fill="FFFFFF"/>
            <w:vAlign w:val="center"/>
            <w:hideMark/>
          </w:tcPr>
          <w:p w14:paraId="1115F1A3"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x</w:t>
            </w:r>
          </w:p>
        </w:tc>
        <w:tc>
          <w:tcPr>
            <w:tcW w:w="818" w:type="dxa"/>
            <w:tcBorders>
              <w:top w:val="nil"/>
              <w:left w:val="nil"/>
              <w:bottom w:val="nil"/>
              <w:right w:val="nil"/>
            </w:tcBorders>
            <w:shd w:val="clear" w:color="000000" w:fill="FFFFFF"/>
            <w:vAlign w:val="center"/>
            <w:hideMark/>
          </w:tcPr>
          <w:p w14:paraId="11E3B902" w14:textId="77777777" w:rsidR="0045778F" w:rsidRPr="008C66D7" w:rsidRDefault="0045778F" w:rsidP="00391C90">
            <w:pPr>
              <w:spacing w:after="0" w:line="240" w:lineRule="auto"/>
              <w:jc w:val="right"/>
              <w:rPr>
                <w:rFonts w:eastAsia="Times New Roman" w:cs="Times New Roman"/>
                <w:color w:val="000000"/>
                <w:sz w:val="20"/>
                <w:szCs w:val="20"/>
                <w:lang w:eastAsia="sk-SK"/>
              </w:rPr>
            </w:pPr>
            <w:r w:rsidRPr="008C66D7">
              <w:rPr>
                <w:rFonts w:eastAsia="Times New Roman" w:cs="Times New Roman"/>
                <w:color w:val="000000"/>
                <w:sz w:val="20"/>
                <w:szCs w:val="20"/>
                <w:lang w:eastAsia="sk-SK"/>
              </w:rPr>
              <w:t>x</w:t>
            </w:r>
          </w:p>
        </w:tc>
      </w:tr>
      <w:tr w:rsidR="0045778F" w:rsidRPr="008C66D7" w14:paraId="29129140" w14:textId="77777777" w:rsidTr="00EB5625">
        <w:trPr>
          <w:trHeight w:val="289"/>
        </w:trPr>
        <w:tc>
          <w:tcPr>
            <w:tcW w:w="2835" w:type="dxa"/>
            <w:tcBorders>
              <w:top w:val="single" w:sz="4" w:space="0" w:color="auto"/>
              <w:left w:val="nil"/>
              <w:bottom w:val="single" w:sz="8" w:space="0" w:color="auto"/>
              <w:right w:val="nil"/>
            </w:tcBorders>
            <w:shd w:val="clear" w:color="000000" w:fill="FFFFFF"/>
            <w:noWrap/>
            <w:vAlign w:val="center"/>
            <w:hideMark/>
          </w:tcPr>
          <w:p w14:paraId="106B0F57" w14:textId="77777777" w:rsidR="0045778F" w:rsidRPr="008C66D7" w:rsidRDefault="0045778F" w:rsidP="00391C90">
            <w:pPr>
              <w:spacing w:after="0" w:line="240" w:lineRule="auto"/>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Spolu</w:t>
            </w:r>
          </w:p>
        </w:tc>
        <w:tc>
          <w:tcPr>
            <w:tcW w:w="997" w:type="dxa"/>
            <w:tcBorders>
              <w:top w:val="single" w:sz="4" w:space="0" w:color="auto"/>
              <w:left w:val="nil"/>
              <w:bottom w:val="single" w:sz="8" w:space="0" w:color="auto"/>
              <w:right w:val="nil"/>
            </w:tcBorders>
            <w:shd w:val="clear" w:color="000000" w:fill="FFFFFF"/>
            <w:noWrap/>
            <w:vAlign w:val="center"/>
            <w:hideMark/>
          </w:tcPr>
          <w:p w14:paraId="763836AC" w14:textId="77777777" w:rsidR="0045778F" w:rsidRPr="008C66D7" w:rsidRDefault="0045778F" w:rsidP="00391C90">
            <w:pPr>
              <w:spacing w:after="0" w:line="240" w:lineRule="auto"/>
              <w:jc w:val="right"/>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1 756 998</w:t>
            </w:r>
          </w:p>
        </w:tc>
        <w:tc>
          <w:tcPr>
            <w:tcW w:w="956" w:type="dxa"/>
            <w:tcBorders>
              <w:top w:val="single" w:sz="4" w:space="0" w:color="auto"/>
              <w:left w:val="nil"/>
              <w:bottom w:val="single" w:sz="8" w:space="0" w:color="auto"/>
              <w:right w:val="nil"/>
            </w:tcBorders>
            <w:shd w:val="clear" w:color="000000" w:fill="FFFFFF"/>
            <w:noWrap/>
            <w:vAlign w:val="center"/>
            <w:hideMark/>
          </w:tcPr>
          <w:p w14:paraId="65965BEB" w14:textId="77777777" w:rsidR="0045778F" w:rsidRPr="008C66D7" w:rsidRDefault="0045778F" w:rsidP="00391C90">
            <w:pPr>
              <w:spacing w:after="0" w:line="240" w:lineRule="auto"/>
              <w:jc w:val="right"/>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1 763 395</w:t>
            </w:r>
          </w:p>
        </w:tc>
        <w:tc>
          <w:tcPr>
            <w:tcW w:w="956" w:type="dxa"/>
            <w:tcBorders>
              <w:top w:val="single" w:sz="4" w:space="0" w:color="auto"/>
              <w:left w:val="nil"/>
              <w:bottom w:val="single" w:sz="8" w:space="0" w:color="auto"/>
              <w:right w:val="nil"/>
            </w:tcBorders>
            <w:shd w:val="clear" w:color="000000" w:fill="FFFFFF"/>
            <w:noWrap/>
            <w:vAlign w:val="center"/>
            <w:hideMark/>
          </w:tcPr>
          <w:p w14:paraId="545134E4" w14:textId="77777777" w:rsidR="0045778F" w:rsidRPr="008C66D7" w:rsidRDefault="0045778F" w:rsidP="00391C90">
            <w:pPr>
              <w:spacing w:after="0" w:line="240" w:lineRule="auto"/>
              <w:jc w:val="right"/>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1 426 031</w:t>
            </w:r>
          </w:p>
        </w:tc>
        <w:tc>
          <w:tcPr>
            <w:tcW w:w="1078" w:type="dxa"/>
            <w:tcBorders>
              <w:top w:val="single" w:sz="4" w:space="0" w:color="auto"/>
              <w:left w:val="nil"/>
              <w:bottom w:val="single" w:sz="8" w:space="0" w:color="auto"/>
              <w:right w:val="nil"/>
            </w:tcBorders>
            <w:shd w:val="clear" w:color="auto" w:fill="auto"/>
            <w:noWrap/>
            <w:vAlign w:val="center"/>
            <w:hideMark/>
          </w:tcPr>
          <w:p w14:paraId="4A66E598" w14:textId="77777777" w:rsidR="0045778F" w:rsidRPr="008C66D7" w:rsidRDefault="0045778F" w:rsidP="00391C90">
            <w:pPr>
              <w:spacing w:after="0" w:line="240" w:lineRule="auto"/>
              <w:jc w:val="right"/>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1 701 892</w:t>
            </w:r>
          </w:p>
        </w:tc>
        <w:tc>
          <w:tcPr>
            <w:tcW w:w="1017" w:type="dxa"/>
            <w:tcBorders>
              <w:top w:val="single" w:sz="4" w:space="0" w:color="auto"/>
              <w:left w:val="nil"/>
              <w:bottom w:val="single" w:sz="8" w:space="0" w:color="auto"/>
              <w:right w:val="nil"/>
            </w:tcBorders>
            <w:shd w:val="clear" w:color="auto" w:fill="auto"/>
            <w:noWrap/>
            <w:vAlign w:val="center"/>
            <w:hideMark/>
          </w:tcPr>
          <w:p w14:paraId="6882DF18" w14:textId="77777777" w:rsidR="0045778F" w:rsidRPr="008C66D7" w:rsidRDefault="0045778F" w:rsidP="00391C90">
            <w:pPr>
              <w:spacing w:after="0" w:line="240" w:lineRule="auto"/>
              <w:jc w:val="right"/>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1 348 685</w:t>
            </w:r>
          </w:p>
        </w:tc>
        <w:tc>
          <w:tcPr>
            <w:tcW w:w="925" w:type="dxa"/>
            <w:tcBorders>
              <w:top w:val="single" w:sz="4" w:space="0" w:color="auto"/>
              <w:left w:val="nil"/>
              <w:bottom w:val="single" w:sz="8" w:space="0" w:color="auto"/>
              <w:right w:val="nil"/>
            </w:tcBorders>
            <w:shd w:val="clear" w:color="000000" w:fill="FFFFFF"/>
            <w:noWrap/>
            <w:vAlign w:val="center"/>
            <w:hideMark/>
          </w:tcPr>
          <w:p w14:paraId="7FB5849D" w14:textId="77777777" w:rsidR="0045778F" w:rsidRPr="008C66D7" w:rsidRDefault="0045778F" w:rsidP="00391C90">
            <w:pPr>
              <w:spacing w:after="0" w:line="240" w:lineRule="auto"/>
              <w:jc w:val="right"/>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275 861</w:t>
            </w:r>
          </w:p>
        </w:tc>
        <w:tc>
          <w:tcPr>
            <w:tcW w:w="818" w:type="dxa"/>
            <w:tcBorders>
              <w:top w:val="single" w:sz="4" w:space="0" w:color="auto"/>
              <w:left w:val="nil"/>
              <w:bottom w:val="single" w:sz="8" w:space="0" w:color="auto"/>
              <w:right w:val="nil"/>
            </w:tcBorders>
            <w:shd w:val="clear" w:color="000000" w:fill="FFFFFF"/>
            <w:noWrap/>
            <w:vAlign w:val="center"/>
            <w:hideMark/>
          </w:tcPr>
          <w:p w14:paraId="71AD86A0" w14:textId="77777777" w:rsidR="0045778F" w:rsidRPr="008C66D7" w:rsidRDefault="0045778F" w:rsidP="00391C90">
            <w:pPr>
              <w:spacing w:after="0" w:line="240" w:lineRule="auto"/>
              <w:jc w:val="right"/>
              <w:rPr>
                <w:rFonts w:eastAsia="Times New Roman" w:cs="Times New Roman"/>
                <w:b/>
                <w:bCs/>
                <w:color w:val="000000"/>
                <w:sz w:val="20"/>
                <w:szCs w:val="20"/>
                <w:lang w:eastAsia="sk-SK"/>
              </w:rPr>
            </w:pPr>
            <w:r w:rsidRPr="008C66D7">
              <w:rPr>
                <w:rFonts w:eastAsia="Times New Roman" w:cs="Times New Roman"/>
                <w:b/>
                <w:bCs/>
                <w:color w:val="000000"/>
                <w:sz w:val="20"/>
                <w:szCs w:val="20"/>
                <w:lang w:eastAsia="sk-SK"/>
              </w:rPr>
              <w:t>19,3</w:t>
            </w:r>
          </w:p>
        </w:tc>
      </w:tr>
    </w:tbl>
    <w:p w14:paraId="485B1818" w14:textId="0BC0AE84" w:rsidR="0045778F" w:rsidRDefault="0045778F" w:rsidP="0045778F">
      <w:pPr>
        <w:suppressAutoHyphens/>
        <w:spacing w:line="240" w:lineRule="auto"/>
        <w:rPr>
          <w:sz w:val="18"/>
          <w:szCs w:val="18"/>
        </w:rPr>
      </w:pPr>
      <w:r w:rsidRPr="0011234F">
        <w:rPr>
          <w:sz w:val="18"/>
          <w:szCs w:val="18"/>
        </w:rPr>
        <w:t xml:space="preserve">Poznámka: * len prostriedky štátneho rozpočtu </w:t>
      </w:r>
      <w:r w:rsidRPr="0011234F">
        <w:rPr>
          <w:sz w:val="18"/>
          <w:szCs w:val="18"/>
        </w:rPr>
        <w:tab/>
      </w:r>
      <w:r w:rsidRPr="0011234F">
        <w:rPr>
          <w:sz w:val="18"/>
          <w:szCs w:val="18"/>
        </w:rPr>
        <w:tab/>
      </w:r>
      <w:r w:rsidRPr="0011234F">
        <w:rPr>
          <w:sz w:val="18"/>
          <w:szCs w:val="18"/>
        </w:rPr>
        <w:tab/>
      </w:r>
      <w:r w:rsidRPr="0011234F">
        <w:rPr>
          <w:sz w:val="18"/>
          <w:szCs w:val="18"/>
        </w:rPr>
        <w:tab/>
      </w:r>
      <w:r w:rsidRPr="0011234F">
        <w:rPr>
          <w:sz w:val="18"/>
          <w:szCs w:val="18"/>
        </w:rPr>
        <w:tab/>
      </w:r>
      <w:r w:rsidRPr="0011234F">
        <w:rPr>
          <w:sz w:val="18"/>
          <w:szCs w:val="18"/>
        </w:rPr>
        <w:tab/>
      </w:r>
      <w:r w:rsidR="0044744A">
        <w:rPr>
          <w:sz w:val="18"/>
          <w:szCs w:val="18"/>
        </w:rPr>
        <w:tab/>
      </w:r>
      <w:r w:rsidR="0044744A">
        <w:rPr>
          <w:sz w:val="18"/>
          <w:szCs w:val="18"/>
        </w:rPr>
        <w:tab/>
      </w:r>
      <w:r w:rsidR="0044744A">
        <w:rPr>
          <w:sz w:val="18"/>
          <w:szCs w:val="18"/>
        </w:rPr>
        <w:tab/>
      </w:r>
      <w:r w:rsidR="0044744A">
        <w:rPr>
          <w:sz w:val="18"/>
          <w:szCs w:val="18"/>
        </w:rPr>
        <w:tab/>
      </w:r>
      <w:r w:rsidRPr="0011234F">
        <w:rPr>
          <w:sz w:val="18"/>
          <w:szCs w:val="18"/>
        </w:rPr>
        <w:t>Zdroj: MF SR</w:t>
      </w:r>
    </w:p>
    <w:p w14:paraId="69B8345F" w14:textId="77777777" w:rsidR="0045778F" w:rsidRPr="008C66D7" w:rsidRDefault="0045778F" w:rsidP="0045778F">
      <w:pPr>
        <w:suppressAutoHyphens/>
        <w:spacing w:line="240" w:lineRule="auto"/>
        <w:rPr>
          <w:rFonts w:cs="Times New Roman"/>
          <w:color w:val="000000" w:themeColor="text1"/>
          <w:sz w:val="24"/>
          <w:szCs w:val="24"/>
        </w:rPr>
      </w:pPr>
      <w:r w:rsidRPr="008C66D7">
        <w:rPr>
          <w:rFonts w:cs="Times New Roman"/>
          <w:color w:val="000000" w:themeColor="text1"/>
          <w:sz w:val="24"/>
          <w:szCs w:val="24"/>
        </w:rPr>
        <w:t>Najväčšie pozitívne rozdiely medzi schváleným rozpočtom a skutočnosťou boli zaznamenané v ekonomickej oblasti o 104 353 tis. eur, z toho u Ministerstva investícií, regionálneho rozvoja a informatizácie SR o 72 360 tis. eur. Vo všeobecných verejných službách bol rozdiel 82 968 tis. eur, z toho u Ministerstva vnútra SR 67 740 tis. eur. V ochrane životného prostredia bol takmer celý rozdiel 52 787 tis. eur dosiahnutý v kapitole Ministerstva životného prostredia</w:t>
      </w:r>
      <w:r>
        <w:rPr>
          <w:rFonts w:cs="Times New Roman"/>
          <w:color w:val="000000" w:themeColor="text1"/>
          <w:sz w:val="24"/>
          <w:szCs w:val="24"/>
        </w:rPr>
        <w:t xml:space="preserve"> SR</w:t>
      </w:r>
      <w:r w:rsidRPr="008C66D7">
        <w:rPr>
          <w:rFonts w:cs="Times New Roman"/>
          <w:color w:val="000000" w:themeColor="text1"/>
          <w:sz w:val="24"/>
          <w:szCs w:val="24"/>
        </w:rPr>
        <w:t>.</w:t>
      </w:r>
    </w:p>
    <w:p w14:paraId="260A0F2A" w14:textId="5D7D11D5" w:rsidR="00EB5625" w:rsidRDefault="0045778F" w:rsidP="00043553">
      <w:pPr>
        <w:suppressAutoHyphens/>
        <w:spacing w:line="240" w:lineRule="auto"/>
        <w:rPr>
          <w:rFonts w:cs="Times New Roman"/>
          <w:color w:val="000000" w:themeColor="text1"/>
          <w:sz w:val="24"/>
          <w:szCs w:val="24"/>
        </w:rPr>
      </w:pPr>
      <w:r w:rsidRPr="008C66D7">
        <w:rPr>
          <w:rFonts w:cs="Times New Roman"/>
          <w:color w:val="000000" w:themeColor="text1"/>
          <w:sz w:val="24"/>
          <w:szCs w:val="24"/>
        </w:rPr>
        <w:t>Záporný rozdiel medzi schváleným rozpočtom a skutočnosťou bol dosiahnutý len vo vzdelávaní v sume 38 885 tis. eur, najviac u Ministerstva školstva, vedy, výskumu a športu SR 59 539 tis. eur,</w:t>
      </w:r>
      <w:r>
        <w:rPr>
          <w:rFonts w:cs="Times New Roman"/>
          <w:color w:val="000000" w:themeColor="text1"/>
          <w:sz w:val="24"/>
          <w:szCs w:val="24"/>
        </w:rPr>
        <w:t xml:space="preserve"> čo bolo kompenzované na druhej strane v čerpaní vyšších výdavkov</w:t>
      </w:r>
      <w:r w:rsidRPr="008C66D7">
        <w:rPr>
          <w:rFonts w:cs="Times New Roman"/>
          <w:color w:val="000000" w:themeColor="text1"/>
          <w:sz w:val="24"/>
          <w:szCs w:val="24"/>
        </w:rPr>
        <w:t> Úradu vlády SR o 17 856 tis. eur.</w:t>
      </w:r>
    </w:p>
    <w:p w14:paraId="4892B9D4" w14:textId="657A75E7" w:rsidR="0045778F" w:rsidRDefault="0045778F" w:rsidP="0045778F">
      <w:pPr>
        <w:suppressAutoHyphens/>
        <w:spacing w:line="240" w:lineRule="auto"/>
        <w:rPr>
          <w:rFonts w:cs="Times New Roman"/>
          <w:sz w:val="24"/>
          <w:szCs w:val="24"/>
        </w:rPr>
      </w:pPr>
      <w:r w:rsidRPr="008C66D7">
        <w:rPr>
          <w:rFonts w:cs="Times New Roman"/>
          <w:sz w:val="24"/>
          <w:szCs w:val="24"/>
        </w:rPr>
        <w:t>Do rozpočtov obcí boli poskytnuté transfery z jednotlivých rozpočtových kapitol v nasledovnom členení:</w:t>
      </w:r>
    </w:p>
    <w:tbl>
      <w:tblPr>
        <w:tblW w:w="9125" w:type="dxa"/>
        <w:tblCellMar>
          <w:left w:w="0" w:type="dxa"/>
          <w:right w:w="0" w:type="dxa"/>
        </w:tblCellMar>
        <w:tblLook w:val="04A0" w:firstRow="1" w:lastRow="0" w:firstColumn="1" w:lastColumn="0" w:noHBand="0" w:noVBand="1"/>
      </w:tblPr>
      <w:tblGrid>
        <w:gridCol w:w="3813"/>
        <w:gridCol w:w="807"/>
        <w:gridCol w:w="807"/>
        <w:gridCol w:w="807"/>
        <w:gridCol w:w="807"/>
        <w:gridCol w:w="924"/>
        <w:gridCol w:w="662"/>
        <w:gridCol w:w="498"/>
      </w:tblGrid>
      <w:tr w:rsidR="00DD4150" w:rsidRPr="008B3212" w14:paraId="3D14B061" w14:textId="77777777" w:rsidTr="00EB5625">
        <w:trPr>
          <w:trHeight w:val="345"/>
        </w:trPr>
        <w:tc>
          <w:tcPr>
            <w:tcW w:w="9120" w:type="dxa"/>
            <w:gridSpan w:val="8"/>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D64BF89" w14:textId="3585036F" w:rsidR="00DD4150" w:rsidRPr="008B3212" w:rsidRDefault="00D50C99" w:rsidP="008B3212">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Tabuľka č. 4</w:t>
            </w:r>
            <w:r w:rsidR="008B3212" w:rsidRPr="008B3212">
              <w:rPr>
                <w:rFonts w:eastAsia="Times New Roman" w:cs="Times New Roman"/>
                <w:b/>
                <w:bCs/>
                <w:color w:val="5B9BD5" w:themeColor="accent1"/>
                <w:sz w:val="18"/>
                <w:szCs w:val="18"/>
                <w:lang w:eastAsia="sk-SK"/>
              </w:rPr>
              <w:t>6</w:t>
            </w:r>
            <w:r w:rsidR="00DD4150" w:rsidRPr="008B3212">
              <w:rPr>
                <w:rFonts w:eastAsia="Times New Roman" w:cs="Times New Roman"/>
                <w:b/>
                <w:bCs/>
                <w:color w:val="5B9BD5" w:themeColor="accent1"/>
                <w:sz w:val="18"/>
                <w:szCs w:val="18"/>
                <w:lang w:eastAsia="sk-SK"/>
              </w:rPr>
              <w:t xml:space="preserve"> - Transfery poskytnuté obciam podľa kapitol ŠR </w:t>
            </w:r>
          </w:p>
        </w:tc>
      </w:tr>
      <w:tr w:rsidR="0045778F" w:rsidRPr="008C66D7" w14:paraId="27E14C7D" w14:textId="77777777" w:rsidTr="00EB5625">
        <w:trPr>
          <w:trHeight w:val="289"/>
        </w:trPr>
        <w:tc>
          <w:tcPr>
            <w:tcW w:w="3544" w:type="dxa"/>
            <w:tcBorders>
              <w:top w:val="nil"/>
              <w:left w:val="nil"/>
              <w:bottom w:val="nil"/>
              <w:right w:val="nil"/>
            </w:tcBorders>
            <w:shd w:val="clear" w:color="auto" w:fill="auto"/>
            <w:noWrap/>
            <w:tcMar>
              <w:top w:w="15" w:type="dxa"/>
              <w:left w:w="15" w:type="dxa"/>
              <w:bottom w:w="0" w:type="dxa"/>
              <w:right w:w="15" w:type="dxa"/>
            </w:tcMar>
            <w:vAlign w:val="center"/>
            <w:hideMark/>
          </w:tcPr>
          <w:p w14:paraId="5DBF4943" w14:textId="77777777" w:rsidR="0045778F" w:rsidRPr="008C66D7" w:rsidRDefault="0045778F" w:rsidP="00DD4150">
            <w:pPr>
              <w:spacing w:after="0" w:line="240" w:lineRule="auto"/>
              <w:rPr>
                <w:b/>
                <w:bCs/>
                <w:color w:val="000000"/>
                <w:sz w:val="18"/>
                <w:szCs w:val="18"/>
              </w:rPr>
            </w:pPr>
            <w:r w:rsidRPr="008C66D7">
              <w:rPr>
                <w:b/>
                <w:bCs/>
                <w:color w:val="000000"/>
                <w:sz w:val="18"/>
                <w:szCs w:val="18"/>
              </w:rPr>
              <w:t xml:space="preserve"> v tis. eur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6A68E2" w14:textId="77777777" w:rsidR="0045778F" w:rsidRPr="008C66D7" w:rsidRDefault="0045778F" w:rsidP="00DD4150">
            <w:pPr>
              <w:spacing w:after="0" w:line="240" w:lineRule="auto"/>
              <w:jc w:val="center"/>
              <w:rPr>
                <w:b/>
                <w:bCs/>
                <w:color w:val="000000"/>
                <w:sz w:val="18"/>
                <w:szCs w:val="18"/>
              </w:rPr>
            </w:pPr>
            <w:r w:rsidRPr="008C66D7">
              <w:rPr>
                <w:b/>
                <w:bCs/>
                <w:color w:val="000000"/>
                <w:sz w:val="18"/>
                <w:szCs w:val="18"/>
              </w:rPr>
              <w:t>2020 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465BE7" w14:textId="77777777" w:rsidR="0045778F" w:rsidRPr="008C66D7" w:rsidRDefault="0045778F" w:rsidP="00DD4150">
            <w:pPr>
              <w:spacing w:after="0" w:line="240" w:lineRule="auto"/>
              <w:jc w:val="center"/>
              <w:rPr>
                <w:b/>
                <w:bCs/>
                <w:color w:val="000000"/>
                <w:sz w:val="18"/>
                <w:szCs w:val="18"/>
              </w:rPr>
            </w:pPr>
            <w:r w:rsidRPr="008C66D7">
              <w:rPr>
                <w:b/>
                <w:bCs/>
                <w:color w:val="000000"/>
                <w:sz w:val="18"/>
                <w:szCs w:val="18"/>
              </w:rPr>
              <w:t>2021 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40706D" w14:textId="77777777" w:rsidR="0045778F" w:rsidRPr="008C66D7" w:rsidRDefault="0045778F" w:rsidP="00DD4150">
            <w:pPr>
              <w:spacing w:after="0" w:line="240" w:lineRule="auto"/>
              <w:jc w:val="center"/>
              <w:rPr>
                <w:b/>
                <w:bCs/>
                <w:color w:val="000000"/>
                <w:sz w:val="18"/>
                <w:szCs w:val="18"/>
              </w:rPr>
            </w:pPr>
            <w:r w:rsidRPr="008C66D7">
              <w:rPr>
                <w:b/>
                <w:bCs/>
                <w:color w:val="000000"/>
                <w:sz w:val="18"/>
                <w:szCs w:val="18"/>
              </w:rPr>
              <w:t>2022 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25F8B1" w14:textId="77777777" w:rsidR="0045778F" w:rsidRPr="008C66D7" w:rsidRDefault="0045778F" w:rsidP="00DD4150">
            <w:pPr>
              <w:spacing w:after="0" w:line="240" w:lineRule="auto"/>
              <w:jc w:val="center"/>
              <w:rPr>
                <w:b/>
                <w:bCs/>
                <w:color w:val="000000"/>
                <w:sz w:val="18"/>
                <w:szCs w:val="18"/>
              </w:rPr>
            </w:pPr>
            <w:r w:rsidRPr="008C66D7">
              <w:rPr>
                <w:b/>
                <w:bCs/>
                <w:color w:val="000000"/>
                <w:sz w:val="18"/>
                <w:szCs w:val="18"/>
              </w:rPr>
              <w:t>2022 S</w:t>
            </w:r>
          </w:p>
        </w:tc>
        <w:tc>
          <w:tcPr>
            <w:tcW w:w="958" w:type="dxa"/>
            <w:tcBorders>
              <w:top w:val="nil"/>
              <w:left w:val="nil"/>
              <w:bottom w:val="nil"/>
              <w:right w:val="nil"/>
            </w:tcBorders>
            <w:shd w:val="clear" w:color="auto" w:fill="auto"/>
            <w:tcMar>
              <w:top w:w="15" w:type="dxa"/>
              <w:left w:w="15" w:type="dxa"/>
              <w:bottom w:w="0" w:type="dxa"/>
              <w:right w:w="15" w:type="dxa"/>
            </w:tcMar>
            <w:vAlign w:val="center"/>
            <w:hideMark/>
          </w:tcPr>
          <w:p w14:paraId="27C251C7" w14:textId="77777777" w:rsidR="0045778F" w:rsidRPr="008C66D7" w:rsidRDefault="0045778F" w:rsidP="00DD4150">
            <w:pPr>
              <w:spacing w:after="0" w:line="240" w:lineRule="auto"/>
              <w:jc w:val="center"/>
              <w:rPr>
                <w:b/>
                <w:bCs/>
                <w:color w:val="000000"/>
                <w:sz w:val="18"/>
                <w:szCs w:val="18"/>
              </w:rPr>
            </w:pPr>
            <w:r w:rsidRPr="008C66D7">
              <w:rPr>
                <w:b/>
                <w:bCs/>
                <w:color w:val="000000"/>
                <w:sz w:val="18"/>
                <w:szCs w:val="18"/>
              </w:rPr>
              <w:t>z toho: zdroj 111</w:t>
            </w:r>
            <w:r w:rsidRPr="008C66D7">
              <w:rPr>
                <w:rFonts w:ascii="Arial Narrow" w:hAnsi="Arial Narrow"/>
                <w:b/>
                <w:bCs/>
                <w:color w:val="000000"/>
                <w:sz w:val="18"/>
                <w:szCs w:val="18"/>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C810F6" w14:textId="77777777" w:rsidR="0045778F" w:rsidRPr="008C66D7" w:rsidRDefault="0045778F" w:rsidP="00DD4150">
            <w:pPr>
              <w:spacing w:after="0" w:line="240" w:lineRule="auto"/>
              <w:jc w:val="center"/>
              <w:rPr>
                <w:b/>
                <w:bCs/>
                <w:color w:val="000000"/>
                <w:sz w:val="18"/>
                <w:szCs w:val="18"/>
              </w:rPr>
            </w:pPr>
            <w:r w:rsidRPr="008C66D7">
              <w:rPr>
                <w:b/>
                <w:bCs/>
                <w:color w:val="000000"/>
                <w:sz w:val="18"/>
                <w:szCs w:val="18"/>
              </w:rPr>
              <w:t>Rozdiel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3FAD1E" w14:textId="77777777" w:rsidR="0045778F" w:rsidRPr="008C66D7" w:rsidRDefault="0045778F" w:rsidP="00DD4150">
            <w:pPr>
              <w:spacing w:after="0" w:line="240" w:lineRule="auto"/>
              <w:jc w:val="center"/>
              <w:rPr>
                <w:b/>
                <w:bCs/>
                <w:color w:val="000000"/>
                <w:sz w:val="18"/>
                <w:szCs w:val="18"/>
              </w:rPr>
            </w:pPr>
            <w:r w:rsidRPr="008C66D7">
              <w:rPr>
                <w:b/>
                <w:bCs/>
                <w:color w:val="000000"/>
                <w:sz w:val="18"/>
                <w:szCs w:val="18"/>
              </w:rPr>
              <w:t>v %</w:t>
            </w:r>
          </w:p>
        </w:tc>
      </w:tr>
      <w:tr w:rsidR="0045778F" w:rsidRPr="008C66D7" w14:paraId="25012DC4" w14:textId="77777777" w:rsidTr="00EB5625">
        <w:trPr>
          <w:trHeight w:val="289"/>
        </w:trPr>
        <w:tc>
          <w:tcPr>
            <w:tcW w:w="3544"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940232B" w14:textId="77777777" w:rsidR="0045778F" w:rsidRPr="008C66D7" w:rsidRDefault="0045778F" w:rsidP="00DD4150">
            <w:pPr>
              <w:spacing w:after="0" w:line="240" w:lineRule="auto"/>
              <w:rPr>
                <w:b/>
                <w:bCs/>
                <w:color w:val="FFFFFF"/>
                <w:sz w:val="18"/>
                <w:szCs w:val="18"/>
              </w:rPr>
            </w:pPr>
            <w:r w:rsidRPr="008C66D7">
              <w:rPr>
                <w:b/>
                <w:bCs/>
                <w:color w:val="FFFFFF"/>
                <w:sz w:val="18"/>
                <w:szCs w:val="18"/>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C91CE3B" w14:textId="77777777" w:rsidR="0045778F" w:rsidRPr="008C66D7" w:rsidRDefault="0045778F" w:rsidP="00DD4150">
            <w:pPr>
              <w:spacing w:after="0" w:line="240" w:lineRule="auto"/>
              <w:jc w:val="center"/>
              <w:rPr>
                <w:b/>
                <w:bCs/>
                <w:sz w:val="18"/>
                <w:szCs w:val="18"/>
              </w:rPr>
            </w:pPr>
            <w:r w:rsidRPr="008C66D7">
              <w:rPr>
                <w:b/>
                <w:bCs/>
                <w:sz w:val="18"/>
                <w:szCs w:val="18"/>
              </w:rPr>
              <w:t>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0A1B4AF" w14:textId="77777777" w:rsidR="0045778F" w:rsidRPr="008C66D7" w:rsidRDefault="0045778F" w:rsidP="00DD4150">
            <w:pPr>
              <w:spacing w:after="0" w:line="240" w:lineRule="auto"/>
              <w:jc w:val="center"/>
              <w:rPr>
                <w:b/>
                <w:bCs/>
                <w:sz w:val="18"/>
                <w:szCs w:val="18"/>
              </w:rPr>
            </w:pPr>
            <w:r w:rsidRPr="008C66D7">
              <w:rPr>
                <w:b/>
                <w:bCs/>
                <w:sz w:val="18"/>
                <w:szCs w:val="18"/>
              </w:rPr>
              <w:t>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69D4BCE" w14:textId="77777777" w:rsidR="0045778F" w:rsidRPr="008C66D7" w:rsidRDefault="0045778F" w:rsidP="00DD4150">
            <w:pPr>
              <w:spacing w:after="0" w:line="240" w:lineRule="auto"/>
              <w:jc w:val="center"/>
              <w:rPr>
                <w:b/>
                <w:bCs/>
                <w:sz w:val="18"/>
                <w:szCs w:val="18"/>
              </w:rPr>
            </w:pPr>
            <w:r w:rsidRPr="008C66D7">
              <w:rPr>
                <w:b/>
                <w:bCs/>
                <w:sz w:val="18"/>
                <w:szCs w:val="18"/>
              </w:rPr>
              <w:t>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B71FA72" w14:textId="77777777" w:rsidR="0045778F" w:rsidRPr="008C66D7" w:rsidRDefault="0045778F" w:rsidP="00DD4150">
            <w:pPr>
              <w:spacing w:after="0" w:line="240" w:lineRule="auto"/>
              <w:jc w:val="center"/>
              <w:rPr>
                <w:b/>
                <w:bCs/>
                <w:sz w:val="18"/>
                <w:szCs w:val="18"/>
              </w:rPr>
            </w:pPr>
            <w:r w:rsidRPr="008C66D7">
              <w:rPr>
                <w:b/>
                <w:bCs/>
                <w:sz w:val="18"/>
                <w:szCs w:val="18"/>
              </w:rPr>
              <w:t>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EA1E034" w14:textId="77777777" w:rsidR="0045778F" w:rsidRPr="008C66D7" w:rsidRDefault="0045778F" w:rsidP="00DD4150">
            <w:pPr>
              <w:spacing w:after="0" w:line="240" w:lineRule="auto"/>
              <w:jc w:val="center"/>
              <w:rPr>
                <w:b/>
                <w:bCs/>
                <w:sz w:val="18"/>
                <w:szCs w:val="18"/>
              </w:rPr>
            </w:pPr>
            <w:r w:rsidRPr="008C66D7">
              <w:rPr>
                <w:b/>
                <w:bCs/>
                <w:sz w:val="18"/>
                <w:szCs w:val="18"/>
              </w:rPr>
              <w:t>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322D6DF" w14:textId="77777777" w:rsidR="0045778F" w:rsidRPr="008C66D7" w:rsidRDefault="0045778F" w:rsidP="00DD4150">
            <w:pPr>
              <w:spacing w:after="0" w:line="240" w:lineRule="auto"/>
              <w:jc w:val="center"/>
              <w:rPr>
                <w:b/>
                <w:bCs/>
                <w:sz w:val="18"/>
                <w:szCs w:val="18"/>
              </w:rPr>
            </w:pPr>
            <w:r w:rsidRPr="008C66D7">
              <w:rPr>
                <w:b/>
                <w:bCs/>
                <w:sz w:val="18"/>
                <w:szCs w:val="18"/>
              </w:rPr>
              <w:t>6=4-3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A9A1AC1" w14:textId="77777777" w:rsidR="0045778F" w:rsidRPr="008C66D7" w:rsidRDefault="0045778F" w:rsidP="00DD4150">
            <w:pPr>
              <w:spacing w:after="0" w:line="240" w:lineRule="auto"/>
              <w:jc w:val="center"/>
              <w:rPr>
                <w:b/>
                <w:bCs/>
                <w:sz w:val="18"/>
                <w:szCs w:val="18"/>
              </w:rPr>
            </w:pPr>
            <w:r w:rsidRPr="008C66D7">
              <w:rPr>
                <w:b/>
                <w:bCs/>
                <w:sz w:val="18"/>
                <w:szCs w:val="18"/>
              </w:rPr>
              <w:t>7=4-3</w:t>
            </w:r>
          </w:p>
        </w:tc>
      </w:tr>
      <w:tr w:rsidR="0045778F" w:rsidRPr="008C66D7" w14:paraId="1EA6E63D" w14:textId="77777777" w:rsidTr="00EB5625">
        <w:trPr>
          <w:trHeight w:val="289"/>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9456EE7" w14:textId="77777777" w:rsidR="0045778F" w:rsidRPr="008C66D7" w:rsidRDefault="0045778F" w:rsidP="00DD4150">
            <w:pPr>
              <w:spacing w:after="0" w:line="240" w:lineRule="auto"/>
              <w:rPr>
                <w:color w:val="000000"/>
                <w:sz w:val="18"/>
                <w:szCs w:val="18"/>
              </w:rPr>
            </w:pPr>
            <w:r w:rsidRPr="008C66D7">
              <w:rPr>
                <w:color w:val="000000"/>
                <w:sz w:val="18"/>
                <w:szCs w:val="18"/>
              </w:rPr>
              <w:t>Ministerstvo školstva, vedy, výskumu a športu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BC5E53" w14:textId="77777777" w:rsidR="0045778F" w:rsidRPr="008C66D7" w:rsidRDefault="0045778F" w:rsidP="00DD4150">
            <w:pPr>
              <w:spacing w:after="0" w:line="240" w:lineRule="auto"/>
              <w:jc w:val="right"/>
              <w:rPr>
                <w:color w:val="000000"/>
                <w:sz w:val="18"/>
                <w:szCs w:val="18"/>
              </w:rPr>
            </w:pPr>
            <w:r w:rsidRPr="008C66D7">
              <w:rPr>
                <w:color w:val="000000"/>
                <w:sz w:val="18"/>
                <w:szCs w:val="18"/>
              </w:rPr>
              <w:t>16 266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7B57CA" w14:textId="77777777" w:rsidR="0045778F" w:rsidRPr="008C66D7" w:rsidRDefault="0045778F" w:rsidP="00DD4150">
            <w:pPr>
              <w:spacing w:after="0" w:line="240" w:lineRule="auto"/>
              <w:jc w:val="right"/>
              <w:rPr>
                <w:color w:val="000000"/>
                <w:sz w:val="18"/>
                <w:szCs w:val="18"/>
              </w:rPr>
            </w:pPr>
            <w:r w:rsidRPr="008C66D7">
              <w:rPr>
                <w:color w:val="000000"/>
                <w:sz w:val="18"/>
                <w:szCs w:val="18"/>
              </w:rPr>
              <w:t>11 683</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6E3BEB8"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1 304 863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18669F"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1 245 324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25AA11"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1 211 492</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0FA32E0" w14:textId="77777777" w:rsidR="0045778F" w:rsidRPr="008C66D7" w:rsidRDefault="0045778F" w:rsidP="00DD4150">
            <w:pPr>
              <w:spacing w:after="0" w:line="240" w:lineRule="auto"/>
              <w:jc w:val="right"/>
              <w:rPr>
                <w:color w:val="000000"/>
                <w:sz w:val="18"/>
                <w:szCs w:val="18"/>
              </w:rPr>
            </w:pPr>
            <w:r w:rsidRPr="008C66D7">
              <w:rPr>
                <w:color w:val="000000"/>
                <w:sz w:val="18"/>
                <w:szCs w:val="18"/>
              </w:rPr>
              <w:t>-59 539</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97EC05F" w14:textId="77777777" w:rsidR="0045778F" w:rsidRPr="008C66D7" w:rsidRDefault="0045778F" w:rsidP="00DD4150">
            <w:pPr>
              <w:spacing w:after="0" w:line="240" w:lineRule="auto"/>
              <w:jc w:val="right"/>
              <w:rPr>
                <w:color w:val="000000"/>
                <w:sz w:val="18"/>
                <w:szCs w:val="18"/>
              </w:rPr>
            </w:pPr>
            <w:r w:rsidRPr="008C66D7">
              <w:rPr>
                <w:color w:val="000000"/>
                <w:sz w:val="18"/>
                <w:szCs w:val="18"/>
              </w:rPr>
              <w:t>-4,6</w:t>
            </w:r>
          </w:p>
        </w:tc>
      </w:tr>
      <w:tr w:rsidR="0045778F" w:rsidRPr="008C66D7" w14:paraId="6A3DC368" w14:textId="77777777" w:rsidTr="00EB5625">
        <w:trPr>
          <w:trHeight w:val="289"/>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3DB70F4" w14:textId="77777777" w:rsidR="0045778F" w:rsidRPr="008C66D7" w:rsidRDefault="0045778F" w:rsidP="00DD4150">
            <w:pPr>
              <w:spacing w:after="0" w:line="240" w:lineRule="auto"/>
              <w:rPr>
                <w:color w:val="000000"/>
                <w:sz w:val="18"/>
                <w:szCs w:val="18"/>
              </w:rPr>
            </w:pPr>
            <w:r w:rsidRPr="008C66D7">
              <w:rPr>
                <w:color w:val="000000"/>
                <w:sz w:val="18"/>
                <w:szCs w:val="18"/>
              </w:rPr>
              <w:t>Ministerstvo vnútra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88FC5D"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1 198 579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462658"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1 321 234</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C39DE67" w14:textId="77777777" w:rsidR="0045778F" w:rsidRPr="008C66D7" w:rsidRDefault="0045778F" w:rsidP="00DD4150">
            <w:pPr>
              <w:spacing w:after="0" w:line="240" w:lineRule="auto"/>
              <w:jc w:val="right"/>
              <w:rPr>
                <w:color w:val="000000"/>
                <w:sz w:val="18"/>
                <w:szCs w:val="18"/>
              </w:rPr>
            </w:pPr>
            <w:r w:rsidRPr="008C66D7">
              <w:rPr>
                <w:color w:val="000000"/>
                <w:sz w:val="18"/>
                <w:szCs w:val="18"/>
              </w:rPr>
              <w:t>22 620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15E67E" w14:textId="77777777" w:rsidR="0045778F" w:rsidRPr="008C66D7" w:rsidRDefault="0045778F" w:rsidP="00DD4150">
            <w:pPr>
              <w:spacing w:after="0" w:line="240" w:lineRule="auto"/>
              <w:jc w:val="right"/>
              <w:rPr>
                <w:color w:val="000000"/>
                <w:sz w:val="18"/>
                <w:szCs w:val="18"/>
              </w:rPr>
            </w:pPr>
            <w:r w:rsidRPr="008C66D7">
              <w:rPr>
                <w:color w:val="000000"/>
                <w:sz w:val="18"/>
                <w:szCs w:val="18"/>
              </w:rPr>
              <w:t>120 553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3837C8" w14:textId="77777777" w:rsidR="0045778F" w:rsidRPr="008C66D7" w:rsidRDefault="0045778F" w:rsidP="00DD4150">
            <w:pPr>
              <w:spacing w:after="0" w:line="240" w:lineRule="auto"/>
              <w:jc w:val="right"/>
              <w:rPr>
                <w:color w:val="000000"/>
                <w:sz w:val="18"/>
                <w:szCs w:val="18"/>
              </w:rPr>
            </w:pPr>
            <w:r w:rsidRPr="008C66D7">
              <w:rPr>
                <w:color w:val="000000"/>
                <w:sz w:val="18"/>
                <w:szCs w:val="18"/>
              </w:rPr>
              <w:t>35 268</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9C0BC7D" w14:textId="77777777" w:rsidR="0045778F" w:rsidRPr="008C66D7" w:rsidRDefault="0045778F" w:rsidP="00DD4150">
            <w:pPr>
              <w:spacing w:after="0" w:line="240" w:lineRule="auto"/>
              <w:jc w:val="right"/>
              <w:rPr>
                <w:color w:val="000000"/>
                <w:sz w:val="18"/>
                <w:szCs w:val="18"/>
              </w:rPr>
            </w:pPr>
            <w:r w:rsidRPr="008C66D7">
              <w:rPr>
                <w:color w:val="000000"/>
                <w:sz w:val="18"/>
                <w:szCs w:val="18"/>
              </w:rPr>
              <w:t>97 933</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20BD02B" w14:textId="77777777" w:rsidR="0045778F" w:rsidRPr="008C66D7" w:rsidRDefault="0045778F" w:rsidP="00DD4150">
            <w:pPr>
              <w:spacing w:after="0" w:line="240" w:lineRule="auto"/>
              <w:jc w:val="right"/>
              <w:rPr>
                <w:color w:val="000000"/>
                <w:sz w:val="18"/>
                <w:szCs w:val="18"/>
              </w:rPr>
            </w:pPr>
            <w:r w:rsidRPr="008C66D7">
              <w:rPr>
                <w:color w:val="000000"/>
                <w:sz w:val="18"/>
                <w:szCs w:val="18"/>
              </w:rPr>
              <w:t>432,9</w:t>
            </w:r>
          </w:p>
        </w:tc>
      </w:tr>
      <w:tr w:rsidR="0045778F" w:rsidRPr="008C66D7" w14:paraId="1E9728B0"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E7E590D" w14:textId="77777777" w:rsidR="0045778F" w:rsidRPr="008C66D7" w:rsidRDefault="0045778F" w:rsidP="00DD4150">
            <w:pPr>
              <w:spacing w:after="0" w:line="240" w:lineRule="auto"/>
              <w:rPr>
                <w:color w:val="000000"/>
                <w:sz w:val="18"/>
                <w:szCs w:val="18"/>
              </w:rPr>
            </w:pPr>
            <w:r w:rsidRPr="008C66D7">
              <w:rPr>
                <w:color w:val="000000"/>
                <w:sz w:val="18"/>
                <w:szCs w:val="18"/>
              </w:rPr>
              <w:t xml:space="preserve">Ministerstvo práce, </w:t>
            </w:r>
            <w:proofErr w:type="spellStart"/>
            <w:r w:rsidRPr="008C66D7">
              <w:rPr>
                <w:color w:val="000000"/>
                <w:sz w:val="18"/>
                <w:szCs w:val="18"/>
              </w:rPr>
              <w:t>soc.vecí</w:t>
            </w:r>
            <w:proofErr w:type="spellEnd"/>
            <w:r w:rsidRPr="008C66D7">
              <w:rPr>
                <w:color w:val="000000"/>
                <w:sz w:val="18"/>
                <w:szCs w:val="18"/>
              </w:rPr>
              <w:t xml:space="preserve"> a rodiny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2B339F" w14:textId="77777777" w:rsidR="0045778F" w:rsidRPr="008C66D7" w:rsidRDefault="0045778F" w:rsidP="00DD4150">
            <w:pPr>
              <w:spacing w:after="0" w:line="240" w:lineRule="auto"/>
              <w:jc w:val="right"/>
              <w:rPr>
                <w:color w:val="000000"/>
                <w:sz w:val="18"/>
                <w:szCs w:val="18"/>
              </w:rPr>
            </w:pPr>
            <w:r w:rsidRPr="008C66D7">
              <w:rPr>
                <w:color w:val="000000"/>
                <w:sz w:val="18"/>
                <w:szCs w:val="18"/>
              </w:rPr>
              <w:t>216 089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6823D2" w14:textId="77777777" w:rsidR="0045778F" w:rsidRPr="008C66D7" w:rsidRDefault="0045778F" w:rsidP="00DD4150">
            <w:pPr>
              <w:spacing w:after="0" w:line="240" w:lineRule="auto"/>
              <w:jc w:val="right"/>
              <w:rPr>
                <w:color w:val="000000"/>
                <w:sz w:val="18"/>
                <w:szCs w:val="18"/>
              </w:rPr>
            </w:pPr>
            <w:r w:rsidRPr="008C66D7">
              <w:rPr>
                <w:color w:val="000000"/>
                <w:sz w:val="18"/>
                <w:szCs w:val="18"/>
              </w:rPr>
              <w:t>204 588</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A32E696" w14:textId="77777777" w:rsidR="0045778F" w:rsidRPr="008C66D7" w:rsidRDefault="0045778F" w:rsidP="00DD4150">
            <w:pPr>
              <w:spacing w:after="0" w:line="240" w:lineRule="auto"/>
              <w:jc w:val="right"/>
              <w:rPr>
                <w:color w:val="000000"/>
                <w:sz w:val="18"/>
                <w:szCs w:val="18"/>
              </w:rPr>
            </w:pPr>
            <w:r w:rsidRPr="008C66D7">
              <w:rPr>
                <w:color w:val="000000"/>
                <w:sz w:val="18"/>
                <w:szCs w:val="18"/>
              </w:rPr>
              <w:t>88 612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C4E447" w14:textId="77777777" w:rsidR="0045778F" w:rsidRPr="008C66D7" w:rsidRDefault="0045778F" w:rsidP="00DD4150">
            <w:pPr>
              <w:spacing w:after="0" w:line="240" w:lineRule="auto"/>
              <w:jc w:val="right"/>
              <w:rPr>
                <w:color w:val="000000"/>
                <w:sz w:val="18"/>
                <w:szCs w:val="18"/>
              </w:rPr>
            </w:pPr>
            <w:r w:rsidRPr="008C66D7">
              <w:rPr>
                <w:color w:val="000000"/>
                <w:sz w:val="18"/>
                <w:szCs w:val="18"/>
              </w:rPr>
              <w:t>113 464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766531" w14:textId="77777777" w:rsidR="0045778F" w:rsidRPr="008C66D7" w:rsidRDefault="0045778F" w:rsidP="00DD4150">
            <w:pPr>
              <w:spacing w:after="0" w:line="240" w:lineRule="auto"/>
              <w:jc w:val="right"/>
              <w:rPr>
                <w:color w:val="000000"/>
                <w:sz w:val="18"/>
                <w:szCs w:val="18"/>
              </w:rPr>
            </w:pPr>
            <w:r w:rsidRPr="008C66D7">
              <w:rPr>
                <w:color w:val="000000"/>
                <w:sz w:val="18"/>
                <w:szCs w:val="18"/>
              </w:rPr>
              <w:t>86 622</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A14C3C5" w14:textId="77777777" w:rsidR="0045778F" w:rsidRPr="008C66D7" w:rsidRDefault="0045778F" w:rsidP="00DD4150">
            <w:pPr>
              <w:spacing w:after="0" w:line="240" w:lineRule="auto"/>
              <w:jc w:val="right"/>
              <w:rPr>
                <w:color w:val="000000"/>
                <w:sz w:val="18"/>
                <w:szCs w:val="18"/>
              </w:rPr>
            </w:pPr>
            <w:r w:rsidRPr="008C66D7">
              <w:rPr>
                <w:color w:val="000000"/>
                <w:sz w:val="18"/>
                <w:szCs w:val="18"/>
              </w:rPr>
              <w:t>24 852</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9A73487" w14:textId="77777777" w:rsidR="0045778F" w:rsidRPr="008C66D7" w:rsidRDefault="0045778F" w:rsidP="00DD4150">
            <w:pPr>
              <w:spacing w:after="0" w:line="240" w:lineRule="auto"/>
              <w:jc w:val="right"/>
              <w:rPr>
                <w:color w:val="000000"/>
                <w:sz w:val="18"/>
                <w:szCs w:val="18"/>
              </w:rPr>
            </w:pPr>
            <w:r w:rsidRPr="008C66D7">
              <w:rPr>
                <w:color w:val="000000"/>
                <w:sz w:val="18"/>
                <w:szCs w:val="18"/>
              </w:rPr>
              <w:t>28,0</w:t>
            </w:r>
          </w:p>
        </w:tc>
      </w:tr>
      <w:tr w:rsidR="0045778F" w:rsidRPr="008C66D7" w14:paraId="64F68823"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800B557" w14:textId="77777777" w:rsidR="0045778F" w:rsidRPr="008C66D7" w:rsidRDefault="0045778F" w:rsidP="00DD4150">
            <w:pPr>
              <w:spacing w:after="0" w:line="240" w:lineRule="auto"/>
              <w:rPr>
                <w:color w:val="000000"/>
                <w:sz w:val="18"/>
                <w:szCs w:val="18"/>
              </w:rPr>
            </w:pPr>
            <w:r w:rsidRPr="008C66D7">
              <w:rPr>
                <w:color w:val="000000"/>
                <w:sz w:val="18"/>
                <w:szCs w:val="18"/>
              </w:rPr>
              <w:t xml:space="preserve">Ministerstvo investícií, </w:t>
            </w:r>
            <w:proofErr w:type="spellStart"/>
            <w:r w:rsidRPr="008C66D7">
              <w:rPr>
                <w:color w:val="000000"/>
                <w:sz w:val="18"/>
                <w:szCs w:val="18"/>
              </w:rPr>
              <w:t>reg.rozvoja</w:t>
            </w:r>
            <w:proofErr w:type="spellEnd"/>
            <w:r w:rsidRPr="008C66D7">
              <w:rPr>
                <w:color w:val="000000"/>
                <w:sz w:val="18"/>
                <w:szCs w:val="18"/>
              </w:rPr>
              <w:t xml:space="preserve"> a infor.SR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39966F" w14:textId="77777777" w:rsidR="0045778F" w:rsidRPr="008C66D7" w:rsidRDefault="0045778F" w:rsidP="00DD4150">
            <w:pPr>
              <w:spacing w:after="0" w:line="240" w:lineRule="auto"/>
              <w:jc w:val="right"/>
              <w:rPr>
                <w:color w:val="000000"/>
                <w:sz w:val="18"/>
                <w:szCs w:val="18"/>
              </w:rPr>
            </w:pPr>
            <w:r w:rsidRPr="008C66D7">
              <w:rPr>
                <w:color w:val="000000"/>
                <w:sz w:val="18"/>
                <w:szCs w:val="18"/>
              </w:rPr>
              <w:t>42 214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4CF345" w14:textId="77777777" w:rsidR="0045778F" w:rsidRPr="008C66D7" w:rsidRDefault="0045778F" w:rsidP="00DD4150">
            <w:pPr>
              <w:spacing w:after="0" w:line="240" w:lineRule="auto"/>
              <w:jc w:val="right"/>
              <w:rPr>
                <w:color w:val="000000"/>
                <w:sz w:val="18"/>
                <w:szCs w:val="18"/>
              </w:rPr>
            </w:pPr>
            <w:r w:rsidRPr="008C66D7">
              <w:rPr>
                <w:color w:val="000000"/>
                <w:sz w:val="18"/>
                <w:szCs w:val="18"/>
              </w:rPr>
              <w:t>95 579</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D1D7AD5" w14:textId="77777777" w:rsidR="0045778F" w:rsidRPr="008C66D7" w:rsidRDefault="0045778F" w:rsidP="00DD4150">
            <w:pPr>
              <w:spacing w:after="0" w:line="240" w:lineRule="auto"/>
              <w:jc w:val="right"/>
              <w:rPr>
                <w:color w:val="000000"/>
                <w:sz w:val="18"/>
                <w:szCs w:val="18"/>
              </w:rPr>
            </w:pPr>
            <w:r w:rsidRPr="008C66D7">
              <w:rPr>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FDEBEA" w14:textId="77777777" w:rsidR="0045778F" w:rsidRPr="008C66D7" w:rsidRDefault="0045778F" w:rsidP="00DD4150">
            <w:pPr>
              <w:spacing w:after="0" w:line="240" w:lineRule="auto"/>
              <w:jc w:val="right"/>
              <w:rPr>
                <w:color w:val="000000"/>
                <w:sz w:val="18"/>
                <w:szCs w:val="18"/>
              </w:rPr>
            </w:pPr>
            <w:r w:rsidRPr="008C66D7">
              <w:rPr>
                <w:color w:val="000000"/>
                <w:sz w:val="18"/>
                <w:szCs w:val="18"/>
              </w:rPr>
              <w:t>87 039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501BC4"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1 455</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2460B0B" w14:textId="77777777" w:rsidR="0045778F" w:rsidRPr="008C66D7" w:rsidRDefault="0045778F" w:rsidP="00DD4150">
            <w:pPr>
              <w:spacing w:after="0" w:line="240" w:lineRule="auto"/>
              <w:jc w:val="right"/>
              <w:rPr>
                <w:color w:val="000000"/>
                <w:sz w:val="18"/>
                <w:szCs w:val="18"/>
              </w:rPr>
            </w:pPr>
            <w:r w:rsidRPr="008C66D7">
              <w:rPr>
                <w:color w:val="000000"/>
                <w:sz w:val="18"/>
                <w:szCs w:val="18"/>
              </w:rPr>
              <w:t>87 039</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4225A7E"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5A53B86E"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D18400" w14:textId="77777777" w:rsidR="0045778F" w:rsidRPr="008C66D7" w:rsidRDefault="0045778F" w:rsidP="00DD4150">
            <w:pPr>
              <w:spacing w:after="0" w:line="240" w:lineRule="auto"/>
              <w:rPr>
                <w:color w:val="000000"/>
                <w:sz w:val="18"/>
                <w:szCs w:val="18"/>
              </w:rPr>
            </w:pPr>
            <w:r w:rsidRPr="008C66D7">
              <w:rPr>
                <w:color w:val="000000"/>
                <w:sz w:val="18"/>
                <w:szCs w:val="18"/>
              </w:rPr>
              <w:t>Ministerstvo životného prostredia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C1D34F" w14:textId="77777777" w:rsidR="0045778F" w:rsidRPr="008C66D7" w:rsidRDefault="0045778F" w:rsidP="00DD4150">
            <w:pPr>
              <w:spacing w:after="0" w:line="240" w:lineRule="auto"/>
              <w:jc w:val="right"/>
              <w:rPr>
                <w:color w:val="000000"/>
                <w:sz w:val="18"/>
                <w:szCs w:val="18"/>
              </w:rPr>
            </w:pPr>
            <w:r w:rsidRPr="008C66D7">
              <w:rPr>
                <w:color w:val="000000"/>
                <w:sz w:val="18"/>
                <w:szCs w:val="18"/>
              </w:rPr>
              <w:t>94 512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D45957" w14:textId="77777777" w:rsidR="0045778F" w:rsidRPr="008C66D7" w:rsidRDefault="0045778F" w:rsidP="00DD4150">
            <w:pPr>
              <w:spacing w:after="0" w:line="240" w:lineRule="auto"/>
              <w:jc w:val="right"/>
              <w:rPr>
                <w:color w:val="000000"/>
                <w:sz w:val="18"/>
                <w:szCs w:val="18"/>
              </w:rPr>
            </w:pPr>
            <w:r w:rsidRPr="008C66D7">
              <w:rPr>
                <w:color w:val="000000"/>
                <w:sz w:val="18"/>
                <w:szCs w:val="18"/>
              </w:rPr>
              <w:t>53 486</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B7417B4" w14:textId="77777777" w:rsidR="0045778F" w:rsidRPr="008C66D7" w:rsidRDefault="0045778F" w:rsidP="00DD4150">
            <w:pPr>
              <w:spacing w:after="0" w:line="240" w:lineRule="auto"/>
              <w:jc w:val="right"/>
              <w:rPr>
                <w:color w:val="000000"/>
                <w:sz w:val="18"/>
                <w:szCs w:val="18"/>
              </w:rPr>
            </w:pPr>
            <w:r w:rsidRPr="008C66D7">
              <w:rPr>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BE179A" w14:textId="77777777" w:rsidR="0045778F" w:rsidRPr="008C66D7" w:rsidRDefault="0045778F" w:rsidP="00DD4150">
            <w:pPr>
              <w:spacing w:after="0" w:line="240" w:lineRule="auto"/>
              <w:jc w:val="right"/>
              <w:rPr>
                <w:color w:val="000000"/>
                <w:sz w:val="18"/>
                <w:szCs w:val="18"/>
              </w:rPr>
            </w:pPr>
            <w:r w:rsidRPr="008C66D7">
              <w:rPr>
                <w:color w:val="000000"/>
                <w:sz w:val="18"/>
                <w:szCs w:val="18"/>
              </w:rPr>
              <w:t>59 021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9C4629"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83C7D37" w14:textId="77777777" w:rsidR="0045778F" w:rsidRPr="008C66D7" w:rsidRDefault="0045778F" w:rsidP="00DD4150">
            <w:pPr>
              <w:spacing w:after="0" w:line="240" w:lineRule="auto"/>
              <w:jc w:val="right"/>
              <w:rPr>
                <w:color w:val="000000"/>
                <w:sz w:val="18"/>
                <w:szCs w:val="18"/>
              </w:rPr>
            </w:pPr>
            <w:r w:rsidRPr="008C66D7">
              <w:rPr>
                <w:color w:val="000000"/>
                <w:sz w:val="18"/>
                <w:szCs w:val="18"/>
              </w:rPr>
              <w:t>59 021</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39C9D84"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2EFA861F"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D727F4" w14:textId="77777777" w:rsidR="0045778F" w:rsidRPr="008C66D7" w:rsidRDefault="0045778F" w:rsidP="00DD4150">
            <w:pPr>
              <w:spacing w:after="0" w:line="240" w:lineRule="auto"/>
              <w:rPr>
                <w:color w:val="000000"/>
                <w:sz w:val="18"/>
                <w:szCs w:val="18"/>
              </w:rPr>
            </w:pPr>
            <w:r w:rsidRPr="008C66D7">
              <w:rPr>
                <w:color w:val="000000"/>
                <w:sz w:val="18"/>
                <w:szCs w:val="18"/>
              </w:rPr>
              <w:t>Ministerstvo dopravy a výstavby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24AD3B" w14:textId="77777777" w:rsidR="0045778F" w:rsidRPr="008C66D7" w:rsidRDefault="0045778F" w:rsidP="00DD4150">
            <w:pPr>
              <w:spacing w:after="0" w:line="240" w:lineRule="auto"/>
              <w:jc w:val="right"/>
              <w:rPr>
                <w:color w:val="000000"/>
                <w:sz w:val="18"/>
                <w:szCs w:val="18"/>
              </w:rPr>
            </w:pPr>
            <w:r w:rsidRPr="008C66D7">
              <w:rPr>
                <w:color w:val="000000"/>
                <w:sz w:val="18"/>
                <w:szCs w:val="18"/>
              </w:rPr>
              <w:t>68 566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16985D" w14:textId="77777777" w:rsidR="0045778F" w:rsidRPr="008C66D7" w:rsidRDefault="0045778F" w:rsidP="00DD4150">
            <w:pPr>
              <w:spacing w:after="0" w:line="240" w:lineRule="auto"/>
              <w:jc w:val="right"/>
              <w:rPr>
                <w:color w:val="000000"/>
                <w:sz w:val="18"/>
                <w:szCs w:val="18"/>
              </w:rPr>
            </w:pPr>
            <w:r w:rsidRPr="008C66D7">
              <w:rPr>
                <w:color w:val="000000"/>
                <w:sz w:val="18"/>
                <w:szCs w:val="18"/>
              </w:rPr>
              <w:t>32 970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8DFD8CB" w14:textId="77777777" w:rsidR="0045778F" w:rsidRPr="008C66D7" w:rsidRDefault="0045778F" w:rsidP="00DD4150">
            <w:pPr>
              <w:spacing w:after="0" w:line="240" w:lineRule="auto"/>
              <w:jc w:val="right"/>
              <w:rPr>
                <w:color w:val="000000"/>
                <w:sz w:val="18"/>
                <w:szCs w:val="18"/>
              </w:rPr>
            </w:pPr>
            <w:r w:rsidRPr="008C66D7">
              <w:rPr>
                <w:color w:val="000000"/>
                <w:sz w:val="18"/>
                <w:szCs w:val="18"/>
              </w:rPr>
              <w:t>9 086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8C8F48" w14:textId="77777777" w:rsidR="0045778F" w:rsidRPr="008C66D7" w:rsidRDefault="0045778F" w:rsidP="00DD4150">
            <w:pPr>
              <w:spacing w:after="0" w:line="240" w:lineRule="auto"/>
              <w:jc w:val="right"/>
              <w:rPr>
                <w:color w:val="000000"/>
                <w:sz w:val="18"/>
                <w:szCs w:val="18"/>
              </w:rPr>
            </w:pPr>
            <w:r w:rsidRPr="008C66D7">
              <w:rPr>
                <w:color w:val="000000"/>
                <w:sz w:val="18"/>
                <w:szCs w:val="18"/>
              </w:rPr>
              <w:t>36 020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618516" w14:textId="77777777" w:rsidR="0045778F" w:rsidRPr="008C66D7" w:rsidRDefault="0045778F" w:rsidP="00DD4150">
            <w:pPr>
              <w:spacing w:after="0" w:line="240" w:lineRule="auto"/>
              <w:jc w:val="right"/>
              <w:rPr>
                <w:color w:val="000000"/>
                <w:sz w:val="18"/>
                <w:szCs w:val="18"/>
              </w:rPr>
            </w:pPr>
            <w:r w:rsidRPr="008C66D7">
              <w:rPr>
                <w:color w:val="000000"/>
                <w:sz w:val="18"/>
                <w:szCs w:val="18"/>
              </w:rPr>
              <w:t>9 062</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53B8537" w14:textId="77777777" w:rsidR="0045778F" w:rsidRPr="008C66D7" w:rsidRDefault="0045778F" w:rsidP="00DD4150">
            <w:pPr>
              <w:spacing w:after="0" w:line="240" w:lineRule="auto"/>
              <w:jc w:val="right"/>
              <w:rPr>
                <w:color w:val="000000"/>
                <w:sz w:val="18"/>
                <w:szCs w:val="18"/>
              </w:rPr>
            </w:pPr>
            <w:r w:rsidRPr="008C66D7">
              <w:rPr>
                <w:color w:val="000000"/>
                <w:sz w:val="18"/>
                <w:szCs w:val="18"/>
              </w:rPr>
              <w:t>26 934</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7728238" w14:textId="77777777" w:rsidR="0045778F" w:rsidRPr="008C66D7" w:rsidRDefault="0045778F" w:rsidP="00DD4150">
            <w:pPr>
              <w:spacing w:after="0" w:line="240" w:lineRule="auto"/>
              <w:jc w:val="right"/>
              <w:rPr>
                <w:color w:val="000000"/>
                <w:sz w:val="18"/>
                <w:szCs w:val="18"/>
              </w:rPr>
            </w:pPr>
            <w:r w:rsidRPr="008C66D7">
              <w:rPr>
                <w:color w:val="000000"/>
                <w:sz w:val="18"/>
                <w:szCs w:val="18"/>
              </w:rPr>
              <w:t>296,4</w:t>
            </w:r>
          </w:p>
        </w:tc>
      </w:tr>
      <w:tr w:rsidR="0045778F" w:rsidRPr="008C66D7" w14:paraId="27BE7C0E"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BF81CB1" w14:textId="77777777" w:rsidR="0045778F" w:rsidRPr="008C66D7" w:rsidRDefault="0045778F" w:rsidP="00DD4150">
            <w:pPr>
              <w:spacing w:after="0" w:line="240" w:lineRule="auto"/>
              <w:rPr>
                <w:color w:val="000000"/>
                <w:sz w:val="18"/>
                <w:szCs w:val="18"/>
              </w:rPr>
            </w:pPr>
            <w:r w:rsidRPr="008C66D7">
              <w:rPr>
                <w:color w:val="000000"/>
                <w:sz w:val="18"/>
                <w:szCs w:val="18"/>
              </w:rPr>
              <w:t>Úrad vlády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718C70"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25923C" w14:textId="77777777" w:rsidR="0045778F" w:rsidRPr="008C66D7" w:rsidRDefault="0045778F" w:rsidP="00DD4150">
            <w:pPr>
              <w:spacing w:after="0" w:line="240" w:lineRule="auto"/>
              <w:jc w:val="right"/>
              <w:rPr>
                <w:color w:val="000000"/>
                <w:sz w:val="18"/>
                <w:szCs w:val="18"/>
              </w:rPr>
            </w:pPr>
            <w:r w:rsidRPr="008C66D7">
              <w:rPr>
                <w:color w:val="000000"/>
                <w:sz w:val="18"/>
                <w:szCs w:val="18"/>
              </w:rPr>
              <w:t>11 750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767D0B4" w14:textId="77777777" w:rsidR="0045778F" w:rsidRPr="008C66D7" w:rsidRDefault="0045778F" w:rsidP="00DD4150">
            <w:pPr>
              <w:spacing w:after="0" w:line="240" w:lineRule="auto"/>
              <w:jc w:val="right"/>
              <w:rPr>
                <w:color w:val="000000"/>
                <w:sz w:val="18"/>
                <w:szCs w:val="18"/>
              </w:rPr>
            </w:pPr>
            <w:r w:rsidRPr="008C66D7">
              <w:rPr>
                <w:color w:val="000000"/>
                <w:sz w:val="18"/>
                <w:szCs w:val="18"/>
              </w:rPr>
              <w:t>850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BE591E" w14:textId="77777777" w:rsidR="0045778F" w:rsidRPr="008C66D7" w:rsidRDefault="0045778F" w:rsidP="00DD4150">
            <w:pPr>
              <w:spacing w:after="0" w:line="240" w:lineRule="auto"/>
              <w:jc w:val="right"/>
              <w:rPr>
                <w:color w:val="000000"/>
                <w:sz w:val="18"/>
                <w:szCs w:val="18"/>
              </w:rPr>
            </w:pPr>
            <w:r w:rsidRPr="008C66D7">
              <w:rPr>
                <w:color w:val="000000"/>
                <w:sz w:val="18"/>
                <w:szCs w:val="18"/>
              </w:rPr>
              <w:t>18 556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6D9191" w14:textId="77777777" w:rsidR="0045778F" w:rsidRPr="008C66D7" w:rsidRDefault="0045778F" w:rsidP="00DD4150">
            <w:pPr>
              <w:spacing w:after="0" w:line="240" w:lineRule="auto"/>
              <w:jc w:val="right"/>
              <w:rPr>
                <w:color w:val="000000"/>
                <w:sz w:val="18"/>
                <w:szCs w:val="18"/>
              </w:rPr>
            </w:pPr>
            <w:r w:rsidRPr="008C66D7">
              <w:rPr>
                <w:color w:val="000000"/>
                <w:sz w:val="18"/>
                <w:szCs w:val="18"/>
              </w:rPr>
              <w:t>437</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7762DF6" w14:textId="77777777" w:rsidR="0045778F" w:rsidRPr="008C66D7" w:rsidRDefault="0045778F" w:rsidP="00DD4150">
            <w:pPr>
              <w:spacing w:after="0" w:line="240" w:lineRule="auto"/>
              <w:jc w:val="right"/>
              <w:rPr>
                <w:color w:val="000000"/>
                <w:sz w:val="18"/>
                <w:szCs w:val="18"/>
              </w:rPr>
            </w:pPr>
            <w:r w:rsidRPr="008C66D7">
              <w:rPr>
                <w:color w:val="000000"/>
                <w:sz w:val="18"/>
                <w:szCs w:val="18"/>
              </w:rPr>
              <w:t>17 706</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BCDF860"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5D40C9E5"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A9DE41" w14:textId="77777777" w:rsidR="0045778F" w:rsidRPr="008C66D7" w:rsidRDefault="0045778F" w:rsidP="00DD4150">
            <w:pPr>
              <w:spacing w:after="0" w:line="240" w:lineRule="auto"/>
              <w:rPr>
                <w:color w:val="000000"/>
                <w:sz w:val="18"/>
                <w:szCs w:val="18"/>
              </w:rPr>
            </w:pPr>
            <w:r w:rsidRPr="008C66D7">
              <w:rPr>
                <w:color w:val="000000"/>
                <w:sz w:val="18"/>
                <w:szCs w:val="18"/>
              </w:rPr>
              <w:t xml:space="preserve">Ministerstvo </w:t>
            </w:r>
            <w:proofErr w:type="spellStart"/>
            <w:r w:rsidRPr="008C66D7">
              <w:rPr>
                <w:color w:val="000000"/>
                <w:sz w:val="18"/>
                <w:szCs w:val="18"/>
              </w:rPr>
              <w:t>pôdohospod</w:t>
            </w:r>
            <w:proofErr w:type="spellEnd"/>
            <w:r w:rsidRPr="008C66D7">
              <w:rPr>
                <w:color w:val="000000"/>
                <w:sz w:val="18"/>
                <w:szCs w:val="18"/>
              </w:rPr>
              <w:t>. a rozvoja vidieka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C05427" w14:textId="77777777" w:rsidR="0045778F" w:rsidRPr="008C66D7" w:rsidRDefault="0045778F" w:rsidP="00DD4150">
            <w:pPr>
              <w:spacing w:after="0" w:line="240" w:lineRule="auto"/>
              <w:jc w:val="right"/>
              <w:rPr>
                <w:color w:val="000000"/>
                <w:sz w:val="18"/>
                <w:szCs w:val="18"/>
              </w:rPr>
            </w:pPr>
            <w:r w:rsidRPr="008C66D7">
              <w:rPr>
                <w:color w:val="000000"/>
                <w:sz w:val="18"/>
                <w:szCs w:val="18"/>
              </w:rPr>
              <w:t>69 587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6955A0" w14:textId="77777777" w:rsidR="0045778F" w:rsidRPr="008C66D7" w:rsidRDefault="0045778F" w:rsidP="00DD4150">
            <w:pPr>
              <w:spacing w:after="0" w:line="240" w:lineRule="auto"/>
              <w:jc w:val="right"/>
              <w:rPr>
                <w:color w:val="000000"/>
                <w:sz w:val="18"/>
                <w:szCs w:val="18"/>
              </w:rPr>
            </w:pPr>
            <w:r w:rsidRPr="008C66D7">
              <w:rPr>
                <w:color w:val="000000"/>
                <w:sz w:val="18"/>
                <w:szCs w:val="18"/>
              </w:rPr>
              <w:t>7 008</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906C5E6" w14:textId="77777777" w:rsidR="0045778F" w:rsidRPr="008C66D7" w:rsidRDefault="0045778F" w:rsidP="00DD4150">
            <w:pPr>
              <w:spacing w:after="0" w:line="240" w:lineRule="auto"/>
              <w:jc w:val="right"/>
              <w:rPr>
                <w:color w:val="000000"/>
                <w:sz w:val="18"/>
                <w:szCs w:val="18"/>
              </w:rPr>
            </w:pPr>
            <w:r w:rsidRPr="008C66D7">
              <w:rPr>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E2DC3F" w14:textId="77777777" w:rsidR="0045778F" w:rsidRPr="008C66D7" w:rsidRDefault="0045778F" w:rsidP="00DD4150">
            <w:pPr>
              <w:spacing w:after="0" w:line="240" w:lineRule="auto"/>
              <w:jc w:val="right"/>
              <w:rPr>
                <w:color w:val="000000"/>
                <w:sz w:val="18"/>
                <w:szCs w:val="18"/>
              </w:rPr>
            </w:pPr>
            <w:r w:rsidRPr="008C66D7">
              <w:rPr>
                <w:color w:val="000000"/>
                <w:sz w:val="18"/>
                <w:szCs w:val="18"/>
              </w:rPr>
              <w:t>14 970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2858F7" w14:textId="77777777" w:rsidR="0045778F" w:rsidRPr="008C66D7" w:rsidRDefault="0045778F" w:rsidP="00DD4150">
            <w:pPr>
              <w:spacing w:after="0" w:line="240" w:lineRule="auto"/>
              <w:jc w:val="right"/>
              <w:rPr>
                <w:color w:val="000000"/>
                <w:sz w:val="18"/>
                <w:szCs w:val="18"/>
              </w:rPr>
            </w:pPr>
            <w:r w:rsidRPr="008C66D7">
              <w:rPr>
                <w:color w:val="000000"/>
                <w:sz w:val="18"/>
                <w:szCs w:val="18"/>
              </w:rPr>
              <w:t>112</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3E9F423" w14:textId="77777777" w:rsidR="0045778F" w:rsidRPr="008C66D7" w:rsidRDefault="0045778F" w:rsidP="00DD4150">
            <w:pPr>
              <w:spacing w:after="0" w:line="240" w:lineRule="auto"/>
              <w:jc w:val="right"/>
              <w:rPr>
                <w:color w:val="000000"/>
                <w:sz w:val="18"/>
                <w:szCs w:val="18"/>
              </w:rPr>
            </w:pPr>
            <w:r w:rsidRPr="008C66D7">
              <w:rPr>
                <w:color w:val="000000"/>
                <w:sz w:val="18"/>
                <w:szCs w:val="18"/>
              </w:rPr>
              <w:t>14 970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147DEF3"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4F051364"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8E4A2F" w14:textId="77777777" w:rsidR="0045778F" w:rsidRPr="008C66D7" w:rsidRDefault="0045778F" w:rsidP="00DD4150">
            <w:pPr>
              <w:spacing w:after="0" w:line="240" w:lineRule="auto"/>
              <w:rPr>
                <w:color w:val="000000"/>
                <w:sz w:val="18"/>
                <w:szCs w:val="18"/>
              </w:rPr>
            </w:pPr>
            <w:r w:rsidRPr="008C66D7">
              <w:rPr>
                <w:color w:val="000000"/>
                <w:sz w:val="18"/>
                <w:szCs w:val="18"/>
              </w:rPr>
              <w:t>Ministerstvo kultúry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C0A773" w14:textId="77777777" w:rsidR="0045778F" w:rsidRPr="008C66D7" w:rsidRDefault="0045778F" w:rsidP="00DD4150">
            <w:pPr>
              <w:spacing w:after="0" w:line="240" w:lineRule="auto"/>
              <w:jc w:val="right"/>
              <w:rPr>
                <w:color w:val="000000"/>
                <w:sz w:val="18"/>
                <w:szCs w:val="18"/>
              </w:rPr>
            </w:pPr>
            <w:r w:rsidRPr="008C66D7">
              <w:rPr>
                <w:color w:val="000000"/>
                <w:sz w:val="18"/>
                <w:szCs w:val="18"/>
              </w:rPr>
              <w:t>4 091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E486FF" w14:textId="77777777" w:rsidR="0045778F" w:rsidRPr="008C66D7" w:rsidRDefault="0045778F" w:rsidP="00DD4150">
            <w:pPr>
              <w:spacing w:after="0" w:line="240" w:lineRule="auto"/>
              <w:jc w:val="right"/>
              <w:rPr>
                <w:color w:val="000000"/>
                <w:sz w:val="18"/>
                <w:szCs w:val="18"/>
              </w:rPr>
            </w:pPr>
            <w:r w:rsidRPr="008C66D7">
              <w:rPr>
                <w:color w:val="000000"/>
                <w:sz w:val="18"/>
                <w:szCs w:val="18"/>
              </w:rPr>
              <w:t>3 013</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11BC286" w14:textId="77777777" w:rsidR="0045778F" w:rsidRPr="008C66D7" w:rsidRDefault="0045778F" w:rsidP="00DD4150">
            <w:pPr>
              <w:spacing w:after="0" w:line="240" w:lineRule="auto"/>
              <w:jc w:val="right"/>
              <w:rPr>
                <w:color w:val="000000"/>
                <w:sz w:val="18"/>
                <w:szCs w:val="18"/>
              </w:rPr>
            </w:pPr>
            <w:r w:rsidRPr="008C66D7">
              <w:rPr>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027004" w14:textId="77777777" w:rsidR="0045778F" w:rsidRPr="008C66D7" w:rsidRDefault="0045778F" w:rsidP="00DD4150">
            <w:pPr>
              <w:spacing w:after="0" w:line="240" w:lineRule="auto"/>
              <w:jc w:val="right"/>
              <w:rPr>
                <w:color w:val="000000"/>
                <w:sz w:val="18"/>
                <w:szCs w:val="18"/>
              </w:rPr>
            </w:pPr>
            <w:r w:rsidRPr="008C66D7">
              <w:rPr>
                <w:color w:val="000000"/>
                <w:sz w:val="18"/>
                <w:szCs w:val="18"/>
              </w:rPr>
              <w:t>3 922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8FFB0E" w14:textId="77777777" w:rsidR="0045778F" w:rsidRPr="008C66D7" w:rsidRDefault="0045778F" w:rsidP="00DD4150">
            <w:pPr>
              <w:spacing w:after="0" w:line="240" w:lineRule="auto"/>
              <w:jc w:val="right"/>
              <w:rPr>
                <w:color w:val="000000"/>
                <w:sz w:val="18"/>
                <w:szCs w:val="18"/>
              </w:rPr>
            </w:pPr>
            <w:r w:rsidRPr="008C66D7">
              <w:rPr>
                <w:color w:val="000000"/>
                <w:sz w:val="18"/>
                <w:szCs w:val="18"/>
              </w:rPr>
              <w:t>3 244</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F9F2B5F" w14:textId="77777777" w:rsidR="0045778F" w:rsidRPr="008C66D7" w:rsidRDefault="0045778F" w:rsidP="00DD4150">
            <w:pPr>
              <w:spacing w:after="0" w:line="240" w:lineRule="auto"/>
              <w:jc w:val="right"/>
              <w:rPr>
                <w:color w:val="000000"/>
                <w:sz w:val="18"/>
                <w:szCs w:val="18"/>
              </w:rPr>
            </w:pPr>
            <w:r w:rsidRPr="008C66D7">
              <w:rPr>
                <w:color w:val="000000"/>
                <w:sz w:val="18"/>
                <w:szCs w:val="18"/>
              </w:rPr>
              <w:t>3 922</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84F8DF0"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46683985"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C5D00D" w14:textId="77777777" w:rsidR="0045778F" w:rsidRPr="008C66D7" w:rsidRDefault="0045778F" w:rsidP="00DD4150">
            <w:pPr>
              <w:spacing w:after="0" w:line="240" w:lineRule="auto"/>
              <w:rPr>
                <w:color w:val="000000"/>
                <w:sz w:val="18"/>
                <w:szCs w:val="18"/>
              </w:rPr>
            </w:pPr>
            <w:r w:rsidRPr="008C66D7">
              <w:rPr>
                <w:color w:val="000000"/>
                <w:sz w:val="18"/>
                <w:szCs w:val="18"/>
              </w:rPr>
              <w:t>Všeobecná pokladničná správa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CB4BB5" w14:textId="77777777" w:rsidR="0045778F" w:rsidRPr="008C66D7" w:rsidRDefault="0045778F" w:rsidP="00DD4150">
            <w:pPr>
              <w:spacing w:after="0" w:line="240" w:lineRule="auto"/>
              <w:jc w:val="right"/>
              <w:rPr>
                <w:color w:val="000000"/>
                <w:sz w:val="18"/>
                <w:szCs w:val="18"/>
              </w:rPr>
            </w:pPr>
            <w:r w:rsidRPr="008C66D7">
              <w:rPr>
                <w:color w:val="000000"/>
                <w:sz w:val="18"/>
                <w:szCs w:val="18"/>
              </w:rPr>
              <w:t>29 831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240F16" w14:textId="77777777" w:rsidR="0045778F" w:rsidRPr="008C66D7" w:rsidRDefault="0045778F" w:rsidP="00DD4150">
            <w:pPr>
              <w:spacing w:after="0" w:line="240" w:lineRule="auto"/>
              <w:jc w:val="right"/>
              <w:rPr>
                <w:color w:val="000000"/>
                <w:sz w:val="18"/>
                <w:szCs w:val="18"/>
              </w:rPr>
            </w:pPr>
            <w:r w:rsidRPr="008C66D7">
              <w:rPr>
                <w:color w:val="000000"/>
                <w:sz w:val="18"/>
                <w:szCs w:val="18"/>
              </w:rPr>
              <w:t>7 856</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3637889" w14:textId="77777777" w:rsidR="0045778F" w:rsidRPr="008C66D7" w:rsidRDefault="0045778F" w:rsidP="00DD4150">
            <w:pPr>
              <w:spacing w:after="0" w:line="240" w:lineRule="auto"/>
              <w:jc w:val="right"/>
              <w:rPr>
                <w:color w:val="000000"/>
                <w:sz w:val="18"/>
                <w:szCs w:val="18"/>
              </w:rPr>
            </w:pPr>
            <w:r w:rsidRPr="008C66D7">
              <w:rPr>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140CCB"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1 893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3B863C" w14:textId="77777777" w:rsidR="0045778F" w:rsidRPr="008C66D7" w:rsidRDefault="0045778F" w:rsidP="00DD4150">
            <w:pPr>
              <w:spacing w:after="0" w:line="240" w:lineRule="auto"/>
              <w:jc w:val="right"/>
              <w:rPr>
                <w:color w:val="000000"/>
                <w:sz w:val="18"/>
                <w:szCs w:val="18"/>
              </w:rPr>
            </w:pPr>
            <w:r w:rsidRPr="008C66D7">
              <w:rPr>
                <w:color w:val="000000"/>
                <w:sz w:val="18"/>
                <w:szCs w:val="18"/>
              </w:rPr>
              <w:t>843</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C99985F"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1 893</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B772F8F"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4BF201B1"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773827A" w14:textId="77777777" w:rsidR="0045778F" w:rsidRPr="008C66D7" w:rsidRDefault="0045778F" w:rsidP="00DD4150">
            <w:pPr>
              <w:spacing w:after="0" w:line="240" w:lineRule="auto"/>
              <w:rPr>
                <w:color w:val="000000"/>
                <w:sz w:val="18"/>
                <w:szCs w:val="18"/>
              </w:rPr>
            </w:pPr>
            <w:r w:rsidRPr="008C66D7">
              <w:rPr>
                <w:color w:val="000000"/>
                <w:sz w:val="18"/>
                <w:szCs w:val="18"/>
              </w:rPr>
              <w:t>Ministerstvo hospodárstva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615006" w14:textId="77777777" w:rsidR="0045778F" w:rsidRPr="008C66D7" w:rsidRDefault="0045778F" w:rsidP="00DD4150">
            <w:pPr>
              <w:spacing w:after="0" w:line="240" w:lineRule="auto"/>
              <w:jc w:val="right"/>
              <w:rPr>
                <w:color w:val="000000"/>
                <w:sz w:val="18"/>
                <w:szCs w:val="18"/>
              </w:rPr>
            </w:pPr>
            <w:r w:rsidRPr="008C66D7">
              <w:rPr>
                <w:color w:val="000000"/>
                <w:sz w:val="18"/>
                <w:szCs w:val="18"/>
              </w:rPr>
              <w:t>4 905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47B784" w14:textId="77777777" w:rsidR="0045778F" w:rsidRPr="008C66D7" w:rsidRDefault="0045778F" w:rsidP="00DD4150">
            <w:pPr>
              <w:spacing w:after="0" w:line="240" w:lineRule="auto"/>
              <w:jc w:val="right"/>
              <w:rPr>
                <w:color w:val="000000"/>
                <w:sz w:val="18"/>
                <w:szCs w:val="18"/>
              </w:rPr>
            </w:pPr>
            <w:r w:rsidRPr="008C66D7">
              <w:rPr>
                <w:color w:val="000000"/>
                <w:sz w:val="18"/>
                <w:szCs w:val="18"/>
              </w:rPr>
              <w:t>1 498</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7582BC7" w14:textId="77777777" w:rsidR="0045778F" w:rsidRPr="008C66D7" w:rsidRDefault="0045778F" w:rsidP="00DD4150">
            <w:pPr>
              <w:spacing w:after="0" w:line="240" w:lineRule="auto"/>
              <w:jc w:val="right"/>
              <w:rPr>
                <w:color w:val="000000"/>
                <w:sz w:val="18"/>
                <w:szCs w:val="18"/>
              </w:rPr>
            </w:pPr>
            <w:r w:rsidRPr="008C66D7">
              <w:rPr>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944F8E" w14:textId="77777777" w:rsidR="0045778F" w:rsidRPr="008C66D7" w:rsidRDefault="0045778F" w:rsidP="00DD4150">
            <w:pPr>
              <w:spacing w:after="0" w:line="240" w:lineRule="auto"/>
              <w:jc w:val="right"/>
              <w:rPr>
                <w:color w:val="000000"/>
                <w:sz w:val="18"/>
                <w:szCs w:val="18"/>
              </w:rPr>
            </w:pPr>
            <w:r w:rsidRPr="008C66D7">
              <w:rPr>
                <w:color w:val="000000"/>
                <w:sz w:val="18"/>
                <w:szCs w:val="18"/>
              </w:rPr>
              <w:t>980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BCC166"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4540C1E" w14:textId="77777777" w:rsidR="0045778F" w:rsidRPr="008C66D7" w:rsidRDefault="0045778F" w:rsidP="00DD4150">
            <w:pPr>
              <w:spacing w:after="0" w:line="240" w:lineRule="auto"/>
              <w:jc w:val="right"/>
              <w:rPr>
                <w:color w:val="000000"/>
                <w:sz w:val="18"/>
                <w:szCs w:val="18"/>
              </w:rPr>
            </w:pPr>
            <w:r w:rsidRPr="008C66D7">
              <w:rPr>
                <w:color w:val="000000"/>
                <w:sz w:val="18"/>
                <w:szCs w:val="18"/>
              </w:rPr>
              <w:t>980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761BF3B"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6BEFB507"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37B32D" w14:textId="77777777" w:rsidR="0045778F" w:rsidRPr="008C66D7" w:rsidRDefault="0045778F" w:rsidP="00DD4150">
            <w:pPr>
              <w:spacing w:after="0" w:line="240" w:lineRule="auto"/>
              <w:rPr>
                <w:color w:val="000000"/>
                <w:sz w:val="18"/>
                <w:szCs w:val="18"/>
              </w:rPr>
            </w:pPr>
            <w:r w:rsidRPr="008C66D7">
              <w:rPr>
                <w:color w:val="000000"/>
                <w:sz w:val="18"/>
                <w:szCs w:val="18"/>
              </w:rPr>
              <w:t>Ministerstvo obrany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E190F3" w14:textId="77777777" w:rsidR="0045778F" w:rsidRPr="008C66D7" w:rsidRDefault="0045778F" w:rsidP="00DD4150">
            <w:pPr>
              <w:spacing w:after="0" w:line="240" w:lineRule="auto"/>
              <w:jc w:val="right"/>
              <w:rPr>
                <w:color w:val="000000"/>
                <w:sz w:val="18"/>
                <w:szCs w:val="18"/>
              </w:rPr>
            </w:pPr>
            <w:r w:rsidRPr="008C66D7">
              <w:rPr>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829EAF" w14:textId="77777777" w:rsidR="0045778F" w:rsidRPr="008C66D7" w:rsidRDefault="0045778F" w:rsidP="00DD4150">
            <w:pPr>
              <w:spacing w:after="0" w:line="240" w:lineRule="auto"/>
              <w:jc w:val="right"/>
              <w:rPr>
                <w:color w:val="000000"/>
                <w:sz w:val="18"/>
                <w:szCs w:val="18"/>
              </w:rPr>
            </w:pPr>
            <w:r w:rsidRPr="008C66D7">
              <w:rPr>
                <w:color w:val="000000"/>
                <w:sz w:val="18"/>
                <w:szCs w:val="18"/>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70E6256" w14:textId="77777777" w:rsidR="0045778F" w:rsidRPr="008C66D7" w:rsidRDefault="0045778F" w:rsidP="00DD4150">
            <w:pPr>
              <w:spacing w:after="0" w:line="240" w:lineRule="auto"/>
              <w:jc w:val="right"/>
              <w:rPr>
                <w:color w:val="000000"/>
                <w:sz w:val="18"/>
                <w:szCs w:val="18"/>
              </w:rPr>
            </w:pPr>
            <w:r w:rsidRPr="008C66D7">
              <w:rPr>
                <w:color w:val="000000"/>
                <w:sz w:val="18"/>
                <w:szCs w:val="18"/>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DF5103" w14:textId="77777777" w:rsidR="0045778F" w:rsidRPr="008C66D7" w:rsidRDefault="0045778F" w:rsidP="00DD4150">
            <w:pPr>
              <w:spacing w:after="0" w:line="240" w:lineRule="auto"/>
              <w:jc w:val="right"/>
              <w:rPr>
                <w:color w:val="000000"/>
                <w:sz w:val="18"/>
                <w:szCs w:val="18"/>
              </w:rPr>
            </w:pPr>
            <w:r w:rsidRPr="008C66D7">
              <w:rPr>
                <w:color w:val="000000"/>
                <w:sz w:val="18"/>
                <w:szCs w:val="18"/>
              </w:rPr>
              <w:t>150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33BCC6" w14:textId="77777777" w:rsidR="0045778F" w:rsidRPr="008C66D7" w:rsidRDefault="0045778F" w:rsidP="00DD4150">
            <w:pPr>
              <w:spacing w:after="0" w:line="240" w:lineRule="auto"/>
              <w:jc w:val="right"/>
              <w:rPr>
                <w:color w:val="000000"/>
                <w:sz w:val="18"/>
                <w:szCs w:val="18"/>
              </w:rPr>
            </w:pPr>
            <w:r w:rsidRPr="008C66D7">
              <w:rPr>
                <w:color w:val="000000"/>
                <w:sz w:val="18"/>
                <w:szCs w:val="18"/>
              </w:rPr>
              <w:t>150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ADDEC37" w14:textId="77777777" w:rsidR="0045778F" w:rsidRPr="008C66D7" w:rsidRDefault="0045778F" w:rsidP="00DD4150">
            <w:pPr>
              <w:spacing w:after="0" w:line="240" w:lineRule="auto"/>
              <w:jc w:val="right"/>
              <w:rPr>
                <w:color w:val="000000"/>
                <w:sz w:val="18"/>
                <w:szCs w:val="18"/>
              </w:rPr>
            </w:pPr>
            <w:r w:rsidRPr="008C66D7">
              <w:rPr>
                <w:color w:val="000000"/>
                <w:sz w:val="18"/>
                <w:szCs w:val="18"/>
              </w:rPr>
              <w:t>150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EBBF696"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2B79FB24"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00B3E5" w14:textId="77777777" w:rsidR="0045778F" w:rsidRPr="008C66D7" w:rsidRDefault="0045778F" w:rsidP="00DD4150">
            <w:pPr>
              <w:spacing w:after="0" w:line="240" w:lineRule="auto"/>
              <w:rPr>
                <w:color w:val="000000"/>
                <w:sz w:val="18"/>
                <w:szCs w:val="18"/>
              </w:rPr>
            </w:pPr>
            <w:r w:rsidRPr="008C66D7">
              <w:rPr>
                <w:color w:val="000000"/>
                <w:sz w:val="18"/>
                <w:szCs w:val="18"/>
              </w:rPr>
              <w:t>Štatistický úrad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0236D3" w14:textId="77777777" w:rsidR="0045778F" w:rsidRPr="008C66D7" w:rsidRDefault="0045778F" w:rsidP="00DD4150">
            <w:pPr>
              <w:spacing w:after="0" w:line="240" w:lineRule="auto"/>
              <w:jc w:val="right"/>
              <w:rPr>
                <w:color w:val="000000"/>
                <w:sz w:val="18"/>
                <w:szCs w:val="18"/>
              </w:rPr>
            </w:pPr>
            <w:r w:rsidRPr="008C66D7">
              <w:rPr>
                <w:color w:val="000000"/>
                <w:sz w:val="18"/>
                <w:szCs w:val="18"/>
              </w:rPr>
              <w:t>11 136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FE264E" w14:textId="77777777" w:rsidR="0045778F" w:rsidRPr="008C66D7" w:rsidRDefault="0045778F" w:rsidP="00DD4150">
            <w:pPr>
              <w:spacing w:after="0" w:line="240" w:lineRule="auto"/>
              <w:jc w:val="right"/>
              <w:rPr>
                <w:color w:val="000000"/>
                <w:sz w:val="18"/>
                <w:szCs w:val="18"/>
              </w:rPr>
            </w:pPr>
            <w:r w:rsidRPr="008C66D7">
              <w:rPr>
                <w:color w:val="000000"/>
                <w:sz w:val="18"/>
                <w:szCs w:val="18"/>
              </w:rPr>
              <w:t>12 714</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8103628"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FA82BC"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7636D9"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322E06D"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C0874EA"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0B1EE9AD"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1A46E85" w14:textId="77777777" w:rsidR="0045778F" w:rsidRPr="008C66D7" w:rsidRDefault="0045778F" w:rsidP="00DD4150">
            <w:pPr>
              <w:spacing w:after="0" w:line="240" w:lineRule="auto"/>
              <w:rPr>
                <w:color w:val="000000"/>
                <w:sz w:val="18"/>
                <w:szCs w:val="18"/>
              </w:rPr>
            </w:pPr>
            <w:r w:rsidRPr="008C66D7">
              <w:rPr>
                <w:color w:val="000000"/>
                <w:sz w:val="18"/>
                <w:szCs w:val="18"/>
              </w:rPr>
              <w:t>Ministerstvo zdravotníctva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30A103"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9DA884" w14:textId="77777777" w:rsidR="0045778F" w:rsidRPr="008C66D7" w:rsidRDefault="0045778F" w:rsidP="00DD4150">
            <w:pPr>
              <w:spacing w:after="0" w:line="240" w:lineRule="auto"/>
              <w:jc w:val="right"/>
              <w:rPr>
                <w:color w:val="000000"/>
                <w:sz w:val="18"/>
                <w:szCs w:val="18"/>
              </w:rPr>
            </w:pPr>
            <w:r w:rsidRPr="008C66D7">
              <w:rPr>
                <w:color w:val="000000"/>
                <w:sz w:val="18"/>
                <w:szCs w:val="18"/>
              </w:rPr>
              <w:t>16</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B568651"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6B8FA8"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72E108"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02FCC8E"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4C74140"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32E5F89F" w14:textId="77777777" w:rsidTr="00EB5625">
        <w:trPr>
          <w:trHeight w:val="330"/>
        </w:trPr>
        <w:tc>
          <w:tcPr>
            <w:tcW w:w="3544"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758E1" w14:textId="77777777" w:rsidR="0045778F" w:rsidRPr="008C66D7" w:rsidRDefault="0045778F" w:rsidP="00DD4150">
            <w:pPr>
              <w:spacing w:after="0" w:line="240" w:lineRule="auto"/>
              <w:rPr>
                <w:color w:val="000000"/>
                <w:sz w:val="18"/>
                <w:szCs w:val="18"/>
              </w:rPr>
            </w:pPr>
            <w:r w:rsidRPr="008C66D7">
              <w:rPr>
                <w:color w:val="000000"/>
                <w:sz w:val="18"/>
                <w:szCs w:val="18"/>
              </w:rPr>
              <w:t>Ministerstvo financií SR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199113" w14:textId="77777777" w:rsidR="0045778F" w:rsidRPr="008C66D7" w:rsidRDefault="0045778F" w:rsidP="00DD4150">
            <w:pPr>
              <w:spacing w:after="0" w:line="240" w:lineRule="auto"/>
              <w:jc w:val="right"/>
              <w:rPr>
                <w:color w:val="000000"/>
                <w:sz w:val="18"/>
                <w:szCs w:val="18"/>
              </w:rPr>
            </w:pPr>
            <w:r w:rsidRPr="008C66D7">
              <w:rPr>
                <w:color w:val="000000"/>
                <w:sz w:val="18"/>
                <w:szCs w:val="18"/>
              </w:rPr>
              <w:t>221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DF3781"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4613325"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F3DFC4"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DC4D6C"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39325BE"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F1BA718" w14:textId="77777777" w:rsidR="0045778F" w:rsidRPr="008C66D7" w:rsidRDefault="0045778F" w:rsidP="00DD4150">
            <w:pPr>
              <w:spacing w:after="0" w:line="240" w:lineRule="auto"/>
              <w:jc w:val="right"/>
              <w:rPr>
                <w:color w:val="000000"/>
                <w:sz w:val="18"/>
                <w:szCs w:val="18"/>
              </w:rPr>
            </w:pPr>
            <w:r w:rsidRPr="008C66D7">
              <w:rPr>
                <w:color w:val="000000"/>
                <w:sz w:val="18"/>
                <w:szCs w:val="18"/>
              </w:rPr>
              <w:t>x</w:t>
            </w:r>
          </w:p>
        </w:tc>
      </w:tr>
      <w:tr w:rsidR="0045778F" w:rsidRPr="008C66D7" w14:paraId="6323E51F" w14:textId="77777777" w:rsidTr="00EB5625">
        <w:trPr>
          <w:trHeight w:val="345"/>
        </w:trPr>
        <w:tc>
          <w:tcPr>
            <w:tcW w:w="3544" w:type="dxa"/>
            <w:tcBorders>
              <w:top w:val="single" w:sz="4"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3B7FA861" w14:textId="77777777" w:rsidR="0045778F" w:rsidRPr="008C66D7" w:rsidRDefault="0045778F" w:rsidP="00DD4150">
            <w:pPr>
              <w:spacing w:after="0" w:line="240" w:lineRule="auto"/>
              <w:rPr>
                <w:b/>
                <w:bCs/>
                <w:color w:val="000000"/>
                <w:sz w:val="18"/>
                <w:szCs w:val="18"/>
              </w:rPr>
            </w:pPr>
            <w:r w:rsidRPr="008C66D7">
              <w:rPr>
                <w:b/>
                <w:bCs/>
                <w:color w:val="000000"/>
                <w:sz w:val="18"/>
                <w:szCs w:val="18"/>
              </w:rPr>
              <w:t>Spolu</w:t>
            </w:r>
          </w:p>
        </w:tc>
        <w:tc>
          <w:tcPr>
            <w:tcW w:w="0" w:type="auto"/>
            <w:tcBorders>
              <w:top w:val="single" w:sz="4"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2B6B690E" w14:textId="77777777" w:rsidR="0045778F" w:rsidRPr="008C66D7" w:rsidRDefault="0045778F" w:rsidP="00DD4150">
            <w:pPr>
              <w:spacing w:after="0" w:line="240" w:lineRule="auto"/>
              <w:jc w:val="right"/>
              <w:rPr>
                <w:b/>
                <w:bCs/>
                <w:color w:val="000000"/>
                <w:sz w:val="18"/>
                <w:szCs w:val="18"/>
              </w:rPr>
            </w:pPr>
            <w:r w:rsidRPr="008C66D7">
              <w:rPr>
                <w:b/>
                <w:bCs/>
                <w:color w:val="000000"/>
                <w:sz w:val="18"/>
                <w:szCs w:val="18"/>
              </w:rPr>
              <w:t>1 756 998</w:t>
            </w:r>
          </w:p>
        </w:tc>
        <w:tc>
          <w:tcPr>
            <w:tcW w:w="0" w:type="auto"/>
            <w:tcBorders>
              <w:top w:val="single" w:sz="4"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52AA136E" w14:textId="77777777" w:rsidR="0045778F" w:rsidRPr="008C66D7" w:rsidRDefault="0045778F" w:rsidP="00DD4150">
            <w:pPr>
              <w:spacing w:after="0" w:line="240" w:lineRule="auto"/>
              <w:jc w:val="right"/>
              <w:rPr>
                <w:b/>
                <w:bCs/>
                <w:color w:val="000000"/>
                <w:sz w:val="18"/>
                <w:szCs w:val="18"/>
              </w:rPr>
            </w:pPr>
            <w:r w:rsidRPr="008C66D7">
              <w:rPr>
                <w:b/>
                <w:bCs/>
                <w:color w:val="000000"/>
                <w:sz w:val="18"/>
                <w:szCs w:val="18"/>
              </w:rPr>
              <w:t>1 763 395</w:t>
            </w:r>
          </w:p>
        </w:tc>
        <w:tc>
          <w:tcPr>
            <w:tcW w:w="0" w:type="auto"/>
            <w:tcBorders>
              <w:top w:val="single" w:sz="4"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61B83887" w14:textId="77777777" w:rsidR="0045778F" w:rsidRPr="008C66D7" w:rsidRDefault="0045778F" w:rsidP="00DD4150">
            <w:pPr>
              <w:spacing w:after="0" w:line="240" w:lineRule="auto"/>
              <w:jc w:val="right"/>
              <w:rPr>
                <w:b/>
                <w:bCs/>
                <w:color w:val="000000"/>
                <w:sz w:val="18"/>
                <w:szCs w:val="18"/>
              </w:rPr>
            </w:pPr>
            <w:r w:rsidRPr="008C66D7">
              <w:rPr>
                <w:b/>
                <w:bCs/>
                <w:color w:val="000000"/>
                <w:sz w:val="18"/>
                <w:szCs w:val="18"/>
              </w:rPr>
              <w:t>1 426 031</w:t>
            </w:r>
          </w:p>
        </w:tc>
        <w:tc>
          <w:tcPr>
            <w:tcW w:w="0" w:type="auto"/>
            <w:tcBorders>
              <w:top w:val="single" w:sz="4"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735D7D83" w14:textId="77777777" w:rsidR="0045778F" w:rsidRPr="008C66D7" w:rsidRDefault="0045778F" w:rsidP="00DD4150">
            <w:pPr>
              <w:spacing w:after="0" w:line="240" w:lineRule="auto"/>
              <w:jc w:val="right"/>
              <w:rPr>
                <w:b/>
                <w:bCs/>
                <w:color w:val="000000"/>
                <w:sz w:val="18"/>
                <w:szCs w:val="18"/>
              </w:rPr>
            </w:pPr>
            <w:r w:rsidRPr="008C66D7">
              <w:rPr>
                <w:b/>
                <w:bCs/>
                <w:color w:val="000000"/>
                <w:sz w:val="18"/>
                <w:szCs w:val="18"/>
              </w:rPr>
              <w:t>1 701 892</w:t>
            </w:r>
          </w:p>
        </w:tc>
        <w:tc>
          <w:tcPr>
            <w:tcW w:w="0" w:type="auto"/>
            <w:tcBorders>
              <w:top w:val="single" w:sz="4"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64A50F10" w14:textId="77777777" w:rsidR="0045778F" w:rsidRPr="008C66D7" w:rsidRDefault="0045778F" w:rsidP="00DD4150">
            <w:pPr>
              <w:spacing w:after="0" w:line="240" w:lineRule="auto"/>
              <w:jc w:val="right"/>
              <w:rPr>
                <w:b/>
                <w:bCs/>
                <w:color w:val="000000"/>
                <w:sz w:val="18"/>
                <w:szCs w:val="18"/>
              </w:rPr>
            </w:pPr>
            <w:r w:rsidRPr="008C66D7">
              <w:rPr>
                <w:b/>
                <w:bCs/>
                <w:color w:val="000000"/>
                <w:sz w:val="18"/>
                <w:szCs w:val="18"/>
              </w:rPr>
              <w:t>1 348 685</w:t>
            </w:r>
          </w:p>
        </w:tc>
        <w:tc>
          <w:tcPr>
            <w:tcW w:w="0" w:type="auto"/>
            <w:tcBorders>
              <w:top w:val="single" w:sz="4"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2B3FB80C" w14:textId="77777777" w:rsidR="0045778F" w:rsidRPr="008C66D7" w:rsidRDefault="0045778F" w:rsidP="00DD4150">
            <w:pPr>
              <w:spacing w:after="0" w:line="240" w:lineRule="auto"/>
              <w:jc w:val="right"/>
              <w:rPr>
                <w:b/>
                <w:bCs/>
                <w:color w:val="000000"/>
                <w:sz w:val="18"/>
                <w:szCs w:val="18"/>
              </w:rPr>
            </w:pPr>
            <w:r w:rsidRPr="008C66D7">
              <w:rPr>
                <w:b/>
                <w:bCs/>
                <w:color w:val="000000"/>
                <w:sz w:val="18"/>
                <w:szCs w:val="18"/>
              </w:rPr>
              <w:t>275 861</w:t>
            </w:r>
          </w:p>
        </w:tc>
        <w:tc>
          <w:tcPr>
            <w:tcW w:w="0" w:type="auto"/>
            <w:tcBorders>
              <w:top w:val="single" w:sz="4"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46847907" w14:textId="77777777" w:rsidR="0045778F" w:rsidRPr="008C66D7" w:rsidRDefault="0045778F" w:rsidP="00DD4150">
            <w:pPr>
              <w:spacing w:after="0" w:line="240" w:lineRule="auto"/>
              <w:jc w:val="right"/>
              <w:rPr>
                <w:b/>
                <w:bCs/>
                <w:color w:val="000000"/>
                <w:sz w:val="18"/>
                <w:szCs w:val="18"/>
              </w:rPr>
            </w:pPr>
            <w:r w:rsidRPr="008C66D7">
              <w:rPr>
                <w:b/>
                <w:bCs/>
                <w:color w:val="000000"/>
                <w:sz w:val="18"/>
                <w:szCs w:val="18"/>
              </w:rPr>
              <w:t>19,3</w:t>
            </w:r>
          </w:p>
        </w:tc>
      </w:tr>
    </w:tbl>
    <w:p w14:paraId="7319BF75" w14:textId="77777777" w:rsidR="0045778F" w:rsidRPr="00E34408" w:rsidRDefault="0045778F" w:rsidP="0045778F">
      <w:pPr>
        <w:suppressAutoHyphens/>
        <w:spacing w:line="240" w:lineRule="auto"/>
      </w:pPr>
      <w:r w:rsidRPr="0011234F">
        <w:rPr>
          <w:sz w:val="18"/>
          <w:szCs w:val="18"/>
        </w:rPr>
        <w:t xml:space="preserve">Poznámka: * len prostriedky štátneho rozpočtu </w:t>
      </w:r>
      <w:r w:rsidRPr="0011234F">
        <w:rPr>
          <w:sz w:val="18"/>
          <w:szCs w:val="18"/>
        </w:rPr>
        <w:tab/>
      </w:r>
      <w:r w:rsidRPr="0011234F">
        <w:rPr>
          <w:sz w:val="18"/>
          <w:szCs w:val="18"/>
        </w:rPr>
        <w:tab/>
      </w:r>
      <w:r w:rsidRPr="0011234F">
        <w:rPr>
          <w:sz w:val="18"/>
          <w:szCs w:val="18"/>
        </w:rPr>
        <w:tab/>
      </w:r>
      <w:r w:rsidRPr="0011234F">
        <w:rPr>
          <w:sz w:val="18"/>
          <w:szCs w:val="18"/>
        </w:rPr>
        <w:tab/>
      </w:r>
      <w:r w:rsidRPr="0011234F">
        <w:rPr>
          <w:sz w:val="18"/>
          <w:szCs w:val="18"/>
        </w:rPr>
        <w:tab/>
      </w:r>
      <w:r w:rsidRPr="0011234F">
        <w:rPr>
          <w:sz w:val="18"/>
          <w:szCs w:val="18"/>
        </w:rPr>
        <w:tab/>
      </w:r>
      <w:r>
        <w:rPr>
          <w:sz w:val="18"/>
          <w:szCs w:val="18"/>
        </w:rPr>
        <w:t xml:space="preserve">                     </w:t>
      </w:r>
      <w:r w:rsidRPr="0011234F">
        <w:rPr>
          <w:sz w:val="18"/>
          <w:szCs w:val="18"/>
        </w:rPr>
        <w:t>Zdroj: MF SR</w:t>
      </w:r>
    </w:p>
    <w:p w14:paraId="3DD2EC9B" w14:textId="77777777" w:rsidR="0045778F" w:rsidRDefault="0045778F" w:rsidP="0045778F">
      <w:pPr>
        <w:suppressAutoHyphens/>
        <w:spacing w:line="240" w:lineRule="auto"/>
        <w:rPr>
          <w:rFonts w:cs="Times New Roman"/>
          <w:color w:val="000000" w:themeColor="text1"/>
          <w:sz w:val="24"/>
          <w:szCs w:val="24"/>
        </w:rPr>
      </w:pPr>
      <w:r w:rsidRPr="008C66D7">
        <w:rPr>
          <w:rFonts w:cs="Times New Roman"/>
          <w:color w:val="000000" w:themeColor="text1"/>
          <w:sz w:val="24"/>
          <w:szCs w:val="24"/>
        </w:rPr>
        <w:t xml:space="preserve">Okrem kapitol, prostredníctvom ktorých sa každoročne financujú kompetencie preneseného výkonu štátnej správy </w:t>
      </w:r>
      <w:r>
        <w:rPr>
          <w:rFonts w:cs="Times New Roman"/>
          <w:color w:val="000000" w:themeColor="text1"/>
          <w:sz w:val="24"/>
          <w:szCs w:val="24"/>
        </w:rPr>
        <w:t>sa u väčšiny</w:t>
      </w:r>
      <w:r w:rsidRPr="008C66D7">
        <w:rPr>
          <w:rFonts w:cs="Times New Roman"/>
          <w:color w:val="000000" w:themeColor="text1"/>
          <w:sz w:val="24"/>
          <w:szCs w:val="24"/>
        </w:rPr>
        <w:t xml:space="preserve"> kapitol štátneho rozpočtu schvaľoval rozpočet nulový alebo veľmi nízky oproti dosiahnutej skutočnosti. Je to z dôvodu, že schválený rozpočet prípadne rozpis uvoľnených zdrojov z minulých rokov sa nerozpisuje na konkrétne položky rozpočtu a presun prostriedkov na základe reálne predložených žiadostí o platbu sa zohľadňuje až </w:t>
      </w:r>
      <w:r w:rsidRPr="008C66D7">
        <w:rPr>
          <w:rFonts w:cs="Times New Roman"/>
          <w:color w:val="000000" w:themeColor="text1"/>
          <w:sz w:val="24"/>
          <w:szCs w:val="24"/>
        </w:rPr>
        <w:lastRenderedPageBreak/>
        <w:t>v upravenom rozpočte. Uvedené malo za následok zvýšenie rozpočtu oproti schválenému rozpočtu väčšinou v celkovej sume skutočného čerpania.</w:t>
      </w:r>
    </w:p>
    <w:p w14:paraId="4F739DC5" w14:textId="3C1D05D0" w:rsidR="00EB5625" w:rsidRDefault="0045778F" w:rsidP="00043553">
      <w:pPr>
        <w:suppressAutoHyphens/>
        <w:spacing w:line="240" w:lineRule="auto"/>
        <w:rPr>
          <w:rFonts w:cs="Times New Roman"/>
          <w:color w:val="000000" w:themeColor="text1"/>
          <w:sz w:val="24"/>
          <w:szCs w:val="24"/>
        </w:rPr>
      </w:pPr>
      <w:r w:rsidRPr="005B0B9F">
        <w:rPr>
          <w:rFonts w:cs="Times New Roman"/>
          <w:color w:val="000000" w:themeColor="text1"/>
          <w:sz w:val="24"/>
          <w:szCs w:val="24"/>
        </w:rPr>
        <w:t xml:space="preserve">Novelou zákona č. 596/2003 Z. z. o štátnej správe v školstve a školskej samospráve </w:t>
      </w:r>
      <w:r>
        <w:rPr>
          <w:rFonts w:cs="Times New Roman"/>
          <w:color w:val="000000" w:themeColor="text1"/>
          <w:sz w:val="24"/>
          <w:szCs w:val="24"/>
        </w:rPr>
        <w:t>prišlo</w:t>
      </w:r>
      <w:r w:rsidRPr="005B0B9F">
        <w:rPr>
          <w:rFonts w:cs="Times New Roman"/>
          <w:color w:val="000000" w:themeColor="text1"/>
          <w:sz w:val="24"/>
          <w:szCs w:val="24"/>
        </w:rPr>
        <w:t xml:space="preserve"> od</w:t>
      </w:r>
      <w:r>
        <w:rPr>
          <w:rFonts w:cs="Times New Roman"/>
          <w:color w:val="000000" w:themeColor="text1"/>
          <w:sz w:val="24"/>
          <w:szCs w:val="24"/>
        </w:rPr>
        <w:t> </w:t>
      </w:r>
      <w:r w:rsidRPr="005B0B9F">
        <w:rPr>
          <w:rFonts w:cs="Times New Roman"/>
          <w:color w:val="000000" w:themeColor="text1"/>
          <w:sz w:val="24"/>
          <w:szCs w:val="24"/>
        </w:rPr>
        <w:t>1.</w:t>
      </w:r>
      <w:r>
        <w:rPr>
          <w:rFonts w:cs="Times New Roman"/>
          <w:color w:val="000000" w:themeColor="text1"/>
          <w:sz w:val="24"/>
          <w:szCs w:val="24"/>
        </w:rPr>
        <w:t> </w:t>
      </w:r>
      <w:r w:rsidRPr="005B0B9F">
        <w:rPr>
          <w:rFonts w:cs="Times New Roman"/>
          <w:color w:val="000000" w:themeColor="text1"/>
          <w:sz w:val="24"/>
          <w:szCs w:val="24"/>
        </w:rPr>
        <w:t>1.</w:t>
      </w:r>
      <w:r>
        <w:rPr>
          <w:rFonts w:cs="Times New Roman"/>
          <w:color w:val="000000" w:themeColor="text1"/>
          <w:sz w:val="24"/>
          <w:szCs w:val="24"/>
        </w:rPr>
        <w:t> </w:t>
      </w:r>
      <w:r w:rsidRPr="005B0B9F">
        <w:rPr>
          <w:rFonts w:cs="Times New Roman"/>
          <w:color w:val="000000" w:themeColor="text1"/>
          <w:sz w:val="24"/>
          <w:szCs w:val="24"/>
        </w:rPr>
        <w:t>2022 k presunu kompetencií v oblasti regionálneho školstva z kapitoly Ministerstva vnútra SR do kapitoly Ministerstva školstva, vedy, výskumu a športu SR</w:t>
      </w:r>
      <w:r>
        <w:rPr>
          <w:rFonts w:cs="Times New Roman"/>
          <w:color w:val="000000" w:themeColor="text1"/>
          <w:sz w:val="24"/>
          <w:szCs w:val="24"/>
        </w:rPr>
        <w:t xml:space="preserve"> a vzniklo osem nových regionálnych úradov školskej správy v sídle každého kraja, ktoré začali vykonávať doterajšiu agendu odborov školstva okresných úradov v sídle kraja. Toto malo za následok aj vysoké medziročné zvýšenie transferov poskytnutých obciam z kapitoly Ministerstva školstva, vedy, výskumu a športu SR a naopak zníženie u Ministerstva vnútra SR.</w:t>
      </w:r>
    </w:p>
    <w:p w14:paraId="2B7A6A76" w14:textId="41AD0FBC" w:rsidR="0045778F" w:rsidRPr="008C66D7" w:rsidRDefault="0045778F" w:rsidP="0045778F">
      <w:pPr>
        <w:spacing w:line="256" w:lineRule="auto"/>
        <w:rPr>
          <w:rFonts w:cs="Times New Roman"/>
          <w:color w:val="000000" w:themeColor="text1"/>
          <w:sz w:val="24"/>
          <w:szCs w:val="24"/>
        </w:rPr>
      </w:pPr>
      <w:r w:rsidRPr="008C66D7">
        <w:rPr>
          <w:rFonts w:cs="Times New Roman"/>
          <w:color w:val="000000" w:themeColor="text1"/>
          <w:sz w:val="24"/>
          <w:szCs w:val="24"/>
        </w:rPr>
        <w:t>Prehľad o poskytnutých kapitálových transferoch podľa kapitol</w:t>
      </w:r>
      <w:r w:rsidR="00995FFF">
        <w:rPr>
          <w:rFonts w:cs="Times New Roman"/>
          <w:color w:val="000000" w:themeColor="text1"/>
          <w:sz w:val="24"/>
          <w:szCs w:val="24"/>
        </w:rPr>
        <w:t>:</w:t>
      </w:r>
    </w:p>
    <w:tbl>
      <w:tblPr>
        <w:tblW w:w="9639" w:type="dxa"/>
        <w:tblCellMar>
          <w:left w:w="70" w:type="dxa"/>
          <w:right w:w="70" w:type="dxa"/>
        </w:tblCellMar>
        <w:tblLook w:val="04A0" w:firstRow="1" w:lastRow="0" w:firstColumn="1" w:lastColumn="0" w:noHBand="0" w:noVBand="1"/>
      </w:tblPr>
      <w:tblGrid>
        <w:gridCol w:w="3840"/>
        <w:gridCol w:w="940"/>
        <w:gridCol w:w="940"/>
        <w:gridCol w:w="801"/>
        <w:gridCol w:w="850"/>
        <w:gridCol w:w="851"/>
        <w:gridCol w:w="802"/>
        <w:gridCol w:w="615"/>
      </w:tblGrid>
      <w:tr w:rsidR="0045778F" w:rsidRPr="008B3212" w14:paraId="535761AE" w14:textId="77777777" w:rsidTr="00EB5625">
        <w:trPr>
          <w:trHeight w:val="345"/>
        </w:trPr>
        <w:tc>
          <w:tcPr>
            <w:tcW w:w="9024" w:type="dxa"/>
            <w:gridSpan w:val="7"/>
            <w:tcBorders>
              <w:top w:val="nil"/>
              <w:left w:val="nil"/>
              <w:bottom w:val="single" w:sz="8" w:space="0" w:color="auto"/>
              <w:right w:val="nil"/>
            </w:tcBorders>
            <w:shd w:val="clear" w:color="auto" w:fill="auto"/>
            <w:vAlign w:val="center"/>
            <w:hideMark/>
          </w:tcPr>
          <w:p w14:paraId="1252F91A" w14:textId="7D445C43" w:rsidR="0045778F" w:rsidRPr="008B3212" w:rsidRDefault="00D50C99" w:rsidP="008B3212">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Tabuľka 4</w:t>
            </w:r>
            <w:r w:rsidR="008B3212" w:rsidRPr="008B3212">
              <w:rPr>
                <w:rFonts w:eastAsia="Times New Roman" w:cs="Times New Roman"/>
                <w:b/>
                <w:bCs/>
                <w:color w:val="5B9BD5" w:themeColor="accent1"/>
                <w:sz w:val="18"/>
                <w:szCs w:val="18"/>
                <w:lang w:eastAsia="sk-SK"/>
              </w:rPr>
              <w:t>7</w:t>
            </w:r>
            <w:r w:rsidRPr="008B3212">
              <w:rPr>
                <w:rFonts w:eastAsia="Times New Roman" w:cs="Times New Roman"/>
                <w:b/>
                <w:bCs/>
                <w:color w:val="5B9BD5" w:themeColor="accent1"/>
                <w:sz w:val="18"/>
                <w:szCs w:val="18"/>
                <w:lang w:eastAsia="sk-SK"/>
              </w:rPr>
              <w:t xml:space="preserve"> - </w:t>
            </w:r>
            <w:r w:rsidR="0045778F" w:rsidRPr="008B3212">
              <w:rPr>
                <w:rFonts w:eastAsia="Times New Roman" w:cs="Times New Roman"/>
                <w:b/>
                <w:bCs/>
                <w:color w:val="5B9BD5" w:themeColor="accent1"/>
                <w:sz w:val="18"/>
                <w:szCs w:val="18"/>
                <w:lang w:eastAsia="sk-SK"/>
              </w:rPr>
              <w:t>Kapitálové transfery poskytnuté obciam podľa kapitol ŠR</w:t>
            </w:r>
          </w:p>
        </w:tc>
        <w:tc>
          <w:tcPr>
            <w:tcW w:w="615" w:type="dxa"/>
            <w:tcBorders>
              <w:top w:val="nil"/>
              <w:left w:val="nil"/>
              <w:bottom w:val="single" w:sz="8" w:space="0" w:color="auto"/>
              <w:right w:val="nil"/>
            </w:tcBorders>
            <w:shd w:val="clear" w:color="auto" w:fill="auto"/>
            <w:noWrap/>
            <w:vAlign w:val="bottom"/>
            <w:hideMark/>
          </w:tcPr>
          <w:p w14:paraId="142B11D2" w14:textId="77777777" w:rsidR="0045778F" w:rsidRPr="008B3212" w:rsidRDefault="0045778F" w:rsidP="008B3212">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v tis. eur</w:t>
            </w:r>
          </w:p>
        </w:tc>
      </w:tr>
      <w:tr w:rsidR="00DD4150" w:rsidRPr="008C66D7" w14:paraId="6F1118F3" w14:textId="77777777" w:rsidTr="00EB5625">
        <w:trPr>
          <w:trHeight w:val="289"/>
        </w:trPr>
        <w:tc>
          <w:tcPr>
            <w:tcW w:w="3840" w:type="dxa"/>
            <w:vMerge w:val="restart"/>
            <w:tcBorders>
              <w:top w:val="nil"/>
              <w:left w:val="nil"/>
              <w:right w:val="nil"/>
            </w:tcBorders>
            <w:shd w:val="clear" w:color="auto" w:fill="auto"/>
            <w:vAlign w:val="center"/>
            <w:hideMark/>
          </w:tcPr>
          <w:p w14:paraId="20F68D84" w14:textId="77777777" w:rsidR="00DD4150" w:rsidRPr="008C66D7" w:rsidRDefault="00DD4150" w:rsidP="00391C90">
            <w:pPr>
              <w:spacing w:after="0" w:line="240" w:lineRule="auto"/>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 xml:space="preserve"> v tis. eur</w:t>
            </w:r>
          </w:p>
          <w:p w14:paraId="5A4B397C" w14:textId="2D9FB794" w:rsidR="00DD4150" w:rsidRPr="008C66D7" w:rsidRDefault="00DD4150" w:rsidP="00391C90">
            <w:pPr>
              <w:spacing w:after="0" w:line="240" w:lineRule="auto"/>
              <w:rPr>
                <w:rFonts w:eastAsia="Times New Roman" w:cs="Times New Roman"/>
                <w:b/>
                <w:bCs/>
                <w:color w:val="000000"/>
                <w:sz w:val="18"/>
                <w:szCs w:val="18"/>
                <w:lang w:eastAsia="sk-SK"/>
              </w:rPr>
            </w:pPr>
            <w:r w:rsidRPr="008C66D7">
              <w:rPr>
                <w:rFonts w:eastAsia="Times New Roman" w:cs="Times New Roman"/>
                <w:b/>
                <w:bCs/>
                <w:color w:val="FFFFFF"/>
                <w:sz w:val="18"/>
                <w:szCs w:val="18"/>
                <w:lang w:eastAsia="sk-SK"/>
              </w:rPr>
              <w:t> </w:t>
            </w:r>
          </w:p>
        </w:tc>
        <w:tc>
          <w:tcPr>
            <w:tcW w:w="940" w:type="dxa"/>
            <w:tcBorders>
              <w:top w:val="nil"/>
              <w:left w:val="nil"/>
              <w:bottom w:val="nil"/>
              <w:right w:val="nil"/>
            </w:tcBorders>
            <w:shd w:val="clear" w:color="auto" w:fill="auto"/>
            <w:vAlign w:val="center"/>
            <w:hideMark/>
          </w:tcPr>
          <w:p w14:paraId="12E92BC2" w14:textId="77777777" w:rsidR="00DD4150" w:rsidRPr="008C66D7" w:rsidRDefault="00DD4150" w:rsidP="00391C90">
            <w:pPr>
              <w:spacing w:after="0" w:line="240" w:lineRule="auto"/>
              <w:jc w:val="center"/>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2020 S</w:t>
            </w:r>
          </w:p>
        </w:tc>
        <w:tc>
          <w:tcPr>
            <w:tcW w:w="940" w:type="dxa"/>
            <w:tcBorders>
              <w:top w:val="nil"/>
              <w:left w:val="nil"/>
              <w:bottom w:val="nil"/>
              <w:right w:val="nil"/>
            </w:tcBorders>
            <w:shd w:val="clear" w:color="auto" w:fill="auto"/>
            <w:vAlign w:val="center"/>
            <w:hideMark/>
          </w:tcPr>
          <w:p w14:paraId="16405F8F" w14:textId="77777777" w:rsidR="00DD4150" w:rsidRPr="008C66D7" w:rsidRDefault="00DD4150" w:rsidP="00391C90">
            <w:pPr>
              <w:spacing w:after="0" w:line="240" w:lineRule="auto"/>
              <w:jc w:val="center"/>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2021 S</w:t>
            </w:r>
          </w:p>
        </w:tc>
        <w:tc>
          <w:tcPr>
            <w:tcW w:w="801" w:type="dxa"/>
            <w:tcBorders>
              <w:top w:val="nil"/>
              <w:left w:val="nil"/>
              <w:bottom w:val="nil"/>
              <w:right w:val="nil"/>
            </w:tcBorders>
            <w:shd w:val="clear" w:color="auto" w:fill="auto"/>
            <w:vAlign w:val="center"/>
            <w:hideMark/>
          </w:tcPr>
          <w:p w14:paraId="3E9EBFA0" w14:textId="77777777" w:rsidR="00DD4150" w:rsidRPr="008C66D7" w:rsidRDefault="00DD4150" w:rsidP="00391C90">
            <w:pPr>
              <w:spacing w:after="0" w:line="240" w:lineRule="auto"/>
              <w:jc w:val="center"/>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2022 R</w:t>
            </w:r>
          </w:p>
        </w:tc>
        <w:tc>
          <w:tcPr>
            <w:tcW w:w="850" w:type="dxa"/>
            <w:tcBorders>
              <w:top w:val="nil"/>
              <w:left w:val="nil"/>
              <w:bottom w:val="nil"/>
              <w:right w:val="nil"/>
            </w:tcBorders>
            <w:shd w:val="clear" w:color="auto" w:fill="auto"/>
            <w:vAlign w:val="center"/>
            <w:hideMark/>
          </w:tcPr>
          <w:p w14:paraId="6B2A2C52" w14:textId="77777777" w:rsidR="00DD4150" w:rsidRPr="008C66D7" w:rsidRDefault="00DD4150" w:rsidP="00391C90">
            <w:pPr>
              <w:spacing w:after="0" w:line="240" w:lineRule="auto"/>
              <w:jc w:val="center"/>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2022 S</w:t>
            </w:r>
          </w:p>
        </w:tc>
        <w:tc>
          <w:tcPr>
            <w:tcW w:w="851" w:type="dxa"/>
            <w:tcBorders>
              <w:top w:val="nil"/>
              <w:left w:val="nil"/>
              <w:bottom w:val="nil"/>
              <w:right w:val="nil"/>
            </w:tcBorders>
            <w:shd w:val="clear" w:color="auto" w:fill="auto"/>
            <w:vAlign w:val="center"/>
            <w:hideMark/>
          </w:tcPr>
          <w:p w14:paraId="4BF345C4" w14:textId="77777777" w:rsidR="00DD4150" w:rsidRPr="008C66D7" w:rsidRDefault="00DD4150" w:rsidP="00391C90">
            <w:pPr>
              <w:spacing w:after="0" w:line="240" w:lineRule="auto"/>
              <w:jc w:val="center"/>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z toho: zdroj 111</w:t>
            </w:r>
            <w:r w:rsidRPr="008C66D7">
              <w:rPr>
                <w:rFonts w:ascii="Arial Narrow" w:eastAsia="Times New Roman" w:hAnsi="Arial Narrow" w:cs="Times New Roman"/>
                <w:b/>
                <w:bCs/>
                <w:color w:val="000000"/>
                <w:sz w:val="18"/>
                <w:szCs w:val="18"/>
                <w:lang w:eastAsia="sk-SK"/>
              </w:rPr>
              <w:t>*</w:t>
            </w:r>
          </w:p>
        </w:tc>
        <w:tc>
          <w:tcPr>
            <w:tcW w:w="802" w:type="dxa"/>
            <w:tcBorders>
              <w:top w:val="nil"/>
              <w:left w:val="nil"/>
              <w:bottom w:val="nil"/>
              <w:right w:val="nil"/>
            </w:tcBorders>
            <w:shd w:val="clear" w:color="auto" w:fill="auto"/>
            <w:vAlign w:val="center"/>
            <w:hideMark/>
          </w:tcPr>
          <w:p w14:paraId="4EC85355" w14:textId="77777777" w:rsidR="00DD4150" w:rsidRPr="008C66D7" w:rsidRDefault="00DD4150" w:rsidP="00391C90">
            <w:pPr>
              <w:spacing w:after="0" w:line="240" w:lineRule="auto"/>
              <w:jc w:val="center"/>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Rozdiel</w:t>
            </w:r>
          </w:p>
        </w:tc>
        <w:tc>
          <w:tcPr>
            <w:tcW w:w="615" w:type="dxa"/>
            <w:tcBorders>
              <w:top w:val="nil"/>
              <w:left w:val="nil"/>
              <w:bottom w:val="nil"/>
              <w:right w:val="nil"/>
            </w:tcBorders>
            <w:shd w:val="clear" w:color="auto" w:fill="auto"/>
            <w:vAlign w:val="center"/>
            <w:hideMark/>
          </w:tcPr>
          <w:p w14:paraId="7631C9A1" w14:textId="77777777" w:rsidR="00DD4150" w:rsidRPr="008C66D7" w:rsidRDefault="00DD4150" w:rsidP="00391C90">
            <w:pPr>
              <w:spacing w:after="0" w:line="240" w:lineRule="auto"/>
              <w:jc w:val="center"/>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v %</w:t>
            </w:r>
          </w:p>
        </w:tc>
      </w:tr>
      <w:tr w:rsidR="00DD4150" w:rsidRPr="008C66D7" w14:paraId="6B614D2E" w14:textId="77777777" w:rsidTr="00EB5625">
        <w:trPr>
          <w:trHeight w:val="289"/>
        </w:trPr>
        <w:tc>
          <w:tcPr>
            <w:tcW w:w="3840" w:type="dxa"/>
            <w:vMerge/>
            <w:tcBorders>
              <w:left w:val="nil"/>
              <w:bottom w:val="single" w:sz="8" w:space="0" w:color="auto"/>
              <w:right w:val="nil"/>
            </w:tcBorders>
            <w:shd w:val="clear" w:color="auto" w:fill="auto"/>
            <w:vAlign w:val="center"/>
            <w:hideMark/>
          </w:tcPr>
          <w:p w14:paraId="7DF71F08" w14:textId="54AD8C92" w:rsidR="00DD4150" w:rsidRPr="008C66D7" w:rsidRDefault="00DD4150" w:rsidP="00391C90">
            <w:pPr>
              <w:spacing w:after="0" w:line="240" w:lineRule="auto"/>
              <w:rPr>
                <w:rFonts w:eastAsia="Times New Roman" w:cs="Times New Roman"/>
                <w:b/>
                <w:bCs/>
                <w:color w:val="FFFFFF"/>
                <w:sz w:val="18"/>
                <w:szCs w:val="18"/>
                <w:lang w:eastAsia="sk-SK"/>
              </w:rPr>
            </w:pPr>
          </w:p>
        </w:tc>
        <w:tc>
          <w:tcPr>
            <w:tcW w:w="940" w:type="dxa"/>
            <w:tcBorders>
              <w:top w:val="nil"/>
              <w:left w:val="nil"/>
              <w:bottom w:val="single" w:sz="8" w:space="0" w:color="auto"/>
              <w:right w:val="nil"/>
            </w:tcBorders>
            <w:shd w:val="clear" w:color="auto" w:fill="auto"/>
            <w:vAlign w:val="center"/>
            <w:hideMark/>
          </w:tcPr>
          <w:p w14:paraId="0C6E6062" w14:textId="77777777" w:rsidR="00DD4150" w:rsidRPr="008C66D7" w:rsidRDefault="00DD4150" w:rsidP="00391C90">
            <w:pPr>
              <w:spacing w:after="0" w:line="240" w:lineRule="auto"/>
              <w:jc w:val="center"/>
              <w:rPr>
                <w:rFonts w:eastAsia="Times New Roman" w:cs="Times New Roman"/>
                <w:b/>
                <w:bCs/>
                <w:sz w:val="18"/>
                <w:szCs w:val="18"/>
                <w:lang w:eastAsia="sk-SK"/>
              </w:rPr>
            </w:pPr>
            <w:r w:rsidRPr="008C66D7">
              <w:rPr>
                <w:rFonts w:eastAsia="Times New Roman" w:cs="Times New Roman"/>
                <w:b/>
                <w:bCs/>
                <w:sz w:val="18"/>
                <w:szCs w:val="18"/>
                <w:lang w:eastAsia="sk-SK"/>
              </w:rPr>
              <w:t>1</w:t>
            </w:r>
          </w:p>
        </w:tc>
        <w:tc>
          <w:tcPr>
            <w:tcW w:w="940" w:type="dxa"/>
            <w:tcBorders>
              <w:top w:val="nil"/>
              <w:left w:val="nil"/>
              <w:bottom w:val="single" w:sz="8" w:space="0" w:color="auto"/>
              <w:right w:val="nil"/>
            </w:tcBorders>
            <w:shd w:val="clear" w:color="auto" w:fill="auto"/>
            <w:vAlign w:val="center"/>
            <w:hideMark/>
          </w:tcPr>
          <w:p w14:paraId="0174476D" w14:textId="77777777" w:rsidR="00DD4150" w:rsidRPr="008C66D7" w:rsidRDefault="00DD4150" w:rsidP="00391C90">
            <w:pPr>
              <w:spacing w:after="0" w:line="240" w:lineRule="auto"/>
              <w:jc w:val="center"/>
              <w:rPr>
                <w:rFonts w:eastAsia="Times New Roman" w:cs="Times New Roman"/>
                <w:b/>
                <w:bCs/>
                <w:sz w:val="18"/>
                <w:szCs w:val="18"/>
                <w:lang w:eastAsia="sk-SK"/>
              </w:rPr>
            </w:pPr>
            <w:r w:rsidRPr="008C66D7">
              <w:rPr>
                <w:rFonts w:eastAsia="Times New Roman" w:cs="Times New Roman"/>
                <w:b/>
                <w:bCs/>
                <w:sz w:val="18"/>
                <w:szCs w:val="18"/>
                <w:lang w:eastAsia="sk-SK"/>
              </w:rPr>
              <w:t>2</w:t>
            </w:r>
          </w:p>
        </w:tc>
        <w:tc>
          <w:tcPr>
            <w:tcW w:w="801" w:type="dxa"/>
            <w:tcBorders>
              <w:top w:val="nil"/>
              <w:left w:val="nil"/>
              <w:bottom w:val="single" w:sz="8" w:space="0" w:color="auto"/>
              <w:right w:val="nil"/>
            </w:tcBorders>
            <w:shd w:val="clear" w:color="auto" w:fill="auto"/>
            <w:vAlign w:val="center"/>
            <w:hideMark/>
          </w:tcPr>
          <w:p w14:paraId="64E4E06F" w14:textId="77777777" w:rsidR="00DD4150" w:rsidRPr="008C66D7" w:rsidRDefault="00DD4150" w:rsidP="00391C90">
            <w:pPr>
              <w:spacing w:after="0" w:line="240" w:lineRule="auto"/>
              <w:jc w:val="center"/>
              <w:rPr>
                <w:rFonts w:eastAsia="Times New Roman" w:cs="Times New Roman"/>
                <w:b/>
                <w:bCs/>
                <w:sz w:val="18"/>
                <w:szCs w:val="18"/>
                <w:lang w:eastAsia="sk-SK"/>
              </w:rPr>
            </w:pPr>
            <w:r w:rsidRPr="008C66D7">
              <w:rPr>
                <w:rFonts w:eastAsia="Times New Roman" w:cs="Times New Roman"/>
                <w:b/>
                <w:bCs/>
                <w:sz w:val="18"/>
                <w:szCs w:val="18"/>
                <w:lang w:eastAsia="sk-SK"/>
              </w:rPr>
              <w:t>3</w:t>
            </w:r>
          </w:p>
        </w:tc>
        <w:tc>
          <w:tcPr>
            <w:tcW w:w="850" w:type="dxa"/>
            <w:tcBorders>
              <w:top w:val="nil"/>
              <w:left w:val="nil"/>
              <w:bottom w:val="single" w:sz="8" w:space="0" w:color="auto"/>
              <w:right w:val="nil"/>
            </w:tcBorders>
            <w:shd w:val="clear" w:color="auto" w:fill="auto"/>
            <w:vAlign w:val="center"/>
            <w:hideMark/>
          </w:tcPr>
          <w:p w14:paraId="3B82F93D" w14:textId="77777777" w:rsidR="00DD4150" w:rsidRPr="008C66D7" w:rsidRDefault="00DD4150" w:rsidP="00391C90">
            <w:pPr>
              <w:spacing w:after="0" w:line="240" w:lineRule="auto"/>
              <w:jc w:val="center"/>
              <w:rPr>
                <w:rFonts w:eastAsia="Times New Roman" w:cs="Times New Roman"/>
                <w:b/>
                <w:bCs/>
                <w:sz w:val="18"/>
                <w:szCs w:val="18"/>
                <w:lang w:eastAsia="sk-SK"/>
              </w:rPr>
            </w:pPr>
            <w:r w:rsidRPr="008C66D7">
              <w:rPr>
                <w:rFonts w:eastAsia="Times New Roman" w:cs="Times New Roman"/>
                <w:b/>
                <w:bCs/>
                <w:sz w:val="18"/>
                <w:szCs w:val="18"/>
                <w:lang w:eastAsia="sk-SK"/>
              </w:rPr>
              <w:t>4</w:t>
            </w:r>
          </w:p>
        </w:tc>
        <w:tc>
          <w:tcPr>
            <w:tcW w:w="851" w:type="dxa"/>
            <w:tcBorders>
              <w:top w:val="nil"/>
              <w:left w:val="nil"/>
              <w:bottom w:val="single" w:sz="8" w:space="0" w:color="auto"/>
              <w:right w:val="nil"/>
            </w:tcBorders>
            <w:shd w:val="clear" w:color="auto" w:fill="auto"/>
            <w:vAlign w:val="center"/>
            <w:hideMark/>
          </w:tcPr>
          <w:p w14:paraId="2AA06238" w14:textId="77777777" w:rsidR="00DD4150" w:rsidRPr="008C66D7" w:rsidRDefault="00DD4150" w:rsidP="00391C90">
            <w:pPr>
              <w:spacing w:after="0" w:line="240" w:lineRule="auto"/>
              <w:jc w:val="center"/>
              <w:rPr>
                <w:rFonts w:eastAsia="Times New Roman" w:cs="Times New Roman"/>
                <w:b/>
                <w:bCs/>
                <w:sz w:val="18"/>
                <w:szCs w:val="18"/>
                <w:lang w:eastAsia="sk-SK"/>
              </w:rPr>
            </w:pPr>
            <w:r w:rsidRPr="008C66D7">
              <w:rPr>
                <w:rFonts w:eastAsia="Times New Roman" w:cs="Times New Roman"/>
                <w:b/>
                <w:bCs/>
                <w:sz w:val="18"/>
                <w:szCs w:val="18"/>
                <w:lang w:eastAsia="sk-SK"/>
              </w:rPr>
              <w:t>5</w:t>
            </w:r>
          </w:p>
        </w:tc>
        <w:tc>
          <w:tcPr>
            <w:tcW w:w="802" w:type="dxa"/>
            <w:tcBorders>
              <w:top w:val="nil"/>
              <w:left w:val="nil"/>
              <w:bottom w:val="single" w:sz="8" w:space="0" w:color="auto"/>
              <w:right w:val="nil"/>
            </w:tcBorders>
            <w:shd w:val="clear" w:color="auto" w:fill="auto"/>
            <w:vAlign w:val="center"/>
            <w:hideMark/>
          </w:tcPr>
          <w:p w14:paraId="65E4B5A4" w14:textId="77777777" w:rsidR="00DD4150" w:rsidRPr="008C66D7" w:rsidRDefault="00DD4150" w:rsidP="00391C90">
            <w:pPr>
              <w:spacing w:after="0" w:line="240" w:lineRule="auto"/>
              <w:jc w:val="center"/>
              <w:rPr>
                <w:rFonts w:eastAsia="Times New Roman" w:cs="Times New Roman"/>
                <w:b/>
                <w:bCs/>
                <w:sz w:val="18"/>
                <w:szCs w:val="18"/>
                <w:lang w:eastAsia="sk-SK"/>
              </w:rPr>
            </w:pPr>
            <w:r w:rsidRPr="008C66D7">
              <w:rPr>
                <w:rFonts w:eastAsia="Times New Roman" w:cs="Times New Roman"/>
                <w:b/>
                <w:bCs/>
                <w:sz w:val="18"/>
                <w:szCs w:val="18"/>
                <w:lang w:eastAsia="sk-SK"/>
              </w:rPr>
              <w:t>6=4-3</w:t>
            </w:r>
          </w:p>
        </w:tc>
        <w:tc>
          <w:tcPr>
            <w:tcW w:w="615" w:type="dxa"/>
            <w:tcBorders>
              <w:top w:val="nil"/>
              <w:left w:val="nil"/>
              <w:bottom w:val="single" w:sz="8" w:space="0" w:color="auto"/>
              <w:right w:val="nil"/>
            </w:tcBorders>
            <w:shd w:val="clear" w:color="auto" w:fill="auto"/>
            <w:vAlign w:val="center"/>
            <w:hideMark/>
          </w:tcPr>
          <w:p w14:paraId="1219305E" w14:textId="77777777" w:rsidR="00DD4150" w:rsidRPr="008C66D7" w:rsidRDefault="00DD4150" w:rsidP="00391C90">
            <w:pPr>
              <w:spacing w:after="0" w:line="240" w:lineRule="auto"/>
              <w:jc w:val="center"/>
              <w:rPr>
                <w:rFonts w:eastAsia="Times New Roman" w:cs="Times New Roman"/>
                <w:b/>
                <w:bCs/>
                <w:sz w:val="18"/>
                <w:szCs w:val="18"/>
                <w:lang w:eastAsia="sk-SK"/>
              </w:rPr>
            </w:pPr>
            <w:r w:rsidRPr="008C66D7">
              <w:rPr>
                <w:rFonts w:eastAsia="Times New Roman" w:cs="Times New Roman"/>
                <w:b/>
                <w:bCs/>
                <w:sz w:val="18"/>
                <w:szCs w:val="18"/>
                <w:lang w:eastAsia="sk-SK"/>
              </w:rPr>
              <w:t>7=4-3</w:t>
            </w:r>
          </w:p>
        </w:tc>
      </w:tr>
      <w:tr w:rsidR="0045778F" w:rsidRPr="008C66D7" w14:paraId="13A222B2" w14:textId="77777777" w:rsidTr="00EB5625">
        <w:trPr>
          <w:trHeight w:val="289"/>
        </w:trPr>
        <w:tc>
          <w:tcPr>
            <w:tcW w:w="3840" w:type="dxa"/>
            <w:tcBorders>
              <w:top w:val="nil"/>
              <w:left w:val="nil"/>
              <w:bottom w:val="nil"/>
              <w:right w:val="nil"/>
            </w:tcBorders>
            <w:shd w:val="clear" w:color="000000" w:fill="FFFFFF"/>
            <w:vAlign w:val="bottom"/>
            <w:hideMark/>
          </w:tcPr>
          <w:p w14:paraId="0EDABF0C"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 xml:space="preserve">Ministerstvo investícií, </w:t>
            </w:r>
            <w:proofErr w:type="spellStart"/>
            <w:r w:rsidRPr="008C66D7">
              <w:rPr>
                <w:rFonts w:eastAsia="Times New Roman" w:cs="Times New Roman"/>
                <w:color w:val="000000"/>
                <w:sz w:val="18"/>
                <w:szCs w:val="18"/>
                <w:lang w:eastAsia="sk-SK"/>
              </w:rPr>
              <w:t>reg.rozvoja</w:t>
            </w:r>
            <w:proofErr w:type="spellEnd"/>
            <w:r w:rsidRPr="008C66D7">
              <w:rPr>
                <w:rFonts w:eastAsia="Times New Roman" w:cs="Times New Roman"/>
                <w:color w:val="000000"/>
                <w:sz w:val="18"/>
                <w:szCs w:val="18"/>
                <w:lang w:eastAsia="sk-SK"/>
              </w:rPr>
              <w:t xml:space="preserve"> a infor.SR </w:t>
            </w:r>
          </w:p>
        </w:tc>
        <w:tc>
          <w:tcPr>
            <w:tcW w:w="940" w:type="dxa"/>
            <w:tcBorders>
              <w:top w:val="nil"/>
              <w:left w:val="nil"/>
              <w:bottom w:val="nil"/>
              <w:right w:val="nil"/>
            </w:tcBorders>
            <w:shd w:val="clear" w:color="auto" w:fill="auto"/>
            <w:noWrap/>
            <w:vAlign w:val="bottom"/>
            <w:hideMark/>
          </w:tcPr>
          <w:p w14:paraId="78DFE109"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40 892</w:t>
            </w:r>
          </w:p>
        </w:tc>
        <w:tc>
          <w:tcPr>
            <w:tcW w:w="940" w:type="dxa"/>
            <w:tcBorders>
              <w:top w:val="nil"/>
              <w:left w:val="nil"/>
              <w:bottom w:val="nil"/>
              <w:right w:val="nil"/>
            </w:tcBorders>
            <w:shd w:val="clear" w:color="auto" w:fill="auto"/>
            <w:noWrap/>
            <w:vAlign w:val="bottom"/>
            <w:hideMark/>
          </w:tcPr>
          <w:p w14:paraId="3FC90085"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91 746</w:t>
            </w:r>
          </w:p>
        </w:tc>
        <w:tc>
          <w:tcPr>
            <w:tcW w:w="801" w:type="dxa"/>
            <w:tcBorders>
              <w:top w:val="nil"/>
              <w:left w:val="nil"/>
              <w:bottom w:val="nil"/>
              <w:right w:val="nil"/>
            </w:tcBorders>
            <w:shd w:val="clear" w:color="000000" w:fill="FFFFFF"/>
            <w:noWrap/>
            <w:vAlign w:val="bottom"/>
            <w:hideMark/>
          </w:tcPr>
          <w:p w14:paraId="1D25B7AC"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50" w:type="dxa"/>
            <w:tcBorders>
              <w:top w:val="nil"/>
              <w:left w:val="nil"/>
              <w:bottom w:val="nil"/>
              <w:right w:val="nil"/>
            </w:tcBorders>
            <w:shd w:val="clear" w:color="auto" w:fill="auto"/>
            <w:noWrap/>
            <w:vAlign w:val="bottom"/>
            <w:hideMark/>
          </w:tcPr>
          <w:p w14:paraId="4B0414A8"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85 013</w:t>
            </w:r>
          </w:p>
        </w:tc>
        <w:tc>
          <w:tcPr>
            <w:tcW w:w="851" w:type="dxa"/>
            <w:tcBorders>
              <w:top w:val="nil"/>
              <w:left w:val="nil"/>
              <w:bottom w:val="nil"/>
              <w:right w:val="nil"/>
            </w:tcBorders>
            <w:shd w:val="clear" w:color="auto" w:fill="auto"/>
            <w:noWrap/>
            <w:vAlign w:val="bottom"/>
            <w:hideMark/>
          </w:tcPr>
          <w:p w14:paraId="76993C55"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868</w:t>
            </w:r>
          </w:p>
        </w:tc>
        <w:tc>
          <w:tcPr>
            <w:tcW w:w="802" w:type="dxa"/>
            <w:tcBorders>
              <w:top w:val="nil"/>
              <w:left w:val="nil"/>
              <w:bottom w:val="nil"/>
              <w:right w:val="nil"/>
            </w:tcBorders>
            <w:shd w:val="clear" w:color="000000" w:fill="FFFFFF"/>
            <w:vAlign w:val="bottom"/>
            <w:hideMark/>
          </w:tcPr>
          <w:p w14:paraId="6FAC77C5"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85 013</w:t>
            </w:r>
          </w:p>
        </w:tc>
        <w:tc>
          <w:tcPr>
            <w:tcW w:w="615" w:type="dxa"/>
            <w:tcBorders>
              <w:top w:val="nil"/>
              <w:left w:val="nil"/>
              <w:bottom w:val="nil"/>
              <w:right w:val="nil"/>
            </w:tcBorders>
            <w:shd w:val="clear" w:color="000000" w:fill="FFFFFF"/>
            <w:vAlign w:val="bottom"/>
            <w:hideMark/>
          </w:tcPr>
          <w:p w14:paraId="467BBA2D"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2F8D8EA6" w14:textId="77777777" w:rsidTr="00EB5625">
        <w:trPr>
          <w:trHeight w:val="289"/>
        </w:trPr>
        <w:tc>
          <w:tcPr>
            <w:tcW w:w="3840" w:type="dxa"/>
            <w:tcBorders>
              <w:top w:val="nil"/>
              <w:left w:val="nil"/>
              <w:bottom w:val="nil"/>
              <w:right w:val="nil"/>
            </w:tcBorders>
            <w:shd w:val="clear" w:color="000000" w:fill="FFFFFF"/>
            <w:vAlign w:val="bottom"/>
            <w:hideMark/>
          </w:tcPr>
          <w:p w14:paraId="4E19D20B"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Ministerstvo životného prostredia SR</w:t>
            </w:r>
          </w:p>
        </w:tc>
        <w:tc>
          <w:tcPr>
            <w:tcW w:w="940" w:type="dxa"/>
            <w:tcBorders>
              <w:top w:val="nil"/>
              <w:left w:val="nil"/>
              <w:bottom w:val="nil"/>
              <w:right w:val="nil"/>
            </w:tcBorders>
            <w:shd w:val="clear" w:color="auto" w:fill="auto"/>
            <w:noWrap/>
            <w:vAlign w:val="bottom"/>
            <w:hideMark/>
          </w:tcPr>
          <w:p w14:paraId="4F9BBF7F"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92 159</w:t>
            </w:r>
          </w:p>
        </w:tc>
        <w:tc>
          <w:tcPr>
            <w:tcW w:w="940" w:type="dxa"/>
            <w:tcBorders>
              <w:top w:val="nil"/>
              <w:left w:val="nil"/>
              <w:bottom w:val="nil"/>
              <w:right w:val="nil"/>
            </w:tcBorders>
            <w:shd w:val="clear" w:color="auto" w:fill="auto"/>
            <w:noWrap/>
            <w:vAlign w:val="bottom"/>
            <w:hideMark/>
          </w:tcPr>
          <w:p w14:paraId="250E3A43"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51 100</w:t>
            </w:r>
          </w:p>
        </w:tc>
        <w:tc>
          <w:tcPr>
            <w:tcW w:w="801" w:type="dxa"/>
            <w:tcBorders>
              <w:top w:val="nil"/>
              <w:left w:val="nil"/>
              <w:bottom w:val="nil"/>
              <w:right w:val="nil"/>
            </w:tcBorders>
            <w:shd w:val="clear" w:color="000000" w:fill="FFFFFF"/>
            <w:noWrap/>
            <w:vAlign w:val="bottom"/>
            <w:hideMark/>
          </w:tcPr>
          <w:p w14:paraId="2DDDEEFD"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50" w:type="dxa"/>
            <w:tcBorders>
              <w:top w:val="nil"/>
              <w:left w:val="nil"/>
              <w:bottom w:val="nil"/>
              <w:right w:val="nil"/>
            </w:tcBorders>
            <w:shd w:val="clear" w:color="auto" w:fill="auto"/>
            <w:noWrap/>
            <w:vAlign w:val="bottom"/>
            <w:hideMark/>
          </w:tcPr>
          <w:p w14:paraId="362620CD"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56 488</w:t>
            </w:r>
          </w:p>
        </w:tc>
        <w:tc>
          <w:tcPr>
            <w:tcW w:w="851" w:type="dxa"/>
            <w:tcBorders>
              <w:top w:val="nil"/>
              <w:left w:val="nil"/>
              <w:bottom w:val="nil"/>
              <w:right w:val="nil"/>
            </w:tcBorders>
            <w:shd w:val="clear" w:color="auto" w:fill="auto"/>
            <w:noWrap/>
            <w:vAlign w:val="bottom"/>
            <w:hideMark/>
          </w:tcPr>
          <w:p w14:paraId="6FC5177C"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c>
          <w:tcPr>
            <w:tcW w:w="802" w:type="dxa"/>
            <w:tcBorders>
              <w:top w:val="nil"/>
              <w:left w:val="nil"/>
              <w:bottom w:val="nil"/>
              <w:right w:val="nil"/>
            </w:tcBorders>
            <w:shd w:val="clear" w:color="000000" w:fill="FFFFFF"/>
            <w:vAlign w:val="bottom"/>
            <w:hideMark/>
          </w:tcPr>
          <w:p w14:paraId="7722E708"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56 488</w:t>
            </w:r>
          </w:p>
        </w:tc>
        <w:tc>
          <w:tcPr>
            <w:tcW w:w="615" w:type="dxa"/>
            <w:tcBorders>
              <w:top w:val="nil"/>
              <w:left w:val="nil"/>
              <w:bottom w:val="nil"/>
              <w:right w:val="nil"/>
            </w:tcBorders>
            <w:shd w:val="clear" w:color="000000" w:fill="FFFFFF"/>
            <w:vAlign w:val="bottom"/>
            <w:hideMark/>
          </w:tcPr>
          <w:p w14:paraId="110608D5"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2085B0F2" w14:textId="77777777" w:rsidTr="00EB5625">
        <w:trPr>
          <w:trHeight w:val="289"/>
        </w:trPr>
        <w:tc>
          <w:tcPr>
            <w:tcW w:w="3840" w:type="dxa"/>
            <w:tcBorders>
              <w:top w:val="nil"/>
              <w:left w:val="nil"/>
              <w:bottom w:val="nil"/>
              <w:right w:val="nil"/>
            </w:tcBorders>
            <w:shd w:val="clear" w:color="000000" w:fill="FFFFFF"/>
            <w:vAlign w:val="bottom"/>
            <w:hideMark/>
          </w:tcPr>
          <w:p w14:paraId="64A643C7"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Ministerstvo dopravy a výstavby  SR</w:t>
            </w:r>
          </w:p>
        </w:tc>
        <w:tc>
          <w:tcPr>
            <w:tcW w:w="940" w:type="dxa"/>
            <w:tcBorders>
              <w:top w:val="nil"/>
              <w:left w:val="nil"/>
              <w:bottom w:val="nil"/>
              <w:right w:val="nil"/>
            </w:tcBorders>
            <w:shd w:val="clear" w:color="auto" w:fill="auto"/>
            <w:noWrap/>
            <w:vAlign w:val="bottom"/>
            <w:hideMark/>
          </w:tcPr>
          <w:p w14:paraId="59832273"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58 586</w:t>
            </w:r>
          </w:p>
        </w:tc>
        <w:tc>
          <w:tcPr>
            <w:tcW w:w="940" w:type="dxa"/>
            <w:tcBorders>
              <w:top w:val="nil"/>
              <w:left w:val="nil"/>
              <w:bottom w:val="nil"/>
              <w:right w:val="nil"/>
            </w:tcBorders>
            <w:shd w:val="clear" w:color="auto" w:fill="auto"/>
            <w:noWrap/>
            <w:vAlign w:val="bottom"/>
            <w:hideMark/>
          </w:tcPr>
          <w:p w14:paraId="16CD8AF8"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23 828</w:t>
            </w:r>
          </w:p>
        </w:tc>
        <w:tc>
          <w:tcPr>
            <w:tcW w:w="801" w:type="dxa"/>
            <w:tcBorders>
              <w:top w:val="nil"/>
              <w:left w:val="nil"/>
              <w:bottom w:val="nil"/>
              <w:right w:val="nil"/>
            </w:tcBorders>
            <w:shd w:val="clear" w:color="000000" w:fill="FFFFFF"/>
            <w:noWrap/>
            <w:vAlign w:val="bottom"/>
            <w:hideMark/>
          </w:tcPr>
          <w:p w14:paraId="665902DD"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50" w:type="dxa"/>
            <w:tcBorders>
              <w:top w:val="nil"/>
              <w:left w:val="nil"/>
              <w:bottom w:val="nil"/>
              <w:right w:val="nil"/>
            </w:tcBorders>
            <w:shd w:val="clear" w:color="auto" w:fill="auto"/>
            <w:noWrap/>
            <w:vAlign w:val="bottom"/>
            <w:hideMark/>
          </w:tcPr>
          <w:p w14:paraId="7FCFD004"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26 705</w:t>
            </w:r>
          </w:p>
        </w:tc>
        <w:tc>
          <w:tcPr>
            <w:tcW w:w="851" w:type="dxa"/>
            <w:tcBorders>
              <w:top w:val="nil"/>
              <w:left w:val="nil"/>
              <w:bottom w:val="nil"/>
              <w:right w:val="nil"/>
            </w:tcBorders>
            <w:shd w:val="clear" w:color="auto" w:fill="auto"/>
            <w:noWrap/>
            <w:vAlign w:val="bottom"/>
            <w:hideMark/>
          </w:tcPr>
          <w:p w14:paraId="626C33B2"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c>
          <w:tcPr>
            <w:tcW w:w="802" w:type="dxa"/>
            <w:tcBorders>
              <w:top w:val="nil"/>
              <w:left w:val="nil"/>
              <w:bottom w:val="nil"/>
              <w:right w:val="nil"/>
            </w:tcBorders>
            <w:shd w:val="clear" w:color="000000" w:fill="FFFFFF"/>
            <w:vAlign w:val="bottom"/>
            <w:hideMark/>
          </w:tcPr>
          <w:p w14:paraId="6C081272"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26 705</w:t>
            </w:r>
          </w:p>
        </w:tc>
        <w:tc>
          <w:tcPr>
            <w:tcW w:w="615" w:type="dxa"/>
            <w:tcBorders>
              <w:top w:val="nil"/>
              <w:left w:val="nil"/>
              <w:bottom w:val="nil"/>
              <w:right w:val="nil"/>
            </w:tcBorders>
            <w:shd w:val="clear" w:color="000000" w:fill="FFFFFF"/>
            <w:vAlign w:val="bottom"/>
            <w:hideMark/>
          </w:tcPr>
          <w:p w14:paraId="0CB89701"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5DE52AD3" w14:textId="77777777" w:rsidTr="00EB5625">
        <w:trPr>
          <w:trHeight w:val="289"/>
        </w:trPr>
        <w:tc>
          <w:tcPr>
            <w:tcW w:w="3840" w:type="dxa"/>
            <w:tcBorders>
              <w:top w:val="nil"/>
              <w:left w:val="nil"/>
              <w:bottom w:val="nil"/>
              <w:right w:val="nil"/>
            </w:tcBorders>
            <w:shd w:val="clear" w:color="000000" w:fill="FFFFFF"/>
            <w:noWrap/>
            <w:vAlign w:val="bottom"/>
            <w:hideMark/>
          </w:tcPr>
          <w:p w14:paraId="43E1F481"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Ministerstvo vnútra SR</w:t>
            </w:r>
          </w:p>
        </w:tc>
        <w:tc>
          <w:tcPr>
            <w:tcW w:w="940" w:type="dxa"/>
            <w:tcBorders>
              <w:top w:val="nil"/>
              <w:left w:val="nil"/>
              <w:bottom w:val="nil"/>
              <w:right w:val="nil"/>
            </w:tcBorders>
            <w:shd w:val="clear" w:color="auto" w:fill="auto"/>
            <w:noWrap/>
            <w:vAlign w:val="bottom"/>
            <w:hideMark/>
          </w:tcPr>
          <w:p w14:paraId="4E6DC25E"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26 758</w:t>
            </w:r>
          </w:p>
        </w:tc>
        <w:tc>
          <w:tcPr>
            <w:tcW w:w="940" w:type="dxa"/>
            <w:tcBorders>
              <w:top w:val="nil"/>
              <w:left w:val="nil"/>
              <w:bottom w:val="nil"/>
              <w:right w:val="nil"/>
            </w:tcBorders>
            <w:shd w:val="clear" w:color="auto" w:fill="auto"/>
            <w:noWrap/>
            <w:vAlign w:val="bottom"/>
            <w:hideMark/>
          </w:tcPr>
          <w:p w14:paraId="63C67141"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25 923</w:t>
            </w:r>
          </w:p>
        </w:tc>
        <w:tc>
          <w:tcPr>
            <w:tcW w:w="801" w:type="dxa"/>
            <w:tcBorders>
              <w:top w:val="nil"/>
              <w:left w:val="nil"/>
              <w:bottom w:val="nil"/>
              <w:right w:val="nil"/>
            </w:tcBorders>
            <w:shd w:val="clear" w:color="000000" w:fill="FFFFFF"/>
            <w:noWrap/>
            <w:vAlign w:val="bottom"/>
            <w:hideMark/>
          </w:tcPr>
          <w:p w14:paraId="4EF3B409"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50" w:type="dxa"/>
            <w:tcBorders>
              <w:top w:val="nil"/>
              <w:left w:val="nil"/>
              <w:bottom w:val="nil"/>
              <w:right w:val="nil"/>
            </w:tcBorders>
            <w:shd w:val="clear" w:color="auto" w:fill="auto"/>
            <w:noWrap/>
            <w:vAlign w:val="bottom"/>
            <w:hideMark/>
          </w:tcPr>
          <w:p w14:paraId="764EACE9"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18 009</w:t>
            </w:r>
          </w:p>
        </w:tc>
        <w:tc>
          <w:tcPr>
            <w:tcW w:w="851" w:type="dxa"/>
            <w:tcBorders>
              <w:top w:val="nil"/>
              <w:left w:val="nil"/>
              <w:bottom w:val="nil"/>
              <w:right w:val="nil"/>
            </w:tcBorders>
            <w:shd w:val="clear" w:color="auto" w:fill="auto"/>
            <w:noWrap/>
            <w:vAlign w:val="bottom"/>
            <w:hideMark/>
          </w:tcPr>
          <w:p w14:paraId="434C593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85</w:t>
            </w:r>
          </w:p>
        </w:tc>
        <w:tc>
          <w:tcPr>
            <w:tcW w:w="802" w:type="dxa"/>
            <w:tcBorders>
              <w:top w:val="nil"/>
              <w:left w:val="nil"/>
              <w:bottom w:val="nil"/>
              <w:right w:val="nil"/>
            </w:tcBorders>
            <w:shd w:val="clear" w:color="000000" w:fill="FFFFFF"/>
            <w:vAlign w:val="bottom"/>
            <w:hideMark/>
          </w:tcPr>
          <w:p w14:paraId="63073C1D"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18 009</w:t>
            </w:r>
          </w:p>
        </w:tc>
        <w:tc>
          <w:tcPr>
            <w:tcW w:w="615" w:type="dxa"/>
            <w:tcBorders>
              <w:top w:val="nil"/>
              <w:left w:val="nil"/>
              <w:bottom w:val="nil"/>
              <w:right w:val="nil"/>
            </w:tcBorders>
            <w:shd w:val="clear" w:color="000000" w:fill="FFFFFF"/>
            <w:vAlign w:val="bottom"/>
            <w:hideMark/>
          </w:tcPr>
          <w:p w14:paraId="279A1A0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77E5E2D8" w14:textId="77777777" w:rsidTr="00EB5625">
        <w:trPr>
          <w:trHeight w:val="289"/>
        </w:trPr>
        <w:tc>
          <w:tcPr>
            <w:tcW w:w="3840" w:type="dxa"/>
            <w:tcBorders>
              <w:top w:val="nil"/>
              <w:left w:val="nil"/>
              <w:bottom w:val="nil"/>
              <w:right w:val="nil"/>
            </w:tcBorders>
            <w:shd w:val="clear" w:color="000000" w:fill="FFFFFF"/>
            <w:vAlign w:val="bottom"/>
            <w:hideMark/>
          </w:tcPr>
          <w:p w14:paraId="3BA8C7E7"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 xml:space="preserve">Ministerstvo </w:t>
            </w:r>
            <w:proofErr w:type="spellStart"/>
            <w:r w:rsidRPr="008C66D7">
              <w:rPr>
                <w:rFonts w:eastAsia="Times New Roman" w:cs="Times New Roman"/>
                <w:color w:val="000000"/>
                <w:sz w:val="18"/>
                <w:szCs w:val="18"/>
                <w:lang w:eastAsia="sk-SK"/>
              </w:rPr>
              <w:t>pôdohospod</w:t>
            </w:r>
            <w:proofErr w:type="spellEnd"/>
            <w:r w:rsidRPr="008C66D7">
              <w:rPr>
                <w:rFonts w:eastAsia="Times New Roman" w:cs="Times New Roman"/>
                <w:color w:val="000000"/>
                <w:sz w:val="18"/>
                <w:szCs w:val="18"/>
                <w:lang w:eastAsia="sk-SK"/>
              </w:rPr>
              <w:t>. a rozvoja vidieka SR</w:t>
            </w:r>
          </w:p>
        </w:tc>
        <w:tc>
          <w:tcPr>
            <w:tcW w:w="940" w:type="dxa"/>
            <w:tcBorders>
              <w:top w:val="nil"/>
              <w:left w:val="nil"/>
              <w:bottom w:val="nil"/>
              <w:right w:val="nil"/>
            </w:tcBorders>
            <w:shd w:val="clear" w:color="auto" w:fill="auto"/>
            <w:noWrap/>
            <w:vAlign w:val="bottom"/>
            <w:hideMark/>
          </w:tcPr>
          <w:p w14:paraId="5509CE4C"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68 784</w:t>
            </w:r>
          </w:p>
        </w:tc>
        <w:tc>
          <w:tcPr>
            <w:tcW w:w="940" w:type="dxa"/>
            <w:tcBorders>
              <w:top w:val="nil"/>
              <w:left w:val="nil"/>
              <w:bottom w:val="nil"/>
              <w:right w:val="nil"/>
            </w:tcBorders>
            <w:shd w:val="clear" w:color="auto" w:fill="auto"/>
            <w:noWrap/>
            <w:vAlign w:val="bottom"/>
            <w:hideMark/>
          </w:tcPr>
          <w:p w14:paraId="743C0A3B"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6 872</w:t>
            </w:r>
          </w:p>
        </w:tc>
        <w:tc>
          <w:tcPr>
            <w:tcW w:w="801" w:type="dxa"/>
            <w:tcBorders>
              <w:top w:val="nil"/>
              <w:left w:val="nil"/>
              <w:bottom w:val="nil"/>
              <w:right w:val="nil"/>
            </w:tcBorders>
            <w:shd w:val="clear" w:color="000000" w:fill="FFFFFF"/>
            <w:noWrap/>
            <w:vAlign w:val="bottom"/>
            <w:hideMark/>
          </w:tcPr>
          <w:p w14:paraId="3E61645B"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50" w:type="dxa"/>
            <w:tcBorders>
              <w:top w:val="nil"/>
              <w:left w:val="nil"/>
              <w:bottom w:val="nil"/>
              <w:right w:val="nil"/>
            </w:tcBorders>
            <w:shd w:val="clear" w:color="auto" w:fill="auto"/>
            <w:noWrap/>
            <w:vAlign w:val="bottom"/>
            <w:hideMark/>
          </w:tcPr>
          <w:p w14:paraId="3953D8B1"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14 820</w:t>
            </w:r>
          </w:p>
        </w:tc>
        <w:tc>
          <w:tcPr>
            <w:tcW w:w="851" w:type="dxa"/>
            <w:tcBorders>
              <w:top w:val="nil"/>
              <w:left w:val="nil"/>
              <w:bottom w:val="nil"/>
              <w:right w:val="nil"/>
            </w:tcBorders>
            <w:shd w:val="clear" w:color="auto" w:fill="auto"/>
            <w:noWrap/>
            <w:vAlign w:val="bottom"/>
            <w:hideMark/>
          </w:tcPr>
          <w:p w14:paraId="60ACCBC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x</w:t>
            </w:r>
          </w:p>
        </w:tc>
        <w:tc>
          <w:tcPr>
            <w:tcW w:w="802" w:type="dxa"/>
            <w:tcBorders>
              <w:top w:val="nil"/>
              <w:left w:val="nil"/>
              <w:bottom w:val="nil"/>
              <w:right w:val="nil"/>
            </w:tcBorders>
            <w:shd w:val="clear" w:color="000000" w:fill="FFFFFF"/>
            <w:vAlign w:val="bottom"/>
            <w:hideMark/>
          </w:tcPr>
          <w:p w14:paraId="6012641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14 820</w:t>
            </w:r>
          </w:p>
        </w:tc>
        <w:tc>
          <w:tcPr>
            <w:tcW w:w="615" w:type="dxa"/>
            <w:tcBorders>
              <w:top w:val="nil"/>
              <w:left w:val="nil"/>
              <w:bottom w:val="nil"/>
              <w:right w:val="nil"/>
            </w:tcBorders>
            <w:shd w:val="clear" w:color="000000" w:fill="FFFFFF"/>
            <w:vAlign w:val="bottom"/>
            <w:hideMark/>
          </w:tcPr>
          <w:p w14:paraId="3C96952E"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1FCDB35D" w14:textId="77777777" w:rsidTr="00EB5625">
        <w:trPr>
          <w:trHeight w:val="289"/>
        </w:trPr>
        <w:tc>
          <w:tcPr>
            <w:tcW w:w="3840" w:type="dxa"/>
            <w:tcBorders>
              <w:top w:val="nil"/>
              <w:left w:val="nil"/>
              <w:bottom w:val="nil"/>
              <w:right w:val="nil"/>
            </w:tcBorders>
            <w:shd w:val="clear" w:color="000000" w:fill="FFFFFF"/>
            <w:vAlign w:val="bottom"/>
            <w:hideMark/>
          </w:tcPr>
          <w:p w14:paraId="493C7034"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Ministerstvo školstva, vedy, výskumu a športu SR</w:t>
            </w:r>
          </w:p>
        </w:tc>
        <w:tc>
          <w:tcPr>
            <w:tcW w:w="940" w:type="dxa"/>
            <w:tcBorders>
              <w:top w:val="nil"/>
              <w:left w:val="nil"/>
              <w:bottom w:val="nil"/>
              <w:right w:val="nil"/>
            </w:tcBorders>
            <w:shd w:val="clear" w:color="auto" w:fill="auto"/>
            <w:noWrap/>
            <w:vAlign w:val="bottom"/>
            <w:hideMark/>
          </w:tcPr>
          <w:p w14:paraId="2EA95EEC"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627</w:t>
            </w:r>
          </w:p>
        </w:tc>
        <w:tc>
          <w:tcPr>
            <w:tcW w:w="940" w:type="dxa"/>
            <w:tcBorders>
              <w:top w:val="nil"/>
              <w:left w:val="nil"/>
              <w:bottom w:val="nil"/>
              <w:right w:val="nil"/>
            </w:tcBorders>
            <w:shd w:val="clear" w:color="auto" w:fill="auto"/>
            <w:noWrap/>
            <w:vAlign w:val="bottom"/>
            <w:hideMark/>
          </w:tcPr>
          <w:p w14:paraId="32AB4A05"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649</w:t>
            </w:r>
          </w:p>
        </w:tc>
        <w:tc>
          <w:tcPr>
            <w:tcW w:w="801" w:type="dxa"/>
            <w:tcBorders>
              <w:top w:val="nil"/>
              <w:left w:val="nil"/>
              <w:bottom w:val="nil"/>
              <w:right w:val="nil"/>
            </w:tcBorders>
            <w:shd w:val="clear" w:color="000000" w:fill="FFFFFF"/>
            <w:noWrap/>
            <w:vAlign w:val="bottom"/>
            <w:hideMark/>
          </w:tcPr>
          <w:p w14:paraId="704363D3"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192 300</w:t>
            </w:r>
          </w:p>
        </w:tc>
        <w:tc>
          <w:tcPr>
            <w:tcW w:w="850" w:type="dxa"/>
            <w:tcBorders>
              <w:top w:val="nil"/>
              <w:left w:val="nil"/>
              <w:bottom w:val="nil"/>
              <w:right w:val="nil"/>
            </w:tcBorders>
            <w:shd w:val="clear" w:color="auto" w:fill="auto"/>
            <w:noWrap/>
            <w:vAlign w:val="bottom"/>
            <w:hideMark/>
          </w:tcPr>
          <w:p w14:paraId="645996D4"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6 247</w:t>
            </w:r>
          </w:p>
        </w:tc>
        <w:tc>
          <w:tcPr>
            <w:tcW w:w="851" w:type="dxa"/>
            <w:tcBorders>
              <w:top w:val="nil"/>
              <w:left w:val="nil"/>
              <w:bottom w:val="nil"/>
              <w:right w:val="nil"/>
            </w:tcBorders>
            <w:shd w:val="clear" w:color="auto" w:fill="auto"/>
            <w:noWrap/>
            <w:vAlign w:val="bottom"/>
            <w:hideMark/>
          </w:tcPr>
          <w:p w14:paraId="5BFC228C"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5 121</w:t>
            </w:r>
          </w:p>
        </w:tc>
        <w:tc>
          <w:tcPr>
            <w:tcW w:w="802" w:type="dxa"/>
            <w:tcBorders>
              <w:top w:val="nil"/>
              <w:left w:val="nil"/>
              <w:bottom w:val="nil"/>
              <w:right w:val="nil"/>
            </w:tcBorders>
            <w:shd w:val="clear" w:color="000000" w:fill="FFFFFF"/>
            <w:vAlign w:val="bottom"/>
            <w:hideMark/>
          </w:tcPr>
          <w:p w14:paraId="72C6456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-186 053</w:t>
            </w:r>
          </w:p>
        </w:tc>
        <w:tc>
          <w:tcPr>
            <w:tcW w:w="615" w:type="dxa"/>
            <w:tcBorders>
              <w:top w:val="nil"/>
              <w:left w:val="nil"/>
              <w:bottom w:val="nil"/>
              <w:right w:val="nil"/>
            </w:tcBorders>
            <w:shd w:val="clear" w:color="000000" w:fill="FFFFFF"/>
            <w:vAlign w:val="bottom"/>
            <w:hideMark/>
          </w:tcPr>
          <w:p w14:paraId="3B615384"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-96,8</w:t>
            </w:r>
          </w:p>
        </w:tc>
      </w:tr>
      <w:tr w:rsidR="0045778F" w:rsidRPr="008C66D7" w14:paraId="7FAD7442" w14:textId="77777777" w:rsidTr="00EB5625">
        <w:trPr>
          <w:trHeight w:val="289"/>
        </w:trPr>
        <w:tc>
          <w:tcPr>
            <w:tcW w:w="3840" w:type="dxa"/>
            <w:tcBorders>
              <w:top w:val="nil"/>
              <w:left w:val="nil"/>
              <w:bottom w:val="nil"/>
              <w:right w:val="nil"/>
            </w:tcBorders>
            <w:shd w:val="clear" w:color="000000" w:fill="FFFFFF"/>
            <w:vAlign w:val="bottom"/>
            <w:hideMark/>
          </w:tcPr>
          <w:p w14:paraId="3166CA68"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Ministerstvo práce, sociálnych vecí a rodiny SR</w:t>
            </w:r>
          </w:p>
        </w:tc>
        <w:tc>
          <w:tcPr>
            <w:tcW w:w="940" w:type="dxa"/>
            <w:tcBorders>
              <w:top w:val="nil"/>
              <w:left w:val="nil"/>
              <w:bottom w:val="nil"/>
              <w:right w:val="nil"/>
            </w:tcBorders>
            <w:shd w:val="clear" w:color="auto" w:fill="auto"/>
            <w:noWrap/>
            <w:vAlign w:val="bottom"/>
            <w:hideMark/>
          </w:tcPr>
          <w:p w14:paraId="4F6FC688"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171</w:t>
            </w:r>
          </w:p>
        </w:tc>
        <w:tc>
          <w:tcPr>
            <w:tcW w:w="940" w:type="dxa"/>
            <w:tcBorders>
              <w:top w:val="nil"/>
              <w:left w:val="nil"/>
              <w:bottom w:val="nil"/>
              <w:right w:val="nil"/>
            </w:tcBorders>
            <w:shd w:val="clear" w:color="auto" w:fill="auto"/>
            <w:noWrap/>
            <w:vAlign w:val="bottom"/>
            <w:hideMark/>
          </w:tcPr>
          <w:p w14:paraId="0E202594"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4 414</w:t>
            </w:r>
          </w:p>
        </w:tc>
        <w:tc>
          <w:tcPr>
            <w:tcW w:w="801" w:type="dxa"/>
            <w:tcBorders>
              <w:top w:val="nil"/>
              <w:left w:val="nil"/>
              <w:bottom w:val="nil"/>
              <w:right w:val="nil"/>
            </w:tcBorders>
            <w:shd w:val="clear" w:color="000000" w:fill="FFFFFF"/>
            <w:noWrap/>
            <w:vAlign w:val="bottom"/>
            <w:hideMark/>
          </w:tcPr>
          <w:p w14:paraId="024E4DE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50" w:type="dxa"/>
            <w:tcBorders>
              <w:top w:val="nil"/>
              <w:left w:val="nil"/>
              <w:bottom w:val="nil"/>
              <w:right w:val="nil"/>
            </w:tcBorders>
            <w:shd w:val="clear" w:color="auto" w:fill="auto"/>
            <w:noWrap/>
            <w:vAlign w:val="bottom"/>
            <w:hideMark/>
          </w:tcPr>
          <w:p w14:paraId="110F2DB3"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4 908</w:t>
            </w:r>
          </w:p>
        </w:tc>
        <w:tc>
          <w:tcPr>
            <w:tcW w:w="851" w:type="dxa"/>
            <w:tcBorders>
              <w:top w:val="nil"/>
              <w:left w:val="nil"/>
              <w:bottom w:val="nil"/>
              <w:right w:val="nil"/>
            </w:tcBorders>
            <w:shd w:val="clear" w:color="auto" w:fill="auto"/>
            <w:noWrap/>
            <w:vAlign w:val="bottom"/>
            <w:hideMark/>
          </w:tcPr>
          <w:p w14:paraId="0E58E7E7"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4 117</w:t>
            </w:r>
          </w:p>
        </w:tc>
        <w:tc>
          <w:tcPr>
            <w:tcW w:w="802" w:type="dxa"/>
            <w:tcBorders>
              <w:top w:val="nil"/>
              <w:left w:val="nil"/>
              <w:bottom w:val="nil"/>
              <w:right w:val="nil"/>
            </w:tcBorders>
            <w:shd w:val="clear" w:color="000000" w:fill="FFFFFF"/>
            <w:vAlign w:val="bottom"/>
            <w:hideMark/>
          </w:tcPr>
          <w:p w14:paraId="03C5320F"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4 908</w:t>
            </w:r>
          </w:p>
        </w:tc>
        <w:tc>
          <w:tcPr>
            <w:tcW w:w="615" w:type="dxa"/>
            <w:tcBorders>
              <w:top w:val="nil"/>
              <w:left w:val="nil"/>
              <w:bottom w:val="nil"/>
              <w:right w:val="nil"/>
            </w:tcBorders>
            <w:shd w:val="clear" w:color="000000" w:fill="FFFFFF"/>
            <w:vAlign w:val="bottom"/>
            <w:hideMark/>
          </w:tcPr>
          <w:p w14:paraId="3F1E123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0BE12AE8" w14:textId="77777777" w:rsidTr="00EB5625">
        <w:trPr>
          <w:trHeight w:val="289"/>
        </w:trPr>
        <w:tc>
          <w:tcPr>
            <w:tcW w:w="3840" w:type="dxa"/>
            <w:tcBorders>
              <w:top w:val="nil"/>
              <w:left w:val="nil"/>
              <w:bottom w:val="nil"/>
              <w:right w:val="nil"/>
            </w:tcBorders>
            <w:shd w:val="clear" w:color="000000" w:fill="FFFFFF"/>
            <w:noWrap/>
            <w:vAlign w:val="bottom"/>
            <w:hideMark/>
          </w:tcPr>
          <w:p w14:paraId="3C521597"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Všeobecná pokladničná správa</w:t>
            </w:r>
          </w:p>
        </w:tc>
        <w:tc>
          <w:tcPr>
            <w:tcW w:w="940" w:type="dxa"/>
            <w:tcBorders>
              <w:top w:val="nil"/>
              <w:left w:val="nil"/>
              <w:bottom w:val="nil"/>
              <w:right w:val="nil"/>
            </w:tcBorders>
            <w:shd w:val="clear" w:color="auto" w:fill="auto"/>
            <w:noWrap/>
            <w:vAlign w:val="bottom"/>
            <w:hideMark/>
          </w:tcPr>
          <w:p w14:paraId="34132762"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29 539</w:t>
            </w:r>
          </w:p>
        </w:tc>
        <w:tc>
          <w:tcPr>
            <w:tcW w:w="940" w:type="dxa"/>
            <w:tcBorders>
              <w:top w:val="nil"/>
              <w:left w:val="nil"/>
              <w:bottom w:val="nil"/>
              <w:right w:val="nil"/>
            </w:tcBorders>
            <w:shd w:val="clear" w:color="auto" w:fill="auto"/>
            <w:noWrap/>
            <w:vAlign w:val="bottom"/>
            <w:hideMark/>
          </w:tcPr>
          <w:p w14:paraId="5DDAB929"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6 835</w:t>
            </w:r>
          </w:p>
        </w:tc>
        <w:tc>
          <w:tcPr>
            <w:tcW w:w="801" w:type="dxa"/>
            <w:tcBorders>
              <w:top w:val="nil"/>
              <w:left w:val="nil"/>
              <w:bottom w:val="nil"/>
              <w:right w:val="nil"/>
            </w:tcBorders>
            <w:shd w:val="clear" w:color="000000" w:fill="FFFFFF"/>
            <w:noWrap/>
            <w:vAlign w:val="bottom"/>
            <w:hideMark/>
          </w:tcPr>
          <w:p w14:paraId="2AFE3C94"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50" w:type="dxa"/>
            <w:tcBorders>
              <w:top w:val="nil"/>
              <w:left w:val="nil"/>
              <w:bottom w:val="nil"/>
              <w:right w:val="nil"/>
            </w:tcBorders>
            <w:shd w:val="clear" w:color="auto" w:fill="auto"/>
            <w:noWrap/>
            <w:vAlign w:val="bottom"/>
            <w:hideMark/>
          </w:tcPr>
          <w:p w14:paraId="7666B5B5"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1 814</w:t>
            </w:r>
          </w:p>
        </w:tc>
        <w:tc>
          <w:tcPr>
            <w:tcW w:w="851" w:type="dxa"/>
            <w:tcBorders>
              <w:top w:val="nil"/>
              <w:left w:val="nil"/>
              <w:bottom w:val="nil"/>
              <w:right w:val="nil"/>
            </w:tcBorders>
            <w:shd w:val="clear" w:color="auto" w:fill="auto"/>
            <w:noWrap/>
            <w:vAlign w:val="bottom"/>
            <w:hideMark/>
          </w:tcPr>
          <w:p w14:paraId="5D55C694"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764</w:t>
            </w:r>
          </w:p>
        </w:tc>
        <w:tc>
          <w:tcPr>
            <w:tcW w:w="802" w:type="dxa"/>
            <w:tcBorders>
              <w:top w:val="nil"/>
              <w:left w:val="nil"/>
              <w:bottom w:val="nil"/>
              <w:right w:val="nil"/>
            </w:tcBorders>
            <w:shd w:val="clear" w:color="000000" w:fill="FFFFFF"/>
            <w:vAlign w:val="bottom"/>
            <w:hideMark/>
          </w:tcPr>
          <w:p w14:paraId="3EB0164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1 814</w:t>
            </w:r>
          </w:p>
        </w:tc>
        <w:tc>
          <w:tcPr>
            <w:tcW w:w="615" w:type="dxa"/>
            <w:tcBorders>
              <w:top w:val="nil"/>
              <w:left w:val="nil"/>
              <w:bottom w:val="nil"/>
              <w:right w:val="nil"/>
            </w:tcBorders>
            <w:shd w:val="clear" w:color="000000" w:fill="FFFFFF"/>
            <w:vAlign w:val="bottom"/>
            <w:hideMark/>
          </w:tcPr>
          <w:p w14:paraId="04535499"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6750C84C" w14:textId="77777777" w:rsidTr="00EB5625">
        <w:trPr>
          <w:trHeight w:val="289"/>
        </w:trPr>
        <w:tc>
          <w:tcPr>
            <w:tcW w:w="3840" w:type="dxa"/>
            <w:tcBorders>
              <w:top w:val="nil"/>
              <w:left w:val="nil"/>
              <w:bottom w:val="nil"/>
              <w:right w:val="nil"/>
            </w:tcBorders>
            <w:shd w:val="clear" w:color="000000" w:fill="FFFFFF"/>
            <w:vAlign w:val="bottom"/>
            <w:hideMark/>
          </w:tcPr>
          <w:p w14:paraId="5837B808"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Ministerstvo kultúry SR</w:t>
            </w:r>
          </w:p>
        </w:tc>
        <w:tc>
          <w:tcPr>
            <w:tcW w:w="940" w:type="dxa"/>
            <w:tcBorders>
              <w:top w:val="nil"/>
              <w:left w:val="nil"/>
              <w:bottom w:val="nil"/>
              <w:right w:val="nil"/>
            </w:tcBorders>
            <w:shd w:val="clear" w:color="auto" w:fill="auto"/>
            <w:noWrap/>
            <w:vAlign w:val="bottom"/>
            <w:hideMark/>
          </w:tcPr>
          <w:p w14:paraId="6C9BFC1F"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2 532</w:t>
            </w:r>
          </w:p>
        </w:tc>
        <w:tc>
          <w:tcPr>
            <w:tcW w:w="940" w:type="dxa"/>
            <w:tcBorders>
              <w:top w:val="nil"/>
              <w:left w:val="nil"/>
              <w:bottom w:val="nil"/>
              <w:right w:val="nil"/>
            </w:tcBorders>
            <w:shd w:val="clear" w:color="auto" w:fill="auto"/>
            <w:noWrap/>
            <w:vAlign w:val="bottom"/>
            <w:hideMark/>
          </w:tcPr>
          <w:p w14:paraId="37241CB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1 760</w:t>
            </w:r>
          </w:p>
        </w:tc>
        <w:tc>
          <w:tcPr>
            <w:tcW w:w="801" w:type="dxa"/>
            <w:tcBorders>
              <w:top w:val="nil"/>
              <w:left w:val="nil"/>
              <w:bottom w:val="nil"/>
              <w:right w:val="nil"/>
            </w:tcBorders>
            <w:shd w:val="clear" w:color="000000" w:fill="FFFFFF"/>
            <w:noWrap/>
            <w:vAlign w:val="bottom"/>
            <w:hideMark/>
          </w:tcPr>
          <w:p w14:paraId="7F6E37DF"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50" w:type="dxa"/>
            <w:tcBorders>
              <w:top w:val="nil"/>
              <w:left w:val="nil"/>
              <w:bottom w:val="nil"/>
              <w:right w:val="nil"/>
            </w:tcBorders>
            <w:shd w:val="clear" w:color="auto" w:fill="auto"/>
            <w:noWrap/>
            <w:vAlign w:val="bottom"/>
            <w:hideMark/>
          </w:tcPr>
          <w:p w14:paraId="42626A56"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1 686</w:t>
            </w:r>
          </w:p>
        </w:tc>
        <w:tc>
          <w:tcPr>
            <w:tcW w:w="851" w:type="dxa"/>
            <w:tcBorders>
              <w:top w:val="nil"/>
              <w:left w:val="nil"/>
              <w:bottom w:val="nil"/>
              <w:right w:val="nil"/>
            </w:tcBorders>
            <w:shd w:val="clear" w:color="auto" w:fill="auto"/>
            <w:noWrap/>
            <w:vAlign w:val="bottom"/>
            <w:hideMark/>
          </w:tcPr>
          <w:p w14:paraId="549636B0"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1 686</w:t>
            </w:r>
          </w:p>
        </w:tc>
        <w:tc>
          <w:tcPr>
            <w:tcW w:w="802" w:type="dxa"/>
            <w:tcBorders>
              <w:top w:val="nil"/>
              <w:left w:val="nil"/>
              <w:bottom w:val="nil"/>
              <w:right w:val="nil"/>
            </w:tcBorders>
            <w:shd w:val="clear" w:color="000000" w:fill="FFFFFF"/>
            <w:vAlign w:val="bottom"/>
            <w:hideMark/>
          </w:tcPr>
          <w:p w14:paraId="21BCE8CA"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1 686</w:t>
            </w:r>
          </w:p>
        </w:tc>
        <w:tc>
          <w:tcPr>
            <w:tcW w:w="615" w:type="dxa"/>
            <w:tcBorders>
              <w:top w:val="nil"/>
              <w:left w:val="nil"/>
              <w:bottom w:val="nil"/>
              <w:right w:val="nil"/>
            </w:tcBorders>
            <w:shd w:val="clear" w:color="000000" w:fill="FFFFFF"/>
            <w:vAlign w:val="bottom"/>
            <w:hideMark/>
          </w:tcPr>
          <w:p w14:paraId="673B419B"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41233322" w14:textId="77777777" w:rsidTr="00EB5625">
        <w:trPr>
          <w:trHeight w:val="289"/>
        </w:trPr>
        <w:tc>
          <w:tcPr>
            <w:tcW w:w="3840" w:type="dxa"/>
            <w:tcBorders>
              <w:top w:val="nil"/>
              <w:left w:val="nil"/>
              <w:bottom w:val="nil"/>
              <w:right w:val="nil"/>
            </w:tcBorders>
            <w:shd w:val="clear" w:color="000000" w:fill="FFFFFF"/>
            <w:vAlign w:val="bottom"/>
            <w:hideMark/>
          </w:tcPr>
          <w:p w14:paraId="21210884"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Ministerstvo hospodárstva SR</w:t>
            </w:r>
          </w:p>
        </w:tc>
        <w:tc>
          <w:tcPr>
            <w:tcW w:w="940" w:type="dxa"/>
            <w:tcBorders>
              <w:top w:val="nil"/>
              <w:left w:val="nil"/>
              <w:bottom w:val="nil"/>
              <w:right w:val="nil"/>
            </w:tcBorders>
            <w:shd w:val="clear" w:color="auto" w:fill="auto"/>
            <w:noWrap/>
            <w:vAlign w:val="bottom"/>
            <w:hideMark/>
          </w:tcPr>
          <w:p w14:paraId="0B5081EE"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4 524</w:t>
            </w:r>
          </w:p>
        </w:tc>
        <w:tc>
          <w:tcPr>
            <w:tcW w:w="940" w:type="dxa"/>
            <w:tcBorders>
              <w:top w:val="nil"/>
              <w:left w:val="nil"/>
              <w:bottom w:val="nil"/>
              <w:right w:val="nil"/>
            </w:tcBorders>
            <w:shd w:val="clear" w:color="auto" w:fill="auto"/>
            <w:noWrap/>
            <w:vAlign w:val="bottom"/>
            <w:hideMark/>
          </w:tcPr>
          <w:p w14:paraId="2A953000"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471</w:t>
            </w:r>
          </w:p>
        </w:tc>
        <w:tc>
          <w:tcPr>
            <w:tcW w:w="801" w:type="dxa"/>
            <w:tcBorders>
              <w:top w:val="nil"/>
              <w:left w:val="nil"/>
              <w:bottom w:val="nil"/>
              <w:right w:val="nil"/>
            </w:tcBorders>
            <w:shd w:val="clear" w:color="000000" w:fill="FFFFFF"/>
            <w:noWrap/>
            <w:vAlign w:val="bottom"/>
            <w:hideMark/>
          </w:tcPr>
          <w:p w14:paraId="385F2DBE"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50" w:type="dxa"/>
            <w:tcBorders>
              <w:top w:val="nil"/>
              <w:left w:val="nil"/>
              <w:bottom w:val="nil"/>
              <w:right w:val="nil"/>
            </w:tcBorders>
            <w:shd w:val="clear" w:color="auto" w:fill="auto"/>
            <w:noWrap/>
            <w:vAlign w:val="bottom"/>
            <w:hideMark/>
          </w:tcPr>
          <w:p w14:paraId="366A9F47"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839</w:t>
            </w:r>
          </w:p>
        </w:tc>
        <w:tc>
          <w:tcPr>
            <w:tcW w:w="851" w:type="dxa"/>
            <w:tcBorders>
              <w:top w:val="nil"/>
              <w:left w:val="nil"/>
              <w:bottom w:val="nil"/>
              <w:right w:val="nil"/>
            </w:tcBorders>
            <w:shd w:val="clear" w:color="auto" w:fill="auto"/>
            <w:noWrap/>
            <w:vAlign w:val="bottom"/>
            <w:hideMark/>
          </w:tcPr>
          <w:p w14:paraId="336D24AF"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c>
          <w:tcPr>
            <w:tcW w:w="802" w:type="dxa"/>
            <w:tcBorders>
              <w:top w:val="nil"/>
              <w:left w:val="nil"/>
              <w:bottom w:val="nil"/>
              <w:right w:val="nil"/>
            </w:tcBorders>
            <w:shd w:val="clear" w:color="000000" w:fill="FFFFFF"/>
            <w:vAlign w:val="bottom"/>
            <w:hideMark/>
          </w:tcPr>
          <w:p w14:paraId="7D2528C2"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839</w:t>
            </w:r>
          </w:p>
        </w:tc>
        <w:tc>
          <w:tcPr>
            <w:tcW w:w="615" w:type="dxa"/>
            <w:tcBorders>
              <w:top w:val="nil"/>
              <w:left w:val="nil"/>
              <w:bottom w:val="nil"/>
              <w:right w:val="nil"/>
            </w:tcBorders>
            <w:shd w:val="clear" w:color="000000" w:fill="FFFFFF"/>
            <w:vAlign w:val="bottom"/>
            <w:hideMark/>
          </w:tcPr>
          <w:p w14:paraId="15999CDB"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08398F52" w14:textId="77777777" w:rsidTr="00EB5625">
        <w:trPr>
          <w:trHeight w:val="289"/>
        </w:trPr>
        <w:tc>
          <w:tcPr>
            <w:tcW w:w="3840" w:type="dxa"/>
            <w:tcBorders>
              <w:top w:val="nil"/>
              <w:left w:val="nil"/>
              <w:bottom w:val="nil"/>
              <w:right w:val="nil"/>
            </w:tcBorders>
            <w:shd w:val="clear" w:color="000000" w:fill="FFFFFF"/>
            <w:noWrap/>
            <w:vAlign w:val="bottom"/>
            <w:hideMark/>
          </w:tcPr>
          <w:p w14:paraId="7E6D7451"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Úrad vlády SR</w:t>
            </w:r>
          </w:p>
        </w:tc>
        <w:tc>
          <w:tcPr>
            <w:tcW w:w="940" w:type="dxa"/>
            <w:tcBorders>
              <w:top w:val="nil"/>
              <w:left w:val="nil"/>
              <w:bottom w:val="nil"/>
              <w:right w:val="nil"/>
            </w:tcBorders>
            <w:shd w:val="clear" w:color="auto" w:fill="auto"/>
            <w:noWrap/>
            <w:vAlign w:val="bottom"/>
            <w:hideMark/>
          </w:tcPr>
          <w:p w14:paraId="481446E1"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558</w:t>
            </w:r>
          </w:p>
        </w:tc>
        <w:tc>
          <w:tcPr>
            <w:tcW w:w="940" w:type="dxa"/>
            <w:tcBorders>
              <w:top w:val="nil"/>
              <w:left w:val="nil"/>
              <w:bottom w:val="nil"/>
              <w:right w:val="nil"/>
            </w:tcBorders>
            <w:shd w:val="clear" w:color="auto" w:fill="auto"/>
            <w:noWrap/>
            <w:vAlign w:val="bottom"/>
            <w:hideMark/>
          </w:tcPr>
          <w:p w14:paraId="4CEFFE87"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764</w:t>
            </w:r>
          </w:p>
        </w:tc>
        <w:tc>
          <w:tcPr>
            <w:tcW w:w="801" w:type="dxa"/>
            <w:tcBorders>
              <w:top w:val="nil"/>
              <w:left w:val="nil"/>
              <w:bottom w:val="nil"/>
              <w:right w:val="nil"/>
            </w:tcBorders>
            <w:shd w:val="clear" w:color="000000" w:fill="FFFFFF"/>
            <w:noWrap/>
            <w:vAlign w:val="bottom"/>
            <w:hideMark/>
          </w:tcPr>
          <w:p w14:paraId="2E046440"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200</w:t>
            </w:r>
          </w:p>
        </w:tc>
        <w:tc>
          <w:tcPr>
            <w:tcW w:w="850" w:type="dxa"/>
            <w:tcBorders>
              <w:top w:val="nil"/>
              <w:left w:val="nil"/>
              <w:bottom w:val="nil"/>
              <w:right w:val="nil"/>
            </w:tcBorders>
            <w:shd w:val="clear" w:color="auto" w:fill="auto"/>
            <w:noWrap/>
            <w:vAlign w:val="bottom"/>
            <w:hideMark/>
          </w:tcPr>
          <w:p w14:paraId="7986B19B"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264</w:t>
            </w:r>
          </w:p>
        </w:tc>
        <w:tc>
          <w:tcPr>
            <w:tcW w:w="851" w:type="dxa"/>
            <w:tcBorders>
              <w:top w:val="nil"/>
              <w:left w:val="nil"/>
              <w:bottom w:val="nil"/>
              <w:right w:val="nil"/>
            </w:tcBorders>
            <w:shd w:val="clear" w:color="auto" w:fill="auto"/>
            <w:noWrap/>
            <w:vAlign w:val="bottom"/>
            <w:hideMark/>
          </w:tcPr>
          <w:p w14:paraId="3F5876A7"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0</w:t>
            </w:r>
          </w:p>
        </w:tc>
        <w:tc>
          <w:tcPr>
            <w:tcW w:w="802" w:type="dxa"/>
            <w:tcBorders>
              <w:top w:val="nil"/>
              <w:left w:val="nil"/>
              <w:bottom w:val="nil"/>
              <w:right w:val="nil"/>
            </w:tcBorders>
            <w:shd w:val="clear" w:color="000000" w:fill="FFFFFF"/>
            <w:vAlign w:val="bottom"/>
            <w:hideMark/>
          </w:tcPr>
          <w:p w14:paraId="3FCCBB83"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64</w:t>
            </w:r>
          </w:p>
        </w:tc>
        <w:tc>
          <w:tcPr>
            <w:tcW w:w="615" w:type="dxa"/>
            <w:tcBorders>
              <w:top w:val="nil"/>
              <w:left w:val="nil"/>
              <w:bottom w:val="nil"/>
              <w:right w:val="nil"/>
            </w:tcBorders>
            <w:shd w:val="clear" w:color="000000" w:fill="FFFFFF"/>
            <w:vAlign w:val="bottom"/>
            <w:hideMark/>
          </w:tcPr>
          <w:p w14:paraId="2C425813"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64B6E4B0" w14:textId="77777777" w:rsidTr="00EB5625">
        <w:trPr>
          <w:trHeight w:val="289"/>
        </w:trPr>
        <w:tc>
          <w:tcPr>
            <w:tcW w:w="3840" w:type="dxa"/>
            <w:tcBorders>
              <w:top w:val="nil"/>
              <w:left w:val="nil"/>
              <w:bottom w:val="nil"/>
              <w:right w:val="nil"/>
            </w:tcBorders>
            <w:shd w:val="clear" w:color="000000" w:fill="FFFFFF"/>
            <w:noWrap/>
            <w:vAlign w:val="bottom"/>
            <w:hideMark/>
          </w:tcPr>
          <w:p w14:paraId="233BFC08" w14:textId="77777777" w:rsidR="0045778F" w:rsidRPr="008C66D7" w:rsidRDefault="0045778F" w:rsidP="00391C90">
            <w:pPr>
              <w:spacing w:after="0" w:line="240" w:lineRule="auto"/>
              <w:rPr>
                <w:rFonts w:eastAsia="Times New Roman" w:cs="Times New Roman"/>
                <w:color w:val="000000"/>
                <w:sz w:val="18"/>
                <w:szCs w:val="18"/>
                <w:lang w:eastAsia="sk-SK"/>
              </w:rPr>
            </w:pPr>
            <w:r w:rsidRPr="008C66D7">
              <w:rPr>
                <w:rFonts w:eastAsia="Times New Roman" w:cs="Times New Roman"/>
                <w:color w:val="000000"/>
                <w:sz w:val="18"/>
                <w:szCs w:val="18"/>
                <w:lang w:eastAsia="sk-SK"/>
              </w:rPr>
              <w:t>Ministerstvo financií SR</w:t>
            </w:r>
          </w:p>
        </w:tc>
        <w:tc>
          <w:tcPr>
            <w:tcW w:w="940" w:type="dxa"/>
            <w:tcBorders>
              <w:top w:val="nil"/>
              <w:left w:val="nil"/>
              <w:bottom w:val="nil"/>
              <w:right w:val="nil"/>
            </w:tcBorders>
            <w:shd w:val="clear" w:color="auto" w:fill="auto"/>
            <w:noWrap/>
            <w:vAlign w:val="bottom"/>
            <w:hideMark/>
          </w:tcPr>
          <w:p w14:paraId="4F407E12"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144</w:t>
            </w:r>
          </w:p>
        </w:tc>
        <w:tc>
          <w:tcPr>
            <w:tcW w:w="940" w:type="dxa"/>
            <w:tcBorders>
              <w:top w:val="nil"/>
              <w:left w:val="nil"/>
              <w:bottom w:val="nil"/>
              <w:right w:val="nil"/>
            </w:tcBorders>
            <w:shd w:val="clear" w:color="auto" w:fill="auto"/>
            <w:noWrap/>
            <w:vAlign w:val="bottom"/>
            <w:hideMark/>
          </w:tcPr>
          <w:p w14:paraId="78315718"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c>
          <w:tcPr>
            <w:tcW w:w="801" w:type="dxa"/>
            <w:tcBorders>
              <w:top w:val="nil"/>
              <w:left w:val="nil"/>
              <w:bottom w:val="nil"/>
              <w:right w:val="nil"/>
            </w:tcBorders>
            <w:shd w:val="clear" w:color="000000" w:fill="FFFFFF"/>
            <w:noWrap/>
            <w:vAlign w:val="bottom"/>
            <w:hideMark/>
          </w:tcPr>
          <w:p w14:paraId="17E73CC4"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c>
          <w:tcPr>
            <w:tcW w:w="850" w:type="dxa"/>
            <w:tcBorders>
              <w:top w:val="nil"/>
              <w:left w:val="nil"/>
              <w:bottom w:val="nil"/>
              <w:right w:val="nil"/>
            </w:tcBorders>
            <w:shd w:val="clear" w:color="auto" w:fill="auto"/>
            <w:noWrap/>
            <w:vAlign w:val="bottom"/>
            <w:hideMark/>
          </w:tcPr>
          <w:p w14:paraId="1D12E739"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c>
          <w:tcPr>
            <w:tcW w:w="851" w:type="dxa"/>
            <w:tcBorders>
              <w:top w:val="nil"/>
              <w:left w:val="nil"/>
              <w:bottom w:val="nil"/>
              <w:right w:val="nil"/>
            </w:tcBorders>
            <w:shd w:val="clear" w:color="auto" w:fill="auto"/>
            <w:noWrap/>
            <w:vAlign w:val="bottom"/>
            <w:hideMark/>
          </w:tcPr>
          <w:p w14:paraId="793D3C23"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c>
          <w:tcPr>
            <w:tcW w:w="802" w:type="dxa"/>
            <w:tcBorders>
              <w:top w:val="nil"/>
              <w:left w:val="nil"/>
              <w:bottom w:val="nil"/>
              <w:right w:val="nil"/>
            </w:tcBorders>
            <w:shd w:val="clear" w:color="000000" w:fill="FFFFFF"/>
            <w:vAlign w:val="bottom"/>
            <w:hideMark/>
          </w:tcPr>
          <w:p w14:paraId="3D390107"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c>
          <w:tcPr>
            <w:tcW w:w="615" w:type="dxa"/>
            <w:tcBorders>
              <w:top w:val="nil"/>
              <w:left w:val="nil"/>
              <w:bottom w:val="nil"/>
              <w:right w:val="nil"/>
            </w:tcBorders>
            <w:shd w:val="clear" w:color="000000" w:fill="FFFFFF"/>
            <w:vAlign w:val="bottom"/>
            <w:hideMark/>
          </w:tcPr>
          <w:p w14:paraId="4EE93C30" w14:textId="77777777" w:rsidR="0045778F" w:rsidRPr="008C66D7" w:rsidRDefault="0045778F" w:rsidP="00391C90">
            <w:pPr>
              <w:spacing w:after="0" w:line="240" w:lineRule="auto"/>
              <w:jc w:val="right"/>
              <w:rPr>
                <w:rFonts w:eastAsia="Times New Roman" w:cs="Times New Roman"/>
                <w:color w:val="000000"/>
                <w:sz w:val="18"/>
                <w:szCs w:val="18"/>
                <w:lang w:eastAsia="sk-SK"/>
              </w:rPr>
            </w:pPr>
            <w:r w:rsidRPr="008C66D7">
              <w:rPr>
                <w:rFonts w:eastAsia="Times New Roman" w:cs="Times New Roman"/>
                <w:color w:val="000000"/>
                <w:sz w:val="18"/>
                <w:szCs w:val="18"/>
                <w:lang w:eastAsia="sk-SK"/>
              </w:rPr>
              <w:t>x</w:t>
            </w:r>
          </w:p>
        </w:tc>
      </w:tr>
      <w:tr w:rsidR="0045778F" w:rsidRPr="008C66D7" w14:paraId="7516D9B9" w14:textId="77777777" w:rsidTr="00EB5625">
        <w:trPr>
          <w:trHeight w:val="289"/>
        </w:trPr>
        <w:tc>
          <w:tcPr>
            <w:tcW w:w="3840" w:type="dxa"/>
            <w:tcBorders>
              <w:top w:val="single" w:sz="4" w:space="0" w:color="auto"/>
              <w:left w:val="nil"/>
              <w:bottom w:val="single" w:sz="8" w:space="0" w:color="auto"/>
              <w:right w:val="nil"/>
            </w:tcBorders>
            <w:shd w:val="clear" w:color="000000" w:fill="FFFFFF"/>
            <w:noWrap/>
            <w:vAlign w:val="bottom"/>
            <w:hideMark/>
          </w:tcPr>
          <w:p w14:paraId="57701950" w14:textId="77777777" w:rsidR="0045778F" w:rsidRPr="008C66D7" w:rsidRDefault="0045778F" w:rsidP="00391C90">
            <w:pPr>
              <w:spacing w:after="0" w:line="240" w:lineRule="auto"/>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Spolu</w:t>
            </w:r>
          </w:p>
        </w:tc>
        <w:tc>
          <w:tcPr>
            <w:tcW w:w="940" w:type="dxa"/>
            <w:tcBorders>
              <w:top w:val="single" w:sz="4" w:space="0" w:color="auto"/>
              <w:left w:val="nil"/>
              <w:bottom w:val="single" w:sz="8" w:space="0" w:color="auto"/>
              <w:right w:val="nil"/>
            </w:tcBorders>
            <w:shd w:val="clear" w:color="000000" w:fill="FFFFFF"/>
            <w:noWrap/>
            <w:vAlign w:val="bottom"/>
            <w:hideMark/>
          </w:tcPr>
          <w:p w14:paraId="0288090D" w14:textId="77777777" w:rsidR="0045778F" w:rsidRPr="008C66D7" w:rsidRDefault="0045778F" w:rsidP="00391C90">
            <w:pPr>
              <w:spacing w:after="0" w:line="240" w:lineRule="auto"/>
              <w:jc w:val="right"/>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284 382</w:t>
            </w:r>
          </w:p>
        </w:tc>
        <w:tc>
          <w:tcPr>
            <w:tcW w:w="940" w:type="dxa"/>
            <w:tcBorders>
              <w:top w:val="single" w:sz="4" w:space="0" w:color="auto"/>
              <w:left w:val="nil"/>
              <w:bottom w:val="single" w:sz="8" w:space="0" w:color="auto"/>
              <w:right w:val="nil"/>
            </w:tcBorders>
            <w:shd w:val="clear" w:color="000000" w:fill="FFFFFF"/>
            <w:noWrap/>
            <w:vAlign w:val="bottom"/>
            <w:hideMark/>
          </w:tcPr>
          <w:p w14:paraId="37CFFC48" w14:textId="77777777" w:rsidR="0045778F" w:rsidRPr="008C66D7" w:rsidRDefault="0045778F" w:rsidP="00391C90">
            <w:pPr>
              <w:spacing w:after="0" w:line="240" w:lineRule="auto"/>
              <w:jc w:val="right"/>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122 616</w:t>
            </w:r>
          </w:p>
        </w:tc>
        <w:tc>
          <w:tcPr>
            <w:tcW w:w="801" w:type="dxa"/>
            <w:tcBorders>
              <w:top w:val="single" w:sz="4" w:space="0" w:color="auto"/>
              <w:left w:val="nil"/>
              <w:bottom w:val="single" w:sz="8" w:space="0" w:color="auto"/>
              <w:right w:val="nil"/>
            </w:tcBorders>
            <w:shd w:val="clear" w:color="000000" w:fill="FFFFFF"/>
            <w:noWrap/>
            <w:vAlign w:val="bottom"/>
            <w:hideMark/>
          </w:tcPr>
          <w:p w14:paraId="410E37B7" w14:textId="77777777" w:rsidR="0045778F" w:rsidRPr="008C66D7" w:rsidRDefault="0045778F" w:rsidP="00391C90">
            <w:pPr>
              <w:spacing w:after="0" w:line="240" w:lineRule="auto"/>
              <w:jc w:val="right"/>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192 500</w:t>
            </w:r>
          </w:p>
        </w:tc>
        <w:tc>
          <w:tcPr>
            <w:tcW w:w="850" w:type="dxa"/>
            <w:tcBorders>
              <w:top w:val="single" w:sz="4" w:space="0" w:color="auto"/>
              <w:left w:val="nil"/>
              <w:bottom w:val="single" w:sz="8" w:space="0" w:color="auto"/>
              <w:right w:val="nil"/>
            </w:tcBorders>
            <w:shd w:val="clear" w:color="auto" w:fill="auto"/>
            <w:noWrap/>
            <w:vAlign w:val="bottom"/>
            <w:hideMark/>
          </w:tcPr>
          <w:p w14:paraId="597C44FD" w14:textId="77777777" w:rsidR="0045778F" w:rsidRPr="008C66D7" w:rsidRDefault="0045778F" w:rsidP="00391C90">
            <w:pPr>
              <w:spacing w:after="0" w:line="240" w:lineRule="auto"/>
              <w:jc w:val="right"/>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216 793</w:t>
            </w:r>
          </w:p>
        </w:tc>
        <w:tc>
          <w:tcPr>
            <w:tcW w:w="851" w:type="dxa"/>
            <w:tcBorders>
              <w:top w:val="single" w:sz="4" w:space="0" w:color="auto"/>
              <w:left w:val="nil"/>
              <w:bottom w:val="single" w:sz="8" w:space="0" w:color="auto"/>
              <w:right w:val="nil"/>
            </w:tcBorders>
            <w:shd w:val="clear" w:color="auto" w:fill="auto"/>
            <w:noWrap/>
            <w:vAlign w:val="bottom"/>
            <w:hideMark/>
          </w:tcPr>
          <w:p w14:paraId="0F6F9221" w14:textId="77777777" w:rsidR="0045778F" w:rsidRPr="008C66D7" w:rsidRDefault="0045778F" w:rsidP="00391C90">
            <w:pPr>
              <w:spacing w:after="0" w:line="240" w:lineRule="auto"/>
              <w:jc w:val="right"/>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12 641</w:t>
            </w:r>
          </w:p>
        </w:tc>
        <w:tc>
          <w:tcPr>
            <w:tcW w:w="802" w:type="dxa"/>
            <w:tcBorders>
              <w:top w:val="single" w:sz="4" w:space="0" w:color="auto"/>
              <w:left w:val="nil"/>
              <w:bottom w:val="single" w:sz="8" w:space="0" w:color="auto"/>
              <w:right w:val="nil"/>
            </w:tcBorders>
            <w:shd w:val="clear" w:color="000000" w:fill="FFFFFF"/>
            <w:noWrap/>
            <w:vAlign w:val="bottom"/>
            <w:hideMark/>
          </w:tcPr>
          <w:p w14:paraId="4645A4E6" w14:textId="77777777" w:rsidR="0045778F" w:rsidRPr="008C66D7" w:rsidRDefault="0045778F" w:rsidP="00391C90">
            <w:pPr>
              <w:spacing w:after="0" w:line="240" w:lineRule="auto"/>
              <w:jc w:val="right"/>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24 293</w:t>
            </w:r>
          </w:p>
        </w:tc>
        <w:tc>
          <w:tcPr>
            <w:tcW w:w="615" w:type="dxa"/>
            <w:tcBorders>
              <w:top w:val="single" w:sz="4" w:space="0" w:color="auto"/>
              <w:left w:val="nil"/>
              <w:bottom w:val="single" w:sz="8" w:space="0" w:color="auto"/>
              <w:right w:val="nil"/>
            </w:tcBorders>
            <w:shd w:val="clear" w:color="000000" w:fill="FFFFFF"/>
            <w:noWrap/>
            <w:vAlign w:val="bottom"/>
            <w:hideMark/>
          </w:tcPr>
          <w:p w14:paraId="78D3EC22" w14:textId="77777777" w:rsidR="0045778F" w:rsidRPr="008C66D7" w:rsidRDefault="0045778F" w:rsidP="00391C90">
            <w:pPr>
              <w:spacing w:after="0" w:line="240" w:lineRule="auto"/>
              <w:jc w:val="right"/>
              <w:rPr>
                <w:rFonts w:eastAsia="Times New Roman" w:cs="Times New Roman"/>
                <w:b/>
                <w:bCs/>
                <w:color w:val="000000"/>
                <w:sz w:val="18"/>
                <w:szCs w:val="18"/>
                <w:lang w:eastAsia="sk-SK"/>
              </w:rPr>
            </w:pPr>
            <w:r w:rsidRPr="008C66D7">
              <w:rPr>
                <w:rFonts w:eastAsia="Times New Roman" w:cs="Times New Roman"/>
                <w:b/>
                <w:bCs/>
                <w:color w:val="000000"/>
                <w:sz w:val="18"/>
                <w:szCs w:val="18"/>
                <w:lang w:eastAsia="sk-SK"/>
              </w:rPr>
              <w:t>12,6</w:t>
            </w:r>
          </w:p>
        </w:tc>
      </w:tr>
    </w:tbl>
    <w:p w14:paraId="08AB7457" w14:textId="77777777" w:rsidR="0045778F" w:rsidRDefault="0045778F" w:rsidP="0045778F">
      <w:pPr>
        <w:suppressAutoHyphens/>
        <w:spacing w:line="240" w:lineRule="auto"/>
        <w:rPr>
          <w:sz w:val="18"/>
          <w:szCs w:val="18"/>
        </w:rPr>
      </w:pPr>
      <w:r w:rsidRPr="0011234F">
        <w:rPr>
          <w:sz w:val="18"/>
          <w:szCs w:val="18"/>
        </w:rPr>
        <w:t xml:space="preserve">Poznámka: * len prostriedky štátneho rozpočtu </w:t>
      </w:r>
      <w:r w:rsidRPr="0011234F">
        <w:rPr>
          <w:sz w:val="18"/>
          <w:szCs w:val="18"/>
        </w:rPr>
        <w:tab/>
      </w:r>
      <w:r w:rsidRPr="0011234F">
        <w:rPr>
          <w:sz w:val="18"/>
          <w:szCs w:val="18"/>
        </w:rPr>
        <w:tab/>
      </w:r>
      <w:r w:rsidRPr="0011234F">
        <w:rPr>
          <w:sz w:val="18"/>
          <w:szCs w:val="18"/>
        </w:rPr>
        <w:tab/>
      </w:r>
      <w:r w:rsidRPr="0011234F">
        <w:rPr>
          <w:sz w:val="18"/>
          <w:szCs w:val="18"/>
        </w:rPr>
        <w:tab/>
      </w:r>
      <w:r w:rsidRPr="0011234F">
        <w:rPr>
          <w:sz w:val="18"/>
          <w:szCs w:val="18"/>
        </w:rPr>
        <w:tab/>
      </w:r>
      <w:r w:rsidRPr="0011234F">
        <w:rPr>
          <w:sz w:val="18"/>
          <w:szCs w:val="18"/>
        </w:rPr>
        <w:tab/>
      </w:r>
      <w:r>
        <w:rPr>
          <w:sz w:val="18"/>
          <w:szCs w:val="18"/>
        </w:rPr>
        <w:t xml:space="preserve">                     </w:t>
      </w:r>
      <w:r w:rsidRPr="0011234F">
        <w:rPr>
          <w:sz w:val="18"/>
          <w:szCs w:val="18"/>
        </w:rPr>
        <w:t>Zdroj: MF SR</w:t>
      </w:r>
    </w:p>
    <w:p w14:paraId="349AD0E6" w14:textId="77777777" w:rsidR="0045778F" w:rsidRDefault="0045778F" w:rsidP="0045778F">
      <w:pPr>
        <w:spacing w:line="240" w:lineRule="auto"/>
        <w:rPr>
          <w:rFonts w:cs="Times New Roman"/>
          <w:color w:val="000000" w:themeColor="text1"/>
          <w:sz w:val="24"/>
          <w:szCs w:val="24"/>
        </w:rPr>
      </w:pPr>
      <w:r w:rsidRPr="00003119">
        <w:rPr>
          <w:rFonts w:cs="Times New Roman"/>
          <w:color w:val="000000" w:themeColor="text1"/>
          <w:sz w:val="24"/>
          <w:szCs w:val="24"/>
        </w:rPr>
        <w:t xml:space="preserve">Na celkovom objeme poskytnutých transferov obciam sa najväčšou sumou podieľalo </w:t>
      </w:r>
      <w:r w:rsidRPr="00003119">
        <w:rPr>
          <w:rFonts w:eastAsia="Times New Roman" w:cs="Times New Roman"/>
          <w:color w:val="000000" w:themeColor="text1"/>
          <w:sz w:val="24"/>
          <w:szCs w:val="24"/>
          <w:u w:val="single"/>
          <w:lang w:eastAsia="sk-SK"/>
        </w:rPr>
        <w:t>Ministerstvo školstva, vedy, výskumu a športu SR</w:t>
      </w:r>
      <w:r w:rsidRPr="008C66D7">
        <w:rPr>
          <w:rFonts w:eastAsia="Times New Roman" w:cs="Times New Roman"/>
          <w:color w:val="FF0000"/>
          <w:sz w:val="24"/>
          <w:szCs w:val="24"/>
          <w:lang w:eastAsia="sk-SK"/>
        </w:rPr>
        <w:t xml:space="preserve"> </w:t>
      </w:r>
      <w:r w:rsidRPr="00CF0534">
        <w:rPr>
          <w:rFonts w:eastAsia="Times New Roman" w:cs="Times New Roman"/>
          <w:color w:val="000000" w:themeColor="text1"/>
          <w:sz w:val="24"/>
          <w:szCs w:val="24"/>
          <w:lang w:eastAsia="sk-SK"/>
        </w:rPr>
        <w:t>a to 1 245 324 tis. eur.</w:t>
      </w:r>
      <w:r>
        <w:rPr>
          <w:rFonts w:eastAsia="Times New Roman" w:cs="Times New Roman"/>
          <w:color w:val="FF0000"/>
          <w:sz w:val="24"/>
          <w:szCs w:val="24"/>
          <w:lang w:eastAsia="sk-SK"/>
        </w:rPr>
        <w:t xml:space="preserve"> </w:t>
      </w:r>
      <w:r w:rsidRPr="00E20BF7">
        <w:rPr>
          <w:rFonts w:eastAsia="Times New Roman" w:cs="Times New Roman"/>
          <w:color w:val="000000" w:themeColor="text1"/>
          <w:sz w:val="24"/>
          <w:szCs w:val="24"/>
          <w:lang w:eastAsia="sk-SK"/>
        </w:rPr>
        <w:t xml:space="preserve">Z nich 1 235 831 tis. eur boli bežné transfery na úhradu nákladov preneseného výkonu štátnej správy. </w:t>
      </w:r>
      <w:r w:rsidRPr="001F058A">
        <w:rPr>
          <w:rFonts w:cs="Times New Roman"/>
          <w:color w:val="000000" w:themeColor="text1"/>
          <w:sz w:val="24"/>
          <w:szCs w:val="24"/>
        </w:rPr>
        <w:t xml:space="preserve">Suma 1 232 043 tis. eur bola poskytnutá obciam pre školy a školské zariadenia v ich zriaďovateľskej pôsobnosti v zmysle § 3 ods. 5 zákona č. 597/2003 Z. z. o financovaní základných škôl, stredných škôl a školských zariadení na normatívne a nenormatívne výdavky. Okrem výdavkov zo štátneho rozpočtu s kódom zdroja 111 v uvedenej sume sú zahrnuté aj výdavky s kódom zdroja 11UA určené na financovanie opatrení prijatých </w:t>
      </w:r>
      <w:r>
        <w:rPr>
          <w:rFonts w:cs="Times New Roman"/>
          <w:color w:val="000000" w:themeColor="text1"/>
          <w:sz w:val="24"/>
          <w:szCs w:val="24"/>
        </w:rPr>
        <w:t>v</w:t>
      </w:r>
      <w:r w:rsidRPr="001F058A">
        <w:rPr>
          <w:rFonts w:cs="Times New Roman"/>
          <w:color w:val="000000" w:themeColor="text1"/>
          <w:sz w:val="24"/>
          <w:szCs w:val="24"/>
        </w:rPr>
        <w:t xml:space="preserve"> </w:t>
      </w:r>
      <w:r>
        <w:rPr>
          <w:rFonts w:cs="Times New Roman"/>
          <w:color w:val="000000" w:themeColor="text1"/>
          <w:sz w:val="24"/>
          <w:szCs w:val="24"/>
        </w:rPr>
        <w:t>súvislosti so </w:t>
      </w:r>
      <w:r w:rsidRPr="001F058A">
        <w:rPr>
          <w:rFonts w:cs="Times New Roman"/>
          <w:color w:val="000000" w:themeColor="text1"/>
          <w:sz w:val="24"/>
          <w:szCs w:val="24"/>
        </w:rPr>
        <w:t>vzniknutou situáciou spôsobenou ozbrojeným konfliktom na Ukrajine a zameraných na odstránenie jej negatívnych dôsledkov, ako i výdavky čerpané z Plánu obnovy a odolnosti.</w:t>
      </w:r>
      <w:r>
        <w:rPr>
          <w:rFonts w:eastAsia="Times New Roman" w:cs="Times New Roman"/>
          <w:color w:val="000000" w:themeColor="text1"/>
          <w:sz w:val="24"/>
          <w:szCs w:val="24"/>
          <w:lang w:eastAsia="sk-SK"/>
        </w:rPr>
        <w:t xml:space="preserve"> </w:t>
      </w:r>
      <w:r w:rsidRPr="001F6667">
        <w:rPr>
          <w:rFonts w:cs="Times New Roman"/>
          <w:color w:val="000000" w:themeColor="text1"/>
          <w:sz w:val="24"/>
          <w:szCs w:val="24"/>
        </w:rPr>
        <w:t>Ďalšia čiastka 3 788 tis. eur sa poskytla obciam na financovanie školských úradov v zriaďovateľskej pôsobnosti obcí  v zmysle § 6 ods. 6  zákona   č. 596/2003 Z. z.  o štátnej správe v školstve a školskej samospráve.</w:t>
      </w:r>
      <w:r>
        <w:rPr>
          <w:rFonts w:cs="Times New Roman"/>
          <w:color w:val="000000" w:themeColor="text1"/>
          <w:sz w:val="24"/>
          <w:szCs w:val="24"/>
        </w:rPr>
        <w:t xml:space="preserve"> </w:t>
      </w:r>
    </w:p>
    <w:p w14:paraId="324CD03C" w14:textId="0C3EBD5A" w:rsidR="0045778F" w:rsidRDefault="0045778F" w:rsidP="0045778F">
      <w:pPr>
        <w:spacing w:line="240" w:lineRule="auto"/>
        <w:rPr>
          <w:rFonts w:cs="Times New Roman"/>
          <w:color w:val="000000" w:themeColor="text1"/>
          <w:sz w:val="24"/>
          <w:szCs w:val="24"/>
        </w:rPr>
      </w:pPr>
      <w:r>
        <w:rPr>
          <w:rFonts w:cs="Times New Roman"/>
          <w:color w:val="000000" w:themeColor="text1"/>
          <w:sz w:val="24"/>
          <w:szCs w:val="24"/>
        </w:rPr>
        <w:t xml:space="preserve">Transfery obci okrem transferu na úhradu nákladov preneseného výkonu štátnej správy boli vynaložené v celkovej sume 3 246 tis. eur. Z toho 2 655 tis. eur za prostriedky EÚ a spolufinancovanie obciam a základným školám v rámci Operatívneho programu Ľudské zdroje, kde prijímatelia čerpali príspevok z výziev: V základnej škole úspešnejší, V základnej škole úspešnejší II a Čitateľská, matematická a prírodovedná gramotnosť v základnej škole. Sumu 288 tis. eur tvorili poskytnuté dotácie pre mestá Rožňava, Stupava, Prešov a Žilina v rámci </w:t>
      </w:r>
      <w:r>
        <w:rPr>
          <w:rFonts w:cs="Times New Roman"/>
          <w:color w:val="000000" w:themeColor="text1"/>
          <w:sz w:val="24"/>
          <w:szCs w:val="24"/>
        </w:rPr>
        <w:lastRenderedPageBreak/>
        <w:t>modernizácie a rekonštrukcie tried a školských priestorov. Z finančných prostriedkov Plánu obnovy a odolnosti sa poskytla suma 278 tis. eur pre region</w:t>
      </w:r>
      <w:r w:rsidR="00F05C85">
        <w:rPr>
          <w:rFonts w:cs="Times New Roman"/>
          <w:color w:val="000000" w:themeColor="text1"/>
          <w:sz w:val="24"/>
          <w:szCs w:val="24"/>
        </w:rPr>
        <w:t>álne centrá podpory učiteľov na </w:t>
      </w:r>
      <w:r>
        <w:rPr>
          <w:rFonts w:cs="Times New Roman"/>
          <w:color w:val="000000" w:themeColor="text1"/>
          <w:sz w:val="24"/>
          <w:szCs w:val="24"/>
        </w:rPr>
        <w:t>projekt Učitelia pre 21. storočie.</w:t>
      </w:r>
    </w:p>
    <w:p w14:paraId="47DD6EFB" w14:textId="77777777" w:rsidR="0045778F" w:rsidRPr="001F6667" w:rsidRDefault="0045778F" w:rsidP="0045778F">
      <w:pPr>
        <w:spacing w:line="240" w:lineRule="auto"/>
        <w:rPr>
          <w:rFonts w:eastAsia="Times New Roman" w:cs="Times New Roman"/>
          <w:color w:val="000000" w:themeColor="text1"/>
          <w:sz w:val="24"/>
          <w:szCs w:val="24"/>
          <w:lang w:eastAsia="sk-SK"/>
        </w:rPr>
      </w:pPr>
      <w:r>
        <w:rPr>
          <w:rFonts w:cs="Times New Roman"/>
          <w:color w:val="000000" w:themeColor="text1"/>
          <w:sz w:val="24"/>
          <w:szCs w:val="24"/>
        </w:rPr>
        <w:t xml:space="preserve">Na kapitálové výdavky vynaložila kapitola celkovú sumu 6 247 tis. eur a tieto boli použité najmä na odstránenie havarijných situácií na školách a na dobudovanie kapacít materských škôl. Pôvodne schválené výdavky v objeme 192 300 tis. eur určené najmä odstránenie dvojzmennej prevádzky na školách, dobudovanie chýbajúcich kapacít materských škôl, dobudovanie knižníc, </w:t>
      </w:r>
      <w:proofErr w:type="spellStart"/>
      <w:r>
        <w:rPr>
          <w:rFonts w:cs="Times New Roman"/>
          <w:color w:val="000000" w:themeColor="text1"/>
          <w:sz w:val="24"/>
          <w:szCs w:val="24"/>
        </w:rPr>
        <w:t>debarierizáciu</w:t>
      </w:r>
      <w:proofErr w:type="spellEnd"/>
      <w:r>
        <w:rPr>
          <w:rFonts w:cs="Times New Roman"/>
          <w:color w:val="000000" w:themeColor="text1"/>
          <w:sz w:val="24"/>
          <w:szCs w:val="24"/>
        </w:rPr>
        <w:t xml:space="preserve"> väčších stredných škôl, boli úpravou rozpočtu znížené na sumu 6 250 tis. eur a ostatné prostriedky boli viazané a prenesené do roku 2023.</w:t>
      </w:r>
    </w:p>
    <w:p w14:paraId="14F75D37" w14:textId="77777777" w:rsidR="0045778F" w:rsidRPr="008C66D7" w:rsidRDefault="0045778F" w:rsidP="0045778F">
      <w:pPr>
        <w:spacing w:before="120" w:line="240" w:lineRule="auto"/>
        <w:rPr>
          <w:rFonts w:cs="Times New Roman"/>
          <w:color w:val="FF0000"/>
          <w:sz w:val="24"/>
          <w:szCs w:val="24"/>
        </w:rPr>
      </w:pPr>
      <w:r w:rsidRPr="008C66D7">
        <w:rPr>
          <w:rFonts w:cs="Times New Roman"/>
          <w:color w:val="000000" w:themeColor="text1"/>
          <w:sz w:val="24"/>
          <w:szCs w:val="24"/>
          <w:u w:val="single"/>
        </w:rPr>
        <w:t>Ministerstvo vnútra SR</w:t>
      </w:r>
      <w:r w:rsidRPr="008C66D7">
        <w:rPr>
          <w:rFonts w:cs="Times New Roman"/>
          <w:b/>
          <w:color w:val="000000" w:themeColor="text1"/>
          <w:sz w:val="24"/>
          <w:szCs w:val="24"/>
        </w:rPr>
        <w:t xml:space="preserve"> </w:t>
      </w:r>
      <w:r w:rsidRPr="008C66D7">
        <w:rPr>
          <w:rFonts w:cs="Times New Roman"/>
          <w:color w:val="000000" w:themeColor="text1"/>
          <w:sz w:val="24"/>
          <w:szCs w:val="24"/>
        </w:rPr>
        <w:t>vynaložilo na transfery obciam sumu 120 553 tis. eur, čo je oproti schválenému rozpočtu viac až o 97 933 tis. eur. Z celkovej sumy 76 494 tis. eur na bežné výdavky obci okrem transferu na úhradu preneseného výkonu štátnej správy bolo vynaložených 47 662 tis. eur na úhradu nákladov súvisiacich s ubytovaním odídencov a sumu 5 139 tis. eur tvorili výdavky súvisiace s hromadným prílevom utečencov na územie SR (zdroj 11UA).</w:t>
      </w:r>
      <w:r w:rsidRPr="008C66D7">
        <w:rPr>
          <w:rFonts w:cs="Times New Roman"/>
          <w:color w:val="FF0000"/>
          <w:sz w:val="24"/>
          <w:szCs w:val="24"/>
        </w:rPr>
        <w:t xml:space="preserve"> </w:t>
      </w:r>
      <w:r w:rsidRPr="008C66D7">
        <w:rPr>
          <w:rFonts w:cs="Times New Roman"/>
          <w:sz w:val="24"/>
          <w:szCs w:val="24"/>
        </w:rPr>
        <w:t>Finančné prostriedky v objeme 14 560 tis. eur boli čerpané v rámci Operatívneho programu ľudské zdroje 2014-2020 – Integrácia marginalizovaných rómskych komunít a Technická vybavenosť v obciach s prítomnosťou marginalizovaných rómskych komunít a v rámci programu Efektívna verejná správa – posilnené inštitucionálne kapacity a efektívna verejná správa. Na testovanie obyvateľstva na prítomnosť ochorenia COVID-19 sa vynaložila suma 3 560 tis. eur a ďalšia suma 3 050 tis. eur bola poskytnutá obciam a mestám prostredníctvom okresných úradov na úhradu nákladov na povodňové a záchranné práce podľa § 43 až 45 zákona č. 7/2010 Z. z. o ochrane pred povodňami v znení zákona č. 180/2013 Z. z. a podľa uznesení vlády SR k správe o priebehu a následkoch povodní na území SR za príslušné obdobie.</w:t>
      </w:r>
    </w:p>
    <w:p w14:paraId="70BFCC23" w14:textId="330BF1F2" w:rsidR="0045778F" w:rsidRPr="008C66D7" w:rsidRDefault="0045778F" w:rsidP="0045778F">
      <w:pPr>
        <w:spacing w:before="120" w:line="240" w:lineRule="auto"/>
        <w:rPr>
          <w:rFonts w:cs="Times New Roman"/>
          <w:bCs/>
          <w:color w:val="000000" w:themeColor="text1"/>
          <w:sz w:val="24"/>
          <w:szCs w:val="24"/>
        </w:rPr>
      </w:pPr>
      <w:r w:rsidRPr="008C66D7">
        <w:rPr>
          <w:rFonts w:cs="Times New Roman"/>
          <w:color w:val="000000" w:themeColor="text1"/>
          <w:sz w:val="24"/>
          <w:szCs w:val="24"/>
        </w:rPr>
        <w:t xml:space="preserve">Suma vo výške 26 050 tis. eur bola vynaložená v rámci bežných výdavkov na úhradu nákladov preneseného výkonu štátnej správy. Z toho 14 663 tis. eur </w:t>
      </w:r>
      <w:r w:rsidRPr="008C66D7">
        <w:rPr>
          <w:rFonts w:cs="Times New Roman"/>
          <w:bCs/>
          <w:sz w:val="24"/>
          <w:szCs w:val="24"/>
        </w:rPr>
        <w:t xml:space="preserve">na úhradu nákladov podľa </w:t>
      </w:r>
      <w:r w:rsidR="00F05C85">
        <w:rPr>
          <w:rFonts w:cs="Times New Roman"/>
          <w:sz w:val="24"/>
          <w:szCs w:val="24"/>
        </w:rPr>
        <w:t>§ 37 </w:t>
      </w:r>
      <w:r w:rsidRPr="008C66D7">
        <w:rPr>
          <w:rFonts w:cs="Times New Roman"/>
          <w:sz w:val="24"/>
          <w:szCs w:val="24"/>
        </w:rPr>
        <w:t>ods.</w:t>
      </w:r>
      <w:r w:rsidR="00F05C85">
        <w:rPr>
          <w:rFonts w:cs="Times New Roman"/>
          <w:sz w:val="24"/>
          <w:szCs w:val="24"/>
        </w:rPr>
        <w:t> 1 </w:t>
      </w:r>
      <w:r w:rsidRPr="008C66D7">
        <w:rPr>
          <w:rFonts w:cs="Times New Roman"/>
          <w:sz w:val="24"/>
          <w:szCs w:val="24"/>
        </w:rPr>
        <w:t xml:space="preserve">zákona č. 180/2014 Z. z. o podmienkach výkonu volebného práva a o zmene a doplnení niektorých zákonov v znení neskorších predpisov (na voľby do orgánov samosprávy obcí 10 815 tis. eur, na nové voľby do orgánov samosprávy obcí 15 tis. eur a na referendum 3 833 tis. eur). </w:t>
      </w:r>
      <w:r w:rsidRPr="008C66D7">
        <w:rPr>
          <w:rFonts w:cs="Times New Roman"/>
          <w:color w:val="000000" w:themeColor="text1"/>
          <w:sz w:val="24"/>
          <w:szCs w:val="24"/>
        </w:rPr>
        <w:t>Na matričnú činnosť sa použila čiastka 8 901 tis. eur</w:t>
      </w:r>
      <w:r w:rsidR="00F05C85">
        <w:rPr>
          <w:rFonts w:cs="Times New Roman"/>
          <w:bCs/>
          <w:color w:val="000000" w:themeColor="text1"/>
          <w:sz w:val="24"/>
          <w:szCs w:val="24"/>
        </w:rPr>
        <w:t xml:space="preserve"> podľa zákona č. 154/1994 Z. </w:t>
      </w:r>
      <w:r w:rsidRPr="008C66D7">
        <w:rPr>
          <w:rFonts w:cs="Times New Roman"/>
          <w:bCs/>
          <w:color w:val="000000" w:themeColor="text1"/>
          <w:sz w:val="24"/>
          <w:szCs w:val="24"/>
        </w:rPr>
        <w:t>z. o matrikách v znení neskorších predpisov a podľa Výnosu Ministerstva vnútra Slovenskej republiky č. 207- 2005/04291 o rozsahu a podmienkach poskytovania dotácií na úhradu nákladov preneseného výkonu štátnej správy na úseku matrík v</w:t>
      </w:r>
      <w:r w:rsidR="00F05C85">
        <w:rPr>
          <w:rFonts w:cs="Times New Roman"/>
          <w:bCs/>
          <w:color w:val="000000" w:themeColor="text1"/>
          <w:sz w:val="24"/>
          <w:szCs w:val="24"/>
        </w:rPr>
        <w:t> znení neskorších predpisov. Na </w:t>
      </w:r>
      <w:r w:rsidRPr="008C66D7">
        <w:rPr>
          <w:rFonts w:cs="Times New Roman"/>
          <w:bCs/>
          <w:color w:val="000000" w:themeColor="text1"/>
          <w:sz w:val="24"/>
          <w:szCs w:val="24"/>
        </w:rPr>
        <w:t xml:space="preserve">hlásenie a evidenciu pobytu občanov a register obyvateľov Slovenskej republiky sa použila suma 1 802 tis. eur podľa zákona č. 253/1998 Z. z. o hlásení a evidencii pobytu občanov a registra obyvateľov Slovenskej republiky v znení neskorších predpisov. </w:t>
      </w:r>
      <w:r w:rsidRPr="008C66D7">
        <w:rPr>
          <w:rFonts w:cs="Times New Roman"/>
          <w:sz w:val="24"/>
          <w:szCs w:val="24"/>
        </w:rPr>
        <w:t xml:space="preserve">Finančné prostriedky vo výške 542 tis. eur boli použité obcami na </w:t>
      </w:r>
      <w:r w:rsidRPr="008C66D7">
        <w:rPr>
          <w:rFonts w:cs="Times New Roman"/>
          <w:bCs/>
          <w:sz w:val="24"/>
          <w:szCs w:val="24"/>
        </w:rPr>
        <w:t>úhradu nákladov na</w:t>
      </w:r>
      <w:r w:rsidRPr="008C66D7">
        <w:rPr>
          <w:rFonts w:cs="Times New Roman"/>
          <w:sz w:val="24"/>
          <w:szCs w:val="24"/>
        </w:rPr>
        <w:t xml:space="preserve"> ochranu životného prostredia</w:t>
      </w:r>
      <w:r>
        <w:rPr>
          <w:rFonts w:cs="Times New Roman"/>
          <w:sz w:val="24"/>
          <w:szCs w:val="24"/>
        </w:rPr>
        <w:t>,</w:t>
      </w:r>
      <w:r w:rsidRPr="008C66D7">
        <w:rPr>
          <w:rFonts w:cs="Times New Roman"/>
          <w:sz w:val="24"/>
          <w:szCs w:val="24"/>
        </w:rPr>
        <w:t xml:space="preserve"> najmä na likvidáciu čiernych skládok, kosenie, ničenie buriny, prerezávanie stromov, čistenie potokov, odvoz a uloženie odpadu, skrášľovanie verejného priestranstva.</w:t>
      </w:r>
    </w:p>
    <w:p w14:paraId="09074DA9" w14:textId="77777777" w:rsidR="0045778F" w:rsidRDefault="0045778F" w:rsidP="0045778F">
      <w:pPr>
        <w:spacing w:line="240" w:lineRule="auto"/>
        <w:rPr>
          <w:rFonts w:cs="Times New Roman"/>
          <w:color w:val="000000" w:themeColor="text1"/>
          <w:sz w:val="24"/>
          <w:szCs w:val="24"/>
        </w:rPr>
      </w:pPr>
      <w:r w:rsidRPr="008C66D7">
        <w:rPr>
          <w:color w:val="000000" w:themeColor="text1"/>
          <w:sz w:val="24"/>
          <w:szCs w:val="24"/>
        </w:rPr>
        <w:t xml:space="preserve">Kapitálové prostriedky boli poskytnuté obciam v čiastke 18 009 tis. eur. Z toho suma 17 923 tis. eur </w:t>
      </w:r>
      <w:r w:rsidRPr="008C66D7">
        <w:rPr>
          <w:rFonts w:cs="Times New Roman"/>
          <w:color w:val="000000" w:themeColor="text1"/>
          <w:sz w:val="24"/>
          <w:szCs w:val="24"/>
        </w:rPr>
        <w:t xml:space="preserve">čerpaná v rámci Operatívneho programu ľudské zdroje 2014-2020 – Technická vybavenosť v obciach s prítomnosťou marginalizovaných rómskych komunít. Finančné prostriedky vo výške 85 tis. eur boli použité na obnovu vojnových hrobov. </w:t>
      </w:r>
    </w:p>
    <w:p w14:paraId="783AF215" w14:textId="396A1B3D" w:rsidR="0045778F" w:rsidRDefault="0045778F" w:rsidP="0045778F">
      <w:pPr>
        <w:spacing w:line="240" w:lineRule="auto"/>
        <w:rPr>
          <w:rFonts w:cs="Times New Roman"/>
          <w:color w:val="000000" w:themeColor="text1"/>
          <w:sz w:val="24"/>
          <w:szCs w:val="24"/>
        </w:rPr>
      </w:pPr>
      <w:r w:rsidRPr="00547C10">
        <w:rPr>
          <w:rFonts w:cs="Times New Roman"/>
          <w:color w:val="000000" w:themeColor="text1"/>
          <w:sz w:val="24"/>
          <w:szCs w:val="24"/>
          <w:u w:val="single"/>
        </w:rPr>
        <w:t>Ministerstvo práce, sociálnych vecí a rodiny SR</w:t>
      </w:r>
      <w:r>
        <w:rPr>
          <w:rFonts w:cs="Times New Roman"/>
          <w:color w:val="000000" w:themeColor="text1"/>
          <w:sz w:val="24"/>
          <w:szCs w:val="24"/>
        </w:rPr>
        <w:t xml:space="preserve"> poskytlo obciam </w:t>
      </w:r>
      <w:r w:rsidRPr="00547C10">
        <w:rPr>
          <w:rFonts w:cs="Times New Roman"/>
          <w:color w:val="000000" w:themeColor="text1"/>
          <w:sz w:val="24"/>
          <w:szCs w:val="24"/>
        </w:rPr>
        <w:t>celkovú sumu 113 464 tis. eur</w:t>
      </w:r>
      <w:r>
        <w:rPr>
          <w:rFonts w:cs="Times New Roman"/>
          <w:color w:val="000000" w:themeColor="text1"/>
          <w:sz w:val="24"/>
          <w:szCs w:val="24"/>
        </w:rPr>
        <w:t xml:space="preserve">.  Z toho 108 557 tis. eur boli bežné výdavky okrem transferu na úhradu nákladov preneseného výkonu štátnej správy, čo je zo všetkých kapitol štátneho rozpočtu najvyšší poskytnutý transfer v rámci tejto podpoložky. </w:t>
      </w:r>
      <w:r w:rsidRPr="0032224D">
        <w:rPr>
          <w:rFonts w:cs="Times New Roman"/>
          <w:color w:val="000000" w:themeColor="text1"/>
          <w:sz w:val="24"/>
          <w:szCs w:val="24"/>
        </w:rPr>
        <w:t xml:space="preserve">Z tejto sumy bolo 69 388 tis. eur finančný príspevok mestám a obciam na spolufinancovanie sociálnych služieb pre zariadenia sociálnych služieb  (najmä zariadenia pre seniorov, zariadenia opatrovateľskej služby, denné stacionáre, domovy sociálnych služieb, </w:t>
      </w:r>
      <w:r w:rsidRPr="0032224D">
        <w:rPr>
          <w:rFonts w:cs="Times New Roman"/>
          <w:color w:val="000000" w:themeColor="text1"/>
          <w:sz w:val="24"/>
          <w:szCs w:val="24"/>
        </w:rPr>
        <w:lastRenderedPageBreak/>
        <w:t xml:space="preserve">útulky, nocľahárne a ďalšie) v zmysle § 71 ods. 6 a ods. 7 zákona č. 448/2008 Z. z. o sociálnych službách. </w:t>
      </w:r>
      <w:r w:rsidRPr="00115641">
        <w:rPr>
          <w:rFonts w:cs="Times New Roman"/>
          <w:color w:val="000000" w:themeColor="text1"/>
          <w:sz w:val="24"/>
          <w:szCs w:val="24"/>
        </w:rPr>
        <w:t xml:space="preserve">Suma 25 837 tis. eur </w:t>
      </w:r>
      <w:r w:rsidRPr="00115641">
        <w:rPr>
          <w:rFonts w:cs="Times New Roman"/>
          <w:bCs/>
          <w:color w:val="000000" w:themeColor="text1"/>
          <w:sz w:val="24"/>
          <w:szCs w:val="24"/>
        </w:rPr>
        <w:t>bola poskytnutá</w:t>
      </w:r>
      <w:r w:rsidRPr="00115641">
        <w:rPr>
          <w:rFonts w:cs="Times New Roman"/>
          <w:color w:val="000000" w:themeColor="text1"/>
          <w:sz w:val="24"/>
          <w:szCs w:val="24"/>
        </w:rPr>
        <w:t xml:space="preserve"> na</w:t>
      </w:r>
      <w:r>
        <w:rPr>
          <w:rFonts w:cs="Times New Roman"/>
          <w:color w:val="000000" w:themeColor="text1"/>
          <w:sz w:val="24"/>
          <w:szCs w:val="24"/>
        </w:rPr>
        <w:t> </w:t>
      </w:r>
      <w:r w:rsidRPr="00115641">
        <w:rPr>
          <w:rFonts w:cs="Times New Roman"/>
          <w:color w:val="000000" w:themeColor="text1"/>
          <w:sz w:val="24"/>
          <w:szCs w:val="24"/>
        </w:rPr>
        <w:t>národné projekty Ope</w:t>
      </w:r>
      <w:r>
        <w:rPr>
          <w:rFonts w:cs="Times New Roman"/>
          <w:color w:val="000000" w:themeColor="text1"/>
          <w:sz w:val="24"/>
          <w:szCs w:val="24"/>
        </w:rPr>
        <w:t xml:space="preserve">račného programu Ľudské zdroje. </w:t>
      </w:r>
      <w:r w:rsidRPr="00DD2977">
        <w:rPr>
          <w:rFonts w:cs="Times New Roman"/>
          <w:color w:val="000000" w:themeColor="text1"/>
          <w:sz w:val="24"/>
          <w:szCs w:val="24"/>
        </w:rPr>
        <w:t>Ďalšia čiastka 6 889 tis. eur predstavovala úhradu dotácií obciam a právnickým osobám nimi zriadených  v súlade so</w:t>
      </w:r>
      <w:r>
        <w:rPr>
          <w:rFonts w:cs="Times New Roman"/>
          <w:color w:val="000000" w:themeColor="text1"/>
          <w:sz w:val="24"/>
          <w:szCs w:val="24"/>
        </w:rPr>
        <w:t> </w:t>
      </w:r>
      <w:r w:rsidRPr="00DD2977">
        <w:rPr>
          <w:rFonts w:cs="Times New Roman"/>
          <w:color w:val="000000" w:themeColor="text1"/>
          <w:sz w:val="24"/>
          <w:szCs w:val="24"/>
        </w:rPr>
        <w:t>zákonom č. 544/2010 Z. z. o dotáciách v pôsobnosti MPSVR SR a nariadeniami vlády SR prijatými v súvislosti s mimoriadnou situáciou v dôsledku ochorenia COVID-19 a v dôsledku hromadného prílevu odídencov z Ukrajiny (na odmeny zamestnancom v 1. línii za sociálne služby a sociálnu kuratelu, inflačnú pomoc, dotácie na energie)</w:t>
      </w:r>
      <w:r>
        <w:rPr>
          <w:rFonts w:cs="Times New Roman"/>
          <w:color w:val="000000" w:themeColor="text1"/>
          <w:sz w:val="24"/>
          <w:szCs w:val="24"/>
        </w:rPr>
        <w:t>.</w:t>
      </w:r>
      <w:r>
        <w:rPr>
          <w:rFonts w:cs="Times New Roman"/>
          <w:color w:val="FF0000"/>
          <w:sz w:val="24"/>
          <w:szCs w:val="24"/>
        </w:rPr>
        <w:t xml:space="preserve"> </w:t>
      </w:r>
      <w:r w:rsidRPr="004C383F">
        <w:rPr>
          <w:rFonts w:cs="Times New Roman"/>
          <w:color w:val="000000" w:themeColor="text1"/>
          <w:sz w:val="24"/>
          <w:szCs w:val="24"/>
        </w:rPr>
        <w:t xml:space="preserve">Sumu 6 442 tis. eur tvorili dotácie n podporu výchovy </w:t>
      </w:r>
      <w:r w:rsidR="00F05C85">
        <w:rPr>
          <w:rFonts w:cs="Times New Roman"/>
          <w:color w:val="000000" w:themeColor="text1"/>
          <w:sz w:val="24"/>
          <w:szCs w:val="24"/>
        </w:rPr>
        <w:t>k stravovacím návykom a k </w:t>
      </w:r>
      <w:r w:rsidRPr="004C383F">
        <w:rPr>
          <w:rFonts w:cs="Times New Roman"/>
          <w:color w:val="000000" w:themeColor="text1"/>
          <w:sz w:val="24"/>
          <w:szCs w:val="24"/>
        </w:rPr>
        <w:t xml:space="preserve">plneniu školských povinností dieťaťa ohrozeného sociálnym vylúčením, </w:t>
      </w:r>
      <w:r w:rsidR="00F05C85">
        <w:rPr>
          <w:rFonts w:cs="Times New Roman"/>
          <w:color w:val="000000" w:themeColor="text1"/>
          <w:sz w:val="24"/>
          <w:szCs w:val="24"/>
        </w:rPr>
        <w:t>dotácia na </w:t>
      </w:r>
      <w:r w:rsidRPr="004C383F">
        <w:rPr>
          <w:rFonts w:cs="Times New Roman"/>
          <w:color w:val="000000" w:themeColor="text1"/>
          <w:sz w:val="24"/>
          <w:szCs w:val="24"/>
        </w:rPr>
        <w:t>zabezpečenie osobitného príjemcu a dotácia na školské potreby pre dieťa v hmotnej núdzi.</w:t>
      </w:r>
    </w:p>
    <w:p w14:paraId="0865F77C" w14:textId="3863F0B1" w:rsidR="0045778F" w:rsidRPr="006D5E94" w:rsidRDefault="0045778F" w:rsidP="00F05C85">
      <w:pPr>
        <w:spacing w:line="240" w:lineRule="auto"/>
        <w:rPr>
          <w:rFonts w:cs="Times New Roman"/>
          <w:color w:val="1F497D"/>
          <w:sz w:val="24"/>
        </w:rPr>
      </w:pPr>
      <w:r w:rsidRPr="00F82CE4">
        <w:rPr>
          <w:rFonts w:cs="Times New Roman"/>
          <w:color w:val="000000" w:themeColor="text1"/>
          <w:sz w:val="24"/>
          <w:szCs w:val="24"/>
          <w:u w:val="single"/>
        </w:rPr>
        <w:t>Ministerstvo investícií, regionálneho rozvoja a informatizácie SR</w:t>
      </w:r>
      <w:r w:rsidRPr="00F82CE4">
        <w:rPr>
          <w:rFonts w:cs="Times New Roman"/>
          <w:b/>
          <w:color w:val="000000" w:themeColor="text1"/>
          <w:sz w:val="24"/>
          <w:szCs w:val="24"/>
        </w:rPr>
        <w:t xml:space="preserve"> </w:t>
      </w:r>
      <w:r w:rsidRPr="00F82CE4">
        <w:rPr>
          <w:rFonts w:cs="Times New Roman"/>
          <w:color w:val="000000" w:themeColor="text1"/>
          <w:sz w:val="24"/>
          <w:szCs w:val="24"/>
        </w:rPr>
        <w:t xml:space="preserve">poskytlo obciam celkovú sumu 87 039 tis. eur, z toho v rámci kapitálových výdavkov čiastku 85 012 tis. eur. </w:t>
      </w:r>
      <w:r w:rsidRPr="00B0485B">
        <w:rPr>
          <w:rFonts w:cs="Times New Roman"/>
          <w:color w:val="000000" w:themeColor="text1"/>
          <w:sz w:val="24"/>
        </w:rPr>
        <w:t>Najviac</w:t>
      </w:r>
      <w:r w:rsidRPr="00B0485B">
        <w:rPr>
          <w:rFonts w:cs="Times New Roman"/>
          <w:color w:val="1F497D"/>
          <w:sz w:val="24"/>
        </w:rPr>
        <w:t xml:space="preserve"> </w:t>
      </w:r>
      <w:r w:rsidRPr="00B0485B">
        <w:rPr>
          <w:rFonts w:cs="Times New Roman"/>
          <w:color w:val="000000" w:themeColor="text1"/>
          <w:sz w:val="24"/>
        </w:rPr>
        <w:t>finančných prostriedkov v sume 68 156 tis. eur bolo poskytnutých z Integrovaného regionálneho operačného programu prevažne v rámci projektov na zlepšenie kvality života v regiónoch s dôrazom na životné prostredie, na modernizáciu zdravotníckej a vzdelávacej infraštruktúry a zvyšovanie energetickej efektívnosti budov, zvyšovanie kapacity budov a iné.</w:t>
      </w:r>
      <w:r>
        <w:rPr>
          <w:rFonts w:cs="Times New Roman"/>
          <w:color w:val="000000" w:themeColor="text1"/>
          <w:sz w:val="24"/>
        </w:rPr>
        <w:t xml:space="preserve"> </w:t>
      </w:r>
      <w:r w:rsidRPr="006D5E94">
        <w:rPr>
          <w:rFonts w:cs="Times New Roman"/>
          <w:color w:val="000000" w:themeColor="text1"/>
          <w:sz w:val="24"/>
        </w:rPr>
        <w:t xml:space="preserve">Zároveň boli obciam poskytnuté aj dotácie na základe publikovaných výziev na predkladanie žiadostí o poskytnutie dotácií, </w:t>
      </w:r>
      <w:r>
        <w:rPr>
          <w:rFonts w:cs="Times New Roman"/>
          <w:color w:val="000000" w:themeColor="text1"/>
          <w:sz w:val="24"/>
        </w:rPr>
        <w:t xml:space="preserve">a to </w:t>
      </w:r>
      <w:r w:rsidRPr="006D5E94">
        <w:rPr>
          <w:rFonts w:cs="Times New Roman"/>
          <w:color w:val="000000" w:themeColor="text1"/>
          <w:sz w:val="24"/>
        </w:rPr>
        <w:t>v celkovej výške 8 794 tis</w:t>
      </w:r>
      <w:r w:rsidR="00A640D5">
        <w:rPr>
          <w:rFonts w:cs="Times New Roman"/>
          <w:color w:val="000000" w:themeColor="text1"/>
          <w:sz w:val="24"/>
        </w:rPr>
        <w:t>.</w:t>
      </w:r>
      <w:r w:rsidRPr="006D5E94">
        <w:rPr>
          <w:rFonts w:cs="Times New Roman"/>
          <w:color w:val="000000" w:themeColor="text1"/>
          <w:sz w:val="24"/>
        </w:rPr>
        <w:t> eur. Poskytnuté finančné prostriedky boli použité na budovanie nových alebo zvyšovanie existuj</w:t>
      </w:r>
      <w:r w:rsidR="00F05C85">
        <w:rPr>
          <w:rFonts w:cs="Times New Roman"/>
          <w:color w:val="000000" w:themeColor="text1"/>
          <w:sz w:val="24"/>
        </w:rPr>
        <w:t>úcich kapacít materských škôl v </w:t>
      </w:r>
      <w:r w:rsidRPr="006D5E94">
        <w:rPr>
          <w:rFonts w:cs="Times New Roman"/>
          <w:color w:val="000000" w:themeColor="text1"/>
          <w:sz w:val="24"/>
        </w:rPr>
        <w:t>Bratislavskom kraji vo výške 1 616 tis. eur,  na rozvoj občianskej vybavenosti v regióne prostredníctvom vybudovania multifunkčnej voľnočasovej športovej haly vo výške 4 800 tis. eur a na zlepšenie dopravnej a technickej vybavenosti regiónu, inžinierskych stavieb vo výške 2 378 tis. eur.  Objemovo najväčšie dotácie získali v rámci výzvy na výstavbu multifunkčnej športovej haly mesto Košice  1 200 tis. eur a mesto Vrútky 1 200 tis. eur. Kapitola poskytla</w:t>
      </w:r>
      <w:r>
        <w:rPr>
          <w:rFonts w:cs="Times New Roman"/>
          <w:color w:val="000000" w:themeColor="text1"/>
          <w:sz w:val="24"/>
        </w:rPr>
        <w:t xml:space="preserve"> ďalej</w:t>
      </w:r>
      <w:r w:rsidRPr="006D5E94">
        <w:rPr>
          <w:rFonts w:cs="Times New Roman"/>
          <w:color w:val="000000" w:themeColor="text1"/>
          <w:sz w:val="24"/>
        </w:rPr>
        <w:t xml:space="preserve"> v roku 2022 obciam regionálne príspevky pre najmenej rozv</w:t>
      </w:r>
      <w:r w:rsidR="00F05C85">
        <w:rPr>
          <w:rFonts w:cs="Times New Roman"/>
          <w:color w:val="000000" w:themeColor="text1"/>
          <w:sz w:val="24"/>
        </w:rPr>
        <w:t>inuté okresy v zmysle zákona č. </w:t>
      </w:r>
      <w:r w:rsidRPr="006D5E94">
        <w:rPr>
          <w:rFonts w:cs="Times New Roman"/>
          <w:color w:val="000000" w:themeColor="text1"/>
          <w:sz w:val="24"/>
        </w:rPr>
        <w:t>336/2015 Z. z. o podpore najmenej rozvinutých okresov v celkovej výške 3 128 tis. eur, z toho najviac v prospech mesta Strážske 250 tis. eur, mesta Michalovce 225 tis. eur, mesta Hanušovce nad Topľou 200 tis. eur a  obce Kvakovce 200 tis</w:t>
      </w:r>
      <w:r w:rsidR="00A640D5">
        <w:rPr>
          <w:rFonts w:cs="Times New Roman"/>
          <w:color w:val="000000" w:themeColor="text1"/>
          <w:sz w:val="24"/>
        </w:rPr>
        <w:t>.</w:t>
      </w:r>
      <w:r w:rsidRPr="006D5E94">
        <w:rPr>
          <w:rFonts w:cs="Times New Roman"/>
          <w:color w:val="000000" w:themeColor="text1"/>
          <w:sz w:val="24"/>
        </w:rPr>
        <w:t xml:space="preserve"> eur.  </w:t>
      </w:r>
      <w:r w:rsidRPr="00B34ED8">
        <w:rPr>
          <w:rFonts w:cs="Times New Roman"/>
          <w:color w:val="000000" w:themeColor="text1"/>
          <w:sz w:val="24"/>
        </w:rPr>
        <w:t xml:space="preserve">Z programu INTERREG V-A SK-CZ boli podporené projekty obcí zamerané najmä na ochranu biodiverzity a zvýšenie atraktívnosti kultúrneho a prírodného dedičstva v prihraničných oblastiach, a to vo výške 2 088 tis. eur. </w:t>
      </w:r>
      <w:r>
        <w:rPr>
          <w:rFonts w:cs="Times New Roman"/>
          <w:color w:val="000000" w:themeColor="text1"/>
          <w:sz w:val="24"/>
          <w:szCs w:val="24"/>
        </w:rPr>
        <w:t xml:space="preserve">Suma </w:t>
      </w:r>
      <w:r w:rsidRPr="00B34ED8">
        <w:rPr>
          <w:rFonts w:cs="Times New Roman"/>
          <w:color w:val="000000" w:themeColor="text1"/>
          <w:sz w:val="24"/>
        </w:rPr>
        <w:t xml:space="preserve">1 925 tis. eur bola poskytnutá obciam z Operačného programu Integrovaná infraštruktúra najmä na racionalizáciu a modernizáciu verejnej správy IKT prostriedkami a na zvýšenie pokrytia širokopásmovým internetom. </w:t>
      </w:r>
    </w:p>
    <w:p w14:paraId="4AD3FA3B" w14:textId="77777777" w:rsidR="0045778F" w:rsidRPr="008C66D7" w:rsidRDefault="0045778F" w:rsidP="0045778F">
      <w:pPr>
        <w:spacing w:line="240" w:lineRule="auto"/>
        <w:rPr>
          <w:rFonts w:cs="Times New Roman"/>
          <w:color w:val="000000" w:themeColor="text1"/>
          <w:sz w:val="24"/>
          <w:szCs w:val="24"/>
        </w:rPr>
      </w:pPr>
      <w:r w:rsidRPr="008C66D7">
        <w:rPr>
          <w:rFonts w:cs="Times New Roman"/>
          <w:color w:val="000000" w:themeColor="text1"/>
          <w:sz w:val="24"/>
          <w:szCs w:val="24"/>
        </w:rPr>
        <w:t xml:space="preserve">Z kapitoly </w:t>
      </w:r>
      <w:r w:rsidRPr="008C66D7">
        <w:rPr>
          <w:rFonts w:cs="Times New Roman"/>
          <w:color w:val="000000" w:themeColor="text1"/>
          <w:sz w:val="24"/>
          <w:szCs w:val="24"/>
          <w:u w:val="single"/>
        </w:rPr>
        <w:t>Ministerstva životného prostredia SR</w:t>
      </w:r>
      <w:r w:rsidRPr="008C66D7">
        <w:rPr>
          <w:rFonts w:cs="Times New Roman"/>
          <w:color w:val="000000" w:themeColor="text1"/>
          <w:sz w:val="24"/>
          <w:szCs w:val="24"/>
        </w:rPr>
        <w:t xml:space="preserve"> smerovala obciam suma 59 021 tis. eur, z toho kapitálové výdavky v čiastke 56 488 tis. eur. Kapitálové výdavky boli v celom objeme poskytnuté v rámci Operačného programu Kvalita životného prostredia. Najväčší príjemcovia finančných prostriedkov boli mesto Bardejov (2 897 tis. eur), obec Chtelnica (2 217 tis. eur) a mesto Kežmarok (1 790 tis. eur). Prostriedky boli použité najmä na účely rozšírenia kanalizácie v obciach, čističky odpadových vôd, </w:t>
      </w:r>
      <w:proofErr w:type="spellStart"/>
      <w:r w:rsidRPr="008C66D7">
        <w:rPr>
          <w:rFonts w:cs="Times New Roman"/>
          <w:color w:val="000000" w:themeColor="text1"/>
          <w:sz w:val="24"/>
          <w:szCs w:val="24"/>
        </w:rPr>
        <w:t>vodozádržné</w:t>
      </w:r>
      <w:proofErr w:type="spellEnd"/>
      <w:r w:rsidRPr="008C66D7">
        <w:rPr>
          <w:rFonts w:cs="Times New Roman"/>
          <w:color w:val="000000" w:themeColor="text1"/>
          <w:sz w:val="24"/>
          <w:szCs w:val="24"/>
        </w:rPr>
        <w:t xml:space="preserve"> opatrenia v intraviláne miest a obcí, zberné dvory a ďalšie.</w:t>
      </w:r>
    </w:p>
    <w:p w14:paraId="41338D63" w14:textId="27BBA1DB" w:rsidR="0045778F" w:rsidRPr="008C66D7" w:rsidRDefault="0045778F" w:rsidP="0045778F">
      <w:pPr>
        <w:spacing w:line="240" w:lineRule="auto"/>
        <w:rPr>
          <w:rFonts w:cs="Times New Roman"/>
          <w:color w:val="000000" w:themeColor="text1"/>
          <w:sz w:val="24"/>
          <w:szCs w:val="24"/>
        </w:rPr>
      </w:pPr>
      <w:r w:rsidRPr="008C66D7">
        <w:rPr>
          <w:rFonts w:cs="Times New Roman"/>
          <w:color w:val="000000" w:themeColor="text1"/>
          <w:sz w:val="24"/>
          <w:szCs w:val="24"/>
        </w:rPr>
        <w:t xml:space="preserve">V kapitole </w:t>
      </w:r>
      <w:r w:rsidRPr="008C66D7">
        <w:rPr>
          <w:rFonts w:cs="Times New Roman"/>
          <w:color w:val="000000" w:themeColor="text1"/>
          <w:sz w:val="24"/>
          <w:szCs w:val="24"/>
          <w:u w:val="single"/>
        </w:rPr>
        <w:t>Ministerstva dopravy a výstavby SR</w:t>
      </w:r>
      <w:r w:rsidRPr="008C66D7">
        <w:rPr>
          <w:rFonts w:cs="Times New Roman"/>
          <w:color w:val="000000" w:themeColor="text1"/>
          <w:sz w:val="24"/>
          <w:szCs w:val="24"/>
        </w:rPr>
        <w:t xml:space="preserve"> bolo vo forme transferov pre obce poukázaných 36 020 tis. eur,</w:t>
      </w:r>
      <w:r w:rsidRPr="008C66D7">
        <w:rPr>
          <w:rFonts w:cs="Times New Roman"/>
          <w:color w:val="FF0000"/>
          <w:sz w:val="24"/>
          <w:szCs w:val="24"/>
        </w:rPr>
        <w:t xml:space="preserve"> </w:t>
      </w:r>
      <w:r w:rsidRPr="008C66D7">
        <w:rPr>
          <w:rFonts w:cs="Times New Roman"/>
          <w:color w:val="000000" w:themeColor="text1"/>
          <w:sz w:val="24"/>
          <w:szCs w:val="24"/>
        </w:rPr>
        <w:t>z toho 26 705 tis. eur tvorili kapitálové prostriedky. Z kapitálových výdavkov bolo 23 407 tis. eur vynaložených na výstavbu a obnovu bytového fondu (dotácie na obstaranie nájomných bytov a obstaranie ich technickej vybavenosti). </w:t>
      </w:r>
      <w:r w:rsidRPr="008C66D7">
        <w:rPr>
          <w:rFonts w:cs="Times New Roman"/>
          <w:sz w:val="24"/>
          <w:szCs w:val="24"/>
        </w:rPr>
        <w:t xml:space="preserve">Ďalšie výdavky v sume 3 296 tis. eur boli čerpané v rámci OPII -  prioritnej osi č. 3 Verejná osobná doprava na projekty Projektová príprava - Modernizácia infraštruktúry trolejbusovej dráhy a meniarní, výstavba nových trolejbusových tratí a obratísk v Žiline, Modernizácia električkových tratí - </w:t>
      </w:r>
      <w:proofErr w:type="spellStart"/>
      <w:r w:rsidRPr="008C66D7">
        <w:rPr>
          <w:rFonts w:cs="Times New Roman"/>
          <w:sz w:val="24"/>
          <w:szCs w:val="24"/>
        </w:rPr>
        <w:t>Dúbravsko</w:t>
      </w:r>
      <w:proofErr w:type="spellEnd"/>
      <w:r w:rsidRPr="008C66D7">
        <w:rPr>
          <w:rFonts w:cs="Times New Roman"/>
          <w:sz w:val="24"/>
          <w:szCs w:val="24"/>
        </w:rPr>
        <w:t xml:space="preserve"> - Karloveská </w:t>
      </w:r>
      <w:proofErr w:type="spellStart"/>
      <w:r w:rsidRPr="008C66D7">
        <w:rPr>
          <w:rFonts w:cs="Times New Roman"/>
          <w:sz w:val="24"/>
          <w:szCs w:val="24"/>
        </w:rPr>
        <w:t>radiála</w:t>
      </w:r>
      <w:proofErr w:type="spellEnd"/>
      <w:r w:rsidRPr="008C66D7">
        <w:rPr>
          <w:rFonts w:cs="Times New Roman"/>
          <w:sz w:val="24"/>
          <w:szCs w:val="24"/>
        </w:rPr>
        <w:t>, Modernizácia električkových tratí v Košiciach – 2. etapa – 2. časť, projektová dokumentácia.</w:t>
      </w:r>
      <w:r w:rsidRPr="008C66D7">
        <w:rPr>
          <w:rFonts w:cs="Times New Roman"/>
          <w:color w:val="000000" w:themeColor="text1"/>
          <w:sz w:val="24"/>
          <w:szCs w:val="24"/>
        </w:rPr>
        <w:t xml:space="preserve"> Bežné výdavky v sume 8 475 tis. eur boli použité ako dotácia na úhradu nákladov </w:t>
      </w:r>
      <w:r w:rsidRPr="008C66D7">
        <w:rPr>
          <w:rFonts w:cs="Times New Roman"/>
          <w:color w:val="000000" w:themeColor="text1"/>
          <w:sz w:val="24"/>
          <w:szCs w:val="24"/>
        </w:rPr>
        <w:lastRenderedPageBreak/>
        <w:t xml:space="preserve">na prenesený výkon štátnej správy najmä na úseku stavebného poriadku, bývania a cestnej dopravy. Bežné výdavky obci okrem transferu na úhradu nákladov preneseného výkonu štátnej správy boli vynaložené v celkovej sume 839 tis. eur, z toho 587 tis. eur boli poskytnuté dotácie 70 obciam na spracovanie ich územnoplánovacej dokumentácie. Ďalšia suma 200 tis. eur </w:t>
      </w:r>
      <w:r w:rsidRPr="008C66D7">
        <w:rPr>
          <w:rFonts w:cs="Times New Roman"/>
          <w:sz w:val="24"/>
          <w:szCs w:val="24"/>
        </w:rPr>
        <w:t xml:space="preserve">boli poskytnuté finančné prostriedky vo forme finančného príspevku za poskytnutie ubytovania odídencovi v súvislosti so situáciou na Ukrajine v súlade so zákonom č. 91/2010 </w:t>
      </w:r>
      <w:proofErr w:type="spellStart"/>
      <w:r w:rsidRPr="008C66D7">
        <w:rPr>
          <w:rFonts w:cs="Times New Roman"/>
          <w:sz w:val="24"/>
          <w:szCs w:val="24"/>
        </w:rPr>
        <w:t>Z.z</w:t>
      </w:r>
      <w:proofErr w:type="spellEnd"/>
      <w:r w:rsidRPr="008C66D7">
        <w:rPr>
          <w:rFonts w:cs="Times New Roman"/>
          <w:sz w:val="24"/>
          <w:szCs w:val="24"/>
        </w:rPr>
        <w:t>. o podpore cestovného ruchu (novelizovaný zákonom č. 92/2022 Zákon o n</w:t>
      </w:r>
      <w:r w:rsidR="00F05C85">
        <w:rPr>
          <w:rFonts w:cs="Times New Roman"/>
          <w:sz w:val="24"/>
          <w:szCs w:val="24"/>
        </w:rPr>
        <w:t>iektorých ďalších opatreniach v </w:t>
      </w:r>
      <w:r w:rsidRPr="008C66D7">
        <w:rPr>
          <w:rFonts w:cs="Times New Roman"/>
          <w:sz w:val="24"/>
          <w:szCs w:val="24"/>
        </w:rPr>
        <w:t>súvislosti so situáciou na Ukrajine) a Nariadeniami vlády SR č. 100/2022 z 30.3.2022, 219/2022 z 16.6.2022, 321/2022 z 28. 9. 2022 o príspevku za poskytnutie ubytovania odídencovi v súvislosti so situáciou na Ukrajine v znení Nariadenia vlády č. 415/2022 Z. z., ktorým sa mení a dopĺňa nariadenie vlády Slovenskej republiky č. 321/2022 Z. z. o príspevku za poskytnutie ubytovania odídencovi v súvislosti so situáciou na Ukrajine.</w:t>
      </w:r>
    </w:p>
    <w:p w14:paraId="71C3F4A4" w14:textId="20AF5E8A" w:rsidR="0045778F" w:rsidRDefault="0045778F" w:rsidP="0045778F">
      <w:pPr>
        <w:spacing w:line="240" w:lineRule="auto"/>
        <w:rPr>
          <w:rFonts w:cs="Times New Roman"/>
          <w:sz w:val="24"/>
          <w:szCs w:val="24"/>
        </w:rPr>
      </w:pPr>
      <w:r w:rsidRPr="009D5350">
        <w:rPr>
          <w:rFonts w:cs="Times New Roman"/>
          <w:color w:val="000000" w:themeColor="text1"/>
          <w:sz w:val="24"/>
          <w:szCs w:val="24"/>
          <w:u w:val="single"/>
        </w:rPr>
        <w:t>Úrad vlády SR</w:t>
      </w:r>
      <w:r w:rsidRPr="009D5350">
        <w:rPr>
          <w:rFonts w:cs="Times New Roman"/>
          <w:color w:val="000000" w:themeColor="text1"/>
          <w:sz w:val="24"/>
          <w:szCs w:val="24"/>
        </w:rPr>
        <w:t xml:space="preserve"> poskytol v podobe transferov</w:t>
      </w:r>
      <w:r w:rsidRPr="009D5350">
        <w:rPr>
          <w:rFonts w:eastAsia="Times New Roman" w:cs="Times New Roman"/>
          <w:color w:val="000000" w:themeColor="text1"/>
          <w:sz w:val="18"/>
          <w:szCs w:val="18"/>
          <w:lang w:eastAsia="sk-SK"/>
        </w:rPr>
        <w:t xml:space="preserve"> </w:t>
      </w:r>
      <w:r w:rsidRPr="009D5350">
        <w:rPr>
          <w:rFonts w:eastAsia="Times New Roman" w:cs="Times New Roman"/>
          <w:color w:val="000000" w:themeColor="text1"/>
          <w:sz w:val="24"/>
          <w:szCs w:val="24"/>
          <w:lang w:eastAsia="sk-SK"/>
        </w:rPr>
        <w:t>obciam celkovú sumu 18 556 tis. eur, z toho bežné vo výške 18 292 tis. eur, ktoré však boli rozpočtované len v objeme 650 tis. eur</w:t>
      </w:r>
      <w:r w:rsidR="00F05C85">
        <w:rPr>
          <w:rFonts w:eastAsia="Times New Roman" w:cs="Times New Roman"/>
          <w:color w:val="000000" w:themeColor="text1"/>
          <w:sz w:val="24"/>
          <w:szCs w:val="24"/>
          <w:lang w:eastAsia="sk-SK"/>
        </w:rPr>
        <w:t>. Suma 17 675 tis. </w:t>
      </w:r>
      <w:r>
        <w:rPr>
          <w:rFonts w:eastAsia="Times New Roman" w:cs="Times New Roman"/>
          <w:color w:val="000000" w:themeColor="text1"/>
          <w:sz w:val="24"/>
          <w:szCs w:val="24"/>
          <w:lang w:eastAsia="sk-SK"/>
        </w:rPr>
        <w:t xml:space="preserve">eur sa použila na európske projekty rómskej komunity – </w:t>
      </w:r>
      <w:r w:rsidRPr="00D42C61">
        <w:rPr>
          <w:rFonts w:cs="Times New Roman"/>
          <w:color w:val="000000"/>
          <w:sz w:val="24"/>
          <w:szCs w:val="24"/>
          <w:lang w:eastAsia="sk-SK"/>
        </w:rPr>
        <w:t xml:space="preserve">Podpora </w:t>
      </w:r>
      <w:proofErr w:type="spellStart"/>
      <w:r w:rsidRPr="00D42C61">
        <w:rPr>
          <w:rFonts w:cs="Times New Roman"/>
          <w:color w:val="000000"/>
          <w:sz w:val="24"/>
          <w:szCs w:val="24"/>
          <w:lang w:eastAsia="sk-SK"/>
        </w:rPr>
        <w:t>predprimárneho</w:t>
      </w:r>
      <w:proofErr w:type="spellEnd"/>
      <w:r w:rsidRPr="00D42C61">
        <w:rPr>
          <w:rFonts w:cs="Times New Roman"/>
          <w:color w:val="000000"/>
          <w:sz w:val="24"/>
          <w:szCs w:val="24"/>
          <w:lang w:eastAsia="sk-SK"/>
        </w:rPr>
        <w:t xml:space="preserve"> vzdelávania detí z marginalizovaných rómskych komunít II, Podpora vysporiadania právnych vzťahov k pozemkom v obciach s prítomnosťou marginalizovaných rómskych komunít, Komunitné služby v mestách a obciach s prítomnosťou marginalizovaných rómskych komunít – II, Terénna sociálna práca a terénna práca v obciach s prítomnosťou marginalizovaných rómskych komunít, Monitorovanie a hodnotenie </w:t>
      </w:r>
      <w:proofErr w:type="spellStart"/>
      <w:r w:rsidRPr="00D42C61">
        <w:rPr>
          <w:rFonts w:cs="Times New Roman"/>
          <w:color w:val="000000"/>
          <w:sz w:val="24"/>
          <w:szCs w:val="24"/>
          <w:lang w:eastAsia="sk-SK"/>
        </w:rPr>
        <w:t>inkl</w:t>
      </w:r>
      <w:r w:rsidR="00F05C85">
        <w:rPr>
          <w:rFonts w:cs="Times New Roman"/>
          <w:color w:val="000000"/>
          <w:sz w:val="24"/>
          <w:szCs w:val="24"/>
          <w:lang w:eastAsia="sk-SK"/>
        </w:rPr>
        <w:t>uzívnych</w:t>
      </w:r>
      <w:proofErr w:type="spellEnd"/>
      <w:r w:rsidR="00F05C85">
        <w:rPr>
          <w:rFonts w:cs="Times New Roman"/>
          <w:color w:val="000000"/>
          <w:sz w:val="24"/>
          <w:szCs w:val="24"/>
          <w:lang w:eastAsia="sk-SK"/>
        </w:rPr>
        <w:t xml:space="preserve"> politík a ich dopad na </w:t>
      </w:r>
      <w:r w:rsidRPr="00D42C61">
        <w:rPr>
          <w:rFonts w:cs="Times New Roman"/>
          <w:color w:val="000000"/>
          <w:sz w:val="24"/>
          <w:szCs w:val="24"/>
          <w:lang w:eastAsia="sk-SK"/>
        </w:rPr>
        <w:t>marginalizované rómske komunity (2016-2022</w:t>
      </w:r>
      <w:r>
        <w:rPr>
          <w:rFonts w:cs="Times New Roman"/>
          <w:color w:val="000000"/>
          <w:sz w:val="24"/>
          <w:szCs w:val="24"/>
          <w:lang w:eastAsia="sk-SK"/>
        </w:rPr>
        <w:t xml:space="preserve">). </w:t>
      </w:r>
      <w:r>
        <w:rPr>
          <w:rFonts w:eastAsia="Times New Roman" w:cs="Times New Roman"/>
          <w:color w:val="000000" w:themeColor="text1"/>
          <w:sz w:val="24"/>
          <w:szCs w:val="24"/>
          <w:lang w:eastAsia="sk-SK"/>
        </w:rPr>
        <w:t xml:space="preserve">Prostriedky v sume 437 tis. eur boli </w:t>
      </w:r>
      <w:r w:rsidRPr="007312E6">
        <w:rPr>
          <w:rFonts w:cs="Times New Roman"/>
          <w:color w:val="000000" w:themeColor="text1"/>
          <w:sz w:val="24"/>
          <w:szCs w:val="24"/>
        </w:rPr>
        <w:t>určen</w:t>
      </w:r>
      <w:r>
        <w:rPr>
          <w:rFonts w:cs="Times New Roman"/>
          <w:color w:val="000000" w:themeColor="text1"/>
          <w:sz w:val="24"/>
          <w:szCs w:val="24"/>
        </w:rPr>
        <w:t>é</w:t>
      </w:r>
      <w:r w:rsidRPr="007312E6">
        <w:rPr>
          <w:rFonts w:cs="Times New Roman"/>
          <w:color w:val="000000" w:themeColor="text1"/>
          <w:sz w:val="24"/>
          <w:szCs w:val="24"/>
        </w:rPr>
        <w:t xml:space="preserve"> na rezervu predsedu vlády SR</w:t>
      </w:r>
      <w:r>
        <w:rPr>
          <w:rFonts w:eastAsia="Times New Roman" w:cs="Times New Roman"/>
          <w:color w:val="000000" w:themeColor="text1"/>
          <w:sz w:val="24"/>
          <w:szCs w:val="24"/>
          <w:lang w:eastAsia="sk-SK"/>
        </w:rPr>
        <w:t xml:space="preserve"> a </w:t>
      </w:r>
      <w:r>
        <w:rPr>
          <w:rFonts w:cs="Times New Roman"/>
          <w:sz w:val="24"/>
          <w:szCs w:val="24"/>
        </w:rPr>
        <w:t>ich</w:t>
      </w:r>
      <w:r w:rsidRPr="00723B90">
        <w:rPr>
          <w:rFonts w:cs="Times New Roman"/>
          <w:sz w:val="24"/>
          <w:szCs w:val="24"/>
        </w:rPr>
        <w:t xml:space="preserve"> účelové určeni</w:t>
      </w:r>
      <w:r>
        <w:rPr>
          <w:rFonts w:cs="Times New Roman"/>
          <w:sz w:val="24"/>
          <w:szCs w:val="24"/>
        </w:rPr>
        <w:t xml:space="preserve">e bolo zamerané predovšetkým </w:t>
      </w:r>
      <w:r w:rsidRPr="00723B90">
        <w:rPr>
          <w:rFonts w:cs="Times New Roman"/>
          <w:sz w:val="24"/>
          <w:szCs w:val="24"/>
        </w:rPr>
        <w:t>na odstránenie škôd spôsobených požiarom v Domove dôchodcov v Spišske</w:t>
      </w:r>
      <w:r w:rsidR="00F05C85">
        <w:rPr>
          <w:rFonts w:cs="Times New Roman"/>
          <w:sz w:val="24"/>
          <w:szCs w:val="24"/>
        </w:rPr>
        <w:t>j Novej Vsi, na opravy budov vo </w:t>
      </w:r>
      <w:r w:rsidRPr="00723B90">
        <w:rPr>
          <w:rFonts w:cs="Times New Roman"/>
          <w:sz w:val="24"/>
          <w:szCs w:val="24"/>
        </w:rPr>
        <w:t>vlastníctve obcí a miest, na odstránenie škôd na obecnom ma</w:t>
      </w:r>
      <w:r w:rsidR="00F05C85">
        <w:rPr>
          <w:rFonts w:cs="Times New Roman"/>
          <w:sz w:val="24"/>
          <w:szCs w:val="24"/>
        </w:rPr>
        <w:t>jetku po prívalovej povodni, na </w:t>
      </w:r>
      <w:r w:rsidRPr="00723B90">
        <w:rPr>
          <w:rFonts w:cs="Times New Roman"/>
          <w:sz w:val="24"/>
          <w:szCs w:val="24"/>
        </w:rPr>
        <w:t>odstránenie  škôd na majetku občanov obce po prívalovej povodni</w:t>
      </w:r>
      <w:r>
        <w:rPr>
          <w:rFonts w:cs="Times New Roman"/>
          <w:sz w:val="24"/>
          <w:szCs w:val="24"/>
        </w:rPr>
        <w:t>.</w:t>
      </w:r>
    </w:p>
    <w:p w14:paraId="058D2414" w14:textId="3C7F3E36" w:rsidR="0045778F" w:rsidRPr="00AA7FB1" w:rsidRDefault="0045778F" w:rsidP="00F05C85">
      <w:pPr>
        <w:spacing w:line="240" w:lineRule="auto"/>
        <w:rPr>
          <w:rFonts w:cs="Times New Roman"/>
          <w:sz w:val="24"/>
          <w:szCs w:val="24"/>
        </w:rPr>
      </w:pPr>
      <w:r w:rsidRPr="00AA7FB1">
        <w:rPr>
          <w:rFonts w:cs="Times New Roman"/>
          <w:color w:val="000000" w:themeColor="text1"/>
          <w:sz w:val="24"/>
          <w:szCs w:val="24"/>
        </w:rPr>
        <w:t xml:space="preserve">Z kapitoly </w:t>
      </w:r>
      <w:r w:rsidRPr="00AA7FB1">
        <w:rPr>
          <w:rFonts w:cs="Times New Roman"/>
          <w:color w:val="000000" w:themeColor="text1"/>
          <w:sz w:val="24"/>
          <w:szCs w:val="24"/>
          <w:u w:val="single"/>
        </w:rPr>
        <w:t>Ministerstva pôdohospodárstva a rozvoja vidieka SR</w:t>
      </w:r>
      <w:r w:rsidRPr="00AA7FB1">
        <w:rPr>
          <w:rFonts w:cs="Times New Roman"/>
          <w:color w:val="000000" w:themeColor="text1"/>
          <w:sz w:val="24"/>
          <w:szCs w:val="24"/>
        </w:rPr>
        <w:t xml:space="preserve"> smerovala obciam suma 14 970 tis. eur, takmer v celom objeme ako kapitálový transfer. </w:t>
      </w:r>
      <w:r w:rsidRPr="00AA7FB1">
        <w:rPr>
          <w:rFonts w:cs="Times New Roman"/>
          <w:bCs/>
          <w:sz w:val="24"/>
          <w:szCs w:val="24"/>
        </w:rPr>
        <w:t>Čerpané prostriedky zo zdrojov EÚ a spolufinancovania v rámci Programu</w:t>
      </w:r>
      <w:r w:rsidRPr="00AA7FB1">
        <w:rPr>
          <w:rFonts w:cs="Times New Roman"/>
          <w:sz w:val="24"/>
          <w:szCs w:val="24"/>
        </w:rPr>
        <w:t xml:space="preserve"> rozvoja vidieka 2014-2022</w:t>
      </w:r>
      <w:r w:rsidRPr="00AA7FB1">
        <w:rPr>
          <w:rFonts w:cs="Times New Roman"/>
          <w:bCs/>
          <w:sz w:val="24"/>
          <w:szCs w:val="24"/>
        </w:rPr>
        <w:t xml:space="preserve"> smerovali</w:t>
      </w:r>
      <w:r>
        <w:rPr>
          <w:rFonts w:cs="Times New Roman"/>
          <w:bCs/>
          <w:sz w:val="24"/>
          <w:szCs w:val="24"/>
        </w:rPr>
        <w:t xml:space="preserve"> najmä</w:t>
      </w:r>
      <w:r w:rsidRPr="00AA7FB1">
        <w:rPr>
          <w:rFonts w:cs="Times New Roman"/>
          <w:bCs/>
          <w:sz w:val="24"/>
          <w:szCs w:val="24"/>
        </w:rPr>
        <w:t xml:space="preserve"> </w:t>
      </w:r>
      <w:r w:rsidR="00F05C85">
        <w:rPr>
          <w:rFonts w:cs="Times New Roman"/>
          <w:bCs/>
          <w:sz w:val="24"/>
          <w:szCs w:val="24"/>
        </w:rPr>
        <w:t>na </w:t>
      </w:r>
      <w:r w:rsidRPr="00AA7FB1">
        <w:rPr>
          <w:rFonts w:cs="Times New Roman"/>
          <w:bCs/>
          <w:sz w:val="24"/>
          <w:szCs w:val="24"/>
        </w:rPr>
        <w:t xml:space="preserve">podporu </w:t>
      </w:r>
      <w:r w:rsidRPr="00AA7FB1">
        <w:rPr>
          <w:rFonts w:cs="Times New Roman"/>
          <w:sz w:val="24"/>
          <w:szCs w:val="24"/>
        </w:rPr>
        <w:t>investícií do vytvárania, zlepšovania a rozširovania miestnych základných služieb pre vidiecke obyvateľstvo vrátane voľného času a kultúry a súvisiacej infraštruktúry vo výške 10 580 tis. eur</w:t>
      </w:r>
      <w:r>
        <w:rPr>
          <w:rFonts w:cs="Times New Roman"/>
          <w:sz w:val="24"/>
          <w:szCs w:val="24"/>
        </w:rPr>
        <w:t xml:space="preserve"> a na p</w:t>
      </w:r>
      <w:r w:rsidRPr="00AA7FB1">
        <w:rPr>
          <w:rFonts w:cs="Times New Roman"/>
          <w:sz w:val="24"/>
          <w:szCs w:val="24"/>
        </w:rPr>
        <w:t>odpor</w:t>
      </w:r>
      <w:r>
        <w:rPr>
          <w:rFonts w:cs="Times New Roman"/>
          <w:sz w:val="24"/>
          <w:szCs w:val="24"/>
        </w:rPr>
        <w:t>u</w:t>
      </w:r>
      <w:r w:rsidRPr="00AA7FB1">
        <w:rPr>
          <w:rFonts w:cs="Times New Roman"/>
          <w:sz w:val="24"/>
          <w:szCs w:val="24"/>
        </w:rPr>
        <w:t xml:space="preserve"> </w:t>
      </w:r>
      <w:r>
        <w:rPr>
          <w:rFonts w:cs="Times New Roman"/>
          <w:sz w:val="24"/>
          <w:szCs w:val="24"/>
        </w:rPr>
        <w:t>investícií</w:t>
      </w:r>
      <w:r w:rsidRPr="00AA7FB1">
        <w:rPr>
          <w:rFonts w:cs="Times New Roman"/>
          <w:sz w:val="24"/>
          <w:szCs w:val="24"/>
        </w:rPr>
        <w:t xml:space="preserve"> do vytvárania, zlepšovania alebo rozširovania všetkých druhov infraštruktúr malých rozmerov vrátane investícií do energie z obnoviteľných zdrojov a úspor energie</w:t>
      </w:r>
      <w:r>
        <w:rPr>
          <w:rFonts w:cs="Times New Roman"/>
          <w:sz w:val="24"/>
          <w:szCs w:val="24"/>
        </w:rPr>
        <w:t xml:space="preserve"> vo výške 1 967 tis. eur.</w:t>
      </w:r>
    </w:p>
    <w:p w14:paraId="12ADC758" w14:textId="77777777" w:rsidR="0045778F" w:rsidRPr="00B43527" w:rsidRDefault="0045778F" w:rsidP="0045778F">
      <w:pPr>
        <w:spacing w:line="240" w:lineRule="auto"/>
        <w:rPr>
          <w:rFonts w:cs="Times New Roman"/>
          <w:color w:val="000000" w:themeColor="text1"/>
          <w:sz w:val="24"/>
          <w:szCs w:val="24"/>
        </w:rPr>
      </w:pPr>
      <w:r w:rsidRPr="008C66D7">
        <w:rPr>
          <w:rFonts w:cs="Times New Roman"/>
          <w:b/>
          <w:color w:val="000000" w:themeColor="text1"/>
          <w:sz w:val="24"/>
          <w:szCs w:val="24"/>
        </w:rPr>
        <w:t>Podľa zákona č. 564/2004 Z. z. o rozpočtovom určení výnosu dane z príjmov bolo 70,0 %</w:t>
      </w:r>
      <w:r w:rsidRPr="008C66D7">
        <w:rPr>
          <w:rFonts w:cs="Times New Roman"/>
          <w:color w:val="000000" w:themeColor="text1"/>
          <w:sz w:val="24"/>
          <w:szCs w:val="24"/>
        </w:rPr>
        <w:t xml:space="preserve"> </w:t>
      </w:r>
      <w:r w:rsidRPr="008C66D7">
        <w:rPr>
          <w:rFonts w:cs="Times New Roman"/>
          <w:b/>
          <w:color w:val="000000" w:themeColor="text1"/>
          <w:sz w:val="24"/>
          <w:szCs w:val="24"/>
        </w:rPr>
        <w:t>z celkového výnosu dane z príjmov fyzických osôb</w:t>
      </w:r>
      <w:r w:rsidRPr="008C66D7">
        <w:rPr>
          <w:rFonts w:cs="Times New Roman"/>
          <w:color w:val="000000" w:themeColor="text1"/>
          <w:sz w:val="24"/>
          <w:szCs w:val="24"/>
        </w:rPr>
        <w:t xml:space="preserve"> príjmom rozpočtov obcí, rovnako ako aj v roku 2021. Skutočný (hotovostný) prevod dane z príjmov fyzických osôb do rozpočtov obcí bol vykonaný vo výške 2 525 470 tis. eur vrátane zúčtovania za predchádzajúci rok (2021: </w:t>
      </w:r>
      <w:r w:rsidRPr="00B43527">
        <w:rPr>
          <w:rFonts w:cs="Times New Roman"/>
          <w:color w:val="000000" w:themeColor="text1"/>
          <w:sz w:val="24"/>
          <w:szCs w:val="24"/>
        </w:rPr>
        <w:t xml:space="preserve">2 294 576 tis. eur). </w:t>
      </w:r>
    </w:p>
    <w:p w14:paraId="2FC537A9" w14:textId="77777777" w:rsidR="0045778F" w:rsidRPr="008C66D7" w:rsidRDefault="0045778F" w:rsidP="0045778F">
      <w:pPr>
        <w:spacing w:line="240" w:lineRule="auto"/>
        <w:rPr>
          <w:rFonts w:cs="Times New Roman"/>
          <w:b/>
          <w:i/>
        </w:rPr>
      </w:pPr>
      <w:r w:rsidRPr="008C66D7">
        <w:rPr>
          <w:rFonts w:cs="Times New Roman"/>
          <w:b/>
          <w:i/>
        </w:rPr>
        <w:t>Prehľad záväzných limitov dotácií obciam za rok 2022 je uvedený v tabuľkovej časti štátneho záverečného účtu SR, v tabuľke č. 21.</w:t>
      </w:r>
    </w:p>
    <w:p w14:paraId="06539B96" w14:textId="2FA0EC00" w:rsidR="00043553" w:rsidRDefault="00043553">
      <w:pPr>
        <w:spacing w:after="160" w:line="259" w:lineRule="auto"/>
        <w:jc w:val="left"/>
      </w:pPr>
      <w:r>
        <w:br w:type="page"/>
      </w:r>
    </w:p>
    <w:p w14:paraId="0F039693" w14:textId="27F874E6" w:rsidR="00C006CB" w:rsidRDefault="00C006CB" w:rsidP="000D7202">
      <w:pPr>
        <w:pStyle w:val="Nadpis3"/>
      </w:pPr>
      <w:bookmarkStart w:id="51" w:name="_Toc6415649"/>
      <w:bookmarkStart w:id="52" w:name="_Toc132929095"/>
      <w:r w:rsidRPr="00E936AB">
        <w:lastRenderedPageBreak/>
        <w:t>Vzťahy štátneho rozpočtu k vyšším územným celkom</w:t>
      </w:r>
      <w:bookmarkEnd w:id="51"/>
      <w:bookmarkEnd w:id="52"/>
    </w:p>
    <w:p w14:paraId="2D02572A" w14:textId="77777777" w:rsidR="0013260D" w:rsidRPr="00683D92" w:rsidRDefault="0013260D" w:rsidP="0013260D">
      <w:pPr>
        <w:suppressAutoHyphens/>
        <w:spacing w:line="240" w:lineRule="auto"/>
        <w:rPr>
          <w:color w:val="000000" w:themeColor="text1"/>
          <w:sz w:val="24"/>
          <w:szCs w:val="24"/>
        </w:rPr>
      </w:pPr>
      <w:r w:rsidRPr="00D54FFF">
        <w:rPr>
          <w:color w:val="000000" w:themeColor="text1"/>
          <w:sz w:val="24"/>
          <w:szCs w:val="24"/>
        </w:rPr>
        <w:t xml:space="preserve">V roku 2022 bolo zo štátneho rozpočtu do rozpočtov vyšších územných celkov poskytnutých celkovo 615 120 tis. eur vo forme transferov. Išlo o najvyššiu sumu za </w:t>
      </w:r>
      <w:r>
        <w:rPr>
          <w:color w:val="000000" w:themeColor="text1"/>
          <w:sz w:val="24"/>
          <w:szCs w:val="24"/>
        </w:rPr>
        <w:t>ostatné</w:t>
      </w:r>
      <w:r w:rsidRPr="00D54FFF">
        <w:rPr>
          <w:color w:val="000000" w:themeColor="text1"/>
          <w:sz w:val="24"/>
          <w:szCs w:val="24"/>
        </w:rPr>
        <w:t xml:space="preserve"> tri roky. </w:t>
      </w:r>
      <w:r w:rsidRPr="007A5AEB">
        <w:rPr>
          <w:color w:val="000000" w:themeColor="text1"/>
          <w:sz w:val="24"/>
          <w:szCs w:val="24"/>
        </w:rPr>
        <w:t xml:space="preserve">Bežné transfery tvorili sumu 578 645 tis. eur a kapitálové transfery čiastku </w:t>
      </w:r>
      <w:r w:rsidRPr="00683D92">
        <w:rPr>
          <w:color w:val="000000" w:themeColor="text1"/>
          <w:sz w:val="24"/>
          <w:szCs w:val="24"/>
        </w:rPr>
        <w:t xml:space="preserve">36 475 tis. eur. </w:t>
      </w:r>
    </w:p>
    <w:p w14:paraId="5ED008A9" w14:textId="14FEAD95" w:rsidR="00EB5625" w:rsidRDefault="0013260D" w:rsidP="00043553">
      <w:pPr>
        <w:suppressAutoHyphens/>
        <w:spacing w:line="240" w:lineRule="auto"/>
        <w:rPr>
          <w:sz w:val="24"/>
          <w:szCs w:val="24"/>
        </w:rPr>
      </w:pPr>
      <w:r w:rsidRPr="00C478F5">
        <w:rPr>
          <w:color w:val="000000" w:themeColor="text1"/>
          <w:sz w:val="24"/>
          <w:szCs w:val="24"/>
        </w:rPr>
        <w:t xml:space="preserve">Transfery zo zdroja 111 boli poskytnuté z jednotlivých kapitol v celkovej sume 553 705 tis. eur, z toho bežné v čiastke 551 956 tis. eur </w:t>
      </w:r>
      <w:r w:rsidRPr="009771ED">
        <w:rPr>
          <w:color w:val="000000" w:themeColor="text1"/>
          <w:sz w:val="24"/>
          <w:szCs w:val="24"/>
        </w:rPr>
        <w:t xml:space="preserve">a kapitálové v čiastke 1 749 tis. eur. </w:t>
      </w:r>
      <w:r w:rsidRPr="006376A6">
        <w:rPr>
          <w:color w:val="000000" w:themeColor="text1"/>
          <w:sz w:val="24"/>
          <w:szCs w:val="24"/>
        </w:rPr>
        <w:t>Na financovanie kompetencií preneseného výkonu štátnej správy bolo poskytnutých</w:t>
      </w:r>
      <w:r>
        <w:rPr>
          <w:color w:val="000000" w:themeColor="text1"/>
          <w:sz w:val="24"/>
          <w:szCs w:val="24"/>
        </w:rPr>
        <w:t xml:space="preserve"> zo všetkých zdrojov</w:t>
      </w:r>
      <w:r w:rsidRPr="006376A6">
        <w:rPr>
          <w:color w:val="000000" w:themeColor="text1"/>
          <w:sz w:val="24"/>
          <w:szCs w:val="24"/>
        </w:rPr>
        <w:t xml:space="preserve"> 54</w:t>
      </w:r>
      <w:r>
        <w:rPr>
          <w:color w:val="000000" w:themeColor="text1"/>
          <w:sz w:val="24"/>
          <w:szCs w:val="24"/>
        </w:rPr>
        <w:t>6</w:t>
      </w:r>
      <w:r w:rsidRPr="006376A6">
        <w:rPr>
          <w:color w:val="000000" w:themeColor="text1"/>
          <w:sz w:val="24"/>
          <w:szCs w:val="24"/>
        </w:rPr>
        <w:t> </w:t>
      </w:r>
      <w:r>
        <w:rPr>
          <w:color w:val="000000" w:themeColor="text1"/>
          <w:sz w:val="24"/>
          <w:szCs w:val="24"/>
        </w:rPr>
        <w:t>227</w:t>
      </w:r>
      <w:r w:rsidRPr="006376A6">
        <w:rPr>
          <w:color w:val="000000" w:themeColor="text1"/>
          <w:sz w:val="24"/>
          <w:szCs w:val="24"/>
        </w:rPr>
        <w:t> tis. eur (2021: 5</w:t>
      </w:r>
      <w:r>
        <w:rPr>
          <w:color w:val="000000" w:themeColor="text1"/>
          <w:sz w:val="24"/>
          <w:szCs w:val="24"/>
        </w:rPr>
        <w:t>40</w:t>
      </w:r>
      <w:r w:rsidRPr="006376A6">
        <w:rPr>
          <w:color w:val="000000" w:themeColor="text1"/>
          <w:sz w:val="24"/>
          <w:szCs w:val="24"/>
        </w:rPr>
        <w:t> </w:t>
      </w:r>
      <w:r>
        <w:rPr>
          <w:color w:val="000000" w:themeColor="text1"/>
          <w:sz w:val="24"/>
          <w:szCs w:val="24"/>
        </w:rPr>
        <w:t>162</w:t>
      </w:r>
      <w:r w:rsidRPr="006376A6">
        <w:rPr>
          <w:color w:val="000000" w:themeColor="text1"/>
          <w:sz w:val="24"/>
          <w:szCs w:val="24"/>
        </w:rPr>
        <w:t> tis. eur) z kapitol Ministerstva školstva, vedy, výskumu a športu SR, Ministerstva zdravotníctva SR a Ministerstva vnútra SR.</w:t>
      </w:r>
    </w:p>
    <w:p w14:paraId="3F63F57C" w14:textId="725916E3" w:rsidR="0013260D" w:rsidRDefault="0013260D" w:rsidP="0013260D">
      <w:pPr>
        <w:suppressAutoHyphens/>
        <w:spacing w:line="240" w:lineRule="auto"/>
      </w:pPr>
      <w:r>
        <w:rPr>
          <w:sz w:val="24"/>
          <w:szCs w:val="24"/>
        </w:rPr>
        <w:t>Súhrnný prehľad transferov poskytnutých VÚC podľa funkčnej klasifikácie poskytuje nasledovná tabuľka:</w:t>
      </w:r>
    </w:p>
    <w:tbl>
      <w:tblPr>
        <w:tblW w:w="9214" w:type="dxa"/>
        <w:tblCellMar>
          <w:left w:w="70" w:type="dxa"/>
          <w:right w:w="70" w:type="dxa"/>
        </w:tblCellMar>
        <w:tblLook w:val="04A0" w:firstRow="1" w:lastRow="0" w:firstColumn="1" w:lastColumn="0" w:noHBand="0" w:noVBand="1"/>
      </w:tblPr>
      <w:tblGrid>
        <w:gridCol w:w="2838"/>
        <w:gridCol w:w="868"/>
        <w:gridCol w:w="911"/>
        <w:gridCol w:w="890"/>
        <w:gridCol w:w="932"/>
        <w:gridCol w:w="996"/>
        <w:gridCol w:w="932"/>
        <w:gridCol w:w="847"/>
      </w:tblGrid>
      <w:tr w:rsidR="0013260D" w:rsidRPr="008B3212" w14:paraId="21224551" w14:textId="77777777" w:rsidTr="00DD4150">
        <w:trPr>
          <w:trHeight w:val="510"/>
        </w:trPr>
        <w:tc>
          <w:tcPr>
            <w:tcW w:w="7900" w:type="dxa"/>
            <w:gridSpan w:val="7"/>
            <w:tcBorders>
              <w:top w:val="nil"/>
              <w:left w:val="nil"/>
              <w:bottom w:val="single" w:sz="8" w:space="0" w:color="auto"/>
              <w:right w:val="nil"/>
            </w:tcBorders>
            <w:shd w:val="clear" w:color="auto" w:fill="auto"/>
            <w:vAlign w:val="center"/>
            <w:hideMark/>
          </w:tcPr>
          <w:p w14:paraId="78CD5C8D" w14:textId="2CCDDC8C" w:rsidR="0013260D" w:rsidRPr="008B3212" w:rsidRDefault="003F6330" w:rsidP="008B3212">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Tabuľka 4</w:t>
            </w:r>
            <w:r w:rsidR="008B3212" w:rsidRPr="008B3212">
              <w:rPr>
                <w:rFonts w:eastAsia="Times New Roman" w:cs="Times New Roman"/>
                <w:b/>
                <w:bCs/>
                <w:color w:val="5B9BD5" w:themeColor="accent1"/>
                <w:sz w:val="18"/>
                <w:szCs w:val="18"/>
                <w:lang w:eastAsia="sk-SK"/>
              </w:rPr>
              <w:t>8</w:t>
            </w:r>
            <w:r w:rsidRPr="008B3212">
              <w:rPr>
                <w:rFonts w:eastAsia="Times New Roman" w:cs="Times New Roman"/>
                <w:b/>
                <w:bCs/>
                <w:color w:val="5B9BD5" w:themeColor="accent1"/>
                <w:sz w:val="18"/>
                <w:szCs w:val="18"/>
                <w:lang w:eastAsia="sk-SK"/>
              </w:rPr>
              <w:t xml:space="preserve"> - </w:t>
            </w:r>
            <w:r w:rsidR="0013260D" w:rsidRPr="008B3212">
              <w:rPr>
                <w:rFonts w:eastAsia="Times New Roman" w:cs="Times New Roman"/>
                <w:b/>
                <w:bCs/>
                <w:color w:val="5B9BD5" w:themeColor="accent1"/>
                <w:sz w:val="18"/>
                <w:szCs w:val="18"/>
                <w:lang w:eastAsia="sk-SK"/>
              </w:rPr>
              <w:t>Transfery poskytnuté VÚC podľa oddielov funkčnej klasifikácie</w:t>
            </w:r>
          </w:p>
        </w:tc>
        <w:tc>
          <w:tcPr>
            <w:tcW w:w="800" w:type="dxa"/>
            <w:tcBorders>
              <w:top w:val="nil"/>
              <w:left w:val="nil"/>
              <w:bottom w:val="single" w:sz="8" w:space="0" w:color="auto"/>
              <w:right w:val="nil"/>
            </w:tcBorders>
            <w:shd w:val="clear" w:color="auto" w:fill="auto"/>
            <w:noWrap/>
            <w:vAlign w:val="bottom"/>
            <w:hideMark/>
          </w:tcPr>
          <w:p w14:paraId="79648A80" w14:textId="77777777" w:rsidR="0013260D" w:rsidRPr="008B3212" w:rsidRDefault="0013260D" w:rsidP="00AB0350">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 </w:t>
            </w:r>
          </w:p>
        </w:tc>
      </w:tr>
      <w:tr w:rsidR="0013260D" w:rsidRPr="00563E25" w14:paraId="64C85D02" w14:textId="77777777" w:rsidTr="00DD4150">
        <w:trPr>
          <w:trHeight w:val="289"/>
        </w:trPr>
        <w:tc>
          <w:tcPr>
            <w:tcW w:w="2680" w:type="dxa"/>
            <w:tcBorders>
              <w:top w:val="nil"/>
              <w:left w:val="nil"/>
              <w:bottom w:val="nil"/>
              <w:right w:val="nil"/>
            </w:tcBorders>
            <w:shd w:val="clear" w:color="auto" w:fill="auto"/>
            <w:vAlign w:val="center"/>
            <w:hideMark/>
          </w:tcPr>
          <w:p w14:paraId="3AC9EECC" w14:textId="77777777" w:rsidR="0013260D" w:rsidRPr="00563E25" w:rsidRDefault="0013260D" w:rsidP="00AB0350">
            <w:pPr>
              <w:spacing w:after="0" w:line="240" w:lineRule="auto"/>
              <w:jc w:val="lef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 xml:space="preserve"> v tis. eur</w:t>
            </w:r>
          </w:p>
        </w:tc>
        <w:tc>
          <w:tcPr>
            <w:tcW w:w="820" w:type="dxa"/>
            <w:tcBorders>
              <w:top w:val="nil"/>
              <w:left w:val="nil"/>
              <w:bottom w:val="nil"/>
              <w:right w:val="nil"/>
            </w:tcBorders>
            <w:shd w:val="clear" w:color="auto" w:fill="auto"/>
            <w:vAlign w:val="center"/>
            <w:hideMark/>
          </w:tcPr>
          <w:p w14:paraId="6FDACEB0" w14:textId="77777777" w:rsidR="0013260D" w:rsidRPr="00563E25" w:rsidRDefault="0013260D"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2020 S</w:t>
            </w:r>
          </w:p>
        </w:tc>
        <w:tc>
          <w:tcPr>
            <w:tcW w:w="860" w:type="dxa"/>
            <w:tcBorders>
              <w:top w:val="nil"/>
              <w:left w:val="nil"/>
              <w:bottom w:val="nil"/>
              <w:right w:val="nil"/>
            </w:tcBorders>
            <w:shd w:val="clear" w:color="auto" w:fill="auto"/>
            <w:vAlign w:val="center"/>
            <w:hideMark/>
          </w:tcPr>
          <w:p w14:paraId="38383A30" w14:textId="77777777" w:rsidR="0013260D" w:rsidRPr="00563E25" w:rsidRDefault="0013260D"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2021 S</w:t>
            </w:r>
          </w:p>
        </w:tc>
        <w:tc>
          <w:tcPr>
            <w:tcW w:w="840" w:type="dxa"/>
            <w:tcBorders>
              <w:top w:val="nil"/>
              <w:left w:val="nil"/>
              <w:bottom w:val="nil"/>
              <w:right w:val="nil"/>
            </w:tcBorders>
            <w:shd w:val="clear" w:color="auto" w:fill="auto"/>
            <w:vAlign w:val="center"/>
            <w:hideMark/>
          </w:tcPr>
          <w:p w14:paraId="601D0DD7" w14:textId="77777777" w:rsidR="0013260D" w:rsidRPr="00563E25" w:rsidRDefault="0013260D"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2022 R</w:t>
            </w:r>
          </w:p>
        </w:tc>
        <w:tc>
          <w:tcPr>
            <w:tcW w:w="880" w:type="dxa"/>
            <w:tcBorders>
              <w:top w:val="nil"/>
              <w:left w:val="nil"/>
              <w:bottom w:val="nil"/>
              <w:right w:val="nil"/>
            </w:tcBorders>
            <w:shd w:val="clear" w:color="auto" w:fill="auto"/>
            <w:vAlign w:val="center"/>
            <w:hideMark/>
          </w:tcPr>
          <w:p w14:paraId="55A8D91B" w14:textId="77777777" w:rsidR="0013260D" w:rsidRPr="00563E25" w:rsidRDefault="0013260D"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2022 S</w:t>
            </w:r>
          </w:p>
        </w:tc>
        <w:tc>
          <w:tcPr>
            <w:tcW w:w="940" w:type="dxa"/>
            <w:tcBorders>
              <w:top w:val="nil"/>
              <w:left w:val="nil"/>
              <w:bottom w:val="nil"/>
              <w:right w:val="nil"/>
            </w:tcBorders>
            <w:shd w:val="clear" w:color="auto" w:fill="auto"/>
            <w:vAlign w:val="center"/>
            <w:hideMark/>
          </w:tcPr>
          <w:p w14:paraId="499DBF25" w14:textId="77777777" w:rsidR="0013260D" w:rsidRPr="00563E25" w:rsidRDefault="0013260D"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z toho: zdroj 111</w:t>
            </w:r>
            <w:r w:rsidRPr="00563E25">
              <w:rPr>
                <w:rFonts w:ascii="Arial Narrow" w:eastAsia="Times New Roman" w:hAnsi="Arial Narrow" w:cs="Times New Roman"/>
                <w:b/>
                <w:bCs/>
                <w:color w:val="000000"/>
                <w:sz w:val="18"/>
                <w:szCs w:val="18"/>
                <w:lang w:eastAsia="sk-SK"/>
              </w:rPr>
              <w:t>*</w:t>
            </w:r>
          </w:p>
        </w:tc>
        <w:tc>
          <w:tcPr>
            <w:tcW w:w="880" w:type="dxa"/>
            <w:tcBorders>
              <w:top w:val="nil"/>
              <w:left w:val="nil"/>
              <w:bottom w:val="nil"/>
              <w:right w:val="nil"/>
            </w:tcBorders>
            <w:shd w:val="clear" w:color="auto" w:fill="auto"/>
            <w:vAlign w:val="center"/>
            <w:hideMark/>
          </w:tcPr>
          <w:p w14:paraId="43BABC38" w14:textId="77777777" w:rsidR="0013260D" w:rsidRPr="00563E25" w:rsidRDefault="0013260D"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Rozdiel</w:t>
            </w:r>
          </w:p>
        </w:tc>
        <w:tc>
          <w:tcPr>
            <w:tcW w:w="800" w:type="dxa"/>
            <w:tcBorders>
              <w:top w:val="nil"/>
              <w:left w:val="nil"/>
              <w:bottom w:val="nil"/>
              <w:right w:val="nil"/>
            </w:tcBorders>
            <w:shd w:val="clear" w:color="auto" w:fill="auto"/>
            <w:vAlign w:val="center"/>
            <w:hideMark/>
          </w:tcPr>
          <w:p w14:paraId="6DD378A6" w14:textId="77777777" w:rsidR="0013260D" w:rsidRPr="00563E25" w:rsidRDefault="0013260D"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v %</w:t>
            </w:r>
          </w:p>
        </w:tc>
      </w:tr>
      <w:tr w:rsidR="0013260D" w:rsidRPr="00563E25" w14:paraId="7AB3B9FC" w14:textId="77777777" w:rsidTr="00DD4150">
        <w:trPr>
          <w:trHeight w:val="289"/>
        </w:trPr>
        <w:tc>
          <w:tcPr>
            <w:tcW w:w="2680" w:type="dxa"/>
            <w:tcBorders>
              <w:top w:val="nil"/>
              <w:left w:val="nil"/>
              <w:bottom w:val="single" w:sz="8" w:space="0" w:color="auto"/>
              <w:right w:val="nil"/>
            </w:tcBorders>
            <w:shd w:val="clear" w:color="auto" w:fill="auto"/>
            <w:vAlign w:val="center"/>
            <w:hideMark/>
          </w:tcPr>
          <w:p w14:paraId="75A4F45C" w14:textId="77777777" w:rsidR="0013260D" w:rsidRPr="00563E25" w:rsidRDefault="0013260D" w:rsidP="00AB0350">
            <w:pPr>
              <w:spacing w:after="0" w:line="240" w:lineRule="auto"/>
              <w:jc w:val="left"/>
              <w:rPr>
                <w:rFonts w:eastAsia="Times New Roman" w:cs="Times New Roman"/>
                <w:b/>
                <w:bCs/>
                <w:color w:val="FFFFFF"/>
                <w:sz w:val="18"/>
                <w:szCs w:val="18"/>
                <w:lang w:eastAsia="sk-SK"/>
              </w:rPr>
            </w:pPr>
            <w:r w:rsidRPr="00563E25">
              <w:rPr>
                <w:rFonts w:eastAsia="Times New Roman" w:cs="Times New Roman"/>
                <w:b/>
                <w:bCs/>
                <w:color w:val="FFFFFF"/>
                <w:sz w:val="18"/>
                <w:szCs w:val="18"/>
                <w:lang w:eastAsia="sk-SK"/>
              </w:rPr>
              <w:t> </w:t>
            </w:r>
          </w:p>
        </w:tc>
        <w:tc>
          <w:tcPr>
            <w:tcW w:w="820" w:type="dxa"/>
            <w:tcBorders>
              <w:top w:val="nil"/>
              <w:left w:val="nil"/>
              <w:bottom w:val="single" w:sz="8" w:space="0" w:color="auto"/>
              <w:right w:val="nil"/>
            </w:tcBorders>
            <w:shd w:val="clear" w:color="auto" w:fill="auto"/>
            <w:vAlign w:val="center"/>
            <w:hideMark/>
          </w:tcPr>
          <w:p w14:paraId="543F5712" w14:textId="77777777" w:rsidR="0013260D" w:rsidRPr="00563E25" w:rsidRDefault="0013260D"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1</w:t>
            </w:r>
          </w:p>
        </w:tc>
        <w:tc>
          <w:tcPr>
            <w:tcW w:w="860" w:type="dxa"/>
            <w:tcBorders>
              <w:top w:val="nil"/>
              <w:left w:val="nil"/>
              <w:bottom w:val="single" w:sz="8" w:space="0" w:color="auto"/>
              <w:right w:val="nil"/>
            </w:tcBorders>
            <w:shd w:val="clear" w:color="auto" w:fill="auto"/>
            <w:vAlign w:val="center"/>
            <w:hideMark/>
          </w:tcPr>
          <w:p w14:paraId="1CFC2BE0" w14:textId="77777777" w:rsidR="0013260D" w:rsidRPr="00563E25" w:rsidRDefault="0013260D"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2</w:t>
            </w:r>
          </w:p>
        </w:tc>
        <w:tc>
          <w:tcPr>
            <w:tcW w:w="840" w:type="dxa"/>
            <w:tcBorders>
              <w:top w:val="nil"/>
              <w:left w:val="nil"/>
              <w:bottom w:val="single" w:sz="8" w:space="0" w:color="auto"/>
              <w:right w:val="nil"/>
            </w:tcBorders>
            <w:shd w:val="clear" w:color="auto" w:fill="auto"/>
            <w:vAlign w:val="center"/>
            <w:hideMark/>
          </w:tcPr>
          <w:p w14:paraId="112BFE27" w14:textId="77777777" w:rsidR="0013260D" w:rsidRPr="00563E25" w:rsidRDefault="0013260D"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3</w:t>
            </w:r>
          </w:p>
        </w:tc>
        <w:tc>
          <w:tcPr>
            <w:tcW w:w="880" w:type="dxa"/>
            <w:tcBorders>
              <w:top w:val="nil"/>
              <w:left w:val="nil"/>
              <w:bottom w:val="single" w:sz="8" w:space="0" w:color="auto"/>
              <w:right w:val="nil"/>
            </w:tcBorders>
            <w:shd w:val="clear" w:color="auto" w:fill="auto"/>
            <w:vAlign w:val="center"/>
            <w:hideMark/>
          </w:tcPr>
          <w:p w14:paraId="5FC1E679" w14:textId="77777777" w:rsidR="0013260D" w:rsidRPr="00563E25" w:rsidRDefault="0013260D"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4</w:t>
            </w:r>
          </w:p>
        </w:tc>
        <w:tc>
          <w:tcPr>
            <w:tcW w:w="940" w:type="dxa"/>
            <w:tcBorders>
              <w:top w:val="nil"/>
              <w:left w:val="nil"/>
              <w:bottom w:val="single" w:sz="8" w:space="0" w:color="auto"/>
              <w:right w:val="nil"/>
            </w:tcBorders>
            <w:shd w:val="clear" w:color="auto" w:fill="auto"/>
            <w:vAlign w:val="center"/>
            <w:hideMark/>
          </w:tcPr>
          <w:p w14:paraId="2CB394AA" w14:textId="77777777" w:rsidR="0013260D" w:rsidRPr="00563E25" w:rsidRDefault="0013260D"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5</w:t>
            </w:r>
          </w:p>
        </w:tc>
        <w:tc>
          <w:tcPr>
            <w:tcW w:w="880" w:type="dxa"/>
            <w:tcBorders>
              <w:top w:val="nil"/>
              <w:left w:val="nil"/>
              <w:bottom w:val="single" w:sz="8" w:space="0" w:color="auto"/>
              <w:right w:val="nil"/>
            </w:tcBorders>
            <w:shd w:val="clear" w:color="auto" w:fill="auto"/>
            <w:vAlign w:val="center"/>
            <w:hideMark/>
          </w:tcPr>
          <w:p w14:paraId="005AF608" w14:textId="77777777" w:rsidR="0013260D" w:rsidRPr="00563E25" w:rsidRDefault="0013260D"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6=4-3</w:t>
            </w:r>
          </w:p>
        </w:tc>
        <w:tc>
          <w:tcPr>
            <w:tcW w:w="800" w:type="dxa"/>
            <w:tcBorders>
              <w:top w:val="nil"/>
              <w:left w:val="nil"/>
              <w:bottom w:val="single" w:sz="8" w:space="0" w:color="auto"/>
              <w:right w:val="nil"/>
            </w:tcBorders>
            <w:shd w:val="clear" w:color="auto" w:fill="auto"/>
            <w:vAlign w:val="center"/>
            <w:hideMark/>
          </w:tcPr>
          <w:p w14:paraId="3C9D5431" w14:textId="77777777" w:rsidR="0013260D" w:rsidRPr="00563E25" w:rsidRDefault="0013260D"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7=4-3</w:t>
            </w:r>
          </w:p>
        </w:tc>
      </w:tr>
      <w:tr w:rsidR="0013260D" w:rsidRPr="00563E25" w14:paraId="48293A15" w14:textId="77777777" w:rsidTr="00DD4150">
        <w:trPr>
          <w:trHeight w:val="289"/>
        </w:trPr>
        <w:tc>
          <w:tcPr>
            <w:tcW w:w="2680" w:type="dxa"/>
            <w:tcBorders>
              <w:top w:val="nil"/>
              <w:left w:val="nil"/>
              <w:bottom w:val="nil"/>
              <w:right w:val="nil"/>
            </w:tcBorders>
            <w:shd w:val="clear" w:color="000000" w:fill="FFFFFF"/>
            <w:vAlign w:val="center"/>
            <w:hideMark/>
          </w:tcPr>
          <w:p w14:paraId="5BF2ED22"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Vzdelávanie</w:t>
            </w:r>
          </w:p>
        </w:tc>
        <w:tc>
          <w:tcPr>
            <w:tcW w:w="820" w:type="dxa"/>
            <w:tcBorders>
              <w:top w:val="nil"/>
              <w:left w:val="nil"/>
              <w:bottom w:val="nil"/>
              <w:right w:val="nil"/>
            </w:tcBorders>
            <w:shd w:val="clear" w:color="auto" w:fill="auto"/>
            <w:noWrap/>
            <w:vAlign w:val="center"/>
            <w:hideMark/>
          </w:tcPr>
          <w:p w14:paraId="1180237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528 605</w:t>
            </w:r>
          </w:p>
        </w:tc>
        <w:tc>
          <w:tcPr>
            <w:tcW w:w="860" w:type="dxa"/>
            <w:tcBorders>
              <w:top w:val="nil"/>
              <w:left w:val="nil"/>
              <w:bottom w:val="nil"/>
              <w:right w:val="nil"/>
            </w:tcBorders>
            <w:shd w:val="clear" w:color="auto" w:fill="auto"/>
            <w:noWrap/>
            <w:vAlign w:val="center"/>
            <w:hideMark/>
          </w:tcPr>
          <w:p w14:paraId="7BDD7E9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540 950</w:t>
            </w:r>
          </w:p>
        </w:tc>
        <w:tc>
          <w:tcPr>
            <w:tcW w:w="840" w:type="dxa"/>
            <w:tcBorders>
              <w:top w:val="nil"/>
              <w:left w:val="nil"/>
              <w:bottom w:val="nil"/>
              <w:right w:val="nil"/>
            </w:tcBorders>
            <w:shd w:val="clear" w:color="000000" w:fill="FFFFFF"/>
            <w:noWrap/>
            <w:vAlign w:val="center"/>
            <w:hideMark/>
          </w:tcPr>
          <w:p w14:paraId="7B4D87E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541 674</w:t>
            </w:r>
          </w:p>
        </w:tc>
        <w:tc>
          <w:tcPr>
            <w:tcW w:w="880" w:type="dxa"/>
            <w:tcBorders>
              <w:top w:val="nil"/>
              <w:left w:val="nil"/>
              <w:bottom w:val="nil"/>
              <w:right w:val="nil"/>
            </w:tcBorders>
            <w:shd w:val="clear" w:color="auto" w:fill="auto"/>
            <w:noWrap/>
            <w:vAlign w:val="center"/>
            <w:hideMark/>
          </w:tcPr>
          <w:p w14:paraId="68643D5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554 771</w:t>
            </w:r>
          </w:p>
        </w:tc>
        <w:tc>
          <w:tcPr>
            <w:tcW w:w="940" w:type="dxa"/>
            <w:tcBorders>
              <w:top w:val="nil"/>
              <w:left w:val="nil"/>
              <w:bottom w:val="nil"/>
              <w:right w:val="nil"/>
            </w:tcBorders>
            <w:shd w:val="clear" w:color="auto" w:fill="auto"/>
            <w:noWrap/>
            <w:vAlign w:val="center"/>
            <w:hideMark/>
          </w:tcPr>
          <w:p w14:paraId="68919C3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538 814</w:t>
            </w:r>
          </w:p>
        </w:tc>
        <w:tc>
          <w:tcPr>
            <w:tcW w:w="880" w:type="dxa"/>
            <w:tcBorders>
              <w:top w:val="nil"/>
              <w:left w:val="nil"/>
              <w:bottom w:val="nil"/>
              <w:right w:val="nil"/>
            </w:tcBorders>
            <w:shd w:val="clear" w:color="000000" w:fill="FFFFFF"/>
            <w:vAlign w:val="center"/>
            <w:hideMark/>
          </w:tcPr>
          <w:p w14:paraId="352244D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13 097</w:t>
            </w:r>
          </w:p>
        </w:tc>
        <w:tc>
          <w:tcPr>
            <w:tcW w:w="800" w:type="dxa"/>
            <w:tcBorders>
              <w:top w:val="nil"/>
              <w:left w:val="nil"/>
              <w:bottom w:val="nil"/>
              <w:right w:val="nil"/>
            </w:tcBorders>
            <w:shd w:val="clear" w:color="000000" w:fill="FFFFFF"/>
            <w:vAlign w:val="center"/>
            <w:hideMark/>
          </w:tcPr>
          <w:p w14:paraId="7EB6DC2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2,4</w:t>
            </w:r>
          </w:p>
        </w:tc>
      </w:tr>
      <w:tr w:rsidR="0013260D" w:rsidRPr="00563E25" w14:paraId="2A4AA8DD" w14:textId="77777777" w:rsidTr="00DD4150">
        <w:trPr>
          <w:trHeight w:val="289"/>
        </w:trPr>
        <w:tc>
          <w:tcPr>
            <w:tcW w:w="2680" w:type="dxa"/>
            <w:tcBorders>
              <w:top w:val="nil"/>
              <w:left w:val="nil"/>
              <w:bottom w:val="nil"/>
              <w:right w:val="nil"/>
            </w:tcBorders>
            <w:shd w:val="clear" w:color="000000" w:fill="FFFFFF"/>
            <w:noWrap/>
            <w:vAlign w:val="center"/>
            <w:hideMark/>
          </w:tcPr>
          <w:p w14:paraId="70A61729"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Ekonomická oblasť</w:t>
            </w:r>
          </w:p>
        </w:tc>
        <w:tc>
          <w:tcPr>
            <w:tcW w:w="820" w:type="dxa"/>
            <w:tcBorders>
              <w:top w:val="nil"/>
              <w:left w:val="nil"/>
              <w:bottom w:val="nil"/>
              <w:right w:val="nil"/>
            </w:tcBorders>
            <w:shd w:val="clear" w:color="auto" w:fill="auto"/>
            <w:noWrap/>
            <w:vAlign w:val="center"/>
            <w:hideMark/>
          </w:tcPr>
          <w:p w14:paraId="2ED3707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53 666</w:t>
            </w:r>
          </w:p>
        </w:tc>
        <w:tc>
          <w:tcPr>
            <w:tcW w:w="860" w:type="dxa"/>
            <w:tcBorders>
              <w:top w:val="nil"/>
              <w:left w:val="nil"/>
              <w:bottom w:val="nil"/>
              <w:right w:val="nil"/>
            </w:tcBorders>
            <w:shd w:val="clear" w:color="auto" w:fill="auto"/>
            <w:noWrap/>
            <w:vAlign w:val="center"/>
            <w:hideMark/>
          </w:tcPr>
          <w:p w14:paraId="008D4BF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31 330</w:t>
            </w:r>
          </w:p>
        </w:tc>
        <w:tc>
          <w:tcPr>
            <w:tcW w:w="840" w:type="dxa"/>
            <w:tcBorders>
              <w:top w:val="nil"/>
              <w:left w:val="nil"/>
              <w:bottom w:val="nil"/>
              <w:right w:val="nil"/>
            </w:tcBorders>
            <w:shd w:val="clear" w:color="000000" w:fill="FFFFFF"/>
            <w:noWrap/>
            <w:vAlign w:val="center"/>
            <w:hideMark/>
          </w:tcPr>
          <w:p w14:paraId="47A6E21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880" w:type="dxa"/>
            <w:tcBorders>
              <w:top w:val="nil"/>
              <w:left w:val="nil"/>
              <w:bottom w:val="nil"/>
              <w:right w:val="nil"/>
            </w:tcBorders>
            <w:shd w:val="clear" w:color="auto" w:fill="auto"/>
            <w:noWrap/>
            <w:vAlign w:val="center"/>
            <w:hideMark/>
          </w:tcPr>
          <w:p w14:paraId="683C9D7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43 671</w:t>
            </w:r>
          </w:p>
        </w:tc>
        <w:tc>
          <w:tcPr>
            <w:tcW w:w="940" w:type="dxa"/>
            <w:tcBorders>
              <w:top w:val="nil"/>
              <w:left w:val="nil"/>
              <w:bottom w:val="nil"/>
              <w:right w:val="nil"/>
            </w:tcBorders>
            <w:shd w:val="clear" w:color="auto" w:fill="auto"/>
            <w:noWrap/>
            <w:vAlign w:val="center"/>
            <w:hideMark/>
          </w:tcPr>
          <w:p w14:paraId="7872C9D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6 417</w:t>
            </w:r>
          </w:p>
        </w:tc>
        <w:tc>
          <w:tcPr>
            <w:tcW w:w="880" w:type="dxa"/>
            <w:tcBorders>
              <w:top w:val="nil"/>
              <w:left w:val="nil"/>
              <w:bottom w:val="nil"/>
              <w:right w:val="nil"/>
            </w:tcBorders>
            <w:shd w:val="clear" w:color="000000" w:fill="FFFFFF"/>
            <w:vAlign w:val="center"/>
            <w:hideMark/>
          </w:tcPr>
          <w:p w14:paraId="66B6C3A7"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43 671</w:t>
            </w:r>
          </w:p>
        </w:tc>
        <w:tc>
          <w:tcPr>
            <w:tcW w:w="800" w:type="dxa"/>
            <w:tcBorders>
              <w:top w:val="nil"/>
              <w:left w:val="nil"/>
              <w:bottom w:val="nil"/>
              <w:right w:val="nil"/>
            </w:tcBorders>
            <w:shd w:val="clear" w:color="000000" w:fill="FFFFFF"/>
            <w:vAlign w:val="center"/>
            <w:hideMark/>
          </w:tcPr>
          <w:p w14:paraId="0C7CC97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49B4A989" w14:textId="77777777" w:rsidTr="00DD4150">
        <w:trPr>
          <w:trHeight w:val="289"/>
        </w:trPr>
        <w:tc>
          <w:tcPr>
            <w:tcW w:w="2680" w:type="dxa"/>
            <w:tcBorders>
              <w:top w:val="nil"/>
              <w:left w:val="nil"/>
              <w:bottom w:val="nil"/>
              <w:right w:val="nil"/>
            </w:tcBorders>
            <w:shd w:val="clear" w:color="000000" w:fill="FFFFFF"/>
            <w:noWrap/>
            <w:vAlign w:val="center"/>
            <w:hideMark/>
          </w:tcPr>
          <w:p w14:paraId="0D3CE1B5"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Všeobecné verejné služby</w:t>
            </w:r>
          </w:p>
        </w:tc>
        <w:tc>
          <w:tcPr>
            <w:tcW w:w="820" w:type="dxa"/>
            <w:tcBorders>
              <w:top w:val="nil"/>
              <w:left w:val="nil"/>
              <w:bottom w:val="nil"/>
              <w:right w:val="nil"/>
            </w:tcBorders>
            <w:shd w:val="clear" w:color="auto" w:fill="auto"/>
            <w:noWrap/>
            <w:vAlign w:val="center"/>
            <w:hideMark/>
          </w:tcPr>
          <w:p w14:paraId="73AB91C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3 495</w:t>
            </w:r>
          </w:p>
        </w:tc>
        <w:tc>
          <w:tcPr>
            <w:tcW w:w="860" w:type="dxa"/>
            <w:tcBorders>
              <w:top w:val="nil"/>
              <w:left w:val="nil"/>
              <w:bottom w:val="nil"/>
              <w:right w:val="nil"/>
            </w:tcBorders>
            <w:shd w:val="clear" w:color="auto" w:fill="auto"/>
            <w:noWrap/>
            <w:vAlign w:val="center"/>
            <w:hideMark/>
          </w:tcPr>
          <w:p w14:paraId="1805566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4 211</w:t>
            </w:r>
          </w:p>
        </w:tc>
        <w:tc>
          <w:tcPr>
            <w:tcW w:w="840" w:type="dxa"/>
            <w:tcBorders>
              <w:top w:val="nil"/>
              <w:left w:val="nil"/>
              <w:bottom w:val="nil"/>
              <w:right w:val="nil"/>
            </w:tcBorders>
            <w:shd w:val="clear" w:color="000000" w:fill="FFFFFF"/>
            <w:noWrap/>
            <w:vAlign w:val="center"/>
            <w:hideMark/>
          </w:tcPr>
          <w:p w14:paraId="1FD009F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20 557</w:t>
            </w:r>
          </w:p>
        </w:tc>
        <w:tc>
          <w:tcPr>
            <w:tcW w:w="880" w:type="dxa"/>
            <w:tcBorders>
              <w:top w:val="nil"/>
              <w:left w:val="nil"/>
              <w:bottom w:val="nil"/>
              <w:right w:val="nil"/>
            </w:tcBorders>
            <w:shd w:val="clear" w:color="auto" w:fill="auto"/>
            <w:noWrap/>
            <w:vAlign w:val="center"/>
            <w:hideMark/>
          </w:tcPr>
          <w:p w14:paraId="0B1B98E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9 187</w:t>
            </w:r>
          </w:p>
        </w:tc>
        <w:tc>
          <w:tcPr>
            <w:tcW w:w="940" w:type="dxa"/>
            <w:tcBorders>
              <w:top w:val="nil"/>
              <w:left w:val="nil"/>
              <w:bottom w:val="nil"/>
              <w:right w:val="nil"/>
            </w:tcBorders>
            <w:shd w:val="clear" w:color="auto" w:fill="auto"/>
            <w:noWrap/>
            <w:vAlign w:val="center"/>
            <w:hideMark/>
          </w:tcPr>
          <w:p w14:paraId="3CC4E08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1 440</w:t>
            </w:r>
          </w:p>
        </w:tc>
        <w:tc>
          <w:tcPr>
            <w:tcW w:w="880" w:type="dxa"/>
            <w:tcBorders>
              <w:top w:val="nil"/>
              <w:left w:val="nil"/>
              <w:bottom w:val="nil"/>
              <w:right w:val="nil"/>
            </w:tcBorders>
            <w:shd w:val="clear" w:color="000000" w:fill="FFFFFF"/>
            <w:vAlign w:val="center"/>
            <w:hideMark/>
          </w:tcPr>
          <w:p w14:paraId="67E59CD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-11 370</w:t>
            </w:r>
          </w:p>
        </w:tc>
        <w:tc>
          <w:tcPr>
            <w:tcW w:w="800" w:type="dxa"/>
            <w:tcBorders>
              <w:top w:val="nil"/>
              <w:left w:val="nil"/>
              <w:bottom w:val="nil"/>
              <w:right w:val="nil"/>
            </w:tcBorders>
            <w:shd w:val="clear" w:color="000000" w:fill="FFFFFF"/>
            <w:vAlign w:val="center"/>
            <w:hideMark/>
          </w:tcPr>
          <w:p w14:paraId="6EBFA89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-55,3</w:t>
            </w:r>
          </w:p>
        </w:tc>
      </w:tr>
      <w:tr w:rsidR="0013260D" w:rsidRPr="00563E25" w14:paraId="65CD83CB" w14:textId="77777777" w:rsidTr="00DD4150">
        <w:trPr>
          <w:trHeight w:val="289"/>
        </w:trPr>
        <w:tc>
          <w:tcPr>
            <w:tcW w:w="2680" w:type="dxa"/>
            <w:tcBorders>
              <w:top w:val="nil"/>
              <w:left w:val="nil"/>
              <w:bottom w:val="nil"/>
              <w:right w:val="nil"/>
            </w:tcBorders>
            <w:shd w:val="clear" w:color="000000" w:fill="FFFFFF"/>
            <w:noWrap/>
            <w:vAlign w:val="center"/>
            <w:hideMark/>
          </w:tcPr>
          <w:p w14:paraId="32D8DB97"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Sociálne zabezpečenie</w:t>
            </w:r>
          </w:p>
        </w:tc>
        <w:tc>
          <w:tcPr>
            <w:tcW w:w="820" w:type="dxa"/>
            <w:tcBorders>
              <w:top w:val="nil"/>
              <w:left w:val="nil"/>
              <w:bottom w:val="nil"/>
              <w:right w:val="nil"/>
            </w:tcBorders>
            <w:shd w:val="clear" w:color="auto" w:fill="auto"/>
            <w:noWrap/>
            <w:vAlign w:val="center"/>
            <w:hideMark/>
          </w:tcPr>
          <w:p w14:paraId="446CFC2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9 555</w:t>
            </w:r>
          </w:p>
        </w:tc>
        <w:tc>
          <w:tcPr>
            <w:tcW w:w="860" w:type="dxa"/>
            <w:tcBorders>
              <w:top w:val="nil"/>
              <w:left w:val="nil"/>
              <w:bottom w:val="nil"/>
              <w:right w:val="nil"/>
            </w:tcBorders>
            <w:shd w:val="clear" w:color="auto" w:fill="auto"/>
            <w:noWrap/>
            <w:vAlign w:val="center"/>
            <w:hideMark/>
          </w:tcPr>
          <w:p w14:paraId="24117ABF"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1 431</w:t>
            </w:r>
          </w:p>
        </w:tc>
        <w:tc>
          <w:tcPr>
            <w:tcW w:w="840" w:type="dxa"/>
            <w:tcBorders>
              <w:top w:val="nil"/>
              <w:left w:val="nil"/>
              <w:bottom w:val="nil"/>
              <w:right w:val="nil"/>
            </w:tcBorders>
            <w:shd w:val="clear" w:color="000000" w:fill="FFFFFF"/>
            <w:noWrap/>
            <w:vAlign w:val="center"/>
            <w:hideMark/>
          </w:tcPr>
          <w:p w14:paraId="4D9EB56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350</w:t>
            </w:r>
          </w:p>
        </w:tc>
        <w:tc>
          <w:tcPr>
            <w:tcW w:w="880" w:type="dxa"/>
            <w:tcBorders>
              <w:top w:val="nil"/>
              <w:left w:val="nil"/>
              <w:bottom w:val="nil"/>
              <w:right w:val="nil"/>
            </w:tcBorders>
            <w:shd w:val="clear" w:color="auto" w:fill="auto"/>
            <w:noWrap/>
            <w:vAlign w:val="center"/>
            <w:hideMark/>
          </w:tcPr>
          <w:p w14:paraId="5CA2C76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3 513</w:t>
            </w:r>
          </w:p>
        </w:tc>
        <w:tc>
          <w:tcPr>
            <w:tcW w:w="940" w:type="dxa"/>
            <w:tcBorders>
              <w:top w:val="nil"/>
              <w:left w:val="nil"/>
              <w:bottom w:val="nil"/>
              <w:right w:val="nil"/>
            </w:tcBorders>
            <w:shd w:val="clear" w:color="auto" w:fill="auto"/>
            <w:noWrap/>
            <w:vAlign w:val="center"/>
            <w:hideMark/>
          </w:tcPr>
          <w:p w14:paraId="6BC7913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3 492</w:t>
            </w:r>
          </w:p>
        </w:tc>
        <w:tc>
          <w:tcPr>
            <w:tcW w:w="880" w:type="dxa"/>
            <w:tcBorders>
              <w:top w:val="nil"/>
              <w:left w:val="nil"/>
              <w:bottom w:val="nil"/>
              <w:right w:val="nil"/>
            </w:tcBorders>
            <w:shd w:val="clear" w:color="000000" w:fill="FFFFFF"/>
            <w:vAlign w:val="center"/>
            <w:hideMark/>
          </w:tcPr>
          <w:p w14:paraId="621B58B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3 163</w:t>
            </w:r>
          </w:p>
        </w:tc>
        <w:tc>
          <w:tcPr>
            <w:tcW w:w="800" w:type="dxa"/>
            <w:tcBorders>
              <w:top w:val="nil"/>
              <w:left w:val="nil"/>
              <w:bottom w:val="nil"/>
              <w:right w:val="nil"/>
            </w:tcBorders>
            <w:shd w:val="clear" w:color="000000" w:fill="FFFFFF"/>
            <w:vAlign w:val="center"/>
            <w:hideMark/>
          </w:tcPr>
          <w:p w14:paraId="4E27BEBF"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903,7</w:t>
            </w:r>
          </w:p>
        </w:tc>
      </w:tr>
      <w:tr w:rsidR="0013260D" w:rsidRPr="00563E25" w14:paraId="30F05717" w14:textId="77777777" w:rsidTr="00DD4150">
        <w:trPr>
          <w:trHeight w:val="289"/>
        </w:trPr>
        <w:tc>
          <w:tcPr>
            <w:tcW w:w="2680" w:type="dxa"/>
            <w:tcBorders>
              <w:top w:val="nil"/>
              <w:left w:val="nil"/>
              <w:bottom w:val="nil"/>
              <w:right w:val="nil"/>
            </w:tcBorders>
            <w:shd w:val="clear" w:color="000000" w:fill="FFFFFF"/>
            <w:vAlign w:val="center"/>
            <w:hideMark/>
          </w:tcPr>
          <w:p w14:paraId="1845FDDB"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Zdravotníctvo</w:t>
            </w:r>
          </w:p>
        </w:tc>
        <w:tc>
          <w:tcPr>
            <w:tcW w:w="820" w:type="dxa"/>
            <w:tcBorders>
              <w:top w:val="nil"/>
              <w:left w:val="nil"/>
              <w:bottom w:val="nil"/>
              <w:right w:val="nil"/>
            </w:tcBorders>
            <w:shd w:val="clear" w:color="auto" w:fill="auto"/>
            <w:noWrap/>
            <w:vAlign w:val="center"/>
            <w:hideMark/>
          </w:tcPr>
          <w:p w14:paraId="50287EB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60" w:type="dxa"/>
            <w:tcBorders>
              <w:top w:val="nil"/>
              <w:left w:val="nil"/>
              <w:bottom w:val="nil"/>
              <w:right w:val="nil"/>
            </w:tcBorders>
            <w:shd w:val="clear" w:color="auto" w:fill="auto"/>
            <w:noWrap/>
            <w:vAlign w:val="center"/>
            <w:hideMark/>
          </w:tcPr>
          <w:p w14:paraId="3C93241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7 952</w:t>
            </w:r>
          </w:p>
        </w:tc>
        <w:tc>
          <w:tcPr>
            <w:tcW w:w="840" w:type="dxa"/>
            <w:tcBorders>
              <w:top w:val="nil"/>
              <w:left w:val="nil"/>
              <w:bottom w:val="nil"/>
              <w:right w:val="nil"/>
            </w:tcBorders>
            <w:shd w:val="clear" w:color="000000" w:fill="FFFFFF"/>
            <w:noWrap/>
            <w:vAlign w:val="center"/>
            <w:hideMark/>
          </w:tcPr>
          <w:p w14:paraId="73DCD48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880" w:type="dxa"/>
            <w:tcBorders>
              <w:top w:val="nil"/>
              <w:left w:val="nil"/>
              <w:bottom w:val="nil"/>
              <w:right w:val="nil"/>
            </w:tcBorders>
            <w:shd w:val="clear" w:color="auto" w:fill="auto"/>
            <w:noWrap/>
            <w:vAlign w:val="center"/>
            <w:hideMark/>
          </w:tcPr>
          <w:p w14:paraId="79D346F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2 528</w:t>
            </w:r>
          </w:p>
        </w:tc>
        <w:tc>
          <w:tcPr>
            <w:tcW w:w="940" w:type="dxa"/>
            <w:tcBorders>
              <w:top w:val="nil"/>
              <w:left w:val="nil"/>
              <w:bottom w:val="nil"/>
              <w:right w:val="nil"/>
            </w:tcBorders>
            <w:shd w:val="clear" w:color="auto" w:fill="auto"/>
            <w:noWrap/>
            <w:vAlign w:val="center"/>
            <w:hideMark/>
          </w:tcPr>
          <w:p w14:paraId="39575E6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2 528</w:t>
            </w:r>
          </w:p>
        </w:tc>
        <w:tc>
          <w:tcPr>
            <w:tcW w:w="880" w:type="dxa"/>
            <w:tcBorders>
              <w:top w:val="nil"/>
              <w:left w:val="nil"/>
              <w:bottom w:val="nil"/>
              <w:right w:val="nil"/>
            </w:tcBorders>
            <w:shd w:val="clear" w:color="000000" w:fill="FFFFFF"/>
            <w:vAlign w:val="center"/>
            <w:hideMark/>
          </w:tcPr>
          <w:p w14:paraId="67CD976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2 528</w:t>
            </w:r>
          </w:p>
        </w:tc>
        <w:tc>
          <w:tcPr>
            <w:tcW w:w="800" w:type="dxa"/>
            <w:tcBorders>
              <w:top w:val="nil"/>
              <w:left w:val="nil"/>
              <w:bottom w:val="nil"/>
              <w:right w:val="nil"/>
            </w:tcBorders>
            <w:shd w:val="clear" w:color="000000" w:fill="FFFFFF"/>
            <w:vAlign w:val="center"/>
            <w:hideMark/>
          </w:tcPr>
          <w:p w14:paraId="5536C35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0045EFF3" w14:textId="77777777" w:rsidTr="00DD4150">
        <w:trPr>
          <w:trHeight w:val="289"/>
        </w:trPr>
        <w:tc>
          <w:tcPr>
            <w:tcW w:w="2680" w:type="dxa"/>
            <w:tcBorders>
              <w:top w:val="nil"/>
              <w:left w:val="nil"/>
              <w:bottom w:val="nil"/>
              <w:right w:val="nil"/>
            </w:tcBorders>
            <w:shd w:val="clear" w:color="000000" w:fill="FFFFFF"/>
            <w:vAlign w:val="center"/>
            <w:hideMark/>
          </w:tcPr>
          <w:p w14:paraId="0F49E493"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Rekreácia, kultúra a náboženstvo</w:t>
            </w:r>
          </w:p>
        </w:tc>
        <w:tc>
          <w:tcPr>
            <w:tcW w:w="820" w:type="dxa"/>
            <w:tcBorders>
              <w:top w:val="nil"/>
              <w:left w:val="nil"/>
              <w:bottom w:val="nil"/>
              <w:right w:val="nil"/>
            </w:tcBorders>
            <w:shd w:val="clear" w:color="auto" w:fill="auto"/>
            <w:noWrap/>
            <w:vAlign w:val="center"/>
            <w:hideMark/>
          </w:tcPr>
          <w:p w14:paraId="20D29F5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2 599</w:t>
            </w:r>
          </w:p>
        </w:tc>
        <w:tc>
          <w:tcPr>
            <w:tcW w:w="860" w:type="dxa"/>
            <w:tcBorders>
              <w:top w:val="nil"/>
              <w:left w:val="nil"/>
              <w:bottom w:val="nil"/>
              <w:right w:val="nil"/>
            </w:tcBorders>
            <w:shd w:val="clear" w:color="auto" w:fill="auto"/>
            <w:noWrap/>
            <w:vAlign w:val="center"/>
            <w:hideMark/>
          </w:tcPr>
          <w:p w14:paraId="4B3882F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4 756</w:t>
            </w:r>
          </w:p>
        </w:tc>
        <w:tc>
          <w:tcPr>
            <w:tcW w:w="840" w:type="dxa"/>
            <w:tcBorders>
              <w:top w:val="nil"/>
              <w:left w:val="nil"/>
              <w:bottom w:val="nil"/>
              <w:right w:val="nil"/>
            </w:tcBorders>
            <w:shd w:val="clear" w:color="000000" w:fill="FFFFFF"/>
            <w:noWrap/>
            <w:vAlign w:val="center"/>
            <w:hideMark/>
          </w:tcPr>
          <w:p w14:paraId="5204D87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1 100</w:t>
            </w:r>
          </w:p>
        </w:tc>
        <w:tc>
          <w:tcPr>
            <w:tcW w:w="880" w:type="dxa"/>
            <w:tcBorders>
              <w:top w:val="nil"/>
              <w:left w:val="nil"/>
              <w:bottom w:val="nil"/>
              <w:right w:val="nil"/>
            </w:tcBorders>
            <w:shd w:val="clear" w:color="auto" w:fill="auto"/>
            <w:noWrap/>
            <w:vAlign w:val="center"/>
            <w:hideMark/>
          </w:tcPr>
          <w:p w14:paraId="1EF1BA9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1 053</w:t>
            </w:r>
          </w:p>
        </w:tc>
        <w:tc>
          <w:tcPr>
            <w:tcW w:w="940" w:type="dxa"/>
            <w:tcBorders>
              <w:top w:val="nil"/>
              <w:left w:val="nil"/>
              <w:bottom w:val="nil"/>
              <w:right w:val="nil"/>
            </w:tcBorders>
            <w:shd w:val="clear" w:color="auto" w:fill="auto"/>
            <w:noWrap/>
            <w:vAlign w:val="center"/>
            <w:hideMark/>
          </w:tcPr>
          <w:p w14:paraId="3A90909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1 014</w:t>
            </w:r>
          </w:p>
        </w:tc>
        <w:tc>
          <w:tcPr>
            <w:tcW w:w="880" w:type="dxa"/>
            <w:tcBorders>
              <w:top w:val="nil"/>
              <w:left w:val="nil"/>
              <w:bottom w:val="nil"/>
              <w:right w:val="nil"/>
            </w:tcBorders>
            <w:shd w:val="clear" w:color="000000" w:fill="FFFFFF"/>
            <w:vAlign w:val="center"/>
            <w:hideMark/>
          </w:tcPr>
          <w:p w14:paraId="5706F6B9"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-47</w:t>
            </w:r>
          </w:p>
        </w:tc>
        <w:tc>
          <w:tcPr>
            <w:tcW w:w="800" w:type="dxa"/>
            <w:tcBorders>
              <w:top w:val="nil"/>
              <w:left w:val="nil"/>
              <w:bottom w:val="nil"/>
              <w:right w:val="nil"/>
            </w:tcBorders>
            <w:shd w:val="clear" w:color="000000" w:fill="FFFFFF"/>
            <w:vAlign w:val="center"/>
            <w:hideMark/>
          </w:tcPr>
          <w:p w14:paraId="4133EE3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-4,3</w:t>
            </w:r>
          </w:p>
        </w:tc>
      </w:tr>
      <w:tr w:rsidR="0013260D" w:rsidRPr="00563E25" w14:paraId="4D2A949C" w14:textId="77777777" w:rsidTr="00DD4150">
        <w:trPr>
          <w:trHeight w:val="289"/>
        </w:trPr>
        <w:tc>
          <w:tcPr>
            <w:tcW w:w="2680" w:type="dxa"/>
            <w:tcBorders>
              <w:top w:val="nil"/>
              <w:left w:val="nil"/>
              <w:bottom w:val="nil"/>
              <w:right w:val="nil"/>
            </w:tcBorders>
            <w:shd w:val="clear" w:color="000000" w:fill="FFFFFF"/>
            <w:noWrap/>
            <w:vAlign w:val="center"/>
            <w:hideMark/>
          </w:tcPr>
          <w:p w14:paraId="1612F374"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Ochrana životného prostredia</w:t>
            </w:r>
          </w:p>
        </w:tc>
        <w:tc>
          <w:tcPr>
            <w:tcW w:w="820" w:type="dxa"/>
            <w:tcBorders>
              <w:top w:val="nil"/>
              <w:left w:val="nil"/>
              <w:bottom w:val="nil"/>
              <w:right w:val="nil"/>
            </w:tcBorders>
            <w:shd w:val="clear" w:color="auto" w:fill="auto"/>
            <w:noWrap/>
            <w:vAlign w:val="center"/>
            <w:hideMark/>
          </w:tcPr>
          <w:p w14:paraId="7012692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2 859</w:t>
            </w:r>
          </w:p>
        </w:tc>
        <w:tc>
          <w:tcPr>
            <w:tcW w:w="860" w:type="dxa"/>
            <w:tcBorders>
              <w:top w:val="nil"/>
              <w:left w:val="nil"/>
              <w:bottom w:val="nil"/>
              <w:right w:val="nil"/>
            </w:tcBorders>
            <w:shd w:val="clear" w:color="auto" w:fill="auto"/>
            <w:noWrap/>
            <w:vAlign w:val="center"/>
            <w:hideMark/>
          </w:tcPr>
          <w:p w14:paraId="0D5803D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683</w:t>
            </w:r>
          </w:p>
        </w:tc>
        <w:tc>
          <w:tcPr>
            <w:tcW w:w="840" w:type="dxa"/>
            <w:tcBorders>
              <w:top w:val="nil"/>
              <w:left w:val="nil"/>
              <w:bottom w:val="nil"/>
              <w:right w:val="nil"/>
            </w:tcBorders>
            <w:shd w:val="clear" w:color="000000" w:fill="FFFFFF"/>
            <w:noWrap/>
            <w:vAlign w:val="center"/>
            <w:hideMark/>
          </w:tcPr>
          <w:p w14:paraId="04982DE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880" w:type="dxa"/>
            <w:tcBorders>
              <w:top w:val="nil"/>
              <w:left w:val="nil"/>
              <w:bottom w:val="nil"/>
              <w:right w:val="nil"/>
            </w:tcBorders>
            <w:shd w:val="clear" w:color="auto" w:fill="auto"/>
            <w:noWrap/>
            <w:vAlign w:val="center"/>
            <w:hideMark/>
          </w:tcPr>
          <w:p w14:paraId="5D25550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397</w:t>
            </w:r>
          </w:p>
        </w:tc>
        <w:tc>
          <w:tcPr>
            <w:tcW w:w="940" w:type="dxa"/>
            <w:tcBorders>
              <w:top w:val="nil"/>
              <w:left w:val="nil"/>
              <w:bottom w:val="nil"/>
              <w:right w:val="nil"/>
            </w:tcBorders>
            <w:shd w:val="clear" w:color="auto" w:fill="auto"/>
            <w:noWrap/>
            <w:vAlign w:val="center"/>
            <w:hideMark/>
          </w:tcPr>
          <w:p w14:paraId="7C3CA9A9"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80" w:type="dxa"/>
            <w:tcBorders>
              <w:top w:val="nil"/>
              <w:left w:val="nil"/>
              <w:bottom w:val="nil"/>
              <w:right w:val="nil"/>
            </w:tcBorders>
            <w:shd w:val="clear" w:color="000000" w:fill="FFFFFF"/>
            <w:vAlign w:val="center"/>
            <w:hideMark/>
          </w:tcPr>
          <w:p w14:paraId="3E45C5B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397</w:t>
            </w:r>
          </w:p>
        </w:tc>
        <w:tc>
          <w:tcPr>
            <w:tcW w:w="800" w:type="dxa"/>
            <w:tcBorders>
              <w:top w:val="nil"/>
              <w:left w:val="nil"/>
              <w:bottom w:val="nil"/>
              <w:right w:val="nil"/>
            </w:tcBorders>
            <w:shd w:val="clear" w:color="000000" w:fill="FFFFFF"/>
            <w:vAlign w:val="center"/>
            <w:hideMark/>
          </w:tcPr>
          <w:p w14:paraId="15BEA0C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6E43A533" w14:textId="77777777" w:rsidTr="00DD4150">
        <w:trPr>
          <w:trHeight w:val="289"/>
        </w:trPr>
        <w:tc>
          <w:tcPr>
            <w:tcW w:w="2680" w:type="dxa"/>
            <w:tcBorders>
              <w:top w:val="single" w:sz="4" w:space="0" w:color="auto"/>
              <w:left w:val="nil"/>
              <w:bottom w:val="single" w:sz="8" w:space="0" w:color="auto"/>
              <w:right w:val="nil"/>
            </w:tcBorders>
            <w:shd w:val="clear" w:color="000000" w:fill="FFFFFF"/>
            <w:noWrap/>
            <w:vAlign w:val="center"/>
            <w:hideMark/>
          </w:tcPr>
          <w:p w14:paraId="759405DA" w14:textId="77777777" w:rsidR="0013260D" w:rsidRPr="00563E25" w:rsidRDefault="0013260D" w:rsidP="00AB0350">
            <w:pPr>
              <w:spacing w:after="0" w:line="240" w:lineRule="auto"/>
              <w:jc w:val="lef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Spolu</w:t>
            </w:r>
          </w:p>
        </w:tc>
        <w:tc>
          <w:tcPr>
            <w:tcW w:w="820" w:type="dxa"/>
            <w:tcBorders>
              <w:top w:val="single" w:sz="4" w:space="0" w:color="auto"/>
              <w:left w:val="nil"/>
              <w:bottom w:val="single" w:sz="8" w:space="0" w:color="auto"/>
              <w:right w:val="nil"/>
            </w:tcBorders>
            <w:shd w:val="clear" w:color="000000" w:fill="FFFFFF"/>
            <w:noWrap/>
            <w:vAlign w:val="center"/>
            <w:hideMark/>
          </w:tcPr>
          <w:p w14:paraId="4AB16C96"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600 779</w:t>
            </w:r>
          </w:p>
        </w:tc>
        <w:tc>
          <w:tcPr>
            <w:tcW w:w="860" w:type="dxa"/>
            <w:tcBorders>
              <w:top w:val="single" w:sz="4" w:space="0" w:color="auto"/>
              <w:left w:val="nil"/>
              <w:bottom w:val="single" w:sz="8" w:space="0" w:color="auto"/>
              <w:right w:val="nil"/>
            </w:tcBorders>
            <w:shd w:val="clear" w:color="000000" w:fill="FFFFFF"/>
            <w:noWrap/>
            <w:vAlign w:val="center"/>
            <w:hideMark/>
          </w:tcPr>
          <w:p w14:paraId="139FA204"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591 313</w:t>
            </w:r>
          </w:p>
        </w:tc>
        <w:tc>
          <w:tcPr>
            <w:tcW w:w="840" w:type="dxa"/>
            <w:tcBorders>
              <w:top w:val="single" w:sz="4" w:space="0" w:color="auto"/>
              <w:left w:val="nil"/>
              <w:bottom w:val="single" w:sz="8" w:space="0" w:color="auto"/>
              <w:right w:val="nil"/>
            </w:tcBorders>
            <w:shd w:val="clear" w:color="000000" w:fill="FFFFFF"/>
            <w:noWrap/>
            <w:vAlign w:val="center"/>
            <w:hideMark/>
          </w:tcPr>
          <w:p w14:paraId="6E174007"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563 681</w:t>
            </w:r>
          </w:p>
        </w:tc>
        <w:tc>
          <w:tcPr>
            <w:tcW w:w="880" w:type="dxa"/>
            <w:tcBorders>
              <w:top w:val="single" w:sz="4" w:space="0" w:color="auto"/>
              <w:left w:val="nil"/>
              <w:bottom w:val="single" w:sz="8" w:space="0" w:color="auto"/>
              <w:right w:val="nil"/>
            </w:tcBorders>
            <w:shd w:val="clear" w:color="auto" w:fill="auto"/>
            <w:noWrap/>
            <w:vAlign w:val="center"/>
            <w:hideMark/>
          </w:tcPr>
          <w:p w14:paraId="0D003ED0"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615 120</w:t>
            </w:r>
          </w:p>
        </w:tc>
        <w:tc>
          <w:tcPr>
            <w:tcW w:w="940" w:type="dxa"/>
            <w:tcBorders>
              <w:top w:val="single" w:sz="4" w:space="0" w:color="auto"/>
              <w:left w:val="nil"/>
              <w:bottom w:val="single" w:sz="8" w:space="0" w:color="auto"/>
              <w:right w:val="nil"/>
            </w:tcBorders>
            <w:shd w:val="clear" w:color="auto" w:fill="auto"/>
            <w:noWrap/>
            <w:vAlign w:val="center"/>
            <w:hideMark/>
          </w:tcPr>
          <w:p w14:paraId="5D766530"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553 705</w:t>
            </w:r>
          </w:p>
        </w:tc>
        <w:tc>
          <w:tcPr>
            <w:tcW w:w="880" w:type="dxa"/>
            <w:tcBorders>
              <w:top w:val="single" w:sz="4" w:space="0" w:color="auto"/>
              <w:left w:val="nil"/>
              <w:bottom w:val="single" w:sz="8" w:space="0" w:color="auto"/>
              <w:right w:val="nil"/>
            </w:tcBorders>
            <w:shd w:val="clear" w:color="000000" w:fill="FFFFFF"/>
            <w:noWrap/>
            <w:vAlign w:val="center"/>
            <w:hideMark/>
          </w:tcPr>
          <w:p w14:paraId="2214C20C"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51 439</w:t>
            </w:r>
          </w:p>
        </w:tc>
        <w:tc>
          <w:tcPr>
            <w:tcW w:w="800" w:type="dxa"/>
            <w:tcBorders>
              <w:top w:val="single" w:sz="4" w:space="0" w:color="auto"/>
              <w:left w:val="nil"/>
              <w:bottom w:val="single" w:sz="8" w:space="0" w:color="auto"/>
              <w:right w:val="nil"/>
            </w:tcBorders>
            <w:shd w:val="clear" w:color="000000" w:fill="FFFFFF"/>
            <w:noWrap/>
            <w:vAlign w:val="center"/>
            <w:hideMark/>
          </w:tcPr>
          <w:p w14:paraId="11651783"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9,1</w:t>
            </w:r>
          </w:p>
        </w:tc>
      </w:tr>
    </w:tbl>
    <w:p w14:paraId="3425809A" w14:textId="77777777" w:rsidR="0013260D" w:rsidRDefault="0013260D" w:rsidP="0013260D">
      <w:pPr>
        <w:rPr>
          <w:rFonts w:eastAsia="Times New Roman" w:cs="Times New Roman"/>
          <w:color w:val="000000"/>
          <w:sz w:val="18"/>
          <w:szCs w:val="18"/>
          <w:lang w:eastAsia="sk-SK"/>
        </w:rPr>
      </w:pPr>
      <w:r w:rsidRPr="00046960">
        <w:rPr>
          <w:rFonts w:eastAsia="Times New Roman" w:cs="Times New Roman"/>
          <w:color w:val="000000"/>
          <w:sz w:val="18"/>
          <w:szCs w:val="18"/>
          <w:lang w:eastAsia="sk-SK"/>
        </w:rPr>
        <w:t xml:space="preserve">Poznámka: * len prostriedky štátneho rozpočtu </w:t>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t xml:space="preserve">           </w:t>
      </w:r>
      <w:r w:rsidRPr="00046960">
        <w:rPr>
          <w:rFonts w:eastAsia="Times New Roman" w:cs="Times New Roman"/>
          <w:color w:val="000000"/>
          <w:sz w:val="18"/>
          <w:szCs w:val="18"/>
          <w:lang w:eastAsia="sk-SK"/>
        </w:rPr>
        <w:t>Zdroj: MF SR</w:t>
      </w:r>
    </w:p>
    <w:p w14:paraId="1DC35D27" w14:textId="77777777" w:rsidR="0013260D" w:rsidRPr="00AA6123" w:rsidRDefault="0013260D" w:rsidP="0013260D">
      <w:pPr>
        <w:spacing w:line="240" w:lineRule="auto"/>
      </w:pPr>
      <w:r>
        <w:rPr>
          <w:sz w:val="24"/>
          <w:szCs w:val="24"/>
        </w:rPr>
        <w:t>Do rozpočtov VÚC boli poskytnuté transfery z jednotlivých rozpočtových kapitol v nasledovnom členení:</w:t>
      </w:r>
    </w:p>
    <w:tbl>
      <w:tblPr>
        <w:tblW w:w="9615" w:type="dxa"/>
        <w:tblLayout w:type="fixed"/>
        <w:tblCellMar>
          <w:left w:w="70" w:type="dxa"/>
          <w:right w:w="70" w:type="dxa"/>
        </w:tblCellMar>
        <w:tblLook w:val="04A0" w:firstRow="1" w:lastRow="0" w:firstColumn="1" w:lastColumn="0" w:noHBand="0" w:noVBand="1"/>
      </w:tblPr>
      <w:tblGrid>
        <w:gridCol w:w="3994"/>
        <w:gridCol w:w="850"/>
        <w:gridCol w:w="851"/>
        <w:gridCol w:w="850"/>
        <w:gridCol w:w="851"/>
        <w:gridCol w:w="684"/>
        <w:gridCol w:w="851"/>
        <w:gridCol w:w="684"/>
      </w:tblGrid>
      <w:tr w:rsidR="0013260D" w:rsidRPr="008B3212" w14:paraId="2540DB97" w14:textId="77777777" w:rsidTr="00EB5625">
        <w:trPr>
          <w:trHeight w:val="345"/>
        </w:trPr>
        <w:tc>
          <w:tcPr>
            <w:tcW w:w="8930" w:type="dxa"/>
            <w:gridSpan w:val="7"/>
            <w:tcBorders>
              <w:top w:val="nil"/>
              <w:left w:val="nil"/>
              <w:bottom w:val="single" w:sz="8" w:space="0" w:color="auto"/>
              <w:right w:val="nil"/>
            </w:tcBorders>
            <w:shd w:val="clear" w:color="auto" w:fill="auto"/>
            <w:vAlign w:val="center"/>
            <w:hideMark/>
          </w:tcPr>
          <w:p w14:paraId="6AD96666" w14:textId="2AB41C71" w:rsidR="0013260D" w:rsidRPr="008B3212" w:rsidRDefault="003F6330" w:rsidP="008B3212">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Tabuľka 4</w:t>
            </w:r>
            <w:r w:rsidR="008B3212" w:rsidRPr="008B3212">
              <w:rPr>
                <w:rFonts w:eastAsia="Times New Roman" w:cs="Times New Roman"/>
                <w:b/>
                <w:bCs/>
                <w:color w:val="5B9BD5" w:themeColor="accent1"/>
                <w:sz w:val="18"/>
                <w:szCs w:val="18"/>
                <w:lang w:eastAsia="sk-SK"/>
              </w:rPr>
              <w:t>9</w:t>
            </w:r>
            <w:r w:rsidRPr="008B3212">
              <w:rPr>
                <w:rFonts w:eastAsia="Times New Roman" w:cs="Times New Roman"/>
                <w:b/>
                <w:bCs/>
                <w:color w:val="5B9BD5" w:themeColor="accent1"/>
                <w:sz w:val="18"/>
                <w:szCs w:val="18"/>
                <w:lang w:eastAsia="sk-SK"/>
              </w:rPr>
              <w:t xml:space="preserve"> - </w:t>
            </w:r>
            <w:r w:rsidR="0013260D" w:rsidRPr="008B3212">
              <w:rPr>
                <w:rFonts w:eastAsia="Times New Roman" w:cs="Times New Roman"/>
                <w:b/>
                <w:bCs/>
                <w:color w:val="5B9BD5" w:themeColor="accent1"/>
                <w:sz w:val="18"/>
                <w:szCs w:val="18"/>
                <w:lang w:eastAsia="sk-SK"/>
              </w:rPr>
              <w:t>Transfery poskytnuté VÚC podľa kapitol ŠR</w:t>
            </w:r>
          </w:p>
        </w:tc>
        <w:tc>
          <w:tcPr>
            <w:tcW w:w="684" w:type="dxa"/>
            <w:tcBorders>
              <w:top w:val="nil"/>
              <w:left w:val="nil"/>
              <w:bottom w:val="single" w:sz="8" w:space="0" w:color="auto"/>
              <w:right w:val="nil"/>
            </w:tcBorders>
            <w:shd w:val="clear" w:color="auto" w:fill="auto"/>
            <w:noWrap/>
            <w:vAlign w:val="bottom"/>
            <w:hideMark/>
          </w:tcPr>
          <w:p w14:paraId="313A50F7" w14:textId="77777777" w:rsidR="0013260D" w:rsidRPr="008B3212" w:rsidRDefault="0013260D" w:rsidP="00AB0350">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 </w:t>
            </w:r>
          </w:p>
        </w:tc>
      </w:tr>
      <w:tr w:rsidR="00DD4150" w:rsidRPr="00563E25" w14:paraId="329752DE" w14:textId="77777777" w:rsidTr="00EB5625">
        <w:trPr>
          <w:trHeight w:val="289"/>
        </w:trPr>
        <w:tc>
          <w:tcPr>
            <w:tcW w:w="3994" w:type="dxa"/>
            <w:vMerge w:val="restart"/>
            <w:tcBorders>
              <w:top w:val="nil"/>
              <w:left w:val="nil"/>
              <w:right w:val="nil"/>
            </w:tcBorders>
            <w:shd w:val="clear" w:color="auto" w:fill="auto"/>
            <w:vAlign w:val="center"/>
            <w:hideMark/>
          </w:tcPr>
          <w:p w14:paraId="4434EAC0" w14:textId="20E21E12" w:rsidR="00DD4150" w:rsidRPr="00563E25" w:rsidRDefault="00DD4150" w:rsidP="00DD4150">
            <w:pPr>
              <w:spacing w:after="0" w:line="240" w:lineRule="auto"/>
              <w:jc w:val="lef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 xml:space="preserve"> v tis. eur</w:t>
            </w:r>
            <w:r w:rsidRPr="00563E25">
              <w:rPr>
                <w:rFonts w:eastAsia="Times New Roman" w:cs="Times New Roman"/>
                <w:b/>
                <w:bCs/>
                <w:color w:val="FFFFFF"/>
                <w:sz w:val="18"/>
                <w:szCs w:val="18"/>
                <w:lang w:eastAsia="sk-SK"/>
              </w:rPr>
              <w:t> </w:t>
            </w:r>
          </w:p>
        </w:tc>
        <w:tc>
          <w:tcPr>
            <w:tcW w:w="850" w:type="dxa"/>
            <w:tcBorders>
              <w:top w:val="nil"/>
              <w:left w:val="nil"/>
              <w:bottom w:val="nil"/>
              <w:right w:val="nil"/>
            </w:tcBorders>
            <w:shd w:val="clear" w:color="auto" w:fill="auto"/>
            <w:vAlign w:val="center"/>
            <w:hideMark/>
          </w:tcPr>
          <w:p w14:paraId="3D1E98BF"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2020 S</w:t>
            </w:r>
          </w:p>
        </w:tc>
        <w:tc>
          <w:tcPr>
            <w:tcW w:w="851" w:type="dxa"/>
            <w:tcBorders>
              <w:top w:val="nil"/>
              <w:left w:val="nil"/>
              <w:bottom w:val="nil"/>
              <w:right w:val="nil"/>
            </w:tcBorders>
            <w:shd w:val="clear" w:color="auto" w:fill="auto"/>
            <w:vAlign w:val="center"/>
            <w:hideMark/>
          </w:tcPr>
          <w:p w14:paraId="59D6BEC9"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2021 S</w:t>
            </w:r>
          </w:p>
        </w:tc>
        <w:tc>
          <w:tcPr>
            <w:tcW w:w="850" w:type="dxa"/>
            <w:tcBorders>
              <w:top w:val="nil"/>
              <w:left w:val="nil"/>
              <w:bottom w:val="nil"/>
              <w:right w:val="nil"/>
            </w:tcBorders>
            <w:shd w:val="clear" w:color="auto" w:fill="auto"/>
            <w:vAlign w:val="center"/>
            <w:hideMark/>
          </w:tcPr>
          <w:p w14:paraId="1E621856"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2022 R</w:t>
            </w:r>
          </w:p>
        </w:tc>
        <w:tc>
          <w:tcPr>
            <w:tcW w:w="851" w:type="dxa"/>
            <w:tcBorders>
              <w:top w:val="nil"/>
              <w:left w:val="nil"/>
              <w:bottom w:val="nil"/>
              <w:right w:val="nil"/>
            </w:tcBorders>
            <w:shd w:val="clear" w:color="auto" w:fill="auto"/>
            <w:vAlign w:val="center"/>
            <w:hideMark/>
          </w:tcPr>
          <w:p w14:paraId="344C63A0"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2022 S</w:t>
            </w:r>
          </w:p>
        </w:tc>
        <w:tc>
          <w:tcPr>
            <w:tcW w:w="684" w:type="dxa"/>
            <w:tcBorders>
              <w:top w:val="nil"/>
              <w:left w:val="nil"/>
              <w:bottom w:val="nil"/>
              <w:right w:val="nil"/>
            </w:tcBorders>
            <w:shd w:val="clear" w:color="auto" w:fill="auto"/>
            <w:vAlign w:val="center"/>
            <w:hideMark/>
          </w:tcPr>
          <w:p w14:paraId="7196B66E"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z toho: zdroj 111</w:t>
            </w:r>
            <w:r w:rsidRPr="00563E25">
              <w:rPr>
                <w:rFonts w:ascii="Arial Narrow" w:eastAsia="Times New Roman" w:hAnsi="Arial Narrow" w:cs="Times New Roman"/>
                <w:b/>
                <w:bCs/>
                <w:color w:val="000000"/>
                <w:sz w:val="18"/>
                <w:szCs w:val="18"/>
                <w:lang w:eastAsia="sk-SK"/>
              </w:rPr>
              <w:t>*</w:t>
            </w:r>
          </w:p>
        </w:tc>
        <w:tc>
          <w:tcPr>
            <w:tcW w:w="851" w:type="dxa"/>
            <w:tcBorders>
              <w:top w:val="nil"/>
              <w:left w:val="nil"/>
              <w:bottom w:val="nil"/>
              <w:right w:val="nil"/>
            </w:tcBorders>
            <w:shd w:val="clear" w:color="auto" w:fill="auto"/>
            <w:vAlign w:val="center"/>
            <w:hideMark/>
          </w:tcPr>
          <w:p w14:paraId="3DE19AD7"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Rozdiel</w:t>
            </w:r>
          </w:p>
        </w:tc>
        <w:tc>
          <w:tcPr>
            <w:tcW w:w="684" w:type="dxa"/>
            <w:tcBorders>
              <w:top w:val="nil"/>
              <w:left w:val="nil"/>
              <w:bottom w:val="nil"/>
              <w:right w:val="nil"/>
            </w:tcBorders>
            <w:shd w:val="clear" w:color="auto" w:fill="auto"/>
            <w:vAlign w:val="center"/>
            <w:hideMark/>
          </w:tcPr>
          <w:p w14:paraId="12FDEDC5"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v %</w:t>
            </w:r>
          </w:p>
        </w:tc>
      </w:tr>
      <w:tr w:rsidR="00DD4150" w:rsidRPr="00563E25" w14:paraId="7D8F6212" w14:textId="77777777" w:rsidTr="00EB5625">
        <w:trPr>
          <w:trHeight w:val="289"/>
        </w:trPr>
        <w:tc>
          <w:tcPr>
            <w:tcW w:w="3994" w:type="dxa"/>
            <w:vMerge/>
            <w:tcBorders>
              <w:left w:val="nil"/>
              <w:bottom w:val="single" w:sz="8" w:space="0" w:color="auto"/>
              <w:right w:val="nil"/>
            </w:tcBorders>
            <w:shd w:val="clear" w:color="auto" w:fill="auto"/>
            <w:vAlign w:val="center"/>
            <w:hideMark/>
          </w:tcPr>
          <w:p w14:paraId="7252E03E" w14:textId="0A478AC8" w:rsidR="00DD4150" w:rsidRPr="00563E25" w:rsidRDefault="00DD4150" w:rsidP="00AB0350">
            <w:pPr>
              <w:spacing w:after="0" w:line="240" w:lineRule="auto"/>
              <w:jc w:val="left"/>
              <w:rPr>
                <w:rFonts w:eastAsia="Times New Roman" w:cs="Times New Roman"/>
                <w:b/>
                <w:bCs/>
                <w:color w:val="FFFFFF"/>
                <w:sz w:val="18"/>
                <w:szCs w:val="18"/>
                <w:lang w:eastAsia="sk-SK"/>
              </w:rPr>
            </w:pPr>
          </w:p>
        </w:tc>
        <w:tc>
          <w:tcPr>
            <w:tcW w:w="850" w:type="dxa"/>
            <w:tcBorders>
              <w:top w:val="nil"/>
              <w:left w:val="nil"/>
              <w:bottom w:val="single" w:sz="8" w:space="0" w:color="auto"/>
              <w:right w:val="nil"/>
            </w:tcBorders>
            <w:shd w:val="clear" w:color="auto" w:fill="auto"/>
            <w:vAlign w:val="center"/>
            <w:hideMark/>
          </w:tcPr>
          <w:p w14:paraId="7071A34E"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1</w:t>
            </w:r>
          </w:p>
        </w:tc>
        <w:tc>
          <w:tcPr>
            <w:tcW w:w="851" w:type="dxa"/>
            <w:tcBorders>
              <w:top w:val="nil"/>
              <w:left w:val="nil"/>
              <w:bottom w:val="single" w:sz="8" w:space="0" w:color="auto"/>
              <w:right w:val="nil"/>
            </w:tcBorders>
            <w:shd w:val="clear" w:color="auto" w:fill="auto"/>
            <w:vAlign w:val="center"/>
            <w:hideMark/>
          </w:tcPr>
          <w:p w14:paraId="5292E00B"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2</w:t>
            </w:r>
          </w:p>
        </w:tc>
        <w:tc>
          <w:tcPr>
            <w:tcW w:w="850" w:type="dxa"/>
            <w:tcBorders>
              <w:top w:val="nil"/>
              <w:left w:val="nil"/>
              <w:bottom w:val="single" w:sz="8" w:space="0" w:color="auto"/>
              <w:right w:val="nil"/>
            </w:tcBorders>
            <w:shd w:val="clear" w:color="auto" w:fill="auto"/>
            <w:vAlign w:val="center"/>
            <w:hideMark/>
          </w:tcPr>
          <w:p w14:paraId="67A9F7CF"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3</w:t>
            </w:r>
          </w:p>
        </w:tc>
        <w:tc>
          <w:tcPr>
            <w:tcW w:w="851" w:type="dxa"/>
            <w:tcBorders>
              <w:top w:val="nil"/>
              <w:left w:val="nil"/>
              <w:bottom w:val="single" w:sz="8" w:space="0" w:color="auto"/>
              <w:right w:val="nil"/>
            </w:tcBorders>
            <w:shd w:val="clear" w:color="auto" w:fill="auto"/>
            <w:vAlign w:val="center"/>
            <w:hideMark/>
          </w:tcPr>
          <w:p w14:paraId="7E94BD07"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4</w:t>
            </w:r>
          </w:p>
        </w:tc>
        <w:tc>
          <w:tcPr>
            <w:tcW w:w="684" w:type="dxa"/>
            <w:tcBorders>
              <w:top w:val="nil"/>
              <w:left w:val="nil"/>
              <w:bottom w:val="single" w:sz="8" w:space="0" w:color="auto"/>
              <w:right w:val="nil"/>
            </w:tcBorders>
            <w:shd w:val="clear" w:color="auto" w:fill="auto"/>
            <w:vAlign w:val="center"/>
            <w:hideMark/>
          </w:tcPr>
          <w:p w14:paraId="2B24A6E9"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5</w:t>
            </w:r>
          </w:p>
        </w:tc>
        <w:tc>
          <w:tcPr>
            <w:tcW w:w="851" w:type="dxa"/>
            <w:tcBorders>
              <w:top w:val="nil"/>
              <w:left w:val="nil"/>
              <w:bottom w:val="single" w:sz="8" w:space="0" w:color="auto"/>
              <w:right w:val="nil"/>
            </w:tcBorders>
            <w:shd w:val="clear" w:color="auto" w:fill="auto"/>
            <w:vAlign w:val="center"/>
            <w:hideMark/>
          </w:tcPr>
          <w:p w14:paraId="38240BBE"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6=4-3</w:t>
            </w:r>
          </w:p>
        </w:tc>
        <w:tc>
          <w:tcPr>
            <w:tcW w:w="684" w:type="dxa"/>
            <w:tcBorders>
              <w:top w:val="nil"/>
              <w:left w:val="nil"/>
              <w:bottom w:val="single" w:sz="8" w:space="0" w:color="auto"/>
              <w:right w:val="nil"/>
            </w:tcBorders>
            <w:shd w:val="clear" w:color="auto" w:fill="auto"/>
            <w:vAlign w:val="center"/>
            <w:hideMark/>
          </w:tcPr>
          <w:p w14:paraId="59E33C5B"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7=4-3</w:t>
            </w:r>
          </w:p>
        </w:tc>
      </w:tr>
      <w:tr w:rsidR="0013260D" w:rsidRPr="00563E25" w14:paraId="11074932" w14:textId="77777777" w:rsidTr="00EB5625">
        <w:trPr>
          <w:trHeight w:val="289"/>
        </w:trPr>
        <w:tc>
          <w:tcPr>
            <w:tcW w:w="3994" w:type="dxa"/>
            <w:tcBorders>
              <w:top w:val="nil"/>
              <w:left w:val="nil"/>
              <w:bottom w:val="nil"/>
              <w:right w:val="nil"/>
            </w:tcBorders>
            <w:shd w:val="clear" w:color="000000" w:fill="FFFFFF"/>
            <w:vAlign w:val="center"/>
            <w:hideMark/>
          </w:tcPr>
          <w:p w14:paraId="00B245C7"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školstva, vedy, výskumu a športu SR</w:t>
            </w:r>
          </w:p>
        </w:tc>
        <w:tc>
          <w:tcPr>
            <w:tcW w:w="850" w:type="dxa"/>
            <w:tcBorders>
              <w:top w:val="nil"/>
              <w:left w:val="nil"/>
              <w:bottom w:val="nil"/>
              <w:right w:val="nil"/>
            </w:tcBorders>
            <w:shd w:val="clear" w:color="auto" w:fill="auto"/>
            <w:noWrap/>
            <w:vAlign w:val="center"/>
            <w:hideMark/>
          </w:tcPr>
          <w:p w14:paraId="522B92DF"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528 605</w:t>
            </w:r>
          </w:p>
        </w:tc>
        <w:tc>
          <w:tcPr>
            <w:tcW w:w="851" w:type="dxa"/>
            <w:tcBorders>
              <w:top w:val="nil"/>
              <w:left w:val="nil"/>
              <w:bottom w:val="nil"/>
              <w:right w:val="nil"/>
            </w:tcBorders>
            <w:shd w:val="clear" w:color="auto" w:fill="auto"/>
            <w:noWrap/>
            <w:vAlign w:val="center"/>
            <w:hideMark/>
          </w:tcPr>
          <w:p w14:paraId="6CAE5BF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540 949</w:t>
            </w:r>
          </w:p>
        </w:tc>
        <w:tc>
          <w:tcPr>
            <w:tcW w:w="850" w:type="dxa"/>
            <w:tcBorders>
              <w:top w:val="nil"/>
              <w:left w:val="nil"/>
              <w:bottom w:val="nil"/>
              <w:right w:val="nil"/>
            </w:tcBorders>
            <w:shd w:val="clear" w:color="000000" w:fill="FFFFFF"/>
            <w:noWrap/>
            <w:vAlign w:val="center"/>
            <w:hideMark/>
          </w:tcPr>
          <w:p w14:paraId="780AE7B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541 674</w:t>
            </w:r>
          </w:p>
        </w:tc>
        <w:tc>
          <w:tcPr>
            <w:tcW w:w="851" w:type="dxa"/>
            <w:tcBorders>
              <w:top w:val="nil"/>
              <w:left w:val="nil"/>
              <w:bottom w:val="nil"/>
              <w:right w:val="nil"/>
            </w:tcBorders>
            <w:shd w:val="clear" w:color="auto" w:fill="auto"/>
            <w:noWrap/>
            <w:vAlign w:val="center"/>
            <w:hideMark/>
          </w:tcPr>
          <w:p w14:paraId="5567974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554 655</w:t>
            </w:r>
          </w:p>
        </w:tc>
        <w:tc>
          <w:tcPr>
            <w:tcW w:w="684" w:type="dxa"/>
            <w:tcBorders>
              <w:top w:val="nil"/>
              <w:left w:val="nil"/>
              <w:bottom w:val="nil"/>
              <w:right w:val="nil"/>
            </w:tcBorders>
            <w:shd w:val="clear" w:color="auto" w:fill="auto"/>
            <w:noWrap/>
            <w:vAlign w:val="center"/>
            <w:hideMark/>
          </w:tcPr>
          <w:p w14:paraId="0222F26F"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538 822</w:t>
            </w:r>
          </w:p>
        </w:tc>
        <w:tc>
          <w:tcPr>
            <w:tcW w:w="851" w:type="dxa"/>
            <w:tcBorders>
              <w:top w:val="nil"/>
              <w:left w:val="nil"/>
              <w:bottom w:val="nil"/>
              <w:right w:val="nil"/>
            </w:tcBorders>
            <w:shd w:val="clear" w:color="000000" w:fill="FFFFFF"/>
            <w:vAlign w:val="center"/>
            <w:hideMark/>
          </w:tcPr>
          <w:p w14:paraId="11BB40E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12 981</w:t>
            </w:r>
          </w:p>
        </w:tc>
        <w:tc>
          <w:tcPr>
            <w:tcW w:w="684" w:type="dxa"/>
            <w:tcBorders>
              <w:top w:val="nil"/>
              <w:left w:val="nil"/>
              <w:bottom w:val="nil"/>
              <w:right w:val="nil"/>
            </w:tcBorders>
            <w:shd w:val="clear" w:color="000000" w:fill="FFFFFF"/>
            <w:vAlign w:val="center"/>
            <w:hideMark/>
          </w:tcPr>
          <w:p w14:paraId="57B68B3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2,4</w:t>
            </w:r>
          </w:p>
        </w:tc>
      </w:tr>
      <w:tr w:rsidR="0013260D" w:rsidRPr="00563E25" w14:paraId="3D662CB1" w14:textId="77777777" w:rsidTr="00EB5625">
        <w:trPr>
          <w:trHeight w:val="289"/>
        </w:trPr>
        <w:tc>
          <w:tcPr>
            <w:tcW w:w="3994" w:type="dxa"/>
            <w:tcBorders>
              <w:top w:val="nil"/>
              <w:left w:val="nil"/>
              <w:bottom w:val="nil"/>
              <w:right w:val="nil"/>
            </w:tcBorders>
            <w:shd w:val="clear" w:color="000000" w:fill="FFFFFF"/>
            <w:noWrap/>
            <w:vAlign w:val="center"/>
            <w:hideMark/>
          </w:tcPr>
          <w:p w14:paraId="5F8FCDF1"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 xml:space="preserve">Ministerstvo investícií, reg. rozvoja a </w:t>
            </w:r>
            <w:proofErr w:type="spellStart"/>
            <w:r w:rsidRPr="00563E25">
              <w:rPr>
                <w:rFonts w:eastAsia="Times New Roman" w:cs="Times New Roman"/>
                <w:color w:val="000000"/>
                <w:sz w:val="18"/>
                <w:szCs w:val="18"/>
                <w:lang w:eastAsia="sk-SK"/>
              </w:rPr>
              <w:t>informatiz</w:t>
            </w:r>
            <w:proofErr w:type="spellEnd"/>
            <w:r w:rsidRPr="00563E25">
              <w:rPr>
                <w:rFonts w:eastAsia="Times New Roman" w:cs="Times New Roman"/>
                <w:color w:val="000000"/>
                <w:sz w:val="18"/>
                <w:szCs w:val="18"/>
                <w:lang w:eastAsia="sk-SK"/>
              </w:rPr>
              <w:t>. SR</w:t>
            </w:r>
          </w:p>
        </w:tc>
        <w:tc>
          <w:tcPr>
            <w:tcW w:w="850" w:type="dxa"/>
            <w:tcBorders>
              <w:top w:val="nil"/>
              <w:left w:val="nil"/>
              <w:bottom w:val="nil"/>
              <w:right w:val="nil"/>
            </w:tcBorders>
            <w:shd w:val="clear" w:color="auto" w:fill="auto"/>
            <w:noWrap/>
            <w:vAlign w:val="center"/>
            <w:hideMark/>
          </w:tcPr>
          <w:p w14:paraId="2ADC7B0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16 363</w:t>
            </w:r>
          </w:p>
        </w:tc>
        <w:tc>
          <w:tcPr>
            <w:tcW w:w="851" w:type="dxa"/>
            <w:tcBorders>
              <w:top w:val="nil"/>
              <w:left w:val="nil"/>
              <w:bottom w:val="nil"/>
              <w:right w:val="nil"/>
            </w:tcBorders>
            <w:shd w:val="clear" w:color="auto" w:fill="auto"/>
            <w:noWrap/>
            <w:vAlign w:val="center"/>
            <w:hideMark/>
          </w:tcPr>
          <w:p w14:paraId="6768ABA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31 620</w:t>
            </w:r>
          </w:p>
        </w:tc>
        <w:tc>
          <w:tcPr>
            <w:tcW w:w="850" w:type="dxa"/>
            <w:tcBorders>
              <w:top w:val="nil"/>
              <w:left w:val="nil"/>
              <w:bottom w:val="nil"/>
              <w:right w:val="nil"/>
            </w:tcBorders>
            <w:shd w:val="clear" w:color="000000" w:fill="FFFFFF"/>
            <w:noWrap/>
            <w:vAlign w:val="center"/>
            <w:hideMark/>
          </w:tcPr>
          <w:p w14:paraId="358D5BD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19 657</w:t>
            </w:r>
          </w:p>
        </w:tc>
        <w:tc>
          <w:tcPr>
            <w:tcW w:w="851" w:type="dxa"/>
            <w:tcBorders>
              <w:top w:val="nil"/>
              <w:left w:val="nil"/>
              <w:bottom w:val="nil"/>
              <w:right w:val="nil"/>
            </w:tcBorders>
            <w:shd w:val="clear" w:color="auto" w:fill="auto"/>
            <w:noWrap/>
            <w:vAlign w:val="center"/>
            <w:hideMark/>
          </w:tcPr>
          <w:p w14:paraId="0B0A0A5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37 115</w:t>
            </w:r>
          </w:p>
        </w:tc>
        <w:tc>
          <w:tcPr>
            <w:tcW w:w="684" w:type="dxa"/>
            <w:tcBorders>
              <w:top w:val="nil"/>
              <w:left w:val="nil"/>
              <w:bottom w:val="nil"/>
              <w:right w:val="nil"/>
            </w:tcBorders>
            <w:shd w:val="clear" w:color="auto" w:fill="auto"/>
            <w:noWrap/>
            <w:vAlign w:val="center"/>
            <w:hideMark/>
          </w:tcPr>
          <w:p w14:paraId="1B3BC2B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FFFFFF"/>
            <w:vAlign w:val="center"/>
            <w:hideMark/>
          </w:tcPr>
          <w:p w14:paraId="5EAA8E4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17 458</w:t>
            </w:r>
          </w:p>
        </w:tc>
        <w:tc>
          <w:tcPr>
            <w:tcW w:w="684" w:type="dxa"/>
            <w:tcBorders>
              <w:top w:val="nil"/>
              <w:left w:val="nil"/>
              <w:bottom w:val="nil"/>
              <w:right w:val="nil"/>
            </w:tcBorders>
            <w:shd w:val="clear" w:color="000000" w:fill="FFFFFF"/>
            <w:vAlign w:val="center"/>
            <w:hideMark/>
          </w:tcPr>
          <w:p w14:paraId="5021D7F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88,8</w:t>
            </w:r>
          </w:p>
        </w:tc>
      </w:tr>
      <w:tr w:rsidR="0013260D" w:rsidRPr="00563E25" w14:paraId="478A0A5F" w14:textId="77777777" w:rsidTr="00EB5625">
        <w:trPr>
          <w:trHeight w:val="289"/>
        </w:trPr>
        <w:tc>
          <w:tcPr>
            <w:tcW w:w="3994" w:type="dxa"/>
            <w:tcBorders>
              <w:top w:val="nil"/>
              <w:left w:val="nil"/>
              <w:bottom w:val="nil"/>
              <w:right w:val="nil"/>
            </w:tcBorders>
            <w:shd w:val="clear" w:color="000000" w:fill="FFFFFF"/>
            <w:vAlign w:val="center"/>
            <w:hideMark/>
          </w:tcPr>
          <w:p w14:paraId="13CD4A9C"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 xml:space="preserve">Ministerstvo práce, </w:t>
            </w:r>
            <w:proofErr w:type="spellStart"/>
            <w:r w:rsidRPr="00563E25">
              <w:rPr>
                <w:rFonts w:eastAsia="Times New Roman" w:cs="Times New Roman"/>
                <w:color w:val="000000"/>
                <w:sz w:val="18"/>
                <w:szCs w:val="18"/>
                <w:lang w:eastAsia="sk-SK"/>
              </w:rPr>
              <w:t>soc.vecí</w:t>
            </w:r>
            <w:proofErr w:type="spellEnd"/>
            <w:r w:rsidRPr="00563E25">
              <w:rPr>
                <w:rFonts w:eastAsia="Times New Roman" w:cs="Times New Roman"/>
                <w:color w:val="000000"/>
                <w:sz w:val="18"/>
                <w:szCs w:val="18"/>
                <w:lang w:eastAsia="sk-SK"/>
              </w:rPr>
              <w:t xml:space="preserve"> a rodiny SR</w:t>
            </w:r>
          </w:p>
        </w:tc>
        <w:tc>
          <w:tcPr>
            <w:tcW w:w="850" w:type="dxa"/>
            <w:tcBorders>
              <w:top w:val="nil"/>
              <w:left w:val="nil"/>
              <w:bottom w:val="nil"/>
              <w:right w:val="nil"/>
            </w:tcBorders>
            <w:shd w:val="clear" w:color="auto" w:fill="auto"/>
            <w:noWrap/>
            <w:vAlign w:val="center"/>
            <w:hideMark/>
          </w:tcPr>
          <w:p w14:paraId="45B4010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9 555</w:t>
            </w:r>
          </w:p>
        </w:tc>
        <w:tc>
          <w:tcPr>
            <w:tcW w:w="851" w:type="dxa"/>
            <w:tcBorders>
              <w:top w:val="nil"/>
              <w:left w:val="nil"/>
              <w:bottom w:val="nil"/>
              <w:right w:val="nil"/>
            </w:tcBorders>
            <w:shd w:val="clear" w:color="auto" w:fill="auto"/>
            <w:noWrap/>
            <w:vAlign w:val="center"/>
            <w:hideMark/>
          </w:tcPr>
          <w:p w14:paraId="2597AEB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1 712</w:t>
            </w:r>
          </w:p>
        </w:tc>
        <w:tc>
          <w:tcPr>
            <w:tcW w:w="850" w:type="dxa"/>
            <w:tcBorders>
              <w:top w:val="nil"/>
              <w:left w:val="nil"/>
              <w:bottom w:val="nil"/>
              <w:right w:val="nil"/>
            </w:tcBorders>
            <w:shd w:val="clear" w:color="000000" w:fill="FFFFFF"/>
            <w:noWrap/>
            <w:vAlign w:val="center"/>
            <w:hideMark/>
          </w:tcPr>
          <w:p w14:paraId="4716D8D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350</w:t>
            </w:r>
          </w:p>
        </w:tc>
        <w:tc>
          <w:tcPr>
            <w:tcW w:w="851" w:type="dxa"/>
            <w:tcBorders>
              <w:top w:val="nil"/>
              <w:left w:val="nil"/>
              <w:bottom w:val="nil"/>
              <w:right w:val="nil"/>
            </w:tcBorders>
            <w:shd w:val="clear" w:color="auto" w:fill="auto"/>
            <w:noWrap/>
            <w:vAlign w:val="center"/>
            <w:hideMark/>
          </w:tcPr>
          <w:p w14:paraId="528A27B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10 569</w:t>
            </w:r>
          </w:p>
        </w:tc>
        <w:tc>
          <w:tcPr>
            <w:tcW w:w="684" w:type="dxa"/>
            <w:tcBorders>
              <w:top w:val="nil"/>
              <w:left w:val="nil"/>
              <w:bottom w:val="nil"/>
              <w:right w:val="nil"/>
            </w:tcBorders>
            <w:shd w:val="clear" w:color="auto" w:fill="auto"/>
            <w:noWrap/>
            <w:vAlign w:val="center"/>
            <w:hideMark/>
          </w:tcPr>
          <w:p w14:paraId="19238A3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9 909</w:t>
            </w:r>
          </w:p>
        </w:tc>
        <w:tc>
          <w:tcPr>
            <w:tcW w:w="851" w:type="dxa"/>
            <w:tcBorders>
              <w:top w:val="nil"/>
              <w:left w:val="nil"/>
              <w:bottom w:val="nil"/>
              <w:right w:val="nil"/>
            </w:tcBorders>
            <w:shd w:val="clear" w:color="000000" w:fill="FFFFFF"/>
            <w:vAlign w:val="center"/>
            <w:hideMark/>
          </w:tcPr>
          <w:p w14:paraId="037AA39F"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10 219</w:t>
            </w:r>
          </w:p>
        </w:tc>
        <w:tc>
          <w:tcPr>
            <w:tcW w:w="684" w:type="dxa"/>
            <w:tcBorders>
              <w:top w:val="nil"/>
              <w:left w:val="nil"/>
              <w:bottom w:val="nil"/>
              <w:right w:val="nil"/>
            </w:tcBorders>
            <w:shd w:val="clear" w:color="000000" w:fill="FFFFFF"/>
            <w:vAlign w:val="center"/>
            <w:hideMark/>
          </w:tcPr>
          <w:p w14:paraId="12E3C85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2 919,7</w:t>
            </w:r>
          </w:p>
        </w:tc>
      </w:tr>
      <w:tr w:rsidR="0013260D" w:rsidRPr="00563E25" w14:paraId="04EC28B0" w14:textId="77777777" w:rsidTr="00EB5625">
        <w:trPr>
          <w:trHeight w:val="289"/>
        </w:trPr>
        <w:tc>
          <w:tcPr>
            <w:tcW w:w="3994" w:type="dxa"/>
            <w:tcBorders>
              <w:top w:val="nil"/>
              <w:left w:val="nil"/>
              <w:bottom w:val="nil"/>
              <w:right w:val="nil"/>
            </w:tcBorders>
            <w:shd w:val="clear" w:color="000000" w:fill="FFFFFF"/>
            <w:noWrap/>
            <w:vAlign w:val="center"/>
            <w:hideMark/>
          </w:tcPr>
          <w:p w14:paraId="15BCCB03"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vnútra SR</w:t>
            </w:r>
          </w:p>
        </w:tc>
        <w:tc>
          <w:tcPr>
            <w:tcW w:w="850" w:type="dxa"/>
            <w:tcBorders>
              <w:top w:val="nil"/>
              <w:left w:val="nil"/>
              <w:bottom w:val="nil"/>
              <w:right w:val="nil"/>
            </w:tcBorders>
            <w:shd w:val="clear" w:color="auto" w:fill="auto"/>
            <w:noWrap/>
            <w:vAlign w:val="center"/>
            <w:hideMark/>
          </w:tcPr>
          <w:p w14:paraId="06C4E62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2 655</w:t>
            </w:r>
          </w:p>
        </w:tc>
        <w:tc>
          <w:tcPr>
            <w:tcW w:w="851" w:type="dxa"/>
            <w:tcBorders>
              <w:top w:val="nil"/>
              <w:left w:val="nil"/>
              <w:bottom w:val="nil"/>
              <w:right w:val="nil"/>
            </w:tcBorders>
            <w:shd w:val="clear" w:color="auto" w:fill="auto"/>
            <w:noWrap/>
            <w:vAlign w:val="center"/>
            <w:hideMark/>
          </w:tcPr>
          <w:p w14:paraId="4ABEBC5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3 475</w:t>
            </w:r>
          </w:p>
        </w:tc>
        <w:tc>
          <w:tcPr>
            <w:tcW w:w="850" w:type="dxa"/>
            <w:tcBorders>
              <w:top w:val="nil"/>
              <w:left w:val="nil"/>
              <w:bottom w:val="nil"/>
              <w:right w:val="nil"/>
            </w:tcBorders>
            <w:shd w:val="clear" w:color="000000" w:fill="FFFFFF"/>
            <w:noWrap/>
            <w:vAlign w:val="center"/>
            <w:hideMark/>
          </w:tcPr>
          <w:p w14:paraId="124B27D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250</w:t>
            </w:r>
          </w:p>
        </w:tc>
        <w:tc>
          <w:tcPr>
            <w:tcW w:w="851" w:type="dxa"/>
            <w:tcBorders>
              <w:top w:val="nil"/>
              <w:left w:val="nil"/>
              <w:bottom w:val="nil"/>
              <w:right w:val="nil"/>
            </w:tcBorders>
            <w:shd w:val="clear" w:color="auto" w:fill="auto"/>
            <w:noWrap/>
            <w:vAlign w:val="center"/>
            <w:hideMark/>
          </w:tcPr>
          <w:p w14:paraId="6844810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8 486</w:t>
            </w:r>
          </w:p>
        </w:tc>
        <w:tc>
          <w:tcPr>
            <w:tcW w:w="684" w:type="dxa"/>
            <w:tcBorders>
              <w:top w:val="nil"/>
              <w:left w:val="nil"/>
              <w:bottom w:val="nil"/>
              <w:right w:val="nil"/>
            </w:tcBorders>
            <w:shd w:val="clear" w:color="auto" w:fill="auto"/>
            <w:noWrap/>
            <w:vAlign w:val="center"/>
            <w:hideMark/>
          </w:tcPr>
          <w:p w14:paraId="2717CC0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1 260</w:t>
            </w:r>
          </w:p>
        </w:tc>
        <w:tc>
          <w:tcPr>
            <w:tcW w:w="851" w:type="dxa"/>
            <w:tcBorders>
              <w:top w:val="nil"/>
              <w:left w:val="nil"/>
              <w:bottom w:val="nil"/>
              <w:right w:val="nil"/>
            </w:tcBorders>
            <w:shd w:val="clear" w:color="000000" w:fill="FFFFFF"/>
            <w:vAlign w:val="center"/>
            <w:hideMark/>
          </w:tcPr>
          <w:p w14:paraId="56FB0F7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8 236</w:t>
            </w:r>
          </w:p>
        </w:tc>
        <w:tc>
          <w:tcPr>
            <w:tcW w:w="684" w:type="dxa"/>
            <w:tcBorders>
              <w:top w:val="nil"/>
              <w:left w:val="nil"/>
              <w:bottom w:val="nil"/>
              <w:right w:val="nil"/>
            </w:tcBorders>
            <w:shd w:val="clear" w:color="000000" w:fill="FFFFFF"/>
            <w:vAlign w:val="center"/>
            <w:hideMark/>
          </w:tcPr>
          <w:p w14:paraId="788E44A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3 294,4</w:t>
            </w:r>
          </w:p>
        </w:tc>
      </w:tr>
      <w:tr w:rsidR="0013260D" w:rsidRPr="00563E25" w14:paraId="2A44F4A3" w14:textId="77777777" w:rsidTr="00EB5625">
        <w:trPr>
          <w:trHeight w:val="289"/>
        </w:trPr>
        <w:tc>
          <w:tcPr>
            <w:tcW w:w="3994" w:type="dxa"/>
            <w:tcBorders>
              <w:top w:val="nil"/>
              <w:left w:val="nil"/>
              <w:bottom w:val="nil"/>
              <w:right w:val="nil"/>
            </w:tcBorders>
            <w:shd w:val="clear" w:color="000000" w:fill="FFFFFF"/>
            <w:vAlign w:val="center"/>
            <w:hideMark/>
          </w:tcPr>
          <w:p w14:paraId="72E1AAFF"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zdravotníctva SR</w:t>
            </w:r>
          </w:p>
        </w:tc>
        <w:tc>
          <w:tcPr>
            <w:tcW w:w="850" w:type="dxa"/>
            <w:tcBorders>
              <w:top w:val="nil"/>
              <w:left w:val="nil"/>
              <w:bottom w:val="nil"/>
              <w:right w:val="nil"/>
            </w:tcBorders>
            <w:shd w:val="clear" w:color="auto" w:fill="auto"/>
            <w:noWrap/>
            <w:vAlign w:val="center"/>
            <w:hideMark/>
          </w:tcPr>
          <w:p w14:paraId="5669E847"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51" w:type="dxa"/>
            <w:tcBorders>
              <w:top w:val="nil"/>
              <w:left w:val="nil"/>
              <w:bottom w:val="nil"/>
              <w:right w:val="nil"/>
            </w:tcBorders>
            <w:shd w:val="clear" w:color="auto" w:fill="auto"/>
            <w:noWrap/>
            <w:vAlign w:val="center"/>
            <w:hideMark/>
          </w:tcPr>
          <w:p w14:paraId="3800DE8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7 952</w:t>
            </w:r>
          </w:p>
        </w:tc>
        <w:tc>
          <w:tcPr>
            <w:tcW w:w="850" w:type="dxa"/>
            <w:tcBorders>
              <w:top w:val="nil"/>
              <w:left w:val="nil"/>
              <w:bottom w:val="nil"/>
              <w:right w:val="nil"/>
            </w:tcBorders>
            <w:shd w:val="clear" w:color="000000" w:fill="FFFFFF"/>
            <w:noWrap/>
            <w:vAlign w:val="center"/>
            <w:hideMark/>
          </w:tcPr>
          <w:p w14:paraId="1464FE97"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851" w:type="dxa"/>
            <w:tcBorders>
              <w:top w:val="nil"/>
              <w:left w:val="nil"/>
              <w:bottom w:val="nil"/>
              <w:right w:val="nil"/>
            </w:tcBorders>
            <w:shd w:val="clear" w:color="auto" w:fill="auto"/>
            <w:noWrap/>
            <w:vAlign w:val="center"/>
            <w:hideMark/>
          </w:tcPr>
          <w:p w14:paraId="0187A6C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2 528</w:t>
            </w:r>
          </w:p>
        </w:tc>
        <w:tc>
          <w:tcPr>
            <w:tcW w:w="684" w:type="dxa"/>
            <w:tcBorders>
              <w:top w:val="nil"/>
              <w:left w:val="nil"/>
              <w:bottom w:val="nil"/>
              <w:right w:val="nil"/>
            </w:tcBorders>
            <w:shd w:val="clear" w:color="auto" w:fill="auto"/>
            <w:noWrap/>
            <w:vAlign w:val="center"/>
            <w:hideMark/>
          </w:tcPr>
          <w:p w14:paraId="4C15AB1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2 529</w:t>
            </w:r>
          </w:p>
        </w:tc>
        <w:tc>
          <w:tcPr>
            <w:tcW w:w="851" w:type="dxa"/>
            <w:tcBorders>
              <w:top w:val="nil"/>
              <w:left w:val="nil"/>
              <w:bottom w:val="nil"/>
              <w:right w:val="nil"/>
            </w:tcBorders>
            <w:shd w:val="clear" w:color="000000" w:fill="FFFFFF"/>
            <w:vAlign w:val="center"/>
            <w:hideMark/>
          </w:tcPr>
          <w:p w14:paraId="7651247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2 528</w:t>
            </w:r>
          </w:p>
        </w:tc>
        <w:tc>
          <w:tcPr>
            <w:tcW w:w="684" w:type="dxa"/>
            <w:tcBorders>
              <w:top w:val="nil"/>
              <w:left w:val="nil"/>
              <w:bottom w:val="nil"/>
              <w:right w:val="nil"/>
            </w:tcBorders>
            <w:shd w:val="clear" w:color="000000" w:fill="FFFFFF"/>
            <w:vAlign w:val="center"/>
            <w:hideMark/>
          </w:tcPr>
          <w:p w14:paraId="21F0B46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22C90A7E" w14:textId="77777777" w:rsidTr="00EB5625">
        <w:trPr>
          <w:trHeight w:val="289"/>
        </w:trPr>
        <w:tc>
          <w:tcPr>
            <w:tcW w:w="3994" w:type="dxa"/>
            <w:tcBorders>
              <w:top w:val="nil"/>
              <w:left w:val="nil"/>
              <w:bottom w:val="nil"/>
              <w:right w:val="nil"/>
            </w:tcBorders>
            <w:shd w:val="clear" w:color="000000" w:fill="FFFFFF"/>
            <w:vAlign w:val="center"/>
            <w:hideMark/>
          </w:tcPr>
          <w:p w14:paraId="3269CD4F"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kultúry SR</w:t>
            </w:r>
          </w:p>
        </w:tc>
        <w:tc>
          <w:tcPr>
            <w:tcW w:w="850" w:type="dxa"/>
            <w:tcBorders>
              <w:top w:val="nil"/>
              <w:left w:val="nil"/>
              <w:bottom w:val="nil"/>
              <w:right w:val="nil"/>
            </w:tcBorders>
            <w:shd w:val="clear" w:color="auto" w:fill="auto"/>
            <w:noWrap/>
            <w:vAlign w:val="center"/>
            <w:hideMark/>
          </w:tcPr>
          <w:p w14:paraId="1FF61D1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599</w:t>
            </w:r>
          </w:p>
        </w:tc>
        <w:tc>
          <w:tcPr>
            <w:tcW w:w="851" w:type="dxa"/>
            <w:tcBorders>
              <w:top w:val="nil"/>
              <w:left w:val="nil"/>
              <w:bottom w:val="nil"/>
              <w:right w:val="nil"/>
            </w:tcBorders>
            <w:shd w:val="clear" w:color="auto" w:fill="auto"/>
            <w:noWrap/>
            <w:vAlign w:val="center"/>
            <w:hideMark/>
          </w:tcPr>
          <w:p w14:paraId="3FC73A4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382</w:t>
            </w:r>
          </w:p>
        </w:tc>
        <w:tc>
          <w:tcPr>
            <w:tcW w:w="850" w:type="dxa"/>
            <w:tcBorders>
              <w:top w:val="nil"/>
              <w:left w:val="nil"/>
              <w:bottom w:val="nil"/>
              <w:right w:val="nil"/>
            </w:tcBorders>
            <w:shd w:val="clear" w:color="000000" w:fill="FFFFFF"/>
            <w:noWrap/>
            <w:vAlign w:val="center"/>
            <w:hideMark/>
          </w:tcPr>
          <w:p w14:paraId="5913626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851" w:type="dxa"/>
            <w:tcBorders>
              <w:top w:val="nil"/>
              <w:left w:val="nil"/>
              <w:bottom w:val="nil"/>
              <w:right w:val="nil"/>
            </w:tcBorders>
            <w:shd w:val="clear" w:color="auto" w:fill="auto"/>
            <w:noWrap/>
            <w:vAlign w:val="center"/>
            <w:hideMark/>
          </w:tcPr>
          <w:p w14:paraId="57B1D9A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1 177</w:t>
            </w:r>
          </w:p>
        </w:tc>
        <w:tc>
          <w:tcPr>
            <w:tcW w:w="684" w:type="dxa"/>
            <w:tcBorders>
              <w:top w:val="nil"/>
              <w:left w:val="nil"/>
              <w:bottom w:val="nil"/>
              <w:right w:val="nil"/>
            </w:tcBorders>
            <w:shd w:val="clear" w:color="auto" w:fill="auto"/>
            <w:noWrap/>
            <w:vAlign w:val="center"/>
            <w:hideMark/>
          </w:tcPr>
          <w:p w14:paraId="5CF7171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1 013</w:t>
            </w:r>
          </w:p>
        </w:tc>
        <w:tc>
          <w:tcPr>
            <w:tcW w:w="851" w:type="dxa"/>
            <w:tcBorders>
              <w:top w:val="nil"/>
              <w:left w:val="nil"/>
              <w:bottom w:val="nil"/>
              <w:right w:val="nil"/>
            </w:tcBorders>
            <w:shd w:val="clear" w:color="000000" w:fill="FFFFFF"/>
            <w:vAlign w:val="center"/>
            <w:hideMark/>
          </w:tcPr>
          <w:p w14:paraId="0E3E5F4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1 177</w:t>
            </w:r>
          </w:p>
        </w:tc>
        <w:tc>
          <w:tcPr>
            <w:tcW w:w="684" w:type="dxa"/>
            <w:tcBorders>
              <w:top w:val="nil"/>
              <w:left w:val="nil"/>
              <w:bottom w:val="nil"/>
              <w:right w:val="nil"/>
            </w:tcBorders>
            <w:shd w:val="clear" w:color="000000" w:fill="FFFFFF"/>
            <w:vAlign w:val="center"/>
            <w:hideMark/>
          </w:tcPr>
          <w:p w14:paraId="09DA9D1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3EA5481B" w14:textId="77777777" w:rsidTr="00EB5625">
        <w:trPr>
          <w:trHeight w:val="289"/>
        </w:trPr>
        <w:tc>
          <w:tcPr>
            <w:tcW w:w="3994" w:type="dxa"/>
            <w:tcBorders>
              <w:top w:val="nil"/>
              <w:left w:val="nil"/>
              <w:bottom w:val="nil"/>
              <w:right w:val="nil"/>
            </w:tcBorders>
            <w:shd w:val="clear" w:color="000000" w:fill="FFFFFF"/>
            <w:vAlign w:val="center"/>
            <w:hideMark/>
          </w:tcPr>
          <w:p w14:paraId="15A451C7"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životného prostredia SR</w:t>
            </w:r>
          </w:p>
        </w:tc>
        <w:tc>
          <w:tcPr>
            <w:tcW w:w="850" w:type="dxa"/>
            <w:tcBorders>
              <w:top w:val="nil"/>
              <w:left w:val="nil"/>
              <w:bottom w:val="nil"/>
              <w:right w:val="nil"/>
            </w:tcBorders>
            <w:shd w:val="clear" w:color="auto" w:fill="auto"/>
            <w:noWrap/>
            <w:vAlign w:val="center"/>
            <w:hideMark/>
          </w:tcPr>
          <w:p w14:paraId="5BE1F62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2 859</w:t>
            </w:r>
          </w:p>
        </w:tc>
        <w:tc>
          <w:tcPr>
            <w:tcW w:w="851" w:type="dxa"/>
            <w:tcBorders>
              <w:top w:val="nil"/>
              <w:left w:val="nil"/>
              <w:bottom w:val="nil"/>
              <w:right w:val="nil"/>
            </w:tcBorders>
            <w:shd w:val="clear" w:color="auto" w:fill="auto"/>
            <w:noWrap/>
            <w:vAlign w:val="center"/>
            <w:hideMark/>
          </w:tcPr>
          <w:p w14:paraId="06AC9B6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683</w:t>
            </w:r>
          </w:p>
        </w:tc>
        <w:tc>
          <w:tcPr>
            <w:tcW w:w="850" w:type="dxa"/>
            <w:tcBorders>
              <w:top w:val="nil"/>
              <w:left w:val="nil"/>
              <w:bottom w:val="nil"/>
              <w:right w:val="nil"/>
            </w:tcBorders>
            <w:shd w:val="clear" w:color="000000" w:fill="FFFFFF"/>
            <w:noWrap/>
            <w:vAlign w:val="center"/>
            <w:hideMark/>
          </w:tcPr>
          <w:p w14:paraId="26D337A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851" w:type="dxa"/>
            <w:tcBorders>
              <w:top w:val="nil"/>
              <w:left w:val="nil"/>
              <w:bottom w:val="nil"/>
              <w:right w:val="nil"/>
            </w:tcBorders>
            <w:shd w:val="clear" w:color="auto" w:fill="auto"/>
            <w:noWrap/>
            <w:vAlign w:val="center"/>
            <w:hideMark/>
          </w:tcPr>
          <w:p w14:paraId="1009FA9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397</w:t>
            </w:r>
          </w:p>
        </w:tc>
        <w:tc>
          <w:tcPr>
            <w:tcW w:w="684" w:type="dxa"/>
            <w:tcBorders>
              <w:top w:val="nil"/>
              <w:left w:val="nil"/>
              <w:bottom w:val="nil"/>
              <w:right w:val="nil"/>
            </w:tcBorders>
            <w:shd w:val="clear" w:color="auto" w:fill="auto"/>
            <w:noWrap/>
            <w:vAlign w:val="center"/>
            <w:hideMark/>
          </w:tcPr>
          <w:p w14:paraId="69DEA022" w14:textId="77777777" w:rsidR="0013260D" w:rsidRPr="00563E25" w:rsidRDefault="0013260D" w:rsidP="00AB0350">
            <w:pPr>
              <w:spacing w:after="0" w:line="240" w:lineRule="auto"/>
              <w:jc w:val="right"/>
              <w:rPr>
                <w:rFonts w:eastAsia="Times New Roman" w:cs="Times New Roman"/>
                <w:color w:val="000000"/>
                <w:sz w:val="18"/>
                <w:szCs w:val="18"/>
                <w:lang w:eastAsia="sk-SK"/>
              </w:rPr>
            </w:pPr>
          </w:p>
        </w:tc>
        <w:tc>
          <w:tcPr>
            <w:tcW w:w="851" w:type="dxa"/>
            <w:tcBorders>
              <w:top w:val="nil"/>
              <w:left w:val="nil"/>
              <w:bottom w:val="nil"/>
              <w:right w:val="nil"/>
            </w:tcBorders>
            <w:shd w:val="clear" w:color="000000" w:fill="FFFFFF"/>
            <w:vAlign w:val="center"/>
            <w:hideMark/>
          </w:tcPr>
          <w:p w14:paraId="1CB2242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397</w:t>
            </w:r>
          </w:p>
        </w:tc>
        <w:tc>
          <w:tcPr>
            <w:tcW w:w="684" w:type="dxa"/>
            <w:tcBorders>
              <w:top w:val="nil"/>
              <w:left w:val="nil"/>
              <w:bottom w:val="nil"/>
              <w:right w:val="nil"/>
            </w:tcBorders>
            <w:shd w:val="clear" w:color="000000" w:fill="FFFFFF"/>
            <w:vAlign w:val="center"/>
            <w:hideMark/>
          </w:tcPr>
          <w:p w14:paraId="7922946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0F952961" w14:textId="77777777" w:rsidTr="00EB5625">
        <w:trPr>
          <w:trHeight w:val="289"/>
        </w:trPr>
        <w:tc>
          <w:tcPr>
            <w:tcW w:w="3994" w:type="dxa"/>
            <w:tcBorders>
              <w:top w:val="nil"/>
              <w:left w:val="nil"/>
              <w:bottom w:val="nil"/>
              <w:right w:val="nil"/>
            </w:tcBorders>
            <w:shd w:val="clear" w:color="000000" w:fill="FFFFFF"/>
            <w:noWrap/>
            <w:vAlign w:val="center"/>
            <w:hideMark/>
          </w:tcPr>
          <w:p w14:paraId="65CC0F4B"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Úrad vlády SR</w:t>
            </w:r>
          </w:p>
        </w:tc>
        <w:tc>
          <w:tcPr>
            <w:tcW w:w="850" w:type="dxa"/>
            <w:tcBorders>
              <w:top w:val="nil"/>
              <w:left w:val="nil"/>
              <w:bottom w:val="nil"/>
              <w:right w:val="nil"/>
            </w:tcBorders>
            <w:shd w:val="clear" w:color="auto" w:fill="auto"/>
            <w:noWrap/>
            <w:vAlign w:val="center"/>
            <w:hideMark/>
          </w:tcPr>
          <w:p w14:paraId="6073A82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37</w:t>
            </w:r>
          </w:p>
        </w:tc>
        <w:tc>
          <w:tcPr>
            <w:tcW w:w="851" w:type="dxa"/>
            <w:tcBorders>
              <w:top w:val="nil"/>
              <w:left w:val="nil"/>
              <w:bottom w:val="nil"/>
              <w:right w:val="nil"/>
            </w:tcBorders>
            <w:shd w:val="clear" w:color="auto" w:fill="auto"/>
            <w:noWrap/>
            <w:vAlign w:val="center"/>
            <w:hideMark/>
          </w:tcPr>
          <w:p w14:paraId="5005EBC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40</w:t>
            </w:r>
          </w:p>
        </w:tc>
        <w:tc>
          <w:tcPr>
            <w:tcW w:w="850" w:type="dxa"/>
            <w:tcBorders>
              <w:top w:val="nil"/>
              <w:left w:val="nil"/>
              <w:bottom w:val="nil"/>
              <w:right w:val="nil"/>
            </w:tcBorders>
            <w:shd w:val="clear" w:color="000000" w:fill="FFFFFF"/>
            <w:noWrap/>
            <w:vAlign w:val="center"/>
            <w:hideMark/>
          </w:tcPr>
          <w:p w14:paraId="0E34144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650</w:t>
            </w:r>
          </w:p>
        </w:tc>
        <w:tc>
          <w:tcPr>
            <w:tcW w:w="851" w:type="dxa"/>
            <w:tcBorders>
              <w:top w:val="nil"/>
              <w:left w:val="nil"/>
              <w:bottom w:val="nil"/>
              <w:right w:val="nil"/>
            </w:tcBorders>
            <w:shd w:val="clear" w:color="auto" w:fill="auto"/>
            <w:noWrap/>
            <w:vAlign w:val="center"/>
            <w:hideMark/>
          </w:tcPr>
          <w:p w14:paraId="7EFBBF5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181</w:t>
            </w:r>
          </w:p>
        </w:tc>
        <w:tc>
          <w:tcPr>
            <w:tcW w:w="684" w:type="dxa"/>
            <w:tcBorders>
              <w:top w:val="nil"/>
              <w:left w:val="nil"/>
              <w:bottom w:val="nil"/>
              <w:right w:val="nil"/>
            </w:tcBorders>
            <w:shd w:val="clear" w:color="auto" w:fill="auto"/>
            <w:noWrap/>
            <w:vAlign w:val="center"/>
            <w:hideMark/>
          </w:tcPr>
          <w:p w14:paraId="1AE83FA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172</w:t>
            </w:r>
          </w:p>
        </w:tc>
        <w:tc>
          <w:tcPr>
            <w:tcW w:w="851" w:type="dxa"/>
            <w:tcBorders>
              <w:top w:val="nil"/>
              <w:left w:val="nil"/>
              <w:bottom w:val="nil"/>
              <w:right w:val="nil"/>
            </w:tcBorders>
            <w:shd w:val="clear" w:color="000000" w:fill="FFFFFF"/>
            <w:vAlign w:val="center"/>
            <w:hideMark/>
          </w:tcPr>
          <w:p w14:paraId="5ADDC0D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-469</w:t>
            </w:r>
          </w:p>
        </w:tc>
        <w:tc>
          <w:tcPr>
            <w:tcW w:w="684" w:type="dxa"/>
            <w:tcBorders>
              <w:top w:val="nil"/>
              <w:left w:val="nil"/>
              <w:bottom w:val="nil"/>
              <w:right w:val="nil"/>
            </w:tcBorders>
            <w:shd w:val="clear" w:color="000000" w:fill="FFFFFF"/>
            <w:vAlign w:val="center"/>
            <w:hideMark/>
          </w:tcPr>
          <w:p w14:paraId="083C625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-72,2</w:t>
            </w:r>
          </w:p>
        </w:tc>
      </w:tr>
      <w:tr w:rsidR="0013260D" w:rsidRPr="00563E25" w14:paraId="3DBB07A2" w14:textId="77777777" w:rsidTr="00EB5625">
        <w:trPr>
          <w:trHeight w:val="289"/>
        </w:trPr>
        <w:tc>
          <w:tcPr>
            <w:tcW w:w="3994" w:type="dxa"/>
            <w:tcBorders>
              <w:top w:val="nil"/>
              <w:left w:val="nil"/>
              <w:bottom w:val="nil"/>
              <w:right w:val="nil"/>
            </w:tcBorders>
            <w:shd w:val="clear" w:color="000000" w:fill="FFFFFF"/>
            <w:vAlign w:val="center"/>
            <w:hideMark/>
          </w:tcPr>
          <w:p w14:paraId="68612130"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pôdohospodárstva a rozvoja vidieka SR</w:t>
            </w:r>
          </w:p>
        </w:tc>
        <w:tc>
          <w:tcPr>
            <w:tcW w:w="850" w:type="dxa"/>
            <w:tcBorders>
              <w:top w:val="nil"/>
              <w:left w:val="nil"/>
              <w:bottom w:val="nil"/>
              <w:right w:val="nil"/>
            </w:tcBorders>
            <w:shd w:val="clear" w:color="auto" w:fill="auto"/>
            <w:noWrap/>
            <w:vAlign w:val="center"/>
            <w:hideMark/>
          </w:tcPr>
          <w:p w14:paraId="71431C0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29 179</w:t>
            </w:r>
          </w:p>
        </w:tc>
        <w:tc>
          <w:tcPr>
            <w:tcW w:w="851" w:type="dxa"/>
            <w:tcBorders>
              <w:top w:val="nil"/>
              <w:left w:val="nil"/>
              <w:bottom w:val="nil"/>
              <w:right w:val="nil"/>
            </w:tcBorders>
            <w:shd w:val="clear" w:color="auto" w:fill="auto"/>
            <w:noWrap/>
            <w:vAlign w:val="center"/>
            <w:hideMark/>
          </w:tcPr>
          <w:p w14:paraId="36983B5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50" w:type="dxa"/>
            <w:tcBorders>
              <w:top w:val="nil"/>
              <w:left w:val="nil"/>
              <w:bottom w:val="nil"/>
              <w:right w:val="nil"/>
            </w:tcBorders>
            <w:shd w:val="clear" w:color="000000" w:fill="FFFFFF"/>
            <w:noWrap/>
            <w:vAlign w:val="center"/>
            <w:hideMark/>
          </w:tcPr>
          <w:p w14:paraId="0928AAE9"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851" w:type="dxa"/>
            <w:tcBorders>
              <w:top w:val="nil"/>
              <w:left w:val="nil"/>
              <w:bottom w:val="nil"/>
              <w:right w:val="nil"/>
            </w:tcBorders>
            <w:shd w:val="clear" w:color="auto" w:fill="auto"/>
            <w:noWrap/>
            <w:vAlign w:val="center"/>
            <w:hideMark/>
          </w:tcPr>
          <w:p w14:paraId="7831524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10</w:t>
            </w:r>
          </w:p>
        </w:tc>
        <w:tc>
          <w:tcPr>
            <w:tcW w:w="684" w:type="dxa"/>
            <w:tcBorders>
              <w:top w:val="nil"/>
              <w:left w:val="nil"/>
              <w:bottom w:val="nil"/>
              <w:right w:val="nil"/>
            </w:tcBorders>
            <w:shd w:val="clear" w:color="auto" w:fill="auto"/>
            <w:noWrap/>
            <w:vAlign w:val="center"/>
            <w:hideMark/>
          </w:tcPr>
          <w:p w14:paraId="172D8ED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FFFFFF"/>
            <w:vAlign w:val="center"/>
            <w:hideMark/>
          </w:tcPr>
          <w:p w14:paraId="49CE628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10</w:t>
            </w:r>
          </w:p>
        </w:tc>
        <w:tc>
          <w:tcPr>
            <w:tcW w:w="684" w:type="dxa"/>
            <w:tcBorders>
              <w:top w:val="nil"/>
              <w:left w:val="nil"/>
              <w:bottom w:val="nil"/>
              <w:right w:val="nil"/>
            </w:tcBorders>
            <w:shd w:val="clear" w:color="000000" w:fill="FFFFFF"/>
            <w:vAlign w:val="center"/>
            <w:hideMark/>
          </w:tcPr>
          <w:p w14:paraId="0DA63E9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7D0B8D92" w14:textId="77777777" w:rsidTr="00EB5625">
        <w:trPr>
          <w:trHeight w:val="289"/>
        </w:trPr>
        <w:tc>
          <w:tcPr>
            <w:tcW w:w="3994" w:type="dxa"/>
            <w:tcBorders>
              <w:top w:val="nil"/>
              <w:left w:val="nil"/>
              <w:bottom w:val="nil"/>
              <w:right w:val="nil"/>
            </w:tcBorders>
            <w:shd w:val="clear" w:color="000000" w:fill="FFFFFF"/>
            <w:vAlign w:val="center"/>
            <w:hideMark/>
          </w:tcPr>
          <w:p w14:paraId="4B20AC37"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hospodárstva SR</w:t>
            </w:r>
          </w:p>
        </w:tc>
        <w:tc>
          <w:tcPr>
            <w:tcW w:w="850" w:type="dxa"/>
            <w:tcBorders>
              <w:top w:val="nil"/>
              <w:left w:val="nil"/>
              <w:bottom w:val="nil"/>
              <w:right w:val="nil"/>
            </w:tcBorders>
            <w:shd w:val="clear" w:color="auto" w:fill="auto"/>
            <w:noWrap/>
            <w:vAlign w:val="center"/>
            <w:hideMark/>
          </w:tcPr>
          <w:p w14:paraId="3F7B961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51" w:type="dxa"/>
            <w:tcBorders>
              <w:top w:val="nil"/>
              <w:left w:val="nil"/>
              <w:bottom w:val="nil"/>
              <w:right w:val="nil"/>
            </w:tcBorders>
            <w:shd w:val="clear" w:color="auto" w:fill="auto"/>
            <w:noWrap/>
            <w:vAlign w:val="center"/>
            <w:hideMark/>
          </w:tcPr>
          <w:p w14:paraId="0338ED1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6</w:t>
            </w:r>
          </w:p>
        </w:tc>
        <w:tc>
          <w:tcPr>
            <w:tcW w:w="850" w:type="dxa"/>
            <w:tcBorders>
              <w:top w:val="nil"/>
              <w:left w:val="nil"/>
              <w:bottom w:val="nil"/>
              <w:right w:val="nil"/>
            </w:tcBorders>
            <w:shd w:val="clear" w:color="000000" w:fill="FFFFFF"/>
            <w:noWrap/>
            <w:vAlign w:val="center"/>
            <w:hideMark/>
          </w:tcPr>
          <w:p w14:paraId="39EC0F7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851" w:type="dxa"/>
            <w:tcBorders>
              <w:top w:val="nil"/>
              <w:left w:val="nil"/>
              <w:bottom w:val="nil"/>
              <w:right w:val="nil"/>
            </w:tcBorders>
            <w:shd w:val="clear" w:color="auto" w:fill="auto"/>
            <w:noWrap/>
            <w:vAlign w:val="center"/>
            <w:hideMark/>
          </w:tcPr>
          <w:p w14:paraId="301A94C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w:t>
            </w:r>
          </w:p>
        </w:tc>
        <w:tc>
          <w:tcPr>
            <w:tcW w:w="684" w:type="dxa"/>
            <w:tcBorders>
              <w:top w:val="nil"/>
              <w:left w:val="nil"/>
              <w:bottom w:val="nil"/>
              <w:right w:val="nil"/>
            </w:tcBorders>
            <w:shd w:val="clear" w:color="auto" w:fill="auto"/>
            <w:noWrap/>
            <w:vAlign w:val="center"/>
            <w:hideMark/>
          </w:tcPr>
          <w:p w14:paraId="06CACF3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FFFFFF"/>
            <w:vAlign w:val="center"/>
            <w:hideMark/>
          </w:tcPr>
          <w:p w14:paraId="2D7C55E9"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w:t>
            </w:r>
          </w:p>
        </w:tc>
        <w:tc>
          <w:tcPr>
            <w:tcW w:w="684" w:type="dxa"/>
            <w:tcBorders>
              <w:top w:val="nil"/>
              <w:left w:val="nil"/>
              <w:bottom w:val="nil"/>
              <w:right w:val="nil"/>
            </w:tcBorders>
            <w:shd w:val="clear" w:color="000000" w:fill="FFFFFF"/>
            <w:vAlign w:val="center"/>
            <w:hideMark/>
          </w:tcPr>
          <w:p w14:paraId="15F898D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6973DC66" w14:textId="77777777" w:rsidTr="00EB5625">
        <w:trPr>
          <w:trHeight w:val="289"/>
        </w:trPr>
        <w:tc>
          <w:tcPr>
            <w:tcW w:w="3994" w:type="dxa"/>
            <w:tcBorders>
              <w:top w:val="nil"/>
              <w:left w:val="nil"/>
              <w:bottom w:val="nil"/>
              <w:right w:val="nil"/>
            </w:tcBorders>
            <w:shd w:val="clear" w:color="000000" w:fill="FFFFFF"/>
            <w:noWrap/>
            <w:vAlign w:val="center"/>
            <w:hideMark/>
          </w:tcPr>
          <w:p w14:paraId="3F431FB6"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Všeobecná pokladničná správa</w:t>
            </w:r>
          </w:p>
        </w:tc>
        <w:tc>
          <w:tcPr>
            <w:tcW w:w="850" w:type="dxa"/>
            <w:tcBorders>
              <w:top w:val="nil"/>
              <w:left w:val="nil"/>
              <w:bottom w:val="nil"/>
              <w:right w:val="nil"/>
            </w:tcBorders>
            <w:shd w:val="clear" w:color="auto" w:fill="auto"/>
            <w:noWrap/>
            <w:vAlign w:val="center"/>
            <w:hideMark/>
          </w:tcPr>
          <w:p w14:paraId="0D2464C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10 695</w:t>
            </w:r>
          </w:p>
        </w:tc>
        <w:tc>
          <w:tcPr>
            <w:tcW w:w="851" w:type="dxa"/>
            <w:tcBorders>
              <w:top w:val="nil"/>
              <w:left w:val="nil"/>
              <w:bottom w:val="nil"/>
              <w:right w:val="nil"/>
            </w:tcBorders>
            <w:shd w:val="clear" w:color="auto" w:fill="auto"/>
            <w:noWrap/>
            <w:vAlign w:val="center"/>
            <w:hideMark/>
          </w:tcPr>
          <w:p w14:paraId="483A1F9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4 494</w:t>
            </w:r>
          </w:p>
        </w:tc>
        <w:tc>
          <w:tcPr>
            <w:tcW w:w="850" w:type="dxa"/>
            <w:tcBorders>
              <w:top w:val="nil"/>
              <w:left w:val="nil"/>
              <w:bottom w:val="nil"/>
              <w:right w:val="nil"/>
            </w:tcBorders>
            <w:shd w:val="clear" w:color="000000" w:fill="FFFFFF"/>
            <w:noWrap/>
            <w:vAlign w:val="center"/>
            <w:hideMark/>
          </w:tcPr>
          <w:p w14:paraId="78DA0D9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1 100</w:t>
            </w:r>
          </w:p>
        </w:tc>
        <w:tc>
          <w:tcPr>
            <w:tcW w:w="851" w:type="dxa"/>
            <w:tcBorders>
              <w:top w:val="nil"/>
              <w:left w:val="nil"/>
              <w:bottom w:val="nil"/>
              <w:right w:val="nil"/>
            </w:tcBorders>
            <w:shd w:val="clear" w:color="auto" w:fill="auto"/>
            <w:noWrap/>
            <w:vAlign w:val="center"/>
            <w:hideMark/>
          </w:tcPr>
          <w:p w14:paraId="6049174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684" w:type="dxa"/>
            <w:tcBorders>
              <w:top w:val="nil"/>
              <w:left w:val="nil"/>
              <w:bottom w:val="nil"/>
              <w:right w:val="nil"/>
            </w:tcBorders>
            <w:shd w:val="clear" w:color="auto" w:fill="auto"/>
            <w:noWrap/>
            <w:vAlign w:val="center"/>
            <w:hideMark/>
          </w:tcPr>
          <w:p w14:paraId="6F0DDC9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FFFFFF"/>
            <w:vAlign w:val="center"/>
            <w:hideMark/>
          </w:tcPr>
          <w:p w14:paraId="01D3C39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-1 100</w:t>
            </w:r>
          </w:p>
        </w:tc>
        <w:tc>
          <w:tcPr>
            <w:tcW w:w="684" w:type="dxa"/>
            <w:tcBorders>
              <w:top w:val="nil"/>
              <w:left w:val="nil"/>
              <w:bottom w:val="nil"/>
              <w:right w:val="nil"/>
            </w:tcBorders>
            <w:shd w:val="clear" w:color="000000" w:fill="FFFFFF"/>
            <w:vAlign w:val="center"/>
            <w:hideMark/>
          </w:tcPr>
          <w:p w14:paraId="3402C607"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-100,0</w:t>
            </w:r>
          </w:p>
        </w:tc>
      </w:tr>
      <w:tr w:rsidR="0013260D" w:rsidRPr="00563E25" w14:paraId="5009AD38" w14:textId="77777777" w:rsidTr="00EB5625">
        <w:trPr>
          <w:trHeight w:val="289"/>
        </w:trPr>
        <w:tc>
          <w:tcPr>
            <w:tcW w:w="3994" w:type="dxa"/>
            <w:tcBorders>
              <w:top w:val="nil"/>
              <w:left w:val="nil"/>
              <w:bottom w:val="nil"/>
              <w:right w:val="nil"/>
            </w:tcBorders>
            <w:shd w:val="clear" w:color="000000" w:fill="FFFFFF"/>
            <w:vAlign w:val="center"/>
            <w:hideMark/>
          </w:tcPr>
          <w:p w14:paraId="1CDB2E71"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dopravy a výstavby  SR</w:t>
            </w:r>
          </w:p>
        </w:tc>
        <w:tc>
          <w:tcPr>
            <w:tcW w:w="850" w:type="dxa"/>
            <w:tcBorders>
              <w:top w:val="nil"/>
              <w:left w:val="nil"/>
              <w:bottom w:val="nil"/>
              <w:right w:val="nil"/>
            </w:tcBorders>
            <w:shd w:val="clear" w:color="auto" w:fill="auto"/>
            <w:noWrap/>
            <w:vAlign w:val="center"/>
            <w:hideMark/>
          </w:tcPr>
          <w:p w14:paraId="1F91626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232</w:t>
            </w:r>
          </w:p>
        </w:tc>
        <w:tc>
          <w:tcPr>
            <w:tcW w:w="851" w:type="dxa"/>
            <w:tcBorders>
              <w:top w:val="nil"/>
              <w:left w:val="nil"/>
              <w:bottom w:val="nil"/>
              <w:right w:val="nil"/>
            </w:tcBorders>
            <w:shd w:val="clear" w:color="auto" w:fill="auto"/>
            <w:noWrap/>
            <w:vAlign w:val="center"/>
            <w:hideMark/>
          </w:tcPr>
          <w:p w14:paraId="277973A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50" w:type="dxa"/>
            <w:tcBorders>
              <w:top w:val="nil"/>
              <w:left w:val="nil"/>
              <w:bottom w:val="nil"/>
              <w:right w:val="nil"/>
            </w:tcBorders>
            <w:shd w:val="clear" w:color="000000" w:fill="FFFFFF"/>
            <w:noWrap/>
            <w:vAlign w:val="center"/>
            <w:hideMark/>
          </w:tcPr>
          <w:p w14:paraId="7956536F"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51" w:type="dxa"/>
            <w:tcBorders>
              <w:top w:val="nil"/>
              <w:left w:val="nil"/>
              <w:bottom w:val="nil"/>
              <w:right w:val="nil"/>
            </w:tcBorders>
            <w:shd w:val="clear" w:color="auto" w:fill="auto"/>
            <w:noWrap/>
            <w:vAlign w:val="center"/>
            <w:hideMark/>
          </w:tcPr>
          <w:p w14:paraId="7FCBC90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684" w:type="dxa"/>
            <w:tcBorders>
              <w:top w:val="nil"/>
              <w:left w:val="nil"/>
              <w:bottom w:val="nil"/>
              <w:right w:val="nil"/>
            </w:tcBorders>
            <w:shd w:val="clear" w:color="auto" w:fill="auto"/>
            <w:noWrap/>
            <w:vAlign w:val="center"/>
            <w:hideMark/>
          </w:tcPr>
          <w:p w14:paraId="47EAF29F"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FFFFFF"/>
            <w:vAlign w:val="center"/>
            <w:hideMark/>
          </w:tcPr>
          <w:p w14:paraId="1B6A8DB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684" w:type="dxa"/>
            <w:tcBorders>
              <w:top w:val="nil"/>
              <w:left w:val="nil"/>
              <w:bottom w:val="nil"/>
              <w:right w:val="nil"/>
            </w:tcBorders>
            <w:shd w:val="clear" w:color="000000" w:fill="FFFFFF"/>
            <w:vAlign w:val="center"/>
            <w:hideMark/>
          </w:tcPr>
          <w:p w14:paraId="61CB51B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9864FF" w:rsidRPr="00563E25" w14:paraId="187E9CBB" w14:textId="77777777" w:rsidTr="00EB5625">
        <w:trPr>
          <w:trHeight w:val="289"/>
        </w:trPr>
        <w:tc>
          <w:tcPr>
            <w:tcW w:w="3994" w:type="dxa"/>
            <w:tcBorders>
              <w:top w:val="single" w:sz="4" w:space="0" w:color="auto"/>
              <w:left w:val="nil"/>
              <w:bottom w:val="single" w:sz="8" w:space="0" w:color="auto"/>
              <w:right w:val="nil"/>
            </w:tcBorders>
            <w:shd w:val="clear" w:color="000000" w:fill="FFFFFF"/>
            <w:noWrap/>
            <w:vAlign w:val="center"/>
            <w:hideMark/>
          </w:tcPr>
          <w:p w14:paraId="1E4726D8" w14:textId="77777777" w:rsidR="0013260D" w:rsidRPr="00563E25" w:rsidRDefault="0013260D" w:rsidP="00AB0350">
            <w:pPr>
              <w:spacing w:after="0" w:line="240" w:lineRule="auto"/>
              <w:jc w:val="lef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Spolu</w:t>
            </w:r>
          </w:p>
        </w:tc>
        <w:tc>
          <w:tcPr>
            <w:tcW w:w="850" w:type="dxa"/>
            <w:tcBorders>
              <w:top w:val="single" w:sz="4" w:space="0" w:color="auto"/>
              <w:left w:val="nil"/>
              <w:bottom w:val="single" w:sz="8" w:space="0" w:color="auto"/>
              <w:right w:val="nil"/>
            </w:tcBorders>
            <w:shd w:val="clear" w:color="000000" w:fill="FFFFFF"/>
            <w:noWrap/>
            <w:vAlign w:val="center"/>
            <w:hideMark/>
          </w:tcPr>
          <w:p w14:paraId="2AA9FCB8"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600 779</w:t>
            </w:r>
          </w:p>
        </w:tc>
        <w:tc>
          <w:tcPr>
            <w:tcW w:w="851" w:type="dxa"/>
            <w:tcBorders>
              <w:top w:val="single" w:sz="4" w:space="0" w:color="auto"/>
              <w:left w:val="nil"/>
              <w:bottom w:val="single" w:sz="8" w:space="0" w:color="auto"/>
              <w:right w:val="nil"/>
            </w:tcBorders>
            <w:shd w:val="clear" w:color="000000" w:fill="FFFFFF"/>
            <w:noWrap/>
            <w:vAlign w:val="center"/>
            <w:hideMark/>
          </w:tcPr>
          <w:p w14:paraId="5650E6EC"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591 313</w:t>
            </w:r>
          </w:p>
        </w:tc>
        <w:tc>
          <w:tcPr>
            <w:tcW w:w="850" w:type="dxa"/>
            <w:tcBorders>
              <w:top w:val="single" w:sz="4" w:space="0" w:color="auto"/>
              <w:left w:val="nil"/>
              <w:bottom w:val="single" w:sz="8" w:space="0" w:color="auto"/>
              <w:right w:val="nil"/>
            </w:tcBorders>
            <w:shd w:val="clear" w:color="000000" w:fill="FFFFFF"/>
            <w:noWrap/>
            <w:vAlign w:val="center"/>
            <w:hideMark/>
          </w:tcPr>
          <w:p w14:paraId="78B7E1E5"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563 681</w:t>
            </w:r>
          </w:p>
        </w:tc>
        <w:tc>
          <w:tcPr>
            <w:tcW w:w="851" w:type="dxa"/>
            <w:tcBorders>
              <w:top w:val="single" w:sz="4" w:space="0" w:color="auto"/>
              <w:left w:val="nil"/>
              <w:bottom w:val="single" w:sz="8" w:space="0" w:color="auto"/>
              <w:right w:val="nil"/>
            </w:tcBorders>
            <w:shd w:val="clear" w:color="000000" w:fill="FFFFFF"/>
            <w:noWrap/>
            <w:vAlign w:val="center"/>
            <w:hideMark/>
          </w:tcPr>
          <w:p w14:paraId="4161F930"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615 120</w:t>
            </w:r>
          </w:p>
        </w:tc>
        <w:tc>
          <w:tcPr>
            <w:tcW w:w="684" w:type="dxa"/>
            <w:tcBorders>
              <w:top w:val="single" w:sz="4" w:space="0" w:color="auto"/>
              <w:left w:val="nil"/>
              <w:bottom w:val="single" w:sz="8" w:space="0" w:color="auto"/>
              <w:right w:val="nil"/>
            </w:tcBorders>
            <w:shd w:val="clear" w:color="000000" w:fill="FFFFFF"/>
            <w:noWrap/>
            <w:vAlign w:val="center"/>
            <w:hideMark/>
          </w:tcPr>
          <w:p w14:paraId="66A18EF6"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553 705</w:t>
            </w:r>
          </w:p>
        </w:tc>
        <w:tc>
          <w:tcPr>
            <w:tcW w:w="851" w:type="dxa"/>
            <w:tcBorders>
              <w:top w:val="single" w:sz="4" w:space="0" w:color="auto"/>
              <w:left w:val="nil"/>
              <w:bottom w:val="single" w:sz="8" w:space="0" w:color="auto"/>
              <w:right w:val="nil"/>
            </w:tcBorders>
            <w:shd w:val="clear" w:color="000000" w:fill="FFFFFF"/>
            <w:noWrap/>
            <w:vAlign w:val="center"/>
            <w:hideMark/>
          </w:tcPr>
          <w:p w14:paraId="5EF65C1E"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51 439</w:t>
            </w:r>
          </w:p>
        </w:tc>
        <w:tc>
          <w:tcPr>
            <w:tcW w:w="684" w:type="dxa"/>
            <w:tcBorders>
              <w:top w:val="single" w:sz="4" w:space="0" w:color="auto"/>
              <w:left w:val="nil"/>
              <w:bottom w:val="single" w:sz="8" w:space="0" w:color="auto"/>
              <w:right w:val="nil"/>
            </w:tcBorders>
            <w:shd w:val="clear" w:color="000000" w:fill="FFFFFF"/>
            <w:noWrap/>
            <w:vAlign w:val="center"/>
            <w:hideMark/>
          </w:tcPr>
          <w:p w14:paraId="2C38C231"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9,1</w:t>
            </w:r>
          </w:p>
        </w:tc>
      </w:tr>
    </w:tbl>
    <w:p w14:paraId="4C4F7DFC" w14:textId="0DA1C45B" w:rsidR="0013260D" w:rsidRDefault="0013260D" w:rsidP="0013260D">
      <w:pPr>
        <w:spacing w:after="160" w:line="254" w:lineRule="auto"/>
        <w:jc w:val="left"/>
      </w:pPr>
      <w:r w:rsidRPr="0017709F">
        <w:rPr>
          <w:rFonts w:eastAsia="Times New Roman" w:cs="Times New Roman"/>
          <w:color w:val="000000"/>
          <w:sz w:val="18"/>
          <w:szCs w:val="18"/>
          <w:lang w:eastAsia="sk-SK"/>
        </w:rPr>
        <w:t>Poznámka: * len prostriedky štátneho rozpočtu</w:t>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sidR="00DD4150">
        <w:rPr>
          <w:rFonts w:eastAsia="Times New Roman" w:cs="Times New Roman"/>
          <w:color w:val="000000"/>
          <w:sz w:val="18"/>
          <w:szCs w:val="18"/>
          <w:lang w:eastAsia="sk-SK"/>
        </w:rPr>
        <w:tab/>
      </w:r>
      <w:r w:rsidR="00DD4150">
        <w:rPr>
          <w:rFonts w:eastAsia="Times New Roman" w:cs="Times New Roman"/>
          <w:color w:val="000000"/>
          <w:sz w:val="18"/>
          <w:szCs w:val="18"/>
          <w:lang w:eastAsia="sk-SK"/>
        </w:rPr>
        <w:tab/>
      </w:r>
      <w:r w:rsidR="00DD4150">
        <w:rPr>
          <w:rFonts w:eastAsia="Times New Roman" w:cs="Times New Roman"/>
          <w:color w:val="000000"/>
          <w:sz w:val="18"/>
          <w:szCs w:val="18"/>
          <w:lang w:eastAsia="sk-SK"/>
        </w:rPr>
        <w:tab/>
      </w:r>
      <w:r w:rsidRPr="0017709F">
        <w:rPr>
          <w:rFonts w:eastAsia="Times New Roman" w:cs="Times New Roman"/>
          <w:color w:val="000000"/>
          <w:sz w:val="18"/>
          <w:szCs w:val="18"/>
          <w:lang w:eastAsia="sk-SK"/>
        </w:rPr>
        <w:t>Zdroj: MF SR</w:t>
      </w:r>
    </w:p>
    <w:p w14:paraId="20A11466" w14:textId="33022760" w:rsidR="0013260D" w:rsidRPr="00F42FB3" w:rsidRDefault="0013260D" w:rsidP="0013260D">
      <w:pPr>
        <w:spacing w:line="240" w:lineRule="auto"/>
        <w:rPr>
          <w:rFonts w:cs="Times New Roman"/>
          <w:color w:val="000000" w:themeColor="text1"/>
          <w:sz w:val="24"/>
          <w:szCs w:val="24"/>
        </w:rPr>
      </w:pPr>
      <w:r w:rsidRPr="00F42FB3">
        <w:rPr>
          <w:color w:val="000000" w:themeColor="text1"/>
          <w:sz w:val="24"/>
          <w:szCs w:val="24"/>
        </w:rPr>
        <w:lastRenderedPageBreak/>
        <w:t>Okrem kapitol, prostredníctvom ktorých sa každoročne financujú kompetencie preneseného výkonu štátnej správy (najmä Ministerstvo školstva, vedy, výskumu a športu SR) sa u </w:t>
      </w:r>
      <w:r>
        <w:rPr>
          <w:color w:val="000000" w:themeColor="text1"/>
          <w:sz w:val="24"/>
          <w:szCs w:val="24"/>
        </w:rPr>
        <w:t>väčšiny</w:t>
      </w:r>
      <w:r w:rsidRPr="00F42FB3">
        <w:rPr>
          <w:color w:val="000000" w:themeColor="text1"/>
          <w:sz w:val="24"/>
          <w:szCs w:val="24"/>
        </w:rPr>
        <w:t xml:space="preserve">  kapitol schvaľoval rozpočet nulový. </w:t>
      </w:r>
      <w:r w:rsidRPr="00F42FB3">
        <w:rPr>
          <w:rFonts w:cs="Times New Roman"/>
          <w:color w:val="000000" w:themeColor="text1"/>
          <w:sz w:val="24"/>
          <w:szCs w:val="24"/>
        </w:rPr>
        <w:t xml:space="preserve">Jedným z dôvodov je skutočnosť, že schválený rozpočet pre výdavky hradené z prostriedkov EÚ a prislúchajúceho spolufinancovania zo štátneho rozpočtu vychádza z očakávaných odhadov čerpania týchto prostriedkov v jednotlivých výzvach, a nie z už </w:t>
      </w:r>
      <w:proofErr w:type="spellStart"/>
      <w:r w:rsidRPr="00F42FB3">
        <w:rPr>
          <w:rFonts w:cs="Times New Roman"/>
          <w:color w:val="000000" w:themeColor="text1"/>
          <w:sz w:val="24"/>
          <w:szCs w:val="24"/>
        </w:rPr>
        <w:t>zazmluvnených</w:t>
      </w:r>
      <w:proofErr w:type="spellEnd"/>
      <w:r w:rsidRPr="00F42FB3">
        <w:rPr>
          <w:rFonts w:cs="Times New Roman"/>
          <w:color w:val="000000" w:themeColor="text1"/>
          <w:sz w:val="24"/>
          <w:szCs w:val="24"/>
        </w:rPr>
        <w:t xml:space="preserve"> prostriedkov. Uvedené odhady sa sledujú v štruktúre operačného programu na úrovni prioritných osí (opatrení), a nie v štruktúre podľa typu prijímateľov (odlíšených ekonomickou klasifikáciou). V schválenom rozpočte teda nie je možné presne definovať finančné objemy podľa konečných prijímateľov pomoci. Druhým dôvodom je skutočnosť, že finančné prostriedky, týkajúce sa už </w:t>
      </w:r>
      <w:proofErr w:type="spellStart"/>
      <w:r w:rsidRPr="00F42FB3">
        <w:rPr>
          <w:rFonts w:cs="Times New Roman"/>
          <w:color w:val="000000" w:themeColor="text1"/>
          <w:sz w:val="24"/>
          <w:szCs w:val="24"/>
        </w:rPr>
        <w:t>zazmluvnených</w:t>
      </w:r>
      <w:proofErr w:type="spellEnd"/>
      <w:r w:rsidRPr="00F42FB3">
        <w:rPr>
          <w:rFonts w:cs="Times New Roman"/>
          <w:color w:val="000000" w:themeColor="text1"/>
          <w:sz w:val="24"/>
          <w:szCs w:val="24"/>
        </w:rPr>
        <w:t xml:space="preserve"> projektov (rozpočtované už aj podľa reálnych prijímateľov) nie sú vždy vyplatené v danom rozpočtovom roku, ale až v nasledujúcom, čo umožňuje prevod finančných prostriedkov podľa § 8 zákona </w:t>
      </w:r>
      <w:r w:rsidR="00545BC2">
        <w:rPr>
          <w:rFonts w:cs="Times New Roman"/>
          <w:color w:val="000000" w:themeColor="text1"/>
          <w:sz w:val="24"/>
          <w:szCs w:val="24"/>
        </w:rPr>
        <w:t>o rozpočtových pravidlách</w:t>
      </w:r>
      <w:r w:rsidRPr="00F42FB3">
        <w:rPr>
          <w:rFonts w:cs="Times New Roman"/>
          <w:color w:val="000000" w:themeColor="text1"/>
          <w:sz w:val="24"/>
          <w:szCs w:val="24"/>
        </w:rPr>
        <w:t xml:space="preserve"> Uvoľnené prostriedky z predošlého obdobia vstupujú až do upraveného rozpočtu, čím umožňujú čerpanie na tejto podpoložke bez predchádzajúceho schváleného rozpočtu.</w:t>
      </w:r>
    </w:p>
    <w:tbl>
      <w:tblPr>
        <w:tblW w:w="9239" w:type="dxa"/>
        <w:tblCellMar>
          <w:left w:w="70" w:type="dxa"/>
          <w:right w:w="70" w:type="dxa"/>
        </w:tblCellMar>
        <w:tblLook w:val="04A0" w:firstRow="1" w:lastRow="0" w:firstColumn="1" w:lastColumn="0" w:noHBand="0" w:noVBand="1"/>
      </w:tblPr>
      <w:tblGrid>
        <w:gridCol w:w="3544"/>
        <w:gridCol w:w="924"/>
        <w:gridCol w:w="662"/>
        <w:gridCol w:w="794"/>
        <w:gridCol w:w="793"/>
        <w:gridCol w:w="924"/>
        <w:gridCol w:w="780"/>
        <w:gridCol w:w="818"/>
      </w:tblGrid>
      <w:tr w:rsidR="0013260D" w:rsidRPr="008B3212" w14:paraId="2AB9AC87" w14:textId="77777777" w:rsidTr="00545BC2">
        <w:trPr>
          <w:trHeight w:val="345"/>
        </w:trPr>
        <w:tc>
          <w:tcPr>
            <w:tcW w:w="8421" w:type="dxa"/>
            <w:gridSpan w:val="7"/>
            <w:tcBorders>
              <w:top w:val="nil"/>
              <w:left w:val="nil"/>
              <w:bottom w:val="single" w:sz="8" w:space="0" w:color="auto"/>
              <w:right w:val="nil"/>
            </w:tcBorders>
            <w:shd w:val="clear" w:color="auto" w:fill="auto"/>
            <w:vAlign w:val="center"/>
            <w:hideMark/>
          </w:tcPr>
          <w:p w14:paraId="16460129" w14:textId="43B4BC92" w:rsidR="0013260D" w:rsidRPr="008B3212" w:rsidRDefault="001656EA" w:rsidP="008B3212">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 xml:space="preserve">Tabuľka </w:t>
            </w:r>
            <w:r w:rsidR="008B3212" w:rsidRPr="008B3212">
              <w:rPr>
                <w:rFonts w:eastAsia="Times New Roman" w:cs="Times New Roman"/>
                <w:b/>
                <w:bCs/>
                <w:color w:val="5B9BD5" w:themeColor="accent1"/>
                <w:sz w:val="18"/>
                <w:szCs w:val="18"/>
                <w:lang w:eastAsia="sk-SK"/>
              </w:rPr>
              <w:t>50</w:t>
            </w:r>
            <w:r w:rsidRPr="008B3212">
              <w:rPr>
                <w:rFonts w:eastAsia="Times New Roman" w:cs="Times New Roman"/>
                <w:b/>
                <w:bCs/>
                <w:color w:val="5B9BD5" w:themeColor="accent1"/>
                <w:sz w:val="18"/>
                <w:szCs w:val="18"/>
                <w:lang w:eastAsia="sk-SK"/>
              </w:rPr>
              <w:t xml:space="preserve"> - </w:t>
            </w:r>
            <w:r w:rsidR="0013260D" w:rsidRPr="008B3212">
              <w:rPr>
                <w:rFonts w:eastAsia="Times New Roman" w:cs="Times New Roman"/>
                <w:b/>
                <w:bCs/>
                <w:color w:val="5B9BD5" w:themeColor="accent1"/>
                <w:sz w:val="18"/>
                <w:szCs w:val="18"/>
                <w:lang w:eastAsia="sk-SK"/>
              </w:rPr>
              <w:t>Kapitálové transfery poskytnuté VÚC podľa kapitol ŠR</w:t>
            </w:r>
          </w:p>
        </w:tc>
        <w:tc>
          <w:tcPr>
            <w:tcW w:w="818" w:type="dxa"/>
            <w:tcBorders>
              <w:top w:val="nil"/>
              <w:left w:val="nil"/>
              <w:bottom w:val="single" w:sz="8" w:space="0" w:color="auto"/>
              <w:right w:val="nil"/>
            </w:tcBorders>
            <w:shd w:val="clear" w:color="auto" w:fill="auto"/>
            <w:noWrap/>
            <w:vAlign w:val="bottom"/>
            <w:hideMark/>
          </w:tcPr>
          <w:p w14:paraId="16A74974" w14:textId="77777777" w:rsidR="0013260D" w:rsidRPr="008B3212" w:rsidRDefault="0013260D" w:rsidP="00AB0350">
            <w:pPr>
              <w:spacing w:after="0" w:line="240" w:lineRule="auto"/>
              <w:jc w:val="left"/>
              <w:rPr>
                <w:rFonts w:eastAsia="Times New Roman" w:cs="Times New Roman"/>
                <w:b/>
                <w:bCs/>
                <w:color w:val="5B9BD5" w:themeColor="accent1"/>
                <w:sz w:val="18"/>
                <w:szCs w:val="18"/>
                <w:lang w:eastAsia="sk-SK"/>
              </w:rPr>
            </w:pPr>
            <w:r w:rsidRPr="008B3212">
              <w:rPr>
                <w:rFonts w:eastAsia="Times New Roman" w:cs="Times New Roman"/>
                <w:b/>
                <w:bCs/>
                <w:color w:val="5B9BD5" w:themeColor="accent1"/>
                <w:sz w:val="18"/>
                <w:szCs w:val="18"/>
                <w:lang w:eastAsia="sk-SK"/>
              </w:rPr>
              <w:t> </w:t>
            </w:r>
          </w:p>
        </w:tc>
      </w:tr>
      <w:tr w:rsidR="00DD4150" w:rsidRPr="00563E25" w14:paraId="020A8974" w14:textId="77777777" w:rsidTr="00EB5625">
        <w:trPr>
          <w:trHeight w:val="289"/>
        </w:trPr>
        <w:tc>
          <w:tcPr>
            <w:tcW w:w="3544" w:type="dxa"/>
            <w:vMerge w:val="restart"/>
            <w:tcBorders>
              <w:top w:val="nil"/>
              <w:left w:val="nil"/>
              <w:right w:val="nil"/>
            </w:tcBorders>
            <w:shd w:val="clear" w:color="auto" w:fill="auto"/>
            <w:vAlign w:val="center"/>
            <w:hideMark/>
          </w:tcPr>
          <w:p w14:paraId="301C722A" w14:textId="43B51F1C" w:rsidR="00DD4150" w:rsidRPr="00563E25" w:rsidRDefault="00DD4150" w:rsidP="00DD4150">
            <w:pPr>
              <w:spacing w:after="0" w:line="240" w:lineRule="auto"/>
              <w:jc w:val="lef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 xml:space="preserve"> v tis. eur</w:t>
            </w:r>
            <w:r w:rsidRPr="00563E25">
              <w:rPr>
                <w:rFonts w:eastAsia="Times New Roman" w:cs="Times New Roman"/>
                <w:b/>
                <w:bCs/>
                <w:color w:val="FFFFFF"/>
                <w:sz w:val="18"/>
                <w:szCs w:val="18"/>
                <w:lang w:eastAsia="sk-SK"/>
              </w:rPr>
              <w:t> </w:t>
            </w:r>
          </w:p>
        </w:tc>
        <w:tc>
          <w:tcPr>
            <w:tcW w:w="924" w:type="dxa"/>
            <w:tcBorders>
              <w:top w:val="nil"/>
              <w:left w:val="nil"/>
              <w:bottom w:val="nil"/>
              <w:right w:val="nil"/>
            </w:tcBorders>
            <w:shd w:val="clear" w:color="auto" w:fill="auto"/>
            <w:vAlign w:val="center"/>
            <w:hideMark/>
          </w:tcPr>
          <w:p w14:paraId="4E5474CC"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2020 S</w:t>
            </w:r>
          </w:p>
        </w:tc>
        <w:tc>
          <w:tcPr>
            <w:tcW w:w="662" w:type="dxa"/>
            <w:tcBorders>
              <w:top w:val="nil"/>
              <w:left w:val="nil"/>
              <w:bottom w:val="nil"/>
              <w:right w:val="nil"/>
            </w:tcBorders>
            <w:shd w:val="clear" w:color="auto" w:fill="auto"/>
            <w:vAlign w:val="center"/>
            <w:hideMark/>
          </w:tcPr>
          <w:p w14:paraId="19119126"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2021 S</w:t>
            </w:r>
          </w:p>
        </w:tc>
        <w:tc>
          <w:tcPr>
            <w:tcW w:w="794" w:type="dxa"/>
            <w:tcBorders>
              <w:top w:val="nil"/>
              <w:left w:val="nil"/>
              <w:bottom w:val="nil"/>
              <w:right w:val="nil"/>
            </w:tcBorders>
            <w:shd w:val="clear" w:color="auto" w:fill="auto"/>
            <w:vAlign w:val="center"/>
            <w:hideMark/>
          </w:tcPr>
          <w:p w14:paraId="51FA2CE1"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2022 R</w:t>
            </w:r>
          </w:p>
        </w:tc>
        <w:tc>
          <w:tcPr>
            <w:tcW w:w="793" w:type="dxa"/>
            <w:tcBorders>
              <w:top w:val="nil"/>
              <w:left w:val="nil"/>
              <w:bottom w:val="nil"/>
              <w:right w:val="nil"/>
            </w:tcBorders>
            <w:shd w:val="clear" w:color="auto" w:fill="auto"/>
            <w:vAlign w:val="center"/>
            <w:hideMark/>
          </w:tcPr>
          <w:p w14:paraId="059897EC"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2022 S</w:t>
            </w:r>
          </w:p>
        </w:tc>
        <w:tc>
          <w:tcPr>
            <w:tcW w:w="924" w:type="dxa"/>
            <w:tcBorders>
              <w:top w:val="nil"/>
              <w:left w:val="nil"/>
              <w:bottom w:val="nil"/>
              <w:right w:val="nil"/>
            </w:tcBorders>
            <w:shd w:val="clear" w:color="auto" w:fill="auto"/>
            <w:vAlign w:val="center"/>
            <w:hideMark/>
          </w:tcPr>
          <w:p w14:paraId="4A08E697"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z toho: zdroj 111</w:t>
            </w:r>
            <w:r w:rsidRPr="00563E25">
              <w:rPr>
                <w:rFonts w:ascii="Arial Narrow" w:eastAsia="Times New Roman" w:hAnsi="Arial Narrow" w:cs="Times New Roman"/>
                <w:b/>
                <w:bCs/>
                <w:color w:val="000000"/>
                <w:sz w:val="18"/>
                <w:szCs w:val="18"/>
                <w:lang w:eastAsia="sk-SK"/>
              </w:rPr>
              <w:t>*</w:t>
            </w:r>
          </w:p>
        </w:tc>
        <w:tc>
          <w:tcPr>
            <w:tcW w:w="780" w:type="dxa"/>
            <w:tcBorders>
              <w:top w:val="nil"/>
              <w:left w:val="nil"/>
              <w:bottom w:val="nil"/>
              <w:right w:val="nil"/>
            </w:tcBorders>
            <w:shd w:val="clear" w:color="auto" w:fill="auto"/>
            <w:vAlign w:val="center"/>
            <w:hideMark/>
          </w:tcPr>
          <w:p w14:paraId="52830EFD"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Rozdiel</w:t>
            </w:r>
          </w:p>
        </w:tc>
        <w:tc>
          <w:tcPr>
            <w:tcW w:w="818" w:type="dxa"/>
            <w:tcBorders>
              <w:top w:val="nil"/>
              <w:left w:val="nil"/>
              <w:bottom w:val="nil"/>
              <w:right w:val="nil"/>
            </w:tcBorders>
            <w:shd w:val="clear" w:color="auto" w:fill="auto"/>
            <w:vAlign w:val="center"/>
            <w:hideMark/>
          </w:tcPr>
          <w:p w14:paraId="08E2DB7A" w14:textId="77777777" w:rsidR="00DD4150" w:rsidRPr="00563E25" w:rsidRDefault="00DD4150" w:rsidP="00AB0350">
            <w:pPr>
              <w:spacing w:after="0" w:line="240" w:lineRule="auto"/>
              <w:jc w:val="center"/>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v %</w:t>
            </w:r>
          </w:p>
        </w:tc>
      </w:tr>
      <w:tr w:rsidR="00DD4150" w:rsidRPr="00563E25" w14:paraId="795FEF92" w14:textId="77777777" w:rsidTr="00EB5625">
        <w:trPr>
          <w:trHeight w:val="289"/>
        </w:trPr>
        <w:tc>
          <w:tcPr>
            <w:tcW w:w="3544" w:type="dxa"/>
            <w:vMerge/>
            <w:tcBorders>
              <w:left w:val="nil"/>
              <w:bottom w:val="single" w:sz="8" w:space="0" w:color="auto"/>
              <w:right w:val="nil"/>
            </w:tcBorders>
            <w:shd w:val="clear" w:color="auto" w:fill="auto"/>
            <w:vAlign w:val="center"/>
            <w:hideMark/>
          </w:tcPr>
          <w:p w14:paraId="6947C81B" w14:textId="7CFC8EC6" w:rsidR="00DD4150" w:rsidRPr="00563E25" w:rsidRDefault="00DD4150" w:rsidP="00AB0350">
            <w:pPr>
              <w:spacing w:after="0" w:line="240" w:lineRule="auto"/>
              <w:jc w:val="left"/>
              <w:rPr>
                <w:rFonts w:eastAsia="Times New Roman" w:cs="Times New Roman"/>
                <w:b/>
                <w:bCs/>
                <w:color w:val="FFFFFF"/>
                <w:sz w:val="18"/>
                <w:szCs w:val="18"/>
                <w:lang w:eastAsia="sk-SK"/>
              </w:rPr>
            </w:pPr>
          </w:p>
        </w:tc>
        <w:tc>
          <w:tcPr>
            <w:tcW w:w="924" w:type="dxa"/>
            <w:tcBorders>
              <w:top w:val="nil"/>
              <w:left w:val="nil"/>
              <w:bottom w:val="single" w:sz="8" w:space="0" w:color="auto"/>
              <w:right w:val="nil"/>
            </w:tcBorders>
            <w:shd w:val="clear" w:color="auto" w:fill="auto"/>
            <w:vAlign w:val="center"/>
            <w:hideMark/>
          </w:tcPr>
          <w:p w14:paraId="01D4B105"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1</w:t>
            </w:r>
          </w:p>
        </w:tc>
        <w:tc>
          <w:tcPr>
            <w:tcW w:w="662" w:type="dxa"/>
            <w:tcBorders>
              <w:top w:val="nil"/>
              <w:left w:val="nil"/>
              <w:bottom w:val="single" w:sz="8" w:space="0" w:color="auto"/>
              <w:right w:val="nil"/>
            </w:tcBorders>
            <w:shd w:val="clear" w:color="auto" w:fill="auto"/>
            <w:vAlign w:val="center"/>
            <w:hideMark/>
          </w:tcPr>
          <w:p w14:paraId="5797C4F0"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2</w:t>
            </w:r>
          </w:p>
        </w:tc>
        <w:tc>
          <w:tcPr>
            <w:tcW w:w="794" w:type="dxa"/>
            <w:tcBorders>
              <w:top w:val="nil"/>
              <w:left w:val="nil"/>
              <w:bottom w:val="single" w:sz="8" w:space="0" w:color="auto"/>
              <w:right w:val="nil"/>
            </w:tcBorders>
            <w:shd w:val="clear" w:color="auto" w:fill="auto"/>
            <w:vAlign w:val="center"/>
            <w:hideMark/>
          </w:tcPr>
          <w:p w14:paraId="746B06E6"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3</w:t>
            </w:r>
          </w:p>
        </w:tc>
        <w:tc>
          <w:tcPr>
            <w:tcW w:w="793" w:type="dxa"/>
            <w:tcBorders>
              <w:top w:val="nil"/>
              <w:left w:val="nil"/>
              <w:bottom w:val="single" w:sz="8" w:space="0" w:color="auto"/>
              <w:right w:val="nil"/>
            </w:tcBorders>
            <w:shd w:val="clear" w:color="auto" w:fill="auto"/>
            <w:vAlign w:val="center"/>
            <w:hideMark/>
          </w:tcPr>
          <w:p w14:paraId="48F4A2FC"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4</w:t>
            </w:r>
          </w:p>
        </w:tc>
        <w:tc>
          <w:tcPr>
            <w:tcW w:w="924" w:type="dxa"/>
            <w:tcBorders>
              <w:top w:val="nil"/>
              <w:left w:val="nil"/>
              <w:bottom w:val="single" w:sz="8" w:space="0" w:color="auto"/>
              <w:right w:val="nil"/>
            </w:tcBorders>
            <w:shd w:val="clear" w:color="auto" w:fill="auto"/>
            <w:vAlign w:val="center"/>
            <w:hideMark/>
          </w:tcPr>
          <w:p w14:paraId="6C1D7A15"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5</w:t>
            </w:r>
          </w:p>
        </w:tc>
        <w:tc>
          <w:tcPr>
            <w:tcW w:w="780" w:type="dxa"/>
            <w:tcBorders>
              <w:top w:val="nil"/>
              <w:left w:val="nil"/>
              <w:bottom w:val="single" w:sz="8" w:space="0" w:color="auto"/>
              <w:right w:val="nil"/>
            </w:tcBorders>
            <w:shd w:val="clear" w:color="auto" w:fill="auto"/>
            <w:vAlign w:val="center"/>
            <w:hideMark/>
          </w:tcPr>
          <w:p w14:paraId="41E15DFB"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6=4-3</w:t>
            </w:r>
          </w:p>
        </w:tc>
        <w:tc>
          <w:tcPr>
            <w:tcW w:w="818" w:type="dxa"/>
            <w:tcBorders>
              <w:top w:val="nil"/>
              <w:left w:val="nil"/>
              <w:bottom w:val="single" w:sz="8" w:space="0" w:color="auto"/>
              <w:right w:val="nil"/>
            </w:tcBorders>
            <w:shd w:val="clear" w:color="auto" w:fill="auto"/>
            <w:vAlign w:val="center"/>
            <w:hideMark/>
          </w:tcPr>
          <w:p w14:paraId="7DDF44D1" w14:textId="77777777" w:rsidR="00DD4150" w:rsidRPr="00563E25" w:rsidRDefault="00DD4150" w:rsidP="00AB0350">
            <w:pPr>
              <w:spacing w:after="0" w:line="240" w:lineRule="auto"/>
              <w:jc w:val="center"/>
              <w:rPr>
                <w:rFonts w:eastAsia="Times New Roman" w:cs="Times New Roman"/>
                <w:b/>
                <w:bCs/>
                <w:sz w:val="18"/>
                <w:szCs w:val="18"/>
                <w:lang w:eastAsia="sk-SK"/>
              </w:rPr>
            </w:pPr>
            <w:r w:rsidRPr="00563E25">
              <w:rPr>
                <w:rFonts w:eastAsia="Times New Roman" w:cs="Times New Roman"/>
                <w:b/>
                <w:bCs/>
                <w:sz w:val="18"/>
                <w:szCs w:val="18"/>
                <w:lang w:eastAsia="sk-SK"/>
              </w:rPr>
              <w:t>7=4-3</w:t>
            </w:r>
          </w:p>
        </w:tc>
      </w:tr>
      <w:tr w:rsidR="0013260D" w:rsidRPr="00563E25" w14:paraId="7B8B0890" w14:textId="77777777" w:rsidTr="00EB5625">
        <w:trPr>
          <w:trHeight w:val="289"/>
        </w:trPr>
        <w:tc>
          <w:tcPr>
            <w:tcW w:w="3544" w:type="dxa"/>
            <w:tcBorders>
              <w:top w:val="nil"/>
              <w:left w:val="nil"/>
              <w:bottom w:val="nil"/>
              <w:right w:val="nil"/>
            </w:tcBorders>
            <w:shd w:val="clear" w:color="000000" w:fill="FFFFFF"/>
            <w:noWrap/>
            <w:vAlign w:val="center"/>
            <w:hideMark/>
          </w:tcPr>
          <w:p w14:paraId="7076B8BC"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 xml:space="preserve">Ministerstvo investícií, reg. rozvoja a </w:t>
            </w:r>
            <w:proofErr w:type="spellStart"/>
            <w:r w:rsidRPr="00563E25">
              <w:rPr>
                <w:rFonts w:eastAsia="Times New Roman" w:cs="Times New Roman"/>
                <w:color w:val="000000"/>
                <w:sz w:val="18"/>
                <w:szCs w:val="18"/>
                <w:lang w:eastAsia="sk-SK"/>
              </w:rPr>
              <w:t>informatiz</w:t>
            </w:r>
            <w:proofErr w:type="spellEnd"/>
            <w:r w:rsidRPr="00563E25">
              <w:rPr>
                <w:rFonts w:eastAsia="Times New Roman" w:cs="Times New Roman"/>
                <w:color w:val="000000"/>
                <w:sz w:val="18"/>
                <w:szCs w:val="18"/>
                <w:lang w:eastAsia="sk-SK"/>
              </w:rPr>
              <w:t>. SR</w:t>
            </w:r>
          </w:p>
        </w:tc>
        <w:tc>
          <w:tcPr>
            <w:tcW w:w="924" w:type="dxa"/>
            <w:tcBorders>
              <w:top w:val="nil"/>
              <w:left w:val="nil"/>
              <w:bottom w:val="nil"/>
              <w:right w:val="nil"/>
            </w:tcBorders>
            <w:shd w:val="clear" w:color="auto" w:fill="auto"/>
            <w:noWrap/>
            <w:vAlign w:val="center"/>
            <w:hideMark/>
          </w:tcPr>
          <w:p w14:paraId="1599F88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14 254</w:t>
            </w:r>
          </w:p>
        </w:tc>
        <w:tc>
          <w:tcPr>
            <w:tcW w:w="662" w:type="dxa"/>
            <w:tcBorders>
              <w:top w:val="nil"/>
              <w:left w:val="nil"/>
              <w:bottom w:val="nil"/>
              <w:right w:val="nil"/>
            </w:tcBorders>
            <w:shd w:val="clear" w:color="auto" w:fill="auto"/>
            <w:noWrap/>
            <w:vAlign w:val="center"/>
            <w:hideMark/>
          </w:tcPr>
          <w:p w14:paraId="4EDF88F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28 726</w:t>
            </w:r>
          </w:p>
        </w:tc>
        <w:tc>
          <w:tcPr>
            <w:tcW w:w="794" w:type="dxa"/>
            <w:tcBorders>
              <w:top w:val="nil"/>
              <w:left w:val="nil"/>
              <w:bottom w:val="nil"/>
              <w:right w:val="nil"/>
            </w:tcBorders>
            <w:shd w:val="clear" w:color="000000" w:fill="FFFFFF"/>
            <w:noWrap/>
            <w:vAlign w:val="center"/>
            <w:hideMark/>
          </w:tcPr>
          <w:p w14:paraId="709546B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793" w:type="dxa"/>
            <w:tcBorders>
              <w:top w:val="nil"/>
              <w:left w:val="nil"/>
              <w:bottom w:val="nil"/>
              <w:right w:val="nil"/>
            </w:tcBorders>
            <w:shd w:val="clear" w:color="auto" w:fill="auto"/>
            <w:noWrap/>
            <w:vAlign w:val="center"/>
            <w:hideMark/>
          </w:tcPr>
          <w:p w14:paraId="29C79B8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34 412</w:t>
            </w:r>
          </w:p>
        </w:tc>
        <w:tc>
          <w:tcPr>
            <w:tcW w:w="924" w:type="dxa"/>
            <w:tcBorders>
              <w:top w:val="nil"/>
              <w:left w:val="nil"/>
              <w:bottom w:val="nil"/>
              <w:right w:val="nil"/>
            </w:tcBorders>
            <w:shd w:val="clear" w:color="auto" w:fill="auto"/>
            <w:noWrap/>
            <w:vAlign w:val="center"/>
            <w:hideMark/>
          </w:tcPr>
          <w:p w14:paraId="69A7306F"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80" w:type="dxa"/>
            <w:tcBorders>
              <w:top w:val="nil"/>
              <w:left w:val="nil"/>
              <w:bottom w:val="nil"/>
              <w:right w:val="nil"/>
            </w:tcBorders>
            <w:shd w:val="clear" w:color="000000" w:fill="FFFFFF"/>
            <w:vAlign w:val="center"/>
            <w:hideMark/>
          </w:tcPr>
          <w:p w14:paraId="4DFA05B7"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34 412</w:t>
            </w:r>
          </w:p>
        </w:tc>
        <w:tc>
          <w:tcPr>
            <w:tcW w:w="818" w:type="dxa"/>
            <w:tcBorders>
              <w:top w:val="nil"/>
              <w:left w:val="nil"/>
              <w:bottom w:val="nil"/>
              <w:right w:val="nil"/>
            </w:tcBorders>
            <w:shd w:val="clear" w:color="000000" w:fill="FFFFFF"/>
            <w:vAlign w:val="center"/>
            <w:hideMark/>
          </w:tcPr>
          <w:p w14:paraId="0BBA0CD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21C4C88A" w14:textId="77777777" w:rsidTr="00EB5625">
        <w:trPr>
          <w:trHeight w:val="289"/>
        </w:trPr>
        <w:tc>
          <w:tcPr>
            <w:tcW w:w="3544" w:type="dxa"/>
            <w:tcBorders>
              <w:top w:val="nil"/>
              <w:left w:val="nil"/>
              <w:bottom w:val="nil"/>
              <w:right w:val="nil"/>
            </w:tcBorders>
            <w:shd w:val="clear" w:color="000000" w:fill="FFFFFF"/>
            <w:vAlign w:val="center"/>
            <w:hideMark/>
          </w:tcPr>
          <w:p w14:paraId="1FD47D91"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kultúry SR</w:t>
            </w:r>
          </w:p>
        </w:tc>
        <w:tc>
          <w:tcPr>
            <w:tcW w:w="924" w:type="dxa"/>
            <w:tcBorders>
              <w:top w:val="nil"/>
              <w:left w:val="nil"/>
              <w:bottom w:val="nil"/>
              <w:right w:val="nil"/>
            </w:tcBorders>
            <w:shd w:val="clear" w:color="auto" w:fill="auto"/>
            <w:noWrap/>
            <w:vAlign w:val="center"/>
            <w:hideMark/>
          </w:tcPr>
          <w:p w14:paraId="35E1E3E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w:t>
            </w:r>
          </w:p>
        </w:tc>
        <w:tc>
          <w:tcPr>
            <w:tcW w:w="662" w:type="dxa"/>
            <w:tcBorders>
              <w:top w:val="nil"/>
              <w:left w:val="nil"/>
              <w:bottom w:val="nil"/>
              <w:right w:val="nil"/>
            </w:tcBorders>
            <w:shd w:val="clear" w:color="auto" w:fill="auto"/>
            <w:noWrap/>
            <w:vAlign w:val="center"/>
            <w:hideMark/>
          </w:tcPr>
          <w:p w14:paraId="35F06ED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74</w:t>
            </w:r>
          </w:p>
        </w:tc>
        <w:tc>
          <w:tcPr>
            <w:tcW w:w="794" w:type="dxa"/>
            <w:tcBorders>
              <w:top w:val="nil"/>
              <w:left w:val="nil"/>
              <w:bottom w:val="nil"/>
              <w:right w:val="nil"/>
            </w:tcBorders>
            <w:shd w:val="clear" w:color="000000" w:fill="FFFFFF"/>
            <w:noWrap/>
            <w:vAlign w:val="center"/>
            <w:hideMark/>
          </w:tcPr>
          <w:p w14:paraId="63D996E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793" w:type="dxa"/>
            <w:tcBorders>
              <w:top w:val="nil"/>
              <w:left w:val="nil"/>
              <w:bottom w:val="nil"/>
              <w:right w:val="nil"/>
            </w:tcBorders>
            <w:shd w:val="clear" w:color="auto" w:fill="auto"/>
            <w:noWrap/>
            <w:vAlign w:val="center"/>
            <w:hideMark/>
          </w:tcPr>
          <w:p w14:paraId="2D7F29D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580</w:t>
            </w:r>
          </w:p>
        </w:tc>
        <w:tc>
          <w:tcPr>
            <w:tcW w:w="924" w:type="dxa"/>
            <w:tcBorders>
              <w:top w:val="nil"/>
              <w:left w:val="nil"/>
              <w:bottom w:val="nil"/>
              <w:right w:val="nil"/>
            </w:tcBorders>
            <w:shd w:val="clear" w:color="auto" w:fill="auto"/>
            <w:noWrap/>
            <w:vAlign w:val="center"/>
            <w:hideMark/>
          </w:tcPr>
          <w:p w14:paraId="0274AB4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540</w:t>
            </w:r>
          </w:p>
        </w:tc>
        <w:tc>
          <w:tcPr>
            <w:tcW w:w="780" w:type="dxa"/>
            <w:tcBorders>
              <w:top w:val="nil"/>
              <w:left w:val="nil"/>
              <w:bottom w:val="nil"/>
              <w:right w:val="nil"/>
            </w:tcBorders>
            <w:shd w:val="clear" w:color="000000" w:fill="FFFFFF"/>
            <w:vAlign w:val="center"/>
            <w:hideMark/>
          </w:tcPr>
          <w:p w14:paraId="50DB363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580</w:t>
            </w:r>
          </w:p>
        </w:tc>
        <w:tc>
          <w:tcPr>
            <w:tcW w:w="818" w:type="dxa"/>
            <w:tcBorders>
              <w:top w:val="nil"/>
              <w:left w:val="nil"/>
              <w:bottom w:val="nil"/>
              <w:right w:val="nil"/>
            </w:tcBorders>
            <w:shd w:val="clear" w:color="000000" w:fill="FFFFFF"/>
            <w:vAlign w:val="center"/>
            <w:hideMark/>
          </w:tcPr>
          <w:p w14:paraId="04BB555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6B92F730" w14:textId="77777777" w:rsidTr="00EB5625">
        <w:trPr>
          <w:trHeight w:val="289"/>
        </w:trPr>
        <w:tc>
          <w:tcPr>
            <w:tcW w:w="3544" w:type="dxa"/>
            <w:tcBorders>
              <w:top w:val="nil"/>
              <w:left w:val="nil"/>
              <w:bottom w:val="nil"/>
              <w:right w:val="nil"/>
            </w:tcBorders>
            <w:shd w:val="clear" w:color="000000" w:fill="FFFFFF"/>
            <w:vAlign w:val="center"/>
            <w:hideMark/>
          </w:tcPr>
          <w:p w14:paraId="154E0DE2"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školstva, vedy, výskumu a športu SR</w:t>
            </w:r>
          </w:p>
        </w:tc>
        <w:tc>
          <w:tcPr>
            <w:tcW w:w="924" w:type="dxa"/>
            <w:tcBorders>
              <w:top w:val="nil"/>
              <w:left w:val="nil"/>
              <w:bottom w:val="nil"/>
              <w:right w:val="nil"/>
            </w:tcBorders>
            <w:shd w:val="clear" w:color="auto" w:fill="auto"/>
            <w:noWrap/>
            <w:vAlign w:val="center"/>
            <w:hideMark/>
          </w:tcPr>
          <w:p w14:paraId="6E774FF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212</w:t>
            </w:r>
          </w:p>
        </w:tc>
        <w:tc>
          <w:tcPr>
            <w:tcW w:w="662" w:type="dxa"/>
            <w:tcBorders>
              <w:top w:val="nil"/>
              <w:left w:val="nil"/>
              <w:bottom w:val="nil"/>
              <w:right w:val="nil"/>
            </w:tcBorders>
            <w:shd w:val="clear" w:color="auto" w:fill="auto"/>
            <w:noWrap/>
            <w:vAlign w:val="center"/>
            <w:hideMark/>
          </w:tcPr>
          <w:p w14:paraId="7243D82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269</w:t>
            </w:r>
          </w:p>
        </w:tc>
        <w:tc>
          <w:tcPr>
            <w:tcW w:w="794" w:type="dxa"/>
            <w:tcBorders>
              <w:top w:val="nil"/>
              <w:left w:val="nil"/>
              <w:bottom w:val="nil"/>
              <w:right w:val="nil"/>
            </w:tcBorders>
            <w:shd w:val="clear" w:color="000000" w:fill="FFFFFF"/>
            <w:noWrap/>
            <w:vAlign w:val="center"/>
            <w:hideMark/>
          </w:tcPr>
          <w:p w14:paraId="2FC7275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150</w:t>
            </w:r>
          </w:p>
        </w:tc>
        <w:tc>
          <w:tcPr>
            <w:tcW w:w="793" w:type="dxa"/>
            <w:tcBorders>
              <w:top w:val="nil"/>
              <w:left w:val="nil"/>
              <w:bottom w:val="nil"/>
              <w:right w:val="nil"/>
            </w:tcBorders>
            <w:shd w:val="clear" w:color="auto" w:fill="auto"/>
            <w:noWrap/>
            <w:vAlign w:val="center"/>
            <w:hideMark/>
          </w:tcPr>
          <w:p w14:paraId="063D9EE9"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576</w:t>
            </w:r>
          </w:p>
        </w:tc>
        <w:tc>
          <w:tcPr>
            <w:tcW w:w="924" w:type="dxa"/>
            <w:tcBorders>
              <w:top w:val="nil"/>
              <w:left w:val="nil"/>
              <w:bottom w:val="nil"/>
              <w:right w:val="nil"/>
            </w:tcBorders>
            <w:shd w:val="clear" w:color="auto" w:fill="auto"/>
            <w:noWrap/>
            <w:vAlign w:val="center"/>
            <w:hideMark/>
          </w:tcPr>
          <w:p w14:paraId="050603C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329</w:t>
            </w:r>
          </w:p>
        </w:tc>
        <w:tc>
          <w:tcPr>
            <w:tcW w:w="780" w:type="dxa"/>
            <w:tcBorders>
              <w:top w:val="nil"/>
              <w:left w:val="nil"/>
              <w:bottom w:val="nil"/>
              <w:right w:val="nil"/>
            </w:tcBorders>
            <w:shd w:val="clear" w:color="000000" w:fill="FFFFFF"/>
            <w:vAlign w:val="center"/>
            <w:hideMark/>
          </w:tcPr>
          <w:p w14:paraId="52CA8B9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426</w:t>
            </w:r>
          </w:p>
        </w:tc>
        <w:tc>
          <w:tcPr>
            <w:tcW w:w="818" w:type="dxa"/>
            <w:tcBorders>
              <w:top w:val="nil"/>
              <w:left w:val="nil"/>
              <w:bottom w:val="nil"/>
              <w:right w:val="nil"/>
            </w:tcBorders>
            <w:shd w:val="clear" w:color="000000" w:fill="FFFFFF"/>
            <w:vAlign w:val="center"/>
            <w:hideMark/>
          </w:tcPr>
          <w:p w14:paraId="3F599AC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26926743" w14:textId="77777777" w:rsidTr="00EB5625">
        <w:trPr>
          <w:trHeight w:val="289"/>
        </w:trPr>
        <w:tc>
          <w:tcPr>
            <w:tcW w:w="3544" w:type="dxa"/>
            <w:tcBorders>
              <w:top w:val="nil"/>
              <w:left w:val="nil"/>
              <w:bottom w:val="nil"/>
              <w:right w:val="nil"/>
            </w:tcBorders>
            <w:shd w:val="clear" w:color="000000" w:fill="FFFFFF"/>
            <w:vAlign w:val="center"/>
            <w:hideMark/>
          </w:tcPr>
          <w:p w14:paraId="0021F02A"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 xml:space="preserve">Ministerstvo práce, </w:t>
            </w:r>
            <w:proofErr w:type="spellStart"/>
            <w:r w:rsidRPr="00563E25">
              <w:rPr>
                <w:rFonts w:eastAsia="Times New Roman" w:cs="Times New Roman"/>
                <w:color w:val="000000"/>
                <w:sz w:val="18"/>
                <w:szCs w:val="18"/>
                <w:lang w:eastAsia="sk-SK"/>
              </w:rPr>
              <w:t>soc.vecí</w:t>
            </w:r>
            <w:proofErr w:type="spellEnd"/>
            <w:r w:rsidRPr="00563E25">
              <w:rPr>
                <w:rFonts w:eastAsia="Times New Roman" w:cs="Times New Roman"/>
                <w:color w:val="000000"/>
                <w:sz w:val="18"/>
                <w:szCs w:val="18"/>
                <w:lang w:eastAsia="sk-SK"/>
              </w:rPr>
              <w:t xml:space="preserve"> a rodiny SR</w:t>
            </w:r>
          </w:p>
        </w:tc>
        <w:tc>
          <w:tcPr>
            <w:tcW w:w="924" w:type="dxa"/>
            <w:tcBorders>
              <w:top w:val="nil"/>
              <w:left w:val="nil"/>
              <w:bottom w:val="nil"/>
              <w:right w:val="nil"/>
            </w:tcBorders>
            <w:shd w:val="clear" w:color="auto" w:fill="auto"/>
            <w:noWrap/>
            <w:vAlign w:val="center"/>
            <w:hideMark/>
          </w:tcPr>
          <w:p w14:paraId="31073B5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218</w:t>
            </w:r>
          </w:p>
        </w:tc>
        <w:tc>
          <w:tcPr>
            <w:tcW w:w="662" w:type="dxa"/>
            <w:tcBorders>
              <w:top w:val="nil"/>
              <w:left w:val="nil"/>
              <w:bottom w:val="nil"/>
              <w:right w:val="nil"/>
            </w:tcBorders>
            <w:shd w:val="clear" w:color="auto" w:fill="auto"/>
            <w:noWrap/>
            <w:vAlign w:val="center"/>
            <w:hideMark/>
          </w:tcPr>
          <w:p w14:paraId="7D7B9E3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318</w:t>
            </w:r>
          </w:p>
        </w:tc>
        <w:tc>
          <w:tcPr>
            <w:tcW w:w="794" w:type="dxa"/>
            <w:tcBorders>
              <w:top w:val="nil"/>
              <w:left w:val="nil"/>
              <w:bottom w:val="nil"/>
              <w:right w:val="nil"/>
            </w:tcBorders>
            <w:shd w:val="clear" w:color="000000" w:fill="FFFFFF"/>
            <w:noWrap/>
            <w:vAlign w:val="center"/>
            <w:hideMark/>
          </w:tcPr>
          <w:p w14:paraId="0A72968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793" w:type="dxa"/>
            <w:tcBorders>
              <w:top w:val="nil"/>
              <w:left w:val="nil"/>
              <w:bottom w:val="nil"/>
              <w:right w:val="nil"/>
            </w:tcBorders>
            <w:shd w:val="clear" w:color="auto" w:fill="auto"/>
            <w:noWrap/>
            <w:vAlign w:val="center"/>
            <w:hideMark/>
          </w:tcPr>
          <w:p w14:paraId="69048E9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531</w:t>
            </w:r>
          </w:p>
        </w:tc>
        <w:tc>
          <w:tcPr>
            <w:tcW w:w="924" w:type="dxa"/>
            <w:tcBorders>
              <w:top w:val="nil"/>
              <w:left w:val="nil"/>
              <w:bottom w:val="nil"/>
              <w:right w:val="nil"/>
            </w:tcBorders>
            <w:shd w:val="clear" w:color="auto" w:fill="auto"/>
            <w:noWrap/>
            <w:vAlign w:val="center"/>
            <w:hideMark/>
          </w:tcPr>
          <w:p w14:paraId="6EDEBB0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531</w:t>
            </w:r>
          </w:p>
        </w:tc>
        <w:tc>
          <w:tcPr>
            <w:tcW w:w="780" w:type="dxa"/>
            <w:tcBorders>
              <w:top w:val="nil"/>
              <w:left w:val="nil"/>
              <w:bottom w:val="nil"/>
              <w:right w:val="nil"/>
            </w:tcBorders>
            <w:shd w:val="clear" w:color="000000" w:fill="FFFFFF"/>
            <w:vAlign w:val="center"/>
            <w:hideMark/>
          </w:tcPr>
          <w:p w14:paraId="71BAC227"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531</w:t>
            </w:r>
          </w:p>
        </w:tc>
        <w:tc>
          <w:tcPr>
            <w:tcW w:w="818" w:type="dxa"/>
            <w:tcBorders>
              <w:top w:val="nil"/>
              <w:left w:val="nil"/>
              <w:bottom w:val="nil"/>
              <w:right w:val="nil"/>
            </w:tcBorders>
            <w:shd w:val="clear" w:color="000000" w:fill="FFFFFF"/>
            <w:vAlign w:val="center"/>
            <w:hideMark/>
          </w:tcPr>
          <w:p w14:paraId="24B749A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2103B891" w14:textId="77777777" w:rsidTr="00EB5625">
        <w:trPr>
          <w:trHeight w:val="289"/>
        </w:trPr>
        <w:tc>
          <w:tcPr>
            <w:tcW w:w="3544" w:type="dxa"/>
            <w:tcBorders>
              <w:top w:val="nil"/>
              <w:left w:val="nil"/>
              <w:bottom w:val="nil"/>
              <w:right w:val="nil"/>
            </w:tcBorders>
            <w:shd w:val="clear" w:color="000000" w:fill="FFFFFF"/>
            <w:vAlign w:val="center"/>
            <w:hideMark/>
          </w:tcPr>
          <w:p w14:paraId="59904104"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vnútra SR</w:t>
            </w:r>
          </w:p>
        </w:tc>
        <w:tc>
          <w:tcPr>
            <w:tcW w:w="924" w:type="dxa"/>
            <w:tcBorders>
              <w:top w:val="nil"/>
              <w:left w:val="nil"/>
              <w:bottom w:val="nil"/>
              <w:right w:val="nil"/>
            </w:tcBorders>
            <w:shd w:val="clear" w:color="auto" w:fill="auto"/>
            <w:noWrap/>
            <w:vAlign w:val="center"/>
            <w:hideMark/>
          </w:tcPr>
          <w:p w14:paraId="0E1B21D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662" w:type="dxa"/>
            <w:tcBorders>
              <w:top w:val="nil"/>
              <w:left w:val="nil"/>
              <w:bottom w:val="nil"/>
              <w:right w:val="nil"/>
            </w:tcBorders>
            <w:shd w:val="clear" w:color="auto" w:fill="auto"/>
            <w:noWrap/>
            <w:vAlign w:val="center"/>
            <w:hideMark/>
          </w:tcPr>
          <w:p w14:paraId="41ED80A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94" w:type="dxa"/>
            <w:tcBorders>
              <w:top w:val="nil"/>
              <w:left w:val="nil"/>
              <w:bottom w:val="nil"/>
              <w:right w:val="nil"/>
            </w:tcBorders>
            <w:shd w:val="clear" w:color="000000" w:fill="FFFFFF"/>
            <w:noWrap/>
            <w:vAlign w:val="center"/>
            <w:hideMark/>
          </w:tcPr>
          <w:p w14:paraId="4F6D812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793" w:type="dxa"/>
            <w:tcBorders>
              <w:top w:val="nil"/>
              <w:left w:val="nil"/>
              <w:bottom w:val="nil"/>
              <w:right w:val="nil"/>
            </w:tcBorders>
            <w:shd w:val="clear" w:color="auto" w:fill="auto"/>
            <w:noWrap/>
            <w:vAlign w:val="center"/>
            <w:hideMark/>
          </w:tcPr>
          <w:p w14:paraId="3701748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349</w:t>
            </w:r>
          </w:p>
        </w:tc>
        <w:tc>
          <w:tcPr>
            <w:tcW w:w="924" w:type="dxa"/>
            <w:tcBorders>
              <w:top w:val="nil"/>
              <w:left w:val="nil"/>
              <w:bottom w:val="nil"/>
              <w:right w:val="nil"/>
            </w:tcBorders>
            <w:shd w:val="clear" w:color="auto" w:fill="auto"/>
            <w:noWrap/>
            <w:vAlign w:val="center"/>
            <w:hideMark/>
          </w:tcPr>
          <w:p w14:paraId="4DDFA54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349</w:t>
            </w:r>
          </w:p>
        </w:tc>
        <w:tc>
          <w:tcPr>
            <w:tcW w:w="780" w:type="dxa"/>
            <w:tcBorders>
              <w:top w:val="nil"/>
              <w:left w:val="nil"/>
              <w:bottom w:val="nil"/>
              <w:right w:val="nil"/>
            </w:tcBorders>
            <w:shd w:val="clear" w:color="000000" w:fill="FFFFFF"/>
            <w:vAlign w:val="center"/>
            <w:hideMark/>
          </w:tcPr>
          <w:p w14:paraId="17D4468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349</w:t>
            </w:r>
          </w:p>
        </w:tc>
        <w:tc>
          <w:tcPr>
            <w:tcW w:w="818" w:type="dxa"/>
            <w:tcBorders>
              <w:top w:val="nil"/>
              <w:left w:val="nil"/>
              <w:bottom w:val="nil"/>
              <w:right w:val="nil"/>
            </w:tcBorders>
            <w:shd w:val="clear" w:color="000000" w:fill="FFFFFF"/>
            <w:vAlign w:val="center"/>
            <w:hideMark/>
          </w:tcPr>
          <w:p w14:paraId="45A333B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64A204F7" w14:textId="77777777" w:rsidTr="00EB5625">
        <w:trPr>
          <w:trHeight w:val="289"/>
        </w:trPr>
        <w:tc>
          <w:tcPr>
            <w:tcW w:w="3544" w:type="dxa"/>
            <w:tcBorders>
              <w:top w:val="nil"/>
              <w:left w:val="nil"/>
              <w:bottom w:val="nil"/>
              <w:right w:val="nil"/>
            </w:tcBorders>
            <w:shd w:val="clear" w:color="000000" w:fill="FFFFFF"/>
            <w:vAlign w:val="center"/>
            <w:hideMark/>
          </w:tcPr>
          <w:p w14:paraId="26CC5849"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životného prostredia SR</w:t>
            </w:r>
          </w:p>
        </w:tc>
        <w:tc>
          <w:tcPr>
            <w:tcW w:w="924" w:type="dxa"/>
            <w:tcBorders>
              <w:top w:val="nil"/>
              <w:left w:val="nil"/>
              <w:bottom w:val="nil"/>
              <w:right w:val="nil"/>
            </w:tcBorders>
            <w:shd w:val="clear" w:color="auto" w:fill="auto"/>
            <w:noWrap/>
            <w:vAlign w:val="center"/>
            <w:hideMark/>
          </w:tcPr>
          <w:p w14:paraId="0863B88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2 497</w:t>
            </w:r>
          </w:p>
        </w:tc>
        <w:tc>
          <w:tcPr>
            <w:tcW w:w="662" w:type="dxa"/>
            <w:tcBorders>
              <w:top w:val="nil"/>
              <w:left w:val="nil"/>
              <w:bottom w:val="nil"/>
              <w:right w:val="nil"/>
            </w:tcBorders>
            <w:shd w:val="clear" w:color="auto" w:fill="auto"/>
            <w:noWrap/>
            <w:vAlign w:val="center"/>
            <w:hideMark/>
          </w:tcPr>
          <w:p w14:paraId="74AB860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463</w:t>
            </w:r>
          </w:p>
        </w:tc>
        <w:tc>
          <w:tcPr>
            <w:tcW w:w="794" w:type="dxa"/>
            <w:tcBorders>
              <w:top w:val="nil"/>
              <w:left w:val="nil"/>
              <w:bottom w:val="nil"/>
              <w:right w:val="nil"/>
            </w:tcBorders>
            <w:shd w:val="clear" w:color="000000" w:fill="FFFFFF"/>
            <w:noWrap/>
            <w:vAlign w:val="center"/>
            <w:hideMark/>
          </w:tcPr>
          <w:p w14:paraId="7341E36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793" w:type="dxa"/>
            <w:tcBorders>
              <w:top w:val="nil"/>
              <w:left w:val="nil"/>
              <w:bottom w:val="nil"/>
              <w:right w:val="nil"/>
            </w:tcBorders>
            <w:shd w:val="clear" w:color="auto" w:fill="auto"/>
            <w:noWrap/>
            <w:vAlign w:val="center"/>
            <w:hideMark/>
          </w:tcPr>
          <w:p w14:paraId="41BEDCF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18</w:t>
            </w:r>
          </w:p>
        </w:tc>
        <w:tc>
          <w:tcPr>
            <w:tcW w:w="924" w:type="dxa"/>
            <w:tcBorders>
              <w:top w:val="nil"/>
              <w:left w:val="nil"/>
              <w:bottom w:val="nil"/>
              <w:right w:val="nil"/>
            </w:tcBorders>
            <w:shd w:val="clear" w:color="auto" w:fill="auto"/>
            <w:noWrap/>
            <w:vAlign w:val="center"/>
            <w:hideMark/>
          </w:tcPr>
          <w:p w14:paraId="52308A49"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80" w:type="dxa"/>
            <w:tcBorders>
              <w:top w:val="nil"/>
              <w:left w:val="nil"/>
              <w:bottom w:val="nil"/>
              <w:right w:val="nil"/>
            </w:tcBorders>
            <w:shd w:val="clear" w:color="000000" w:fill="FFFFFF"/>
            <w:vAlign w:val="center"/>
            <w:hideMark/>
          </w:tcPr>
          <w:p w14:paraId="2B35EB1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18</w:t>
            </w:r>
          </w:p>
        </w:tc>
        <w:tc>
          <w:tcPr>
            <w:tcW w:w="818" w:type="dxa"/>
            <w:tcBorders>
              <w:top w:val="nil"/>
              <w:left w:val="nil"/>
              <w:bottom w:val="nil"/>
              <w:right w:val="nil"/>
            </w:tcBorders>
            <w:shd w:val="clear" w:color="000000" w:fill="FFFFFF"/>
            <w:vAlign w:val="center"/>
            <w:hideMark/>
          </w:tcPr>
          <w:p w14:paraId="4E88794B"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16751A6E" w14:textId="77777777" w:rsidTr="00EB5625">
        <w:trPr>
          <w:trHeight w:val="289"/>
        </w:trPr>
        <w:tc>
          <w:tcPr>
            <w:tcW w:w="3544" w:type="dxa"/>
            <w:tcBorders>
              <w:top w:val="nil"/>
              <w:left w:val="nil"/>
              <w:bottom w:val="nil"/>
              <w:right w:val="nil"/>
            </w:tcBorders>
            <w:shd w:val="clear" w:color="000000" w:fill="FFFFFF"/>
            <w:noWrap/>
            <w:vAlign w:val="center"/>
            <w:hideMark/>
          </w:tcPr>
          <w:p w14:paraId="36A565F3"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Úrad vlády SR</w:t>
            </w:r>
          </w:p>
        </w:tc>
        <w:tc>
          <w:tcPr>
            <w:tcW w:w="924" w:type="dxa"/>
            <w:tcBorders>
              <w:top w:val="nil"/>
              <w:left w:val="nil"/>
              <w:bottom w:val="nil"/>
              <w:right w:val="nil"/>
            </w:tcBorders>
            <w:shd w:val="clear" w:color="auto" w:fill="auto"/>
            <w:noWrap/>
            <w:vAlign w:val="center"/>
            <w:hideMark/>
          </w:tcPr>
          <w:p w14:paraId="0244FC8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37</w:t>
            </w:r>
          </w:p>
        </w:tc>
        <w:tc>
          <w:tcPr>
            <w:tcW w:w="662" w:type="dxa"/>
            <w:tcBorders>
              <w:top w:val="nil"/>
              <w:left w:val="nil"/>
              <w:bottom w:val="nil"/>
              <w:right w:val="nil"/>
            </w:tcBorders>
            <w:shd w:val="clear" w:color="auto" w:fill="auto"/>
            <w:noWrap/>
            <w:vAlign w:val="center"/>
            <w:hideMark/>
          </w:tcPr>
          <w:p w14:paraId="2B98E4C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94" w:type="dxa"/>
            <w:tcBorders>
              <w:top w:val="nil"/>
              <w:left w:val="nil"/>
              <w:bottom w:val="nil"/>
              <w:right w:val="nil"/>
            </w:tcBorders>
            <w:shd w:val="clear" w:color="000000" w:fill="FFFFFF"/>
            <w:noWrap/>
            <w:vAlign w:val="center"/>
            <w:hideMark/>
          </w:tcPr>
          <w:p w14:paraId="238D1A9C"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793" w:type="dxa"/>
            <w:tcBorders>
              <w:top w:val="nil"/>
              <w:left w:val="nil"/>
              <w:bottom w:val="nil"/>
              <w:right w:val="nil"/>
            </w:tcBorders>
            <w:shd w:val="clear" w:color="auto" w:fill="auto"/>
            <w:noWrap/>
            <w:vAlign w:val="center"/>
            <w:hideMark/>
          </w:tcPr>
          <w:p w14:paraId="77429043"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9</w:t>
            </w:r>
          </w:p>
        </w:tc>
        <w:tc>
          <w:tcPr>
            <w:tcW w:w="924" w:type="dxa"/>
            <w:tcBorders>
              <w:top w:val="nil"/>
              <w:left w:val="nil"/>
              <w:bottom w:val="nil"/>
              <w:right w:val="nil"/>
            </w:tcBorders>
            <w:shd w:val="clear" w:color="auto" w:fill="auto"/>
            <w:noWrap/>
            <w:vAlign w:val="center"/>
            <w:hideMark/>
          </w:tcPr>
          <w:p w14:paraId="4FA54004"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80" w:type="dxa"/>
            <w:tcBorders>
              <w:top w:val="nil"/>
              <w:left w:val="nil"/>
              <w:bottom w:val="nil"/>
              <w:right w:val="nil"/>
            </w:tcBorders>
            <w:shd w:val="clear" w:color="000000" w:fill="FFFFFF"/>
            <w:vAlign w:val="center"/>
            <w:hideMark/>
          </w:tcPr>
          <w:p w14:paraId="1195C607"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18" w:type="dxa"/>
            <w:tcBorders>
              <w:top w:val="nil"/>
              <w:left w:val="nil"/>
              <w:bottom w:val="nil"/>
              <w:right w:val="nil"/>
            </w:tcBorders>
            <w:shd w:val="clear" w:color="000000" w:fill="FFFFFF"/>
            <w:vAlign w:val="center"/>
            <w:hideMark/>
          </w:tcPr>
          <w:p w14:paraId="39DAB59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7603FCE6" w14:textId="77777777" w:rsidTr="00EB5625">
        <w:trPr>
          <w:trHeight w:val="289"/>
        </w:trPr>
        <w:tc>
          <w:tcPr>
            <w:tcW w:w="3544" w:type="dxa"/>
            <w:tcBorders>
              <w:top w:val="nil"/>
              <w:left w:val="nil"/>
              <w:bottom w:val="nil"/>
              <w:right w:val="nil"/>
            </w:tcBorders>
            <w:shd w:val="clear" w:color="000000" w:fill="FFFFFF"/>
            <w:noWrap/>
            <w:vAlign w:val="center"/>
            <w:hideMark/>
          </w:tcPr>
          <w:p w14:paraId="2583A6C2"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Všeobecná pokladničná správa</w:t>
            </w:r>
          </w:p>
        </w:tc>
        <w:tc>
          <w:tcPr>
            <w:tcW w:w="924" w:type="dxa"/>
            <w:tcBorders>
              <w:top w:val="nil"/>
              <w:left w:val="nil"/>
              <w:bottom w:val="nil"/>
              <w:right w:val="nil"/>
            </w:tcBorders>
            <w:shd w:val="clear" w:color="auto" w:fill="auto"/>
            <w:noWrap/>
            <w:vAlign w:val="center"/>
            <w:hideMark/>
          </w:tcPr>
          <w:p w14:paraId="46A12E2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10 660</w:t>
            </w:r>
          </w:p>
        </w:tc>
        <w:tc>
          <w:tcPr>
            <w:tcW w:w="662" w:type="dxa"/>
            <w:tcBorders>
              <w:top w:val="nil"/>
              <w:left w:val="nil"/>
              <w:bottom w:val="nil"/>
              <w:right w:val="nil"/>
            </w:tcBorders>
            <w:shd w:val="clear" w:color="auto" w:fill="auto"/>
            <w:noWrap/>
            <w:vAlign w:val="center"/>
            <w:hideMark/>
          </w:tcPr>
          <w:p w14:paraId="30755C0D"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4 116</w:t>
            </w:r>
          </w:p>
        </w:tc>
        <w:tc>
          <w:tcPr>
            <w:tcW w:w="794" w:type="dxa"/>
            <w:tcBorders>
              <w:top w:val="nil"/>
              <w:left w:val="nil"/>
              <w:bottom w:val="nil"/>
              <w:right w:val="nil"/>
            </w:tcBorders>
            <w:shd w:val="clear" w:color="000000" w:fill="FFFFFF"/>
            <w:noWrap/>
            <w:vAlign w:val="center"/>
            <w:hideMark/>
          </w:tcPr>
          <w:p w14:paraId="2159213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1 100</w:t>
            </w:r>
          </w:p>
        </w:tc>
        <w:tc>
          <w:tcPr>
            <w:tcW w:w="793" w:type="dxa"/>
            <w:tcBorders>
              <w:top w:val="nil"/>
              <w:left w:val="nil"/>
              <w:bottom w:val="nil"/>
              <w:right w:val="nil"/>
            </w:tcBorders>
            <w:shd w:val="clear" w:color="auto" w:fill="auto"/>
            <w:noWrap/>
            <w:vAlign w:val="center"/>
            <w:hideMark/>
          </w:tcPr>
          <w:p w14:paraId="735AE65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924" w:type="dxa"/>
            <w:tcBorders>
              <w:top w:val="nil"/>
              <w:left w:val="nil"/>
              <w:bottom w:val="nil"/>
              <w:right w:val="nil"/>
            </w:tcBorders>
            <w:shd w:val="clear" w:color="auto" w:fill="auto"/>
            <w:noWrap/>
            <w:vAlign w:val="center"/>
            <w:hideMark/>
          </w:tcPr>
          <w:p w14:paraId="0143380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0</w:t>
            </w:r>
          </w:p>
        </w:tc>
        <w:tc>
          <w:tcPr>
            <w:tcW w:w="780" w:type="dxa"/>
            <w:tcBorders>
              <w:top w:val="nil"/>
              <w:left w:val="nil"/>
              <w:bottom w:val="nil"/>
              <w:right w:val="nil"/>
            </w:tcBorders>
            <w:shd w:val="clear" w:color="000000" w:fill="FFFFFF"/>
            <w:vAlign w:val="center"/>
            <w:hideMark/>
          </w:tcPr>
          <w:p w14:paraId="0ACA173A"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-1 100</w:t>
            </w:r>
          </w:p>
        </w:tc>
        <w:tc>
          <w:tcPr>
            <w:tcW w:w="818" w:type="dxa"/>
            <w:tcBorders>
              <w:top w:val="nil"/>
              <w:left w:val="nil"/>
              <w:bottom w:val="nil"/>
              <w:right w:val="nil"/>
            </w:tcBorders>
            <w:shd w:val="clear" w:color="000000" w:fill="FFFFFF"/>
            <w:noWrap/>
            <w:vAlign w:val="center"/>
            <w:hideMark/>
          </w:tcPr>
          <w:p w14:paraId="05E9D102"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-100,0</w:t>
            </w:r>
          </w:p>
        </w:tc>
      </w:tr>
      <w:tr w:rsidR="0013260D" w:rsidRPr="00563E25" w14:paraId="3B4A1D2B" w14:textId="77777777" w:rsidTr="00EB5625">
        <w:trPr>
          <w:trHeight w:val="289"/>
        </w:trPr>
        <w:tc>
          <w:tcPr>
            <w:tcW w:w="3544" w:type="dxa"/>
            <w:tcBorders>
              <w:top w:val="nil"/>
              <w:left w:val="nil"/>
              <w:bottom w:val="nil"/>
              <w:right w:val="nil"/>
            </w:tcBorders>
            <w:shd w:val="clear" w:color="000000" w:fill="FFFFFF"/>
            <w:vAlign w:val="center"/>
            <w:hideMark/>
          </w:tcPr>
          <w:p w14:paraId="1209EA79"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pôdohospodárstva a rozvoja vidieka SR</w:t>
            </w:r>
          </w:p>
        </w:tc>
        <w:tc>
          <w:tcPr>
            <w:tcW w:w="924" w:type="dxa"/>
            <w:tcBorders>
              <w:top w:val="nil"/>
              <w:left w:val="nil"/>
              <w:bottom w:val="nil"/>
              <w:right w:val="nil"/>
            </w:tcBorders>
            <w:shd w:val="clear" w:color="auto" w:fill="auto"/>
            <w:noWrap/>
            <w:vAlign w:val="center"/>
            <w:hideMark/>
          </w:tcPr>
          <w:p w14:paraId="2174D6D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28 222</w:t>
            </w:r>
          </w:p>
        </w:tc>
        <w:tc>
          <w:tcPr>
            <w:tcW w:w="662" w:type="dxa"/>
            <w:tcBorders>
              <w:top w:val="nil"/>
              <w:left w:val="nil"/>
              <w:bottom w:val="nil"/>
              <w:right w:val="nil"/>
            </w:tcBorders>
            <w:shd w:val="clear" w:color="auto" w:fill="auto"/>
            <w:noWrap/>
            <w:vAlign w:val="center"/>
            <w:hideMark/>
          </w:tcPr>
          <w:p w14:paraId="1A629009"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94" w:type="dxa"/>
            <w:tcBorders>
              <w:top w:val="nil"/>
              <w:left w:val="nil"/>
              <w:bottom w:val="nil"/>
              <w:right w:val="nil"/>
            </w:tcBorders>
            <w:shd w:val="clear" w:color="000000" w:fill="FFFFFF"/>
            <w:noWrap/>
            <w:vAlign w:val="center"/>
            <w:hideMark/>
          </w:tcPr>
          <w:p w14:paraId="523C56E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93" w:type="dxa"/>
            <w:tcBorders>
              <w:top w:val="nil"/>
              <w:left w:val="nil"/>
              <w:bottom w:val="nil"/>
              <w:right w:val="nil"/>
            </w:tcBorders>
            <w:shd w:val="clear" w:color="auto" w:fill="auto"/>
            <w:noWrap/>
            <w:vAlign w:val="center"/>
            <w:hideMark/>
          </w:tcPr>
          <w:p w14:paraId="6FDEA725"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924" w:type="dxa"/>
            <w:tcBorders>
              <w:top w:val="nil"/>
              <w:left w:val="nil"/>
              <w:bottom w:val="nil"/>
              <w:right w:val="nil"/>
            </w:tcBorders>
            <w:shd w:val="clear" w:color="auto" w:fill="auto"/>
            <w:noWrap/>
            <w:vAlign w:val="center"/>
            <w:hideMark/>
          </w:tcPr>
          <w:p w14:paraId="4BBF1E5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80" w:type="dxa"/>
            <w:tcBorders>
              <w:top w:val="nil"/>
              <w:left w:val="nil"/>
              <w:bottom w:val="nil"/>
              <w:right w:val="nil"/>
            </w:tcBorders>
            <w:shd w:val="clear" w:color="000000" w:fill="FFFFFF"/>
            <w:vAlign w:val="center"/>
            <w:hideMark/>
          </w:tcPr>
          <w:p w14:paraId="7DFCD396"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18" w:type="dxa"/>
            <w:tcBorders>
              <w:top w:val="nil"/>
              <w:left w:val="nil"/>
              <w:bottom w:val="nil"/>
              <w:right w:val="nil"/>
            </w:tcBorders>
            <w:shd w:val="clear" w:color="000000" w:fill="FFFFFF"/>
            <w:vAlign w:val="center"/>
            <w:hideMark/>
          </w:tcPr>
          <w:p w14:paraId="674E20B8"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13260D" w:rsidRPr="00563E25" w14:paraId="6F7726CA" w14:textId="77777777" w:rsidTr="00EB5625">
        <w:trPr>
          <w:trHeight w:val="289"/>
        </w:trPr>
        <w:tc>
          <w:tcPr>
            <w:tcW w:w="3544" w:type="dxa"/>
            <w:tcBorders>
              <w:top w:val="nil"/>
              <w:left w:val="nil"/>
              <w:bottom w:val="nil"/>
              <w:right w:val="nil"/>
            </w:tcBorders>
            <w:shd w:val="clear" w:color="000000" w:fill="FFFFFF"/>
            <w:vAlign w:val="center"/>
            <w:hideMark/>
          </w:tcPr>
          <w:p w14:paraId="254DCACC" w14:textId="77777777" w:rsidR="0013260D" w:rsidRPr="00563E25" w:rsidRDefault="0013260D" w:rsidP="00AB0350">
            <w:pPr>
              <w:spacing w:after="0" w:line="240" w:lineRule="auto"/>
              <w:jc w:val="left"/>
              <w:rPr>
                <w:rFonts w:eastAsia="Times New Roman" w:cs="Times New Roman"/>
                <w:color w:val="000000"/>
                <w:sz w:val="18"/>
                <w:szCs w:val="18"/>
                <w:lang w:eastAsia="sk-SK"/>
              </w:rPr>
            </w:pPr>
            <w:r w:rsidRPr="00563E25">
              <w:rPr>
                <w:rFonts w:eastAsia="Times New Roman" w:cs="Times New Roman"/>
                <w:color w:val="000000"/>
                <w:sz w:val="18"/>
                <w:szCs w:val="18"/>
                <w:lang w:eastAsia="sk-SK"/>
              </w:rPr>
              <w:t>Ministerstvo dopravy a výstavby  SR</w:t>
            </w:r>
          </w:p>
        </w:tc>
        <w:tc>
          <w:tcPr>
            <w:tcW w:w="924" w:type="dxa"/>
            <w:tcBorders>
              <w:top w:val="nil"/>
              <w:left w:val="nil"/>
              <w:bottom w:val="nil"/>
              <w:right w:val="nil"/>
            </w:tcBorders>
            <w:shd w:val="clear" w:color="auto" w:fill="auto"/>
            <w:noWrap/>
            <w:vAlign w:val="center"/>
            <w:hideMark/>
          </w:tcPr>
          <w:p w14:paraId="3469B539"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231</w:t>
            </w:r>
          </w:p>
        </w:tc>
        <w:tc>
          <w:tcPr>
            <w:tcW w:w="662" w:type="dxa"/>
            <w:tcBorders>
              <w:top w:val="nil"/>
              <w:left w:val="nil"/>
              <w:bottom w:val="nil"/>
              <w:right w:val="nil"/>
            </w:tcBorders>
            <w:shd w:val="clear" w:color="auto" w:fill="auto"/>
            <w:noWrap/>
            <w:vAlign w:val="center"/>
            <w:hideMark/>
          </w:tcPr>
          <w:p w14:paraId="565A1FA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94" w:type="dxa"/>
            <w:tcBorders>
              <w:top w:val="nil"/>
              <w:left w:val="nil"/>
              <w:bottom w:val="nil"/>
              <w:right w:val="nil"/>
            </w:tcBorders>
            <w:shd w:val="clear" w:color="000000" w:fill="FFFFFF"/>
            <w:noWrap/>
            <w:vAlign w:val="center"/>
            <w:hideMark/>
          </w:tcPr>
          <w:p w14:paraId="5A7C27BF"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93" w:type="dxa"/>
            <w:tcBorders>
              <w:top w:val="nil"/>
              <w:left w:val="nil"/>
              <w:bottom w:val="nil"/>
              <w:right w:val="nil"/>
            </w:tcBorders>
            <w:shd w:val="clear" w:color="auto" w:fill="auto"/>
            <w:noWrap/>
            <w:vAlign w:val="center"/>
            <w:hideMark/>
          </w:tcPr>
          <w:p w14:paraId="680DB66E"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924" w:type="dxa"/>
            <w:tcBorders>
              <w:top w:val="nil"/>
              <w:left w:val="nil"/>
              <w:bottom w:val="nil"/>
              <w:right w:val="nil"/>
            </w:tcBorders>
            <w:shd w:val="clear" w:color="auto" w:fill="auto"/>
            <w:noWrap/>
            <w:vAlign w:val="center"/>
            <w:hideMark/>
          </w:tcPr>
          <w:p w14:paraId="711C9750"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780" w:type="dxa"/>
            <w:tcBorders>
              <w:top w:val="nil"/>
              <w:left w:val="nil"/>
              <w:bottom w:val="nil"/>
              <w:right w:val="nil"/>
            </w:tcBorders>
            <w:shd w:val="clear" w:color="000000" w:fill="FFFFFF"/>
            <w:vAlign w:val="center"/>
            <w:hideMark/>
          </w:tcPr>
          <w:p w14:paraId="70E5D3D7"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c>
          <w:tcPr>
            <w:tcW w:w="818" w:type="dxa"/>
            <w:tcBorders>
              <w:top w:val="nil"/>
              <w:left w:val="nil"/>
              <w:bottom w:val="nil"/>
              <w:right w:val="nil"/>
            </w:tcBorders>
            <w:shd w:val="clear" w:color="000000" w:fill="FFFFFF"/>
            <w:vAlign w:val="center"/>
            <w:hideMark/>
          </w:tcPr>
          <w:p w14:paraId="3BFCE201" w14:textId="77777777" w:rsidR="0013260D" w:rsidRPr="00563E25" w:rsidRDefault="0013260D" w:rsidP="00AB0350">
            <w:pPr>
              <w:spacing w:after="0" w:line="240" w:lineRule="auto"/>
              <w:jc w:val="right"/>
              <w:rPr>
                <w:rFonts w:eastAsia="Times New Roman" w:cs="Times New Roman"/>
                <w:color w:val="000000"/>
                <w:sz w:val="18"/>
                <w:szCs w:val="18"/>
                <w:lang w:eastAsia="sk-SK"/>
              </w:rPr>
            </w:pPr>
            <w:r w:rsidRPr="00563E25">
              <w:rPr>
                <w:rFonts w:eastAsia="Times New Roman" w:cs="Times New Roman"/>
                <w:color w:val="000000"/>
                <w:sz w:val="18"/>
                <w:szCs w:val="18"/>
                <w:lang w:eastAsia="sk-SK"/>
              </w:rPr>
              <w:t>x</w:t>
            </w:r>
          </w:p>
        </w:tc>
      </w:tr>
      <w:tr w:rsidR="00425C58" w:rsidRPr="00563E25" w14:paraId="0ADF8638" w14:textId="77777777" w:rsidTr="00EB5625">
        <w:trPr>
          <w:trHeight w:val="289"/>
        </w:trPr>
        <w:tc>
          <w:tcPr>
            <w:tcW w:w="3544" w:type="dxa"/>
            <w:tcBorders>
              <w:top w:val="single" w:sz="4" w:space="0" w:color="auto"/>
              <w:left w:val="nil"/>
              <w:bottom w:val="single" w:sz="8" w:space="0" w:color="auto"/>
              <w:right w:val="nil"/>
            </w:tcBorders>
            <w:shd w:val="clear" w:color="000000" w:fill="FFFFFF"/>
            <w:noWrap/>
            <w:vAlign w:val="center"/>
            <w:hideMark/>
          </w:tcPr>
          <w:p w14:paraId="4917F8D6" w14:textId="77777777" w:rsidR="0013260D" w:rsidRPr="00563E25" w:rsidRDefault="0013260D" w:rsidP="00AB0350">
            <w:pPr>
              <w:spacing w:after="0" w:line="240" w:lineRule="auto"/>
              <w:jc w:val="lef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Spolu</w:t>
            </w:r>
          </w:p>
        </w:tc>
        <w:tc>
          <w:tcPr>
            <w:tcW w:w="924" w:type="dxa"/>
            <w:tcBorders>
              <w:top w:val="single" w:sz="4" w:space="0" w:color="auto"/>
              <w:left w:val="nil"/>
              <w:bottom w:val="single" w:sz="8" w:space="0" w:color="auto"/>
              <w:right w:val="nil"/>
            </w:tcBorders>
            <w:shd w:val="clear" w:color="000000" w:fill="FFFFFF"/>
            <w:noWrap/>
            <w:vAlign w:val="center"/>
            <w:hideMark/>
          </w:tcPr>
          <w:p w14:paraId="37B2017C"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56 333</w:t>
            </w:r>
          </w:p>
        </w:tc>
        <w:tc>
          <w:tcPr>
            <w:tcW w:w="662" w:type="dxa"/>
            <w:tcBorders>
              <w:top w:val="single" w:sz="4" w:space="0" w:color="auto"/>
              <w:left w:val="nil"/>
              <w:bottom w:val="single" w:sz="8" w:space="0" w:color="auto"/>
              <w:right w:val="nil"/>
            </w:tcBorders>
            <w:shd w:val="clear" w:color="000000" w:fill="FFFFFF"/>
            <w:noWrap/>
            <w:vAlign w:val="center"/>
            <w:hideMark/>
          </w:tcPr>
          <w:p w14:paraId="42EFC06C"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33 966</w:t>
            </w:r>
          </w:p>
        </w:tc>
        <w:tc>
          <w:tcPr>
            <w:tcW w:w="794" w:type="dxa"/>
            <w:tcBorders>
              <w:top w:val="single" w:sz="4" w:space="0" w:color="auto"/>
              <w:left w:val="nil"/>
              <w:bottom w:val="single" w:sz="8" w:space="0" w:color="auto"/>
              <w:right w:val="nil"/>
            </w:tcBorders>
            <w:shd w:val="clear" w:color="000000" w:fill="FFFFFF"/>
            <w:noWrap/>
            <w:vAlign w:val="center"/>
            <w:hideMark/>
          </w:tcPr>
          <w:p w14:paraId="02B5C8ED"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1 250</w:t>
            </w:r>
          </w:p>
        </w:tc>
        <w:tc>
          <w:tcPr>
            <w:tcW w:w="793" w:type="dxa"/>
            <w:tcBorders>
              <w:top w:val="single" w:sz="4" w:space="0" w:color="auto"/>
              <w:left w:val="nil"/>
              <w:bottom w:val="single" w:sz="8" w:space="0" w:color="auto"/>
              <w:right w:val="nil"/>
            </w:tcBorders>
            <w:shd w:val="clear" w:color="000000" w:fill="FFFFFF"/>
            <w:noWrap/>
            <w:vAlign w:val="center"/>
            <w:hideMark/>
          </w:tcPr>
          <w:p w14:paraId="12E9EFD6"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36 475</w:t>
            </w:r>
          </w:p>
        </w:tc>
        <w:tc>
          <w:tcPr>
            <w:tcW w:w="924" w:type="dxa"/>
            <w:tcBorders>
              <w:top w:val="single" w:sz="4" w:space="0" w:color="auto"/>
              <w:left w:val="nil"/>
              <w:bottom w:val="single" w:sz="8" w:space="0" w:color="auto"/>
              <w:right w:val="nil"/>
            </w:tcBorders>
            <w:shd w:val="clear" w:color="000000" w:fill="FFFFFF"/>
            <w:noWrap/>
            <w:vAlign w:val="center"/>
            <w:hideMark/>
          </w:tcPr>
          <w:p w14:paraId="33A2A004"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1 749</w:t>
            </w:r>
          </w:p>
        </w:tc>
        <w:tc>
          <w:tcPr>
            <w:tcW w:w="780" w:type="dxa"/>
            <w:tcBorders>
              <w:top w:val="single" w:sz="4" w:space="0" w:color="auto"/>
              <w:left w:val="nil"/>
              <w:bottom w:val="single" w:sz="8" w:space="0" w:color="auto"/>
              <w:right w:val="nil"/>
            </w:tcBorders>
            <w:shd w:val="clear" w:color="000000" w:fill="FFFFFF"/>
            <w:noWrap/>
            <w:vAlign w:val="center"/>
            <w:hideMark/>
          </w:tcPr>
          <w:p w14:paraId="00E17793"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35 216</w:t>
            </w:r>
          </w:p>
        </w:tc>
        <w:tc>
          <w:tcPr>
            <w:tcW w:w="818" w:type="dxa"/>
            <w:tcBorders>
              <w:top w:val="single" w:sz="4" w:space="0" w:color="auto"/>
              <w:left w:val="nil"/>
              <w:bottom w:val="single" w:sz="8" w:space="0" w:color="auto"/>
              <w:right w:val="nil"/>
            </w:tcBorders>
            <w:shd w:val="clear" w:color="000000" w:fill="FFFFFF"/>
            <w:noWrap/>
            <w:vAlign w:val="center"/>
            <w:hideMark/>
          </w:tcPr>
          <w:p w14:paraId="64B4E5C4" w14:textId="77777777" w:rsidR="0013260D" w:rsidRPr="00563E25" w:rsidRDefault="0013260D" w:rsidP="00AB0350">
            <w:pPr>
              <w:spacing w:after="0" w:line="240" w:lineRule="auto"/>
              <w:jc w:val="right"/>
              <w:rPr>
                <w:rFonts w:eastAsia="Times New Roman" w:cs="Times New Roman"/>
                <w:b/>
                <w:bCs/>
                <w:color w:val="000000"/>
                <w:sz w:val="18"/>
                <w:szCs w:val="18"/>
                <w:lang w:eastAsia="sk-SK"/>
              </w:rPr>
            </w:pPr>
            <w:r w:rsidRPr="00563E25">
              <w:rPr>
                <w:rFonts w:eastAsia="Times New Roman" w:cs="Times New Roman"/>
                <w:b/>
                <w:bCs/>
                <w:color w:val="000000"/>
                <w:sz w:val="18"/>
                <w:szCs w:val="18"/>
                <w:lang w:eastAsia="sk-SK"/>
              </w:rPr>
              <w:t>2 818,0</w:t>
            </w:r>
          </w:p>
        </w:tc>
      </w:tr>
    </w:tbl>
    <w:p w14:paraId="3C2CD482" w14:textId="571A1D43" w:rsidR="0013260D" w:rsidRPr="00164A70" w:rsidRDefault="0013260D" w:rsidP="0013260D">
      <w:pPr>
        <w:spacing w:after="160" w:line="254" w:lineRule="auto"/>
        <w:jc w:val="left"/>
      </w:pPr>
      <w:r w:rsidRPr="0017709F">
        <w:rPr>
          <w:rFonts w:eastAsia="Times New Roman" w:cs="Times New Roman"/>
          <w:color w:val="000000"/>
          <w:sz w:val="18"/>
          <w:szCs w:val="18"/>
          <w:lang w:eastAsia="sk-SK"/>
        </w:rPr>
        <w:t>Poznámka: * len prostriedky štátneho rozpočtu</w:t>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Pr>
          <w:rFonts w:eastAsia="Times New Roman" w:cs="Times New Roman"/>
          <w:color w:val="000000"/>
          <w:sz w:val="18"/>
          <w:szCs w:val="18"/>
          <w:lang w:eastAsia="sk-SK"/>
        </w:rPr>
        <w:tab/>
      </w:r>
      <w:r w:rsidR="00425C58">
        <w:rPr>
          <w:rFonts w:eastAsia="Times New Roman" w:cs="Times New Roman"/>
          <w:color w:val="000000"/>
          <w:sz w:val="18"/>
          <w:szCs w:val="18"/>
          <w:lang w:eastAsia="sk-SK"/>
        </w:rPr>
        <w:t xml:space="preserve">                           </w:t>
      </w:r>
      <w:r w:rsidRPr="0017709F">
        <w:rPr>
          <w:rFonts w:eastAsia="Times New Roman" w:cs="Times New Roman"/>
          <w:color w:val="000000"/>
          <w:sz w:val="18"/>
          <w:szCs w:val="18"/>
          <w:lang w:eastAsia="sk-SK"/>
        </w:rPr>
        <w:t>Zdroj: MF SR</w:t>
      </w:r>
    </w:p>
    <w:p w14:paraId="1EE1419E" w14:textId="4C5EF59C" w:rsidR="0013260D" w:rsidRDefault="0013260D" w:rsidP="0013260D">
      <w:pPr>
        <w:spacing w:line="240" w:lineRule="auto"/>
        <w:rPr>
          <w:color w:val="000000" w:themeColor="text1"/>
          <w:sz w:val="24"/>
          <w:szCs w:val="24"/>
        </w:rPr>
      </w:pPr>
      <w:r w:rsidRPr="003328D3">
        <w:rPr>
          <w:color w:val="000000" w:themeColor="text1"/>
          <w:sz w:val="24"/>
          <w:szCs w:val="24"/>
        </w:rPr>
        <w:t xml:space="preserve">Na celkovom objeme poskytnutých transferov VÚC sa najväčšou sumou podieľalo </w:t>
      </w:r>
      <w:r w:rsidRPr="003328D3">
        <w:rPr>
          <w:color w:val="000000" w:themeColor="text1"/>
          <w:sz w:val="24"/>
          <w:szCs w:val="24"/>
          <w:u w:val="single"/>
        </w:rPr>
        <w:t>Ministerstvo školstva, vedy, výskumu a športu SR</w:t>
      </w:r>
      <w:r w:rsidRPr="003328D3">
        <w:rPr>
          <w:color w:val="000000" w:themeColor="text1"/>
          <w:sz w:val="24"/>
          <w:szCs w:val="24"/>
        </w:rPr>
        <w:t xml:space="preserve">, ktoré na tento účel vynaložilo 554 655 tis. eur. </w:t>
      </w:r>
      <w:r w:rsidRPr="003D4F8E">
        <w:rPr>
          <w:color w:val="000000" w:themeColor="text1"/>
          <w:sz w:val="24"/>
          <w:szCs w:val="24"/>
        </w:rPr>
        <w:t xml:space="preserve">Z tejto sumy smerovala čiastka 543 518 tis. eur v rámci bežných výdavkov na financovanie kompetencií preneseného výkonu štátnej správy na úseku školstva. </w:t>
      </w:r>
      <w:r w:rsidRPr="006F6D30">
        <w:rPr>
          <w:color w:val="000000" w:themeColor="text1"/>
          <w:sz w:val="24"/>
          <w:szCs w:val="24"/>
        </w:rPr>
        <w:t xml:space="preserve">Išlo najmä o finančné prostriedky v sume 540 473 tis. eur školám v zriaďovateľskej pôsobnosti vyšších územných celkov podľa zákona č. 597/2003 Z. z. o financovaní základných škôl, stredných škôl a školských zariadení v znení neskorších predpisov. Tieto boli poskytnuté na zabezpečenie </w:t>
      </w:r>
      <w:r w:rsidRPr="00F904E3">
        <w:rPr>
          <w:color w:val="000000" w:themeColor="text1"/>
          <w:sz w:val="24"/>
          <w:szCs w:val="24"/>
        </w:rPr>
        <w:t>miezd, platov, služobných príjmov a ostatných osobných vyrovnaní vrátane poistného a príspevkov do poisťovní, prevádzky a modernizácie učebných pomôcok, špeciálnych učebných pomôcok a na riešenie havarijných situácií. </w:t>
      </w:r>
      <w:r w:rsidRPr="00F904E3">
        <w:rPr>
          <w:rFonts w:cs="Times New Roman"/>
          <w:sz w:val="24"/>
          <w:szCs w:val="24"/>
        </w:rPr>
        <w:t>Okrem výdavkov zo štátneho rozpočtu s kódom zdroja 111 v uvedenej sume sú zahrnuté aj výdavk</w:t>
      </w:r>
      <w:r>
        <w:rPr>
          <w:rFonts w:cs="Times New Roman"/>
          <w:sz w:val="24"/>
          <w:szCs w:val="24"/>
        </w:rPr>
        <w:t>y s kódom zdroja 11UA určené na </w:t>
      </w:r>
      <w:r w:rsidRPr="00F904E3">
        <w:rPr>
          <w:rFonts w:cs="Times New Roman"/>
          <w:sz w:val="24"/>
          <w:szCs w:val="24"/>
        </w:rPr>
        <w:t>financovanie opatre</w:t>
      </w:r>
      <w:r>
        <w:rPr>
          <w:rFonts w:cs="Times New Roman"/>
          <w:sz w:val="24"/>
          <w:szCs w:val="24"/>
        </w:rPr>
        <w:t>ní prijatých a zrealizovaných v </w:t>
      </w:r>
      <w:r w:rsidRPr="00F904E3">
        <w:rPr>
          <w:rFonts w:cs="Times New Roman"/>
          <w:sz w:val="24"/>
          <w:szCs w:val="24"/>
        </w:rPr>
        <w:t>priamej</w:t>
      </w:r>
      <w:r>
        <w:rPr>
          <w:rFonts w:cs="Times New Roman"/>
          <w:sz w:val="24"/>
          <w:szCs w:val="24"/>
        </w:rPr>
        <w:t xml:space="preserve"> a bezprostrednej súvislosti so </w:t>
      </w:r>
      <w:r w:rsidRPr="00F904E3">
        <w:rPr>
          <w:rFonts w:cs="Times New Roman"/>
          <w:sz w:val="24"/>
          <w:szCs w:val="24"/>
        </w:rPr>
        <w:t>vzniknutou situáciou spôsobenou ozbrojeným konflik</w:t>
      </w:r>
      <w:r>
        <w:rPr>
          <w:rFonts w:cs="Times New Roman"/>
          <w:sz w:val="24"/>
          <w:szCs w:val="24"/>
        </w:rPr>
        <w:t>tom na Ukrajine a zameraných na </w:t>
      </w:r>
      <w:r w:rsidRPr="00F904E3">
        <w:rPr>
          <w:rFonts w:cs="Times New Roman"/>
          <w:sz w:val="24"/>
          <w:szCs w:val="24"/>
        </w:rPr>
        <w:t>odstránenie jej negatívnych dôs</w:t>
      </w:r>
      <w:r>
        <w:rPr>
          <w:rFonts w:cs="Times New Roman"/>
          <w:sz w:val="24"/>
          <w:szCs w:val="24"/>
        </w:rPr>
        <w:t>ledkov, ako i výdavky čerpané z </w:t>
      </w:r>
      <w:r w:rsidRPr="00F904E3">
        <w:rPr>
          <w:rFonts w:cs="Times New Roman"/>
          <w:sz w:val="24"/>
          <w:szCs w:val="24"/>
        </w:rPr>
        <w:t>Plánu obnovy a odolnosti</w:t>
      </w:r>
      <w:r w:rsidRPr="00F904E3">
        <w:rPr>
          <w:rFonts w:eastAsia="Batang" w:cs="Times New Roman"/>
          <w:sz w:val="24"/>
          <w:szCs w:val="24"/>
          <w:lang w:eastAsia="sk-SK"/>
        </w:rPr>
        <w:t>.</w:t>
      </w:r>
      <w:r>
        <w:rPr>
          <w:rFonts w:eastAsia="Batang" w:cs="Times New Roman"/>
          <w:sz w:val="24"/>
          <w:szCs w:val="24"/>
          <w:lang w:eastAsia="sk-SK"/>
        </w:rPr>
        <w:t xml:space="preserve"> </w:t>
      </w:r>
      <w:r w:rsidRPr="0065367C">
        <w:rPr>
          <w:color w:val="000000" w:themeColor="text1"/>
          <w:sz w:val="24"/>
          <w:szCs w:val="24"/>
        </w:rPr>
        <w:t xml:space="preserve">Ďalšia čiastka 412 tis. eur bola poskytnutá vyšším územným celkom na financovanie školských úradov v ich zriaďovateľskej pôsobnosti. </w:t>
      </w:r>
    </w:p>
    <w:p w14:paraId="6D460B0E" w14:textId="24E97D16" w:rsidR="004A00A6" w:rsidRDefault="0013260D" w:rsidP="00043553">
      <w:pPr>
        <w:spacing w:line="240" w:lineRule="auto"/>
        <w:rPr>
          <w:color w:val="000000" w:themeColor="text1"/>
          <w:sz w:val="24"/>
          <w:szCs w:val="24"/>
          <w:u w:val="single"/>
        </w:rPr>
      </w:pPr>
      <w:r>
        <w:rPr>
          <w:color w:val="000000" w:themeColor="text1"/>
          <w:sz w:val="24"/>
          <w:szCs w:val="24"/>
        </w:rPr>
        <w:lastRenderedPageBreak/>
        <w:t xml:space="preserve">Bežné výdavky okrem transferu na úhradu nákladov preneseného výkonu štátnej správy boli vynaložené v objeme 10 561 tis. eur v rámci Operatívneho programu Ľudské zdroje, kde prijímatelia čerpali príspevok z výziev </w:t>
      </w:r>
      <w:proofErr w:type="spellStart"/>
      <w:r>
        <w:rPr>
          <w:color w:val="000000" w:themeColor="text1"/>
          <w:sz w:val="24"/>
          <w:szCs w:val="24"/>
        </w:rPr>
        <w:t>NedisKVALIFIKUJ</w:t>
      </w:r>
      <w:proofErr w:type="spellEnd"/>
      <w:r>
        <w:rPr>
          <w:color w:val="000000" w:themeColor="text1"/>
          <w:sz w:val="24"/>
          <w:szCs w:val="24"/>
        </w:rPr>
        <w:t xml:space="preserve"> SA!, Čitateľská, matematická, finančná a prírodovedná gramotnosť na gymnáziu, Prepojenie stredoškolského vzdelávania s praxou, Zlepšenie stredného odborného školstva v Prešovskom samosprávnom kraji a </w:t>
      </w:r>
      <w:r w:rsidRPr="0005166F">
        <w:rPr>
          <w:rFonts w:cs="Times New Roman"/>
          <w:sz w:val="24"/>
          <w:szCs w:val="24"/>
        </w:rPr>
        <w:t xml:space="preserve">Posilnenie regionálneho riadenia v oblasti odborného vzdelávania a prípravy smerom </w:t>
      </w:r>
      <w:r>
        <w:rPr>
          <w:rFonts w:cs="Times New Roman"/>
          <w:sz w:val="24"/>
          <w:szCs w:val="24"/>
        </w:rPr>
        <w:t>k  </w:t>
      </w:r>
      <w:r w:rsidRPr="0005166F">
        <w:rPr>
          <w:rFonts w:cs="Times New Roman"/>
          <w:sz w:val="24"/>
          <w:szCs w:val="24"/>
        </w:rPr>
        <w:t>zlepšeniu kvality, atraktivity a vyššej orientácii na trh práce v Banskobystrickom kraji</w:t>
      </w:r>
      <w:r>
        <w:rPr>
          <w:rFonts w:cs="Times New Roman"/>
          <w:sz w:val="24"/>
          <w:szCs w:val="24"/>
        </w:rPr>
        <w:t>.</w:t>
      </w:r>
    </w:p>
    <w:p w14:paraId="681C9071" w14:textId="05A6DBAC" w:rsidR="0013260D" w:rsidRPr="00FE6957" w:rsidRDefault="0013260D" w:rsidP="0013260D">
      <w:pPr>
        <w:spacing w:line="240" w:lineRule="auto"/>
        <w:rPr>
          <w:rFonts w:cs="Times New Roman"/>
          <w:color w:val="000000" w:themeColor="text1"/>
          <w:sz w:val="24"/>
          <w:szCs w:val="24"/>
        </w:rPr>
      </w:pPr>
      <w:r w:rsidRPr="002A4D84">
        <w:rPr>
          <w:color w:val="000000" w:themeColor="text1"/>
          <w:sz w:val="24"/>
          <w:szCs w:val="24"/>
          <w:u w:val="single"/>
        </w:rPr>
        <w:t>Ministerstvo investícií, regionálneho rozvoja a informatizácie SR</w:t>
      </w:r>
      <w:r w:rsidRPr="002A4D84">
        <w:rPr>
          <w:b/>
          <w:color w:val="000000" w:themeColor="text1"/>
          <w:sz w:val="24"/>
          <w:szCs w:val="24"/>
        </w:rPr>
        <w:t xml:space="preserve"> </w:t>
      </w:r>
      <w:r w:rsidRPr="002A4D84">
        <w:rPr>
          <w:color w:val="000000" w:themeColor="text1"/>
          <w:sz w:val="24"/>
          <w:szCs w:val="24"/>
        </w:rPr>
        <w:t xml:space="preserve">poskytlo </w:t>
      </w:r>
      <w:r>
        <w:rPr>
          <w:color w:val="000000" w:themeColor="text1"/>
          <w:sz w:val="24"/>
          <w:szCs w:val="24"/>
        </w:rPr>
        <w:t xml:space="preserve">vyšším územným celkom </w:t>
      </w:r>
      <w:r w:rsidRPr="002A4D84">
        <w:rPr>
          <w:color w:val="000000" w:themeColor="text1"/>
          <w:sz w:val="24"/>
          <w:szCs w:val="24"/>
        </w:rPr>
        <w:t xml:space="preserve">sumu </w:t>
      </w:r>
      <w:r w:rsidRPr="002A4D84">
        <w:rPr>
          <w:rFonts w:cs="Times New Roman"/>
          <w:color w:val="000000" w:themeColor="text1"/>
          <w:sz w:val="24"/>
          <w:szCs w:val="24"/>
        </w:rPr>
        <w:t xml:space="preserve">37 115 tis. eur, </w:t>
      </w:r>
      <w:r w:rsidRPr="00611ED9">
        <w:rPr>
          <w:rFonts w:cs="Times New Roman"/>
          <w:color w:val="000000" w:themeColor="text1"/>
          <w:sz w:val="24"/>
          <w:szCs w:val="24"/>
        </w:rPr>
        <w:t>v tom kapitálové výdavky 34 412 tis. eur</w:t>
      </w:r>
      <w:r>
        <w:rPr>
          <w:rFonts w:cs="Times New Roman"/>
          <w:color w:val="000000" w:themeColor="text1"/>
          <w:sz w:val="24"/>
          <w:szCs w:val="24"/>
        </w:rPr>
        <w:t xml:space="preserve">. Z kapitálových výdavkov bola suma </w:t>
      </w:r>
      <w:r w:rsidRPr="00611ED9">
        <w:rPr>
          <w:rFonts w:cs="Times New Roman"/>
          <w:color w:val="000000" w:themeColor="text1"/>
          <w:sz w:val="24"/>
          <w:szCs w:val="24"/>
        </w:rPr>
        <w:t xml:space="preserve"> </w:t>
      </w:r>
      <w:r w:rsidRPr="007440BD">
        <w:rPr>
          <w:color w:val="000000" w:themeColor="text1"/>
          <w:sz w:val="24"/>
          <w:szCs w:val="24"/>
        </w:rPr>
        <w:t xml:space="preserve">29 557 tis. eur poskytnutá v rámci Integrovaného regionálneho operačného programu, najmä na projekty v oblasti zlepšovania bezpečnosti a ekológie dopravy v regiónoch vrátane rekonštrukcie ciest 1. a 2. triedy a obnovy dopravných prostriedkov verejnej osobnej dopravy. </w:t>
      </w:r>
      <w:r>
        <w:rPr>
          <w:color w:val="000000" w:themeColor="text1"/>
          <w:sz w:val="24"/>
          <w:szCs w:val="24"/>
        </w:rPr>
        <w:t xml:space="preserve">Trenčianskemu samosprávnemu kraju sa poukázala suma 6 327 tis. eur </w:t>
      </w:r>
      <w:r w:rsidRPr="0096125F">
        <w:rPr>
          <w:color w:val="000000" w:themeColor="text1"/>
          <w:sz w:val="24"/>
          <w:szCs w:val="24"/>
        </w:rPr>
        <w:t>na</w:t>
      </w:r>
      <w:r>
        <w:rPr>
          <w:color w:val="000000" w:themeColor="text1"/>
          <w:sz w:val="24"/>
          <w:szCs w:val="24"/>
        </w:rPr>
        <w:t> </w:t>
      </w:r>
      <w:r w:rsidRPr="0096125F">
        <w:rPr>
          <w:color w:val="000000" w:themeColor="text1"/>
          <w:sz w:val="24"/>
          <w:szCs w:val="24"/>
        </w:rPr>
        <w:t>implementáciu projektov v oblasti modernizácie stredných škôl, zlepšovania praktických zručností žiakov stredných škôl a rekonštrukcií ciest.</w:t>
      </w:r>
      <w:r w:rsidRPr="00EE791E">
        <w:rPr>
          <w:color w:val="1F497D"/>
          <w:sz w:val="24"/>
          <w:szCs w:val="24"/>
        </w:rPr>
        <w:t xml:space="preserve"> </w:t>
      </w:r>
      <w:r w:rsidRPr="003E0CED">
        <w:rPr>
          <w:color w:val="000000" w:themeColor="text1"/>
          <w:sz w:val="24"/>
          <w:szCs w:val="24"/>
        </w:rPr>
        <w:t>Košický samosprávny kraj dostal 4 895 tis. eur na realizáciu aktivít v projektoch na výstavbu a rekonštrukciu ciest.</w:t>
      </w:r>
      <w:r>
        <w:rPr>
          <w:rFonts w:ascii="Arial Narrow" w:hAnsi="Arial Narrow"/>
          <w:color w:val="000000" w:themeColor="text1"/>
          <w:sz w:val="24"/>
          <w:szCs w:val="24"/>
        </w:rPr>
        <w:t xml:space="preserve"> </w:t>
      </w:r>
      <w:r w:rsidRPr="00FE6957">
        <w:rPr>
          <w:rFonts w:cs="Times New Roman"/>
          <w:color w:val="000000" w:themeColor="text1"/>
          <w:sz w:val="24"/>
          <w:szCs w:val="24"/>
        </w:rPr>
        <w:t>Ďalšie prostriedky</w:t>
      </w:r>
      <w:r>
        <w:rPr>
          <w:rFonts w:ascii="Arial Narrow" w:hAnsi="Arial Narrow"/>
          <w:color w:val="000000" w:themeColor="text1"/>
          <w:sz w:val="24"/>
          <w:szCs w:val="24"/>
        </w:rPr>
        <w:t xml:space="preserve"> </w:t>
      </w:r>
      <w:r w:rsidRPr="00FE6957">
        <w:rPr>
          <w:rFonts w:cs="Times New Roman"/>
          <w:color w:val="000000" w:themeColor="text1"/>
          <w:sz w:val="24"/>
          <w:szCs w:val="24"/>
        </w:rPr>
        <w:t>smerovali</w:t>
      </w:r>
      <w:r>
        <w:rPr>
          <w:rFonts w:cs="Times New Roman"/>
          <w:color w:val="000000" w:themeColor="text1"/>
          <w:sz w:val="24"/>
          <w:szCs w:val="24"/>
        </w:rPr>
        <w:t xml:space="preserve"> na projekty v oblasti ochrany prírodného a kultúrneho dedičstva a na podporu udržateľných dopravných riešení, </w:t>
      </w:r>
      <w:r w:rsidRPr="00FE6957">
        <w:rPr>
          <w:rFonts w:cs="Times New Roman"/>
          <w:color w:val="000000" w:themeColor="text1"/>
          <w:sz w:val="24"/>
          <w:szCs w:val="24"/>
        </w:rPr>
        <w:t xml:space="preserve">a to 3 477 tis. eur z programu INTERREG V-A SK-CZ, 942 tis. eur z programu INTERREG V-A SK-AT a 346 tis. eur z programov INTERREG V-A PL-SK a INTERREG V-A HU-SK. </w:t>
      </w:r>
    </w:p>
    <w:p w14:paraId="2ADE3178" w14:textId="77777777" w:rsidR="0013260D" w:rsidRPr="0006597A" w:rsidRDefault="0013260D" w:rsidP="0013260D">
      <w:pPr>
        <w:spacing w:line="240" w:lineRule="auto"/>
        <w:rPr>
          <w:rFonts w:ascii="Arial Narrow" w:hAnsi="Arial Narrow"/>
          <w:color w:val="000000" w:themeColor="text1"/>
          <w:sz w:val="24"/>
          <w:szCs w:val="24"/>
        </w:rPr>
      </w:pPr>
      <w:r w:rsidRPr="0006597A">
        <w:rPr>
          <w:rFonts w:cs="Times New Roman"/>
          <w:color w:val="000000" w:themeColor="text1"/>
          <w:sz w:val="24"/>
          <w:szCs w:val="24"/>
        </w:rPr>
        <w:t xml:space="preserve">Bežné výdavky v objeme 2 703 tis. eur boli poskytnuté v rámci Integrovaného regionálneho operačného programu a programov cezhraničnej spolupráce </w:t>
      </w:r>
      <w:proofErr w:type="spellStart"/>
      <w:r w:rsidRPr="0006597A">
        <w:rPr>
          <w:rFonts w:cs="Times New Roman"/>
          <w:color w:val="000000" w:themeColor="text1"/>
          <w:sz w:val="24"/>
          <w:szCs w:val="24"/>
        </w:rPr>
        <w:t>Interreg</w:t>
      </w:r>
      <w:proofErr w:type="spellEnd"/>
      <w:r w:rsidRPr="0006597A">
        <w:rPr>
          <w:rFonts w:cs="Times New Roman"/>
          <w:color w:val="000000" w:themeColor="text1"/>
          <w:sz w:val="24"/>
          <w:szCs w:val="24"/>
        </w:rPr>
        <w:t xml:space="preserve"> V-A SK-CZ, </w:t>
      </w:r>
      <w:proofErr w:type="spellStart"/>
      <w:r w:rsidRPr="0006597A">
        <w:rPr>
          <w:rFonts w:cs="Times New Roman"/>
          <w:color w:val="000000" w:themeColor="text1"/>
          <w:sz w:val="24"/>
          <w:szCs w:val="24"/>
        </w:rPr>
        <w:t>Interreg</w:t>
      </w:r>
      <w:proofErr w:type="spellEnd"/>
      <w:r w:rsidRPr="0006597A">
        <w:rPr>
          <w:rFonts w:cs="Times New Roman"/>
          <w:color w:val="000000" w:themeColor="text1"/>
          <w:sz w:val="24"/>
          <w:szCs w:val="24"/>
        </w:rPr>
        <w:t xml:space="preserve"> V-A SK-AT a </w:t>
      </w:r>
      <w:proofErr w:type="spellStart"/>
      <w:r w:rsidRPr="0006597A">
        <w:rPr>
          <w:rFonts w:cs="Times New Roman"/>
          <w:color w:val="000000" w:themeColor="text1"/>
          <w:sz w:val="24"/>
          <w:szCs w:val="24"/>
        </w:rPr>
        <w:t>Interreg</w:t>
      </w:r>
      <w:proofErr w:type="spellEnd"/>
      <w:r w:rsidRPr="0006597A">
        <w:rPr>
          <w:rFonts w:cs="Times New Roman"/>
          <w:color w:val="000000" w:themeColor="text1"/>
          <w:sz w:val="24"/>
          <w:szCs w:val="24"/>
        </w:rPr>
        <w:t xml:space="preserve"> V-A PL-SK, </w:t>
      </w:r>
      <w:proofErr w:type="spellStart"/>
      <w:r w:rsidRPr="0006597A">
        <w:rPr>
          <w:rFonts w:cs="Times New Roman"/>
          <w:color w:val="000000" w:themeColor="text1"/>
          <w:sz w:val="24"/>
          <w:szCs w:val="24"/>
        </w:rPr>
        <w:t>Interreg</w:t>
      </w:r>
      <w:proofErr w:type="spellEnd"/>
      <w:r w:rsidRPr="0006597A">
        <w:rPr>
          <w:rFonts w:cs="Times New Roman"/>
          <w:color w:val="000000" w:themeColor="text1"/>
          <w:sz w:val="24"/>
          <w:szCs w:val="24"/>
        </w:rPr>
        <w:t xml:space="preserve"> V-A HU-SK najmä na refundáciu nákladov spojených </w:t>
      </w:r>
      <w:r w:rsidRPr="0006597A">
        <w:rPr>
          <w:color w:val="000000" w:themeColor="text1"/>
          <w:sz w:val="24"/>
          <w:szCs w:val="24"/>
        </w:rPr>
        <w:t>so zabezpečením plnenia úloh sprostredkovateľských orgánov, na projekty v oblasti ochrany prírodného a kultúrneho dedičstva a biodiverzity v prihraničných regiónoch, skvalitňovania životného prostredia, ochrany a rozvoja prírodného prostredia a kultúrneho dedičstva v prihraničných regiónoch.</w:t>
      </w:r>
    </w:p>
    <w:p w14:paraId="291C8A15" w14:textId="77777777" w:rsidR="0013260D" w:rsidRPr="005A3AFD" w:rsidRDefault="0013260D" w:rsidP="0013260D">
      <w:pPr>
        <w:spacing w:line="240" w:lineRule="auto"/>
        <w:rPr>
          <w:rFonts w:cs="Times New Roman"/>
          <w:color w:val="000000" w:themeColor="text1"/>
          <w:sz w:val="24"/>
          <w:szCs w:val="24"/>
        </w:rPr>
      </w:pPr>
      <w:r w:rsidRPr="0053104D">
        <w:rPr>
          <w:color w:val="000000" w:themeColor="text1"/>
          <w:sz w:val="24"/>
          <w:szCs w:val="24"/>
          <w:lang w:eastAsia="sk-SK"/>
        </w:rPr>
        <w:t xml:space="preserve">Kapitola </w:t>
      </w:r>
      <w:r w:rsidRPr="0053104D">
        <w:rPr>
          <w:color w:val="000000" w:themeColor="text1"/>
          <w:sz w:val="24"/>
          <w:szCs w:val="24"/>
          <w:u w:val="single"/>
          <w:lang w:eastAsia="sk-SK"/>
        </w:rPr>
        <w:t>Ministerstva práce, sociálnych vecí a rodiny SR</w:t>
      </w:r>
      <w:r w:rsidRPr="0053104D">
        <w:rPr>
          <w:b/>
          <w:color w:val="000000" w:themeColor="text1"/>
          <w:sz w:val="24"/>
          <w:szCs w:val="24"/>
          <w:lang w:eastAsia="sk-SK"/>
        </w:rPr>
        <w:t xml:space="preserve"> </w:t>
      </w:r>
      <w:r w:rsidRPr="0053104D">
        <w:rPr>
          <w:color w:val="000000" w:themeColor="text1"/>
          <w:sz w:val="24"/>
          <w:szCs w:val="24"/>
          <w:lang w:eastAsia="sk-SK"/>
        </w:rPr>
        <w:t>poukázala</w:t>
      </w:r>
      <w:r>
        <w:rPr>
          <w:color w:val="000000" w:themeColor="text1"/>
          <w:sz w:val="24"/>
          <w:szCs w:val="24"/>
          <w:lang w:eastAsia="sk-SK"/>
        </w:rPr>
        <w:t xml:space="preserve"> vyšším územným celkom</w:t>
      </w:r>
      <w:r w:rsidRPr="0053104D">
        <w:rPr>
          <w:color w:val="000000" w:themeColor="text1"/>
          <w:sz w:val="24"/>
          <w:szCs w:val="24"/>
          <w:lang w:eastAsia="sk-SK"/>
        </w:rPr>
        <w:t xml:space="preserve"> čiastku 10 569 tis. eur, </w:t>
      </w:r>
      <w:r w:rsidRPr="00347F6F">
        <w:rPr>
          <w:color w:val="000000" w:themeColor="text1"/>
          <w:sz w:val="24"/>
          <w:szCs w:val="24"/>
          <w:lang w:eastAsia="sk-SK"/>
        </w:rPr>
        <w:t>z toho suma 10 038 tis. eur predstavovala</w:t>
      </w:r>
      <w:r>
        <w:rPr>
          <w:color w:val="000000" w:themeColor="text1"/>
          <w:sz w:val="24"/>
          <w:szCs w:val="24"/>
          <w:lang w:eastAsia="sk-SK"/>
        </w:rPr>
        <w:t xml:space="preserve"> najmä bežné</w:t>
      </w:r>
      <w:r w:rsidRPr="00347F6F">
        <w:rPr>
          <w:color w:val="000000" w:themeColor="text1"/>
          <w:sz w:val="24"/>
          <w:szCs w:val="24"/>
          <w:lang w:eastAsia="sk-SK"/>
        </w:rPr>
        <w:t xml:space="preserve"> dotácie poskytnuté v súlade so zákonom č. 544/2010 Z. z. </w:t>
      </w:r>
      <w:r w:rsidRPr="005A3AFD">
        <w:rPr>
          <w:color w:val="000000" w:themeColor="text1"/>
          <w:sz w:val="24"/>
          <w:szCs w:val="24"/>
          <w:lang w:eastAsia="sk-SK"/>
        </w:rPr>
        <w:t xml:space="preserve">a </w:t>
      </w:r>
      <w:r w:rsidRPr="005A3AFD">
        <w:rPr>
          <w:rFonts w:cs="Times New Roman"/>
          <w:color w:val="000000" w:themeColor="text1"/>
          <w:sz w:val="24"/>
          <w:szCs w:val="24"/>
        </w:rPr>
        <w:t>nariadeniami vlády SR</w:t>
      </w:r>
      <w:r w:rsidRPr="008C3D17">
        <w:rPr>
          <w:rFonts w:cs="Times New Roman"/>
          <w:color w:val="FF0000"/>
          <w:sz w:val="24"/>
          <w:szCs w:val="24"/>
        </w:rPr>
        <w:t xml:space="preserve"> </w:t>
      </w:r>
      <w:r w:rsidRPr="005A3AFD">
        <w:rPr>
          <w:rFonts w:cs="Times New Roman"/>
          <w:color w:val="000000" w:themeColor="text1"/>
          <w:sz w:val="24"/>
          <w:szCs w:val="24"/>
        </w:rPr>
        <w:t>prijatými v súvislosti s mimoriadnou situáciou v dôsledku pandémie COVID-19 a v dôsledku hromadného prílevu odídencov z</w:t>
      </w:r>
      <w:r>
        <w:rPr>
          <w:rFonts w:cs="Times New Roman"/>
          <w:color w:val="000000" w:themeColor="text1"/>
          <w:sz w:val="24"/>
          <w:szCs w:val="24"/>
        </w:rPr>
        <w:t> </w:t>
      </w:r>
      <w:r w:rsidRPr="005A3AFD">
        <w:rPr>
          <w:rFonts w:cs="Times New Roman"/>
          <w:color w:val="000000" w:themeColor="text1"/>
          <w:sz w:val="24"/>
          <w:szCs w:val="24"/>
        </w:rPr>
        <w:t>Ukrajiny</w:t>
      </w:r>
      <w:r>
        <w:rPr>
          <w:rFonts w:cs="Times New Roman"/>
          <w:color w:val="000000" w:themeColor="text1"/>
          <w:sz w:val="24"/>
          <w:szCs w:val="24"/>
        </w:rPr>
        <w:t xml:space="preserve">. </w:t>
      </w:r>
      <w:r w:rsidRPr="005A3AFD">
        <w:rPr>
          <w:rFonts w:cs="Times New Roman"/>
          <w:color w:val="000000" w:themeColor="text1"/>
          <w:sz w:val="24"/>
          <w:szCs w:val="24"/>
        </w:rPr>
        <w:t>Tieto prostriedky boli vynaložené najmä na odmeny zamestnancom v 1. línii za sociálne služby a sociálnu kuratelu</w:t>
      </w:r>
      <w:r>
        <w:rPr>
          <w:rFonts w:cs="Times New Roman"/>
          <w:color w:val="000000" w:themeColor="text1"/>
          <w:sz w:val="24"/>
          <w:szCs w:val="24"/>
        </w:rPr>
        <w:t>, inflačnú pomoc a dotácie na </w:t>
      </w:r>
      <w:r w:rsidRPr="005A3AFD">
        <w:rPr>
          <w:rFonts w:cs="Times New Roman"/>
          <w:color w:val="000000" w:themeColor="text1"/>
          <w:sz w:val="24"/>
          <w:szCs w:val="24"/>
        </w:rPr>
        <w:t>energie.</w:t>
      </w:r>
    </w:p>
    <w:p w14:paraId="46EA1807" w14:textId="77777777" w:rsidR="0013260D" w:rsidRPr="004B28DF" w:rsidRDefault="0013260D" w:rsidP="0013260D">
      <w:pPr>
        <w:spacing w:line="240" w:lineRule="auto"/>
        <w:rPr>
          <w:rFonts w:cs="Times New Roman"/>
          <w:color w:val="000000" w:themeColor="text1"/>
          <w:sz w:val="24"/>
          <w:szCs w:val="24"/>
        </w:rPr>
      </w:pPr>
      <w:r w:rsidRPr="00267336">
        <w:rPr>
          <w:color w:val="000000" w:themeColor="text1"/>
          <w:sz w:val="24"/>
          <w:szCs w:val="24"/>
          <w:lang w:eastAsia="sk-SK"/>
        </w:rPr>
        <w:t xml:space="preserve">Kapitola </w:t>
      </w:r>
      <w:r w:rsidRPr="00267336">
        <w:rPr>
          <w:color w:val="000000" w:themeColor="text1"/>
          <w:sz w:val="24"/>
          <w:szCs w:val="24"/>
          <w:u w:val="single"/>
          <w:lang w:eastAsia="sk-SK"/>
        </w:rPr>
        <w:t>Ministerstva vnútra SR</w:t>
      </w:r>
      <w:r w:rsidRPr="00267336">
        <w:rPr>
          <w:color w:val="000000" w:themeColor="text1"/>
          <w:sz w:val="24"/>
          <w:szCs w:val="24"/>
          <w:lang w:eastAsia="sk-SK"/>
        </w:rPr>
        <w:t xml:space="preserve"> vynaložila na transfery vyšším územným celkom celkovú sumu 8 486</w:t>
      </w:r>
      <w:r>
        <w:rPr>
          <w:color w:val="000000" w:themeColor="text1"/>
          <w:sz w:val="24"/>
          <w:szCs w:val="24"/>
          <w:lang w:eastAsia="sk-SK"/>
        </w:rPr>
        <w:t> tis. eur, z toho 6 189 tis. eur</w:t>
      </w:r>
      <w:r w:rsidRPr="00267336">
        <w:rPr>
          <w:color w:val="000000" w:themeColor="text1"/>
          <w:sz w:val="24"/>
          <w:szCs w:val="24"/>
          <w:lang w:eastAsia="sk-SK"/>
        </w:rPr>
        <w:t xml:space="preserve"> </w:t>
      </w:r>
      <w:r w:rsidRPr="006A1EDD">
        <w:rPr>
          <w:color w:val="000000" w:themeColor="text1"/>
          <w:sz w:val="24"/>
          <w:szCs w:val="24"/>
          <w:lang w:eastAsia="sk-SK"/>
        </w:rPr>
        <w:t xml:space="preserve">bolo </w:t>
      </w:r>
      <w:r w:rsidRPr="006A1EDD">
        <w:rPr>
          <w:rFonts w:cs="Times New Roman"/>
          <w:color w:val="000000" w:themeColor="text1"/>
          <w:sz w:val="24"/>
          <w:szCs w:val="24"/>
        </w:rPr>
        <w:t xml:space="preserve">poskytnutých v rámci operačného programu Efektívna verejná správa a použitých na uhradenie žiadostí o platby v rámci prioritnej osi č. 1 „Posilnené inštitucionálne kapacity a efektívna verejná správa“. </w:t>
      </w:r>
      <w:r>
        <w:rPr>
          <w:rFonts w:cs="Times New Roman"/>
          <w:color w:val="000000" w:themeColor="text1"/>
          <w:sz w:val="24"/>
          <w:szCs w:val="24"/>
        </w:rPr>
        <w:t xml:space="preserve">Suma 1 037 tis. eur bola použitá na výdavky súvisiace s hromadným prílevom utečencov z Ukrajiny na územie Slovenskej republiky (zdroj 11UA). Ďalšia čiastka v objeme 731 tis. eur sa použila </w:t>
      </w:r>
      <w:r w:rsidRPr="004B28DF">
        <w:rPr>
          <w:rFonts w:cs="Times New Roman"/>
          <w:sz w:val="24"/>
          <w:szCs w:val="24"/>
        </w:rPr>
        <w:t>na úhradu nákladov na povodňové a záchranné práce podľa § 43 až 45 zákona č. 7/2010 Z. z. o ochrane p</w:t>
      </w:r>
      <w:r>
        <w:rPr>
          <w:rFonts w:cs="Times New Roman"/>
          <w:sz w:val="24"/>
          <w:szCs w:val="24"/>
        </w:rPr>
        <w:t>red povodňami v znení zákona č. </w:t>
      </w:r>
      <w:r w:rsidRPr="004B28DF">
        <w:rPr>
          <w:rFonts w:cs="Times New Roman"/>
          <w:sz w:val="24"/>
          <w:szCs w:val="24"/>
        </w:rPr>
        <w:t>180/2013 Z. z. a podľa uznesení vlády SR k správe o priebehu a následkoch povodní na území SR za príslušné obdobie</w:t>
      </w:r>
      <w:r>
        <w:rPr>
          <w:rFonts w:cs="Times New Roman"/>
          <w:sz w:val="24"/>
          <w:szCs w:val="24"/>
        </w:rPr>
        <w:t>.</w:t>
      </w:r>
    </w:p>
    <w:p w14:paraId="1DA89A90" w14:textId="77777777" w:rsidR="0013260D" w:rsidRPr="000031CB" w:rsidRDefault="0013260D" w:rsidP="0013260D">
      <w:pPr>
        <w:spacing w:line="240" w:lineRule="auto"/>
        <w:rPr>
          <w:rFonts w:eastAsia="Times New Roman" w:cs="Times New Roman"/>
          <w:color w:val="000000" w:themeColor="text1"/>
          <w:sz w:val="24"/>
          <w:szCs w:val="24"/>
          <w:lang w:eastAsia="sk-SK"/>
        </w:rPr>
      </w:pPr>
      <w:r w:rsidRPr="0068112A">
        <w:rPr>
          <w:rFonts w:eastAsia="Times New Roman" w:cs="Times New Roman"/>
          <w:color w:val="000000" w:themeColor="text1"/>
          <w:sz w:val="24"/>
          <w:szCs w:val="24"/>
          <w:u w:val="single"/>
          <w:lang w:eastAsia="sk-SK"/>
        </w:rPr>
        <w:t>Ministerstvo zdravotníctva SR</w:t>
      </w:r>
      <w:r w:rsidRPr="0068112A">
        <w:rPr>
          <w:rFonts w:eastAsia="Times New Roman" w:cs="Times New Roman"/>
          <w:color w:val="000000" w:themeColor="text1"/>
          <w:sz w:val="24"/>
          <w:szCs w:val="24"/>
          <w:lang w:eastAsia="sk-SK"/>
        </w:rPr>
        <w:t xml:space="preserve"> poukázalo vyšším územným celkom celkové transfery v objeme 2 528 tis. eur</w:t>
      </w:r>
      <w:r w:rsidRPr="008C3D17">
        <w:rPr>
          <w:rFonts w:eastAsia="Times New Roman" w:cs="Times New Roman"/>
          <w:color w:val="FF0000"/>
          <w:sz w:val="24"/>
          <w:szCs w:val="24"/>
          <w:lang w:eastAsia="sk-SK"/>
        </w:rPr>
        <w:t xml:space="preserve"> </w:t>
      </w:r>
      <w:r w:rsidRPr="0068112A">
        <w:rPr>
          <w:rFonts w:eastAsia="Times New Roman" w:cs="Times New Roman"/>
          <w:color w:val="000000" w:themeColor="text1"/>
          <w:sz w:val="24"/>
          <w:szCs w:val="24"/>
          <w:lang w:eastAsia="sk-SK"/>
        </w:rPr>
        <w:t>na úhradu nákladov preneseného výkonu štátnej správy</w:t>
      </w:r>
      <w:r w:rsidRPr="00305899">
        <w:rPr>
          <w:rFonts w:eastAsia="Times New Roman" w:cs="Times New Roman"/>
          <w:color w:val="000000" w:themeColor="text1"/>
          <w:sz w:val="24"/>
          <w:szCs w:val="24"/>
          <w:lang w:eastAsia="sk-SK"/>
        </w:rPr>
        <w:t>.</w:t>
      </w:r>
      <w:r w:rsidRPr="008C3D17">
        <w:rPr>
          <w:rFonts w:eastAsia="Times New Roman" w:cs="Times New Roman"/>
          <w:color w:val="FF0000"/>
          <w:sz w:val="24"/>
          <w:szCs w:val="24"/>
          <w:lang w:eastAsia="sk-SK"/>
        </w:rPr>
        <w:t xml:space="preserve"> </w:t>
      </w:r>
      <w:r w:rsidRPr="00305899">
        <w:rPr>
          <w:rFonts w:eastAsia="Times New Roman" w:cs="Times New Roman"/>
          <w:color w:val="000000" w:themeColor="text1"/>
          <w:sz w:val="24"/>
          <w:szCs w:val="24"/>
          <w:lang w:eastAsia="sk-SK"/>
        </w:rPr>
        <w:t>Tieto prostriedky sa vynaložili na zabezpečenie vakcinácie</w:t>
      </w:r>
      <w:r>
        <w:rPr>
          <w:rFonts w:eastAsia="Times New Roman" w:cs="Times New Roman"/>
          <w:color w:val="000000" w:themeColor="text1"/>
          <w:sz w:val="24"/>
          <w:szCs w:val="24"/>
          <w:lang w:eastAsia="sk-SK"/>
        </w:rPr>
        <w:t xml:space="preserve"> proti ochoreniu COVID-19</w:t>
      </w:r>
      <w:r w:rsidRPr="00305899">
        <w:rPr>
          <w:rFonts w:eastAsia="Times New Roman" w:cs="Times New Roman"/>
          <w:color w:val="000000" w:themeColor="text1"/>
          <w:sz w:val="24"/>
          <w:szCs w:val="24"/>
          <w:lang w:eastAsia="sk-SK"/>
        </w:rPr>
        <w:t xml:space="preserve"> v zmysle zmluvy o spolupráci medzi Ministerstvom zdravotníctva SR a jed</w:t>
      </w:r>
      <w:r>
        <w:rPr>
          <w:rFonts w:eastAsia="Times New Roman" w:cs="Times New Roman"/>
          <w:color w:val="000000" w:themeColor="text1"/>
          <w:sz w:val="24"/>
          <w:szCs w:val="24"/>
          <w:lang w:eastAsia="sk-SK"/>
        </w:rPr>
        <w:t xml:space="preserve">notlivými samosprávnymi krajmi a boli poukázané všetkým samosprávnym krajom. </w:t>
      </w:r>
    </w:p>
    <w:p w14:paraId="683E4DDE" w14:textId="77777777" w:rsidR="0013260D" w:rsidRPr="00CA55F8" w:rsidRDefault="0013260D" w:rsidP="0013260D">
      <w:pPr>
        <w:suppressAutoHyphens/>
        <w:spacing w:line="240" w:lineRule="auto"/>
        <w:rPr>
          <w:color w:val="000000" w:themeColor="text1"/>
          <w:sz w:val="24"/>
          <w:szCs w:val="24"/>
        </w:rPr>
      </w:pPr>
      <w:r w:rsidRPr="00CA55F8">
        <w:rPr>
          <w:b/>
          <w:color w:val="000000" w:themeColor="text1"/>
          <w:sz w:val="24"/>
          <w:szCs w:val="24"/>
        </w:rPr>
        <w:lastRenderedPageBreak/>
        <w:t>Podľa zákona č. 564/2004 Z. z. o rozpočtovom určení výnosu dane z príjmov bolo 30 % z celkového výnosu dane z príjmov fyzických osôb</w:t>
      </w:r>
      <w:r w:rsidRPr="00CA55F8">
        <w:rPr>
          <w:color w:val="000000" w:themeColor="text1"/>
          <w:sz w:val="24"/>
          <w:szCs w:val="24"/>
        </w:rPr>
        <w:t xml:space="preserve"> príjmom rozpočtov vyšších územných celkov, rovnako ako v roku 2021. Skutočný prevod dane z príjmov fyzických osôb do rozpočtov vyšších územných celkov bol vykonaný vo výške 1 082 344 tis. eur (2021: 983 390 tis. eur). </w:t>
      </w:r>
    </w:p>
    <w:p w14:paraId="393E2965" w14:textId="77777777" w:rsidR="0013260D" w:rsidRDefault="0013260D" w:rsidP="0013260D">
      <w:pPr>
        <w:spacing w:line="240" w:lineRule="auto"/>
        <w:rPr>
          <w:b/>
          <w:i/>
        </w:rPr>
      </w:pPr>
      <w:r>
        <w:rPr>
          <w:b/>
          <w:i/>
        </w:rPr>
        <w:t>Prehľad záväzných limitov dotácií VÚC za rok 2022 je uvedený v tabuľkovej časti štátneho záverečného účtu SR, v tabuľke č. 22.</w:t>
      </w:r>
    </w:p>
    <w:p w14:paraId="723B7834" w14:textId="77777777" w:rsidR="00391C90" w:rsidRPr="00391C90" w:rsidRDefault="00391C90" w:rsidP="00391C90"/>
    <w:p w14:paraId="2AA440BD" w14:textId="508860C3" w:rsidR="00CE7E53" w:rsidRDefault="008254BE" w:rsidP="000D7202">
      <w:pPr>
        <w:pStyle w:val="Nadpis3"/>
      </w:pPr>
      <w:bookmarkStart w:id="53" w:name="_Toc6415650"/>
      <w:bookmarkStart w:id="54" w:name="_Toc132929096"/>
      <w:r w:rsidRPr="00E936AB">
        <w:t>Čerpanie rezerv štátneho rozpočtu</w:t>
      </w:r>
      <w:bookmarkEnd w:id="53"/>
      <w:bookmarkEnd w:id="54"/>
    </w:p>
    <w:p w14:paraId="4B57B6FD" w14:textId="77777777" w:rsidR="004C3312" w:rsidRPr="00280C10" w:rsidRDefault="004C3312" w:rsidP="004C3312">
      <w:pPr>
        <w:spacing w:line="240" w:lineRule="auto"/>
        <w:rPr>
          <w:sz w:val="24"/>
          <w:szCs w:val="24"/>
        </w:rPr>
      </w:pPr>
      <w:r w:rsidRPr="00280C10">
        <w:rPr>
          <w:sz w:val="24"/>
          <w:szCs w:val="24"/>
        </w:rPr>
        <w:t>Na krytie nepredvídaných výdavkov nevyhnutných na zabezpečenie rozpočtového hospodárenia alebo na krytie zníženia rozpočtovaných príjmov sa vytvárajú v štátnom rozpočte rozpočtové rezervy.</w:t>
      </w:r>
    </w:p>
    <w:p w14:paraId="7F13E784" w14:textId="548A9CCA" w:rsidR="004C3312" w:rsidRPr="009D356E" w:rsidRDefault="004C3312" w:rsidP="004C3312">
      <w:pPr>
        <w:spacing w:line="240" w:lineRule="auto"/>
        <w:rPr>
          <w:sz w:val="24"/>
          <w:szCs w:val="24"/>
        </w:rPr>
      </w:pPr>
      <w:r w:rsidRPr="009D356E">
        <w:rPr>
          <w:sz w:val="24"/>
          <w:szCs w:val="24"/>
        </w:rPr>
        <w:t xml:space="preserve">V súlade s ustanovením § 10 ods. 4 zákona </w:t>
      </w:r>
      <w:r w:rsidR="00545BC2">
        <w:rPr>
          <w:rFonts w:cs="Times New Roman"/>
          <w:color w:val="000000" w:themeColor="text1"/>
          <w:sz w:val="24"/>
          <w:szCs w:val="24"/>
        </w:rPr>
        <w:t>o rozpočtových pravidlách</w:t>
      </w:r>
      <w:r w:rsidR="00545BC2" w:rsidRPr="009D356E">
        <w:rPr>
          <w:sz w:val="24"/>
          <w:szCs w:val="24"/>
          <w:vertAlign w:val="superscript"/>
        </w:rPr>
        <w:t xml:space="preserve"> </w:t>
      </w:r>
      <w:r w:rsidRPr="009D356E">
        <w:rPr>
          <w:sz w:val="24"/>
          <w:szCs w:val="24"/>
          <w:vertAlign w:val="superscript"/>
        </w:rPr>
        <w:footnoteReference w:id="32"/>
      </w:r>
      <w:r w:rsidRPr="009D356E">
        <w:rPr>
          <w:sz w:val="24"/>
          <w:szCs w:val="24"/>
        </w:rPr>
        <w:t xml:space="preserve"> vláda Slovenskej republiky podáva informáciu o hospodárení s rozpočtovými rezervami Národnej rade Slovenskej republiky v rámci štátneho záverečného účtu. Informácia obsahuje prehľad o uvoľnení alebo o použití prostriedkov z rozpočtových rezerv v členení podľa správcov kapitol alebo podľa prijímateľov prostriedkov z rozpočtových rezerv, podľa účelu a výšky ich čerpania.</w:t>
      </w:r>
    </w:p>
    <w:p w14:paraId="39A5AA77" w14:textId="77777777" w:rsidR="004C3312" w:rsidRPr="00CE7E53" w:rsidRDefault="004C3312" w:rsidP="004C3312">
      <w:pPr>
        <w:spacing w:line="240" w:lineRule="auto"/>
        <w:rPr>
          <w:sz w:val="24"/>
          <w:szCs w:val="24"/>
        </w:rPr>
      </w:pPr>
      <w:r w:rsidRPr="009D356E">
        <w:rPr>
          <w:sz w:val="24"/>
          <w:szCs w:val="24"/>
        </w:rPr>
        <w:t>Výšku rozpočtových rezerv na rok 2022 schválila Národná rada Slovenskej republiky zákonom č. 534/2021 Z. z. o štátnom rozpočte na rok 2022 v znení zákona č. 357/202</w:t>
      </w:r>
      <w:r>
        <w:rPr>
          <w:sz w:val="24"/>
          <w:szCs w:val="24"/>
        </w:rPr>
        <w:t>2</w:t>
      </w:r>
      <w:r w:rsidRPr="009D356E">
        <w:rPr>
          <w:sz w:val="24"/>
          <w:szCs w:val="24"/>
        </w:rPr>
        <w:t xml:space="preserve"> Z. z. </w:t>
      </w:r>
    </w:p>
    <w:tbl>
      <w:tblPr>
        <w:tblW w:w="9214" w:type="dxa"/>
        <w:tblCellMar>
          <w:left w:w="70" w:type="dxa"/>
          <w:right w:w="70" w:type="dxa"/>
        </w:tblCellMar>
        <w:tblLook w:val="04A0" w:firstRow="1" w:lastRow="0" w:firstColumn="1" w:lastColumn="0" w:noHBand="0" w:noVBand="1"/>
      </w:tblPr>
      <w:tblGrid>
        <w:gridCol w:w="3366"/>
        <w:gridCol w:w="772"/>
        <w:gridCol w:w="98"/>
        <w:gridCol w:w="860"/>
        <w:gridCol w:w="857"/>
        <w:gridCol w:w="931"/>
        <w:gridCol w:w="1190"/>
        <w:gridCol w:w="1140"/>
      </w:tblGrid>
      <w:tr w:rsidR="004C3312" w:rsidRPr="004A00A6" w14:paraId="0632FACB" w14:textId="77777777" w:rsidTr="004A00A6">
        <w:trPr>
          <w:trHeight w:val="288"/>
        </w:trPr>
        <w:tc>
          <w:tcPr>
            <w:tcW w:w="9214" w:type="dxa"/>
            <w:gridSpan w:val="8"/>
            <w:tcBorders>
              <w:top w:val="nil"/>
              <w:left w:val="nil"/>
              <w:bottom w:val="nil"/>
              <w:right w:val="nil"/>
            </w:tcBorders>
            <w:shd w:val="clear" w:color="auto" w:fill="auto"/>
            <w:noWrap/>
            <w:vAlign w:val="center"/>
            <w:hideMark/>
          </w:tcPr>
          <w:p w14:paraId="20CD7CA1" w14:textId="6C907BD1" w:rsidR="004C3312" w:rsidRPr="004A00A6" w:rsidRDefault="004C3312" w:rsidP="008B3212">
            <w:pPr>
              <w:spacing w:after="0" w:line="240" w:lineRule="auto"/>
              <w:jc w:val="left"/>
              <w:rPr>
                <w:rFonts w:eastAsia="Times New Roman" w:cs="Times New Roman"/>
                <w:b/>
                <w:bCs/>
                <w:color w:val="5B9BD5" w:themeColor="accent1"/>
                <w:sz w:val="18"/>
                <w:szCs w:val="18"/>
                <w:lang w:eastAsia="sk-SK"/>
              </w:rPr>
            </w:pPr>
            <w:r w:rsidRPr="004A00A6">
              <w:rPr>
                <w:rFonts w:eastAsia="Times New Roman" w:cs="Times New Roman"/>
                <w:b/>
                <w:bCs/>
                <w:color w:val="5B9BD5" w:themeColor="accent1"/>
                <w:sz w:val="18"/>
                <w:szCs w:val="18"/>
                <w:lang w:eastAsia="sk-SK"/>
              </w:rPr>
              <w:t xml:space="preserve">Tabuľka </w:t>
            </w:r>
            <w:r w:rsidR="00240940">
              <w:rPr>
                <w:rFonts w:eastAsia="Times New Roman" w:cs="Times New Roman"/>
                <w:b/>
                <w:bCs/>
                <w:color w:val="5B9BD5" w:themeColor="accent1"/>
                <w:sz w:val="18"/>
                <w:szCs w:val="18"/>
                <w:lang w:eastAsia="sk-SK"/>
              </w:rPr>
              <w:t>5</w:t>
            </w:r>
            <w:r w:rsidR="008B3212">
              <w:rPr>
                <w:rFonts w:eastAsia="Times New Roman" w:cs="Times New Roman"/>
                <w:b/>
                <w:bCs/>
                <w:color w:val="5B9BD5" w:themeColor="accent1"/>
                <w:sz w:val="18"/>
                <w:szCs w:val="18"/>
                <w:lang w:eastAsia="sk-SK"/>
              </w:rPr>
              <w:t>1</w:t>
            </w:r>
            <w:r w:rsidRPr="004A00A6">
              <w:rPr>
                <w:rFonts w:eastAsia="Times New Roman" w:cs="Times New Roman"/>
                <w:b/>
                <w:bCs/>
                <w:color w:val="5B9BD5" w:themeColor="accent1"/>
                <w:sz w:val="18"/>
                <w:szCs w:val="18"/>
                <w:lang w:eastAsia="sk-SK"/>
              </w:rPr>
              <w:t xml:space="preserve"> - Zákonné rezervy uvoľnené platobným príkazom</w:t>
            </w:r>
          </w:p>
        </w:tc>
      </w:tr>
      <w:tr w:rsidR="004C3312" w:rsidRPr="004A00A6" w14:paraId="2F869951" w14:textId="77777777" w:rsidTr="004A00A6">
        <w:trPr>
          <w:trHeight w:val="396"/>
        </w:trPr>
        <w:tc>
          <w:tcPr>
            <w:tcW w:w="3367" w:type="dxa"/>
            <w:vMerge w:val="restart"/>
            <w:tcBorders>
              <w:top w:val="single" w:sz="4" w:space="0" w:color="auto"/>
              <w:left w:val="nil"/>
              <w:right w:val="nil"/>
            </w:tcBorders>
            <w:shd w:val="clear" w:color="auto" w:fill="auto"/>
            <w:vAlign w:val="center"/>
            <w:hideMark/>
          </w:tcPr>
          <w:p w14:paraId="6CCBEA1A" w14:textId="77777777" w:rsidR="004C3312" w:rsidRPr="004A00A6" w:rsidRDefault="004C3312" w:rsidP="004C3312">
            <w:pPr>
              <w:spacing w:after="0" w:line="240" w:lineRule="auto"/>
              <w:jc w:val="left"/>
              <w:rPr>
                <w:rFonts w:eastAsia="Times New Roman" w:cs="Times New Roman"/>
                <w:b/>
                <w:bCs/>
                <w:color w:val="000000"/>
                <w:sz w:val="18"/>
                <w:szCs w:val="18"/>
                <w:lang w:eastAsia="sk-SK"/>
              </w:rPr>
            </w:pPr>
            <w:r w:rsidRPr="004A00A6">
              <w:rPr>
                <w:rFonts w:eastAsia="Times New Roman" w:cs="Times New Roman"/>
                <w:b/>
                <w:bCs/>
                <w:color w:val="000000"/>
                <w:sz w:val="18"/>
                <w:szCs w:val="18"/>
                <w:lang w:eastAsia="sk-SK"/>
              </w:rPr>
              <w:t> v tis. eur</w:t>
            </w:r>
          </w:p>
        </w:tc>
        <w:tc>
          <w:tcPr>
            <w:tcW w:w="772" w:type="dxa"/>
            <w:tcBorders>
              <w:top w:val="single" w:sz="4" w:space="0" w:color="auto"/>
              <w:left w:val="nil"/>
              <w:bottom w:val="nil"/>
              <w:right w:val="nil"/>
            </w:tcBorders>
            <w:shd w:val="clear" w:color="auto" w:fill="auto"/>
            <w:vAlign w:val="center"/>
          </w:tcPr>
          <w:p w14:paraId="65E0D5AA"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r w:rsidRPr="004A00A6">
              <w:rPr>
                <w:rFonts w:eastAsia="Times New Roman" w:cs="Times New Roman"/>
                <w:b/>
                <w:bCs/>
                <w:color w:val="000000"/>
                <w:sz w:val="18"/>
                <w:szCs w:val="18"/>
                <w:lang w:eastAsia="sk-SK"/>
              </w:rPr>
              <w:t>2021 S</w:t>
            </w:r>
          </w:p>
        </w:tc>
        <w:tc>
          <w:tcPr>
            <w:tcW w:w="958" w:type="dxa"/>
            <w:gridSpan w:val="2"/>
            <w:tcBorders>
              <w:top w:val="single" w:sz="4" w:space="0" w:color="auto"/>
              <w:left w:val="nil"/>
              <w:bottom w:val="nil"/>
              <w:right w:val="nil"/>
            </w:tcBorders>
            <w:shd w:val="clear" w:color="auto" w:fill="auto"/>
            <w:vAlign w:val="center"/>
          </w:tcPr>
          <w:p w14:paraId="7D71BC16"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r w:rsidRPr="004A00A6">
              <w:rPr>
                <w:rFonts w:eastAsia="Times New Roman" w:cs="Times New Roman"/>
                <w:b/>
                <w:bCs/>
                <w:color w:val="000000"/>
                <w:sz w:val="18"/>
                <w:szCs w:val="18"/>
                <w:lang w:eastAsia="sk-SK"/>
              </w:rPr>
              <w:t>2022 R</w:t>
            </w:r>
          </w:p>
        </w:tc>
        <w:tc>
          <w:tcPr>
            <w:tcW w:w="857" w:type="dxa"/>
            <w:tcBorders>
              <w:top w:val="single" w:sz="4" w:space="0" w:color="auto"/>
              <w:left w:val="nil"/>
              <w:bottom w:val="nil"/>
              <w:right w:val="nil"/>
            </w:tcBorders>
            <w:shd w:val="clear" w:color="auto" w:fill="auto"/>
            <w:vAlign w:val="center"/>
            <w:hideMark/>
          </w:tcPr>
          <w:p w14:paraId="0F499653"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r w:rsidRPr="004A00A6">
              <w:rPr>
                <w:rFonts w:eastAsia="Times New Roman" w:cs="Times New Roman"/>
                <w:b/>
                <w:bCs/>
                <w:color w:val="000000"/>
                <w:sz w:val="18"/>
                <w:szCs w:val="18"/>
                <w:lang w:eastAsia="sk-SK"/>
              </w:rPr>
              <w:t>2022 UR</w:t>
            </w:r>
          </w:p>
        </w:tc>
        <w:tc>
          <w:tcPr>
            <w:tcW w:w="931" w:type="dxa"/>
            <w:tcBorders>
              <w:top w:val="single" w:sz="4" w:space="0" w:color="auto"/>
              <w:left w:val="nil"/>
              <w:bottom w:val="nil"/>
              <w:right w:val="nil"/>
            </w:tcBorders>
            <w:shd w:val="clear" w:color="auto" w:fill="auto"/>
            <w:vAlign w:val="center"/>
            <w:hideMark/>
          </w:tcPr>
          <w:p w14:paraId="1518AB39"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r w:rsidRPr="004A00A6">
              <w:rPr>
                <w:rFonts w:eastAsia="Times New Roman" w:cs="Times New Roman"/>
                <w:b/>
                <w:bCs/>
                <w:color w:val="000000"/>
                <w:sz w:val="18"/>
                <w:szCs w:val="18"/>
                <w:lang w:eastAsia="sk-SK"/>
              </w:rPr>
              <w:t>2022 S</w:t>
            </w:r>
          </w:p>
        </w:tc>
        <w:tc>
          <w:tcPr>
            <w:tcW w:w="1190" w:type="dxa"/>
            <w:vMerge w:val="restart"/>
            <w:tcBorders>
              <w:top w:val="single" w:sz="4" w:space="0" w:color="auto"/>
              <w:left w:val="nil"/>
              <w:right w:val="nil"/>
            </w:tcBorders>
            <w:shd w:val="clear" w:color="auto" w:fill="auto"/>
            <w:hideMark/>
          </w:tcPr>
          <w:p w14:paraId="6E6D5E9B"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r w:rsidRPr="004A00A6">
              <w:rPr>
                <w:b/>
                <w:sz w:val="18"/>
                <w:szCs w:val="18"/>
              </w:rPr>
              <w:t>Uvoľnené</w:t>
            </w:r>
          </w:p>
          <w:p w14:paraId="74D34349" w14:textId="0FDF0DC3" w:rsidR="004C3312" w:rsidRPr="004A00A6" w:rsidRDefault="004C3312" w:rsidP="00C67377">
            <w:pPr>
              <w:spacing w:after="0" w:line="240" w:lineRule="auto"/>
              <w:jc w:val="center"/>
              <w:rPr>
                <w:rFonts w:eastAsia="Times New Roman" w:cs="Times New Roman"/>
                <w:b/>
                <w:bCs/>
                <w:color w:val="000000"/>
                <w:sz w:val="18"/>
                <w:szCs w:val="18"/>
                <w:lang w:eastAsia="sk-SK"/>
              </w:rPr>
            </w:pPr>
            <w:r w:rsidRPr="004A00A6">
              <w:rPr>
                <w:b/>
                <w:sz w:val="18"/>
                <w:szCs w:val="18"/>
              </w:rPr>
              <w:t>k 31.12.2022</w:t>
            </w:r>
          </w:p>
        </w:tc>
        <w:tc>
          <w:tcPr>
            <w:tcW w:w="1139" w:type="dxa"/>
            <w:tcBorders>
              <w:top w:val="single" w:sz="4" w:space="0" w:color="auto"/>
              <w:left w:val="nil"/>
              <w:bottom w:val="nil"/>
              <w:right w:val="nil"/>
            </w:tcBorders>
            <w:shd w:val="clear" w:color="auto" w:fill="auto"/>
            <w:vAlign w:val="center"/>
          </w:tcPr>
          <w:p w14:paraId="67C945C6"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r w:rsidRPr="004A00A6">
              <w:rPr>
                <w:rFonts w:eastAsia="Times New Roman" w:cs="Times New Roman"/>
                <w:b/>
                <w:bCs/>
                <w:color w:val="000000"/>
                <w:sz w:val="18"/>
                <w:szCs w:val="18"/>
                <w:lang w:eastAsia="sk-SK"/>
              </w:rPr>
              <w:t>Nevyčerpané k 31.12.2022</w:t>
            </w:r>
          </w:p>
        </w:tc>
      </w:tr>
      <w:tr w:rsidR="004C3312" w:rsidRPr="004A00A6" w14:paraId="6FFB022E" w14:textId="77777777" w:rsidTr="004A00A6">
        <w:trPr>
          <w:trHeight w:val="197"/>
        </w:trPr>
        <w:tc>
          <w:tcPr>
            <w:tcW w:w="3367" w:type="dxa"/>
            <w:vMerge/>
            <w:tcBorders>
              <w:left w:val="nil"/>
              <w:bottom w:val="single" w:sz="4" w:space="0" w:color="auto"/>
              <w:right w:val="nil"/>
            </w:tcBorders>
            <w:shd w:val="clear" w:color="auto" w:fill="auto"/>
            <w:vAlign w:val="center"/>
            <w:hideMark/>
          </w:tcPr>
          <w:p w14:paraId="59B490D7" w14:textId="77777777" w:rsidR="004C3312" w:rsidRPr="004A00A6" w:rsidRDefault="004C3312" w:rsidP="004C3312">
            <w:pPr>
              <w:spacing w:after="0" w:line="240" w:lineRule="auto"/>
              <w:rPr>
                <w:rFonts w:eastAsia="Times New Roman" w:cs="Times New Roman"/>
                <w:b/>
                <w:bCs/>
                <w:color w:val="000000"/>
                <w:sz w:val="18"/>
                <w:szCs w:val="18"/>
                <w:lang w:eastAsia="sk-SK"/>
              </w:rPr>
            </w:pPr>
          </w:p>
        </w:tc>
        <w:tc>
          <w:tcPr>
            <w:tcW w:w="772" w:type="dxa"/>
            <w:tcBorders>
              <w:top w:val="nil"/>
              <w:left w:val="nil"/>
              <w:bottom w:val="single" w:sz="4" w:space="0" w:color="auto"/>
              <w:right w:val="nil"/>
            </w:tcBorders>
            <w:shd w:val="clear" w:color="auto" w:fill="auto"/>
            <w:vAlign w:val="center"/>
          </w:tcPr>
          <w:p w14:paraId="7F256ED4"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p>
        </w:tc>
        <w:tc>
          <w:tcPr>
            <w:tcW w:w="958" w:type="dxa"/>
            <w:gridSpan w:val="2"/>
            <w:tcBorders>
              <w:top w:val="nil"/>
              <w:left w:val="nil"/>
              <w:bottom w:val="single" w:sz="4" w:space="0" w:color="auto"/>
              <w:right w:val="nil"/>
            </w:tcBorders>
            <w:shd w:val="clear" w:color="auto" w:fill="auto"/>
            <w:vAlign w:val="center"/>
          </w:tcPr>
          <w:p w14:paraId="5A19BC57"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p>
        </w:tc>
        <w:tc>
          <w:tcPr>
            <w:tcW w:w="857" w:type="dxa"/>
            <w:tcBorders>
              <w:top w:val="nil"/>
              <w:left w:val="nil"/>
              <w:bottom w:val="single" w:sz="4" w:space="0" w:color="auto"/>
              <w:right w:val="nil"/>
            </w:tcBorders>
            <w:shd w:val="clear" w:color="auto" w:fill="auto"/>
            <w:vAlign w:val="center"/>
          </w:tcPr>
          <w:p w14:paraId="285B433A"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p>
        </w:tc>
        <w:tc>
          <w:tcPr>
            <w:tcW w:w="931" w:type="dxa"/>
            <w:tcBorders>
              <w:top w:val="nil"/>
              <w:left w:val="nil"/>
              <w:bottom w:val="single" w:sz="4" w:space="0" w:color="auto"/>
              <w:right w:val="nil"/>
            </w:tcBorders>
            <w:shd w:val="clear" w:color="auto" w:fill="auto"/>
            <w:vAlign w:val="center"/>
          </w:tcPr>
          <w:p w14:paraId="502ED7F1"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p>
        </w:tc>
        <w:tc>
          <w:tcPr>
            <w:tcW w:w="1190" w:type="dxa"/>
            <w:vMerge/>
            <w:tcBorders>
              <w:left w:val="nil"/>
              <w:bottom w:val="single" w:sz="4" w:space="0" w:color="auto"/>
              <w:right w:val="nil"/>
            </w:tcBorders>
            <w:shd w:val="clear" w:color="auto" w:fill="auto"/>
            <w:hideMark/>
          </w:tcPr>
          <w:p w14:paraId="301F2A85"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p>
        </w:tc>
        <w:tc>
          <w:tcPr>
            <w:tcW w:w="1139" w:type="dxa"/>
            <w:tcBorders>
              <w:top w:val="nil"/>
              <w:left w:val="nil"/>
              <w:bottom w:val="single" w:sz="4" w:space="0" w:color="auto"/>
              <w:right w:val="nil"/>
            </w:tcBorders>
            <w:shd w:val="clear" w:color="auto" w:fill="auto"/>
            <w:vAlign w:val="center"/>
          </w:tcPr>
          <w:p w14:paraId="36AEEE5C" w14:textId="77777777" w:rsidR="004C3312" w:rsidRPr="004A00A6" w:rsidRDefault="004C3312" w:rsidP="004C3312">
            <w:pPr>
              <w:spacing w:after="0" w:line="240" w:lineRule="auto"/>
              <w:jc w:val="center"/>
              <w:rPr>
                <w:rFonts w:eastAsia="Times New Roman" w:cs="Times New Roman"/>
                <w:b/>
                <w:bCs/>
                <w:color w:val="000000"/>
                <w:sz w:val="18"/>
                <w:szCs w:val="18"/>
                <w:lang w:eastAsia="sk-SK"/>
              </w:rPr>
            </w:pPr>
          </w:p>
        </w:tc>
      </w:tr>
      <w:tr w:rsidR="004C3312" w:rsidRPr="004A00A6" w14:paraId="43F63624" w14:textId="77777777" w:rsidTr="004A00A6">
        <w:trPr>
          <w:trHeight w:val="288"/>
        </w:trPr>
        <w:tc>
          <w:tcPr>
            <w:tcW w:w="3367" w:type="dxa"/>
            <w:tcBorders>
              <w:top w:val="nil"/>
              <w:left w:val="nil"/>
              <w:bottom w:val="nil"/>
              <w:right w:val="nil"/>
            </w:tcBorders>
            <w:shd w:val="clear" w:color="000000" w:fill="FFFFFF"/>
            <w:noWrap/>
            <w:vAlign w:val="center"/>
            <w:hideMark/>
          </w:tcPr>
          <w:p w14:paraId="0B8F98D9" w14:textId="77777777" w:rsidR="004C3312" w:rsidRPr="004A00A6" w:rsidRDefault="004C3312" w:rsidP="004C3312">
            <w:pPr>
              <w:spacing w:after="0" w:line="240" w:lineRule="auto"/>
              <w:jc w:val="left"/>
              <w:rPr>
                <w:rFonts w:eastAsia="Times New Roman" w:cs="Times New Roman"/>
                <w:color w:val="000000"/>
                <w:sz w:val="18"/>
                <w:szCs w:val="18"/>
                <w:lang w:eastAsia="sk-SK"/>
              </w:rPr>
            </w:pPr>
            <w:r w:rsidRPr="004A00A6">
              <w:rPr>
                <w:rFonts w:eastAsia="Times New Roman" w:cs="Times New Roman"/>
                <w:color w:val="000000"/>
                <w:sz w:val="18"/>
                <w:szCs w:val="18"/>
                <w:lang w:eastAsia="sk-SK"/>
              </w:rPr>
              <w:t>Rezerva na negatívne vplyvy pandémie ochorenia</w:t>
            </w:r>
            <w:r w:rsidRPr="004A00A6">
              <w:rPr>
                <w:rFonts w:ascii="Calibri" w:eastAsia="Times New Roman" w:hAnsi="Calibri" w:cs="Times New Roman"/>
                <w:color w:val="000000"/>
                <w:sz w:val="18"/>
                <w:szCs w:val="18"/>
                <w:lang w:eastAsia="sk-SK"/>
              </w:rPr>
              <w:t xml:space="preserve"> </w:t>
            </w:r>
            <w:r w:rsidRPr="004A00A6">
              <w:rPr>
                <w:rFonts w:eastAsia="Times New Roman" w:cs="Times New Roman"/>
                <w:color w:val="000000"/>
                <w:sz w:val="18"/>
                <w:szCs w:val="18"/>
                <w:lang w:eastAsia="sk-SK"/>
              </w:rPr>
              <w:t>COVID -19</w:t>
            </w:r>
          </w:p>
        </w:tc>
        <w:tc>
          <w:tcPr>
            <w:tcW w:w="870" w:type="dxa"/>
            <w:gridSpan w:val="2"/>
            <w:tcBorders>
              <w:top w:val="nil"/>
              <w:left w:val="nil"/>
              <w:bottom w:val="nil"/>
              <w:right w:val="nil"/>
            </w:tcBorders>
            <w:shd w:val="clear" w:color="auto" w:fill="auto"/>
            <w:noWrap/>
            <w:vAlign w:val="center"/>
          </w:tcPr>
          <w:p w14:paraId="1EE7734F"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3 324 722</w:t>
            </w:r>
          </w:p>
        </w:tc>
        <w:tc>
          <w:tcPr>
            <w:tcW w:w="860" w:type="dxa"/>
            <w:tcBorders>
              <w:top w:val="nil"/>
              <w:left w:val="nil"/>
              <w:bottom w:val="nil"/>
              <w:right w:val="nil"/>
            </w:tcBorders>
            <w:shd w:val="clear" w:color="000000" w:fill="FFFFFF"/>
            <w:noWrap/>
            <w:vAlign w:val="center"/>
          </w:tcPr>
          <w:p w14:paraId="303F5333"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717 441</w:t>
            </w:r>
          </w:p>
        </w:tc>
        <w:tc>
          <w:tcPr>
            <w:tcW w:w="857" w:type="dxa"/>
            <w:tcBorders>
              <w:top w:val="nil"/>
              <w:left w:val="nil"/>
              <w:bottom w:val="nil"/>
              <w:right w:val="nil"/>
            </w:tcBorders>
            <w:shd w:val="clear" w:color="000000" w:fill="FFFFFF"/>
            <w:noWrap/>
            <w:vAlign w:val="center"/>
          </w:tcPr>
          <w:p w14:paraId="08679988"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717 441</w:t>
            </w:r>
          </w:p>
        </w:tc>
        <w:tc>
          <w:tcPr>
            <w:tcW w:w="931" w:type="dxa"/>
            <w:tcBorders>
              <w:top w:val="nil"/>
              <w:left w:val="nil"/>
              <w:bottom w:val="nil"/>
              <w:right w:val="nil"/>
            </w:tcBorders>
            <w:shd w:val="clear" w:color="auto" w:fill="auto"/>
            <w:noWrap/>
            <w:vAlign w:val="center"/>
            <w:hideMark/>
          </w:tcPr>
          <w:p w14:paraId="0979AD42"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717 441</w:t>
            </w:r>
          </w:p>
        </w:tc>
        <w:tc>
          <w:tcPr>
            <w:tcW w:w="1190" w:type="dxa"/>
            <w:tcBorders>
              <w:top w:val="nil"/>
              <w:left w:val="nil"/>
              <w:bottom w:val="nil"/>
              <w:right w:val="nil"/>
            </w:tcBorders>
            <w:shd w:val="clear" w:color="000000" w:fill="FFFFFF"/>
            <w:vAlign w:val="center"/>
            <w:hideMark/>
          </w:tcPr>
          <w:p w14:paraId="1BF86EF5"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524 647</w:t>
            </w:r>
          </w:p>
        </w:tc>
        <w:tc>
          <w:tcPr>
            <w:tcW w:w="1139" w:type="dxa"/>
            <w:tcBorders>
              <w:top w:val="nil"/>
              <w:left w:val="nil"/>
              <w:bottom w:val="nil"/>
              <w:right w:val="nil"/>
            </w:tcBorders>
            <w:shd w:val="clear" w:color="000000" w:fill="FFFFFF"/>
            <w:vAlign w:val="center"/>
          </w:tcPr>
          <w:p w14:paraId="24C56667"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sz w:val="18"/>
                <w:szCs w:val="18"/>
                <w:lang w:eastAsia="sk-SK"/>
              </w:rPr>
              <w:t>192 794</w:t>
            </w:r>
          </w:p>
        </w:tc>
      </w:tr>
      <w:tr w:rsidR="004C3312" w:rsidRPr="004A00A6" w14:paraId="4E28AEB5" w14:textId="77777777" w:rsidTr="004A00A6">
        <w:trPr>
          <w:trHeight w:val="288"/>
        </w:trPr>
        <w:tc>
          <w:tcPr>
            <w:tcW w:w="3367" w:type="dxa"/>
            <w:tcBorders>
              <w:top w:val="nil"/>
              <w:left w:val="nil"/>
              <w:bottom w:val="nil"/>
              <w:right w:val="nil"/>
            </w:tcBorders>
            <w:shd w:val="clear" w:color="000000" w:fill="FFFFFF"/>
            <w:noWrap/>
            <w:vAlign w:val="center"/>
            <w:hideMark/>
          </w:tcPr>
          <w:p w14:paraId="5787C9CF" w14:textId="77777777" w:rsidR="004C3312" w:rsidRPr="004A00A6" w:rsidRDefault="004C3312" w:rsidP="004C3312">
            <w:pPr>
              <w:spacing w:after="0" w:line="240" w:lineRule="auto"/>
              <w:jc w:val="left"/>
              <w:rPr>
                <w:rFonts w:eastAsia="Times New Roman" w:cs="Times New Roman"/>
                <w:color w:val="000000"/>
                <w:sz w:val="18"/>
                <w:szCs w:val="18"/>
                <w:lang w:eastAsia="sk-SK"/>
              </w:rPr>
            </w:pPr>
            <w:r w:rsidRPr="004A00A6">
              <w:rPr>
                <w:rFonts w:eastAsia="Times New Roman" w:cs="Times New Roman"/>
                <w:color w:val="000000"/>
                <w:sz w:val="18"/>
                <w:szCs w:val="18"/>
                <w:lang w:eastAsia="sk-SK"/>
              </w:rPr>
              <w:t>Rezerva na prostriedky EÚ a odvody do EÚ</w:t>
            </w:r>
          </w:p>
        </w:tc>
        <w:tc>
          <w:tcPr>
            <w:tcW w:w="870" w:type="dxa"/>
            <w:gridSpan w:val="2"/>
            <w:tcBorders>
              <w:top w:val="nil"/>
              <w:left w:val="nil"/>
              <w:bottom w:val="nil"/>
              <w:right w:val="nil"/>
            </w:tcBorders>
            <w:shd w:val="clear" w:color="auto" w:fill="auto"/>
            <w:noWrap/>
            <w:vAlign w:val="center"/>
          </w:tcPr>
          <w:p w14:paraId="0F55F606" w14:textId="6AC6D74D" w:rsidR="004C3312" w:rsidRPr="004A00A6" w:rsidRDefault="0052495C" w:rsidP="004C3312">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277 251</w:t>
            </w:r>
          </w:p>
        </w:tc>
        <w:tc>
          <w:tcPr>
            <w:tcW w:w="860" w:type="dxa"/>
            <w:tcBorders>
              <w:top w:val="nil"/>
              <w:left w:val="nil"/>
              <w:bottom w:val="nil"/>
              <w:right w:val="nil"/>
            </w:tcBorders>
            <w:shd w:val="clear" w:color="000000" w:fill="FFFFFF"/>
            <w:noWrap/>
            <w:vAlign w:val="center"/>
          </w:tcPr>
          <w:p w14:paraId="6FCC0644" w14:textId="611CF27B" w:rsidR="004C3312" w:rsidRPr="004A00A6" w:rsidRDefault="0052495C" w:rsidP="004C3312">
            <w:pPr>
              <w:spacing w:after="0" w:line="240" w:lineRule="auto"/>
              <w:jc w:val="right"/>
              <w:rPr>
                <w:rFonts w:eastAsia="Times New Roman" w:cs="Times New Roman"/>
                <w:color w:val="000000"/>
                <w:sz w:val="18"/>
                <w:szCs w:val="18"/>
                <w:highlight w:val="yellow"/>
                <w:lang w:eastAsia="sk-SK"/>
              </w:rPr>
            </w:pPr>
            <w:r>
              <w:rPr>
                <w:rFonts w:eastAsia="Times New Roman" w:cs="Times New Roman"/>
                <w:color w:val="000000"/>
                <w:sz w:val="18"/>
                <w:szCs w:val="18"/>
                <w:lang w:eastAsia="sk-SK"/>
              </w:rPr>
              <w:t>483 191</w:t>
            </w:r>
          </w:p>
        </w:tc>
        <w:tc>
          <w:tcPr>
            <w:tcW w:w="857" w:type="dxa"/>
            <w:tcBorders>
              <w:top w:val="nil"/>
              <w:left w:val="nil"/>
              <w:bottom w:val="nil"/>
              <w:right w:val="nil"/>
            </w:tcBorders>
            <w:shd w:val="clear" w:color="000000" w:fill="FFFFFF"/>
            <w:noWrap/>
            <w:vAlign w:val="center"/>
          </w:tcPr>
          <w:p w14:paraId="0119407D"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557 622</w:t>
            </w:r>
          </w:p>
        </w:tc>
        <w:tc>
          <w:tcPr>
            <w:tcW w:w="931" w:type="dxa"/>
            <w:tcBorders>
              <w:top w:val="nil"/>
              <w:left w:val="nil"/>
              <w:bottom w:val="nil"/>
              <w:right w:val="nil"/>
            </w:tcBorders>
            <w:shd w:val="clear" w:color="auto" w:fill="auto"/>
            <w:noWrap/>
            <w:vAlign w:val="center"/>
            <w:hideMark/>
          </w:tcPr>
          <w:p w14:paraId="40CBB089"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536 679</w:t>
            </w:r>
          </w:p>
        </w:tc>
        <w:tc>
          <w:tcPr>
            <w:tcW w:w="1190" w:type="dxa"/>
            <w:tcBorders>
              <w:top w:val="nil"/>
              <w:left w:val="nil"/>
              <w:bottom w:val="nil"/>
              <w:right w:val="nil"/>
            </w:tcBorders>
            <w:shd w:val="clear" w:color="000000" w:fill="FFFFFF"/>
            <w:vAlign w:val="center"/>
            <w:hideMark/>
          </w:tcPr>
          <w:p w14:paraId="6140494A"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536 679</w:t>
            </w:r>
          </w:p>
        </w:tc>
        <w:tc>
          <w:tcPr>
            <w:tcW w:w="1139" w:type="dxa"/>
            <w:tcBorders>
              <w:top w:val="nil"/>
              <w:left w:val="nil"/>
              <w:bottom w:val="nil"/>
              <w:right w:val="nil"/>
            </w:tcBorders>
            <w:shd w:val="clear" w:color="000000" w:fill="FFFFFF"/>
            <w:vAlign w:val="center"/>
          </w:tcPr>
          <w:p w14:paraId="7A489929"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20 943</w:t>
            </w:r>
          </w:p>
        </w:tc>
      </w:tr>
      <w:tr w:rsidR="004C3312" w:rsidRPr="004A00A6" w14:paraId="00452D4E" w14:textId="77777777" w:rsidTr="004A00A6">
        <w:trPr>
          <w:trHeight w:val="288"/>
        </w:trPr>
        <w:tc>
          <w:tcPr>
            <w:tcW w:w="3367" w:type="dxa"/>
            <w:tcBorders>
              <w:top w:val="nil"/>
              <w:left w:val="nil"/>
              <w:bottom w:val="nil"/>
              <w:right w:val="nil"/>
            </w:tcBorders>
            <w:shd w:val="clear" w:color="000000" w:fill="FFFFFF"/>
            <w:noWrap/>
            <w:vAlign w:val="center"/>
            <w:hideMark/>
          </w:tcPr>
          <w:p w14:paraId="09C3367D" w14:textId="77777777" w:rsidR="004C3312" w:rsidRPr="004A00A6" w:rsidRDefault="004C3312" w:rsidP="004C3312">
            <w:pPr>
              <w:spacing w:after="0" w:line="240" w:lineRule="auto"/>
              <w:jc w:val="left"/>
              <w:rPr>
                <w:rFonts w:eastAsia="Times New Roman" w:cs="Times New Roman"/>
                <w:color w:val="000000"/>
                <w:sz w:val="18"/>
                <w:szCs w:val="18"/>
                <w:lang w:eastAsia="sk-SK"/>
              </w:rPr>
            </w:pPr>
            <w:r w:rsidRPr="004A00A6">
              <w:rPr>
                <w:rFonts w:eastAsia="Times New Roman" w:cs="Times New Roman"/>
                <w:color w:val="000000"/>
                <w:sz w:val="18"/>
                <w:szCs w:val="18"/>
                <w:lang w:eastAsia="sk-SK"/>
              </w:rPr>
              <w:t>Rezerva na mzdy a poistné</w:t>
            </w:r>
          </w:p>
        </w:tc>
        <w:tc>
          <w:tcPr>
            <w:tcW w:w="870" w:type="dxa"/>
            <w:gridSpan w:val="2"/>
            <w:tcBorders>
              <w:top w:val="nil"/>
              <w:left w:val="nil"/>
              <w:bottom w:val="nil"/>
              <w:right w:val="nil"/>
            </w:tcBorders>
            <w:shd w:val="clear" w:color="auto" w:fill="auto"/>
            <w:noWrap/>
            <w:vAlign w:val="center"/>
          </w:tcPr>
          <w:p w14:paraId="210E1FFF"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145 011</w:t>
            </w:r>
          </w:p>
        </w:tc>
        <w:tc>
          <w:tcPr>
            <w:tcW w:w="860" w:type="dxa"/>
            <w:tcBorders>
              <w:top w:val="nil"/>
              <w:left w:val="nil"/>
              <w:bottom w:val="nil"/>
              <w:right w:val="nil"/>
            </w:tcBorders>
            <w:shd w:val="clear" w:color="000000" w:fill="FFFFFF"/>
            <w:noWrap/>
            <w:vAlign w:val="center"/>
          </w:tcPr>
          <w:p w14:paraId="35EE3129"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175 029</w:t>
            </w:r>
          </w:p>
        </w:tc>
        <w:tc>
          <w:tcPr>
            <w:tcW w:w="857" w:type="dxa"/>
            <w:tcBorders>
              <w:top w:val="nil"/>
              <w:left w:val="nil"/>
              <w:bottom w:val="nil"/>
              <w:right w:val="nil"/>
            </w:tcBorders>
            <w:shd w:val="clear" w:color="000000" w:fill="FFFFFF"/>
            <w:noWrap/>
            <w:vAlign w:val="center"/>
          </w:tcPr>
          <w:p w14:paraId="0DE0BC3A"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275 658</w:t>
            </w:r>
          </w:p>
        </w:tc>
        <w:tc>
          <w:tcPr>
            <w:tcW w:w="931" w:type="dxa"/>
            <w:tcBorders>
              <w:top w:val="nil"/>
              <w:left w:val="nil"/>
              <w:bottom w:val="nil"/>
              <w:right w:val="nil"/>
            </w:tcBorders>
            <w:shd w:val="clear" w:color="auto" w:fill="auto"/>
            <w:noWrap/>
            <w:vAlign w:val="center"/>
            <w:hideMark/>
          </w:tcPr>
          <w:p w14:paraId="01A1B7BE"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265 103</w:t>
            </w:r>
          </w:p>
        </w:tc>
        <w:tc>
          <w:tcPr>
            <w:tcW w:w="1190" w:type="dxa"/>
            <w:tcBorders>
              <w:top w:val="nil"/>
              <w:left w:val="nil"/>
              <w:bottom w:val="nil"/>
              <w:right w:val="nil"/>
            </w:tcBorders>
            <w:shd w:val="clear" w:color="000000" w:fill="FFFFFF"/>
            <w:vAlign w:val="center"/>
            <w:hideMark/>
          </w:tcPr>
          <w:p w14:paraId="3412B01E"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265 103</w:t>
            </w:r>
          </w:p>
        </w:tc>
        <w:tc>
          <w:tcPr>
            <w:tcW w:w="1139" w:type="dxa"/>
            <w:tcBorders>
              <w:top w:val="nil"/>
              <w:left w:val="nil"/>
              <w:bottom w:val="nil"/>
              <w:right w:val="nil"/>
            </w:tcBorders>
            <w:shd w:val="clear" w:color="000000" w:fill="FFFFFF"/>
            <w:vAlign w:val="center"/>
          </w:tcPr>
          <w:p w14:paraId="4BFB3C4D"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10 555</w:t>
            </w:r>
          </w:p>
        </w:tc>
      </w:tr>
      <w:tr w:rsidR="004C3312" w:rsidRPr="004A00A6" w14:paraId="4F3EB5DC" w14:textId="77777777" w:rsidTr="004A00A6">
        <w:trPr>
          <w:trHeight w:val="288"/>
        </w:trPr>
        <w:tc>
          <w:tcPr>
            <w:tcW w:w="3367" w:type="dxa"/>
            <w:tcBorders>
              <w:top w:val="nil"/>
              <w:left w:val="nil"/>
              <w:bottom w:val="nil"/>
              <w:right w:val="nil"/>
            </w:tcBorders>
            <w:shd w:val="clear" w:color="000000" w:fill="FFFFFF"/>
            <w:noWrap/>
            <w:vAlign w:val="center"/>
          </w:tcPr>
          <w:p w14:paraId="78E7C487" w14:textId="77777777" w:rsidR="004C3312" w:rsidRPr="004A00A6" w:rsidRDefault="004C3312" w:rsidP="004C3312">
            <w:pPr>
              <w:spacing w:after="0" w:line="240" w:lineRule="auto"/>
              <w:jc w:val="left"/>
              <w:rPr>
                <w:rFonts w:eastAsia="Times New Roman" w:cs="Times New Roman"/>
                <w:color w:val="000000"/>
                <w:sz w:val="18"/>
                <w:szCs w:val="18"/>
                <w:lang w:eastAsia="sk-SK"/>
              </w:rPr>
            </w:pPr>
            <w:r w:rsidRPr="004A00A6">
              <w:rPr>
                <w:rFonts w:eastAsia="Times New Roman" w:cs="Times New Roman"/>
                <w:color w:val="000000"/>
                <w:sz w:val="18"/>
                <w:szCs w:val="18"/>
                <w:lang w:eastAsia="sk-SK"/>
              </w:rPr>
              <w:t>Rezerva na výdavky v zdravotníctve</w:t>
            </w:r>
          </w:p>
        </w:tc>
        <w:tc>
          <w:tcPr>
            <w:tcW w:w="870" w:type="dxa"/>
            <w:gridSpan w:val="2"/>
            <w:tcBorders>
              <w:top w:val="nil"/>
              <w:left w:val="nil"/>
              <w:bottom w:val="nil"/>
              <w:right w:val="nil"/>
            </w:tcBorders>
            <w:shd w:val="clear" w:color="auto" w:fill="auto"/>
            <w:noWrap/>
            <w:vAlign w:val="center"/>
          </w:tcPr>
          <w:p w14:paraId="6E6B5BEA" w14:textId="77777777" w:rsidR="004C3312" w:rsidRPr="004A00A6" w:rsidRDefault="004C3312" w:rsidP="004C3312">
            <w:pPr>
              <w:spacing w:after="0" w:line="240" w:lineRule="auto"/>
              <w:jc w:val="right"/>
              <w:rPr>
                <w:rFonts w:eastAsia="Times New Roman" w:cs="Times New Roman"/>
                <w:color w:val="000000"/>
                <w:sz w:val="18"/>
                <w:szCs w:val="18"/>
                <w:lang w:eastAsia="sk-SK"/>
              </w:rPr>
            </w:pPr>
          </w:p>
        </w:tc>
        <w:tc>
          <w:tcPr>
            <w:tcW w:w="860" w:type="dxa"/>
            <w:tcBorders>
              <w:top w:val="nil"/>
              <w:left w:val="nil"/>
              <w:bottom w:val="nil"/>
              <w:right w:val="nil"/>
            </w:tcBorders>
            <w:shd w:val="clear" w:color="000000" w:fill="FFFFFF"/>
            <w:noWrap/>
            <w:vAlign w:val="center"/>
          </w:tcPr>
          <w:p w14:paraId="27B20563"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220 000</w:t>
            </w:r>
          </w:p>
        </w:tc>
        <w:tc>
          <w:tcPr>
            <w:tcW w:w="857" w:type="dxa"/>
            <w:tcBorders>
              <w:top w:val="nil"/>
              <w:left w:val="nil"/>
              <w:bottom w:val="nil"/>
              <w:right w:val="nil"/>
            </w:tcBorders>
            <w:shd w:val="clear" w:color="000000" w:fill="FFFFFF"/>
            <w:noWrap/>
            <w:vAlign w:val="center"/>
          </w:tcPr>
          <w:p w14:paraId="738577A9"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220 000</w:t>
            </w:r>
          </w:p>
        </w:tc>
        <w:tc>
          <w:tcPr>
            <w:tcW w:w="931" w:type="dxa"/>
            <w:tcBorders>
              <w:top w:val="nil"/>
              <w:left w:val="nil"/>
              <w:bottom w:val="nil"/>
              <w:right w:val="nil"/>
            </w:tcBorders>
            <w:shd w:val="clear" w:color="auto" w:fill="auto"/>
            <w:noWrap/>
            <w:vAlign w:val="center"/>
          </w:tcPr>
          <w:p w14:paraId="624C8049"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220 000</w:t>
            </w:r>
          </w:p>
        </w:tc>
        <w:tc>
          <w:tcPr>
            <w:tcW w:w="1190" w:type="dxa"/>
            <w:tcBorders>
              <w:top w:val="nil"/>
              <w:left w:val="nil"/>
              <w:bottom w:val="nil"/>
              <w:right w:val="nil"/>
            </w:tcBorders>
            <w:shd w:val="clear" w:color="000000" w:fill="FFFFFF"/>
            <w:vAlign w:val="center"/>
          </w:tcPr>
          <w:p w14:paraId="2BE24DF5"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220 000</w:t>
            </w:r>
          </w:p>
        </w:tc>
        <w:tc>
          <w:tcPr>
            <w:tcW w:w="1139" w:type="dxa"/>
            <w:tcBorders>
              <w:top w:val="nil"/>
              <w:left w:val="nil"/>
              <w:bottom w:val="nil"/>
              <w:right w:val="nil"/>
            </w:tcBorders>
            <w:shd w:val="clear" w:color="000000" w:fill="FFFFFF"/>
            <w:vAlign w:val="center"/>
          </w:tcPr>
          <w:p w14:paraId="23D576E3"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0</w:t>
            </w:r>
          </w:p>
        </w:tc>
      </w:tr>
      <w:tr w:rsidR="004C3312" w:rsidRPr="004A00A6" w14:paraId="6D49CEDD" w14:textId="77777777" w:rsidTr="004A00A6">
        <w:trPr>
          <w:trHeight w:val="288"/>
        </w:trPr>
        <w:tc>
          <w:tcPr>
            <w:tcW w:w="3367" w:type="dxa"/>
            <w:tcBorders>
              <w:top w:val="nil"/>
              <w:left w:val="nil"/>
              <w:bottom w:val="nil"/>
              <w:right w:val="nil"/>
            </w:tcBorders>
            <w:shd w:val="clear" w:color="000000" w:fill="FFFFFF"/>
            <w:noWrap/>
            <w:vAlign w:val="center"/>
            <w:hideMark/>
          </w:tcPr>
          <w:p w14:paraId="33D39922" w14:textId="77777777" w:rsidR="004C3312" w:rsidRPr="004A00A6" w:rsidRDefault="004C3312" w:rsidP="004C3312">
            <w:pPr>
              <w:spacing w:after="0" w:line="240" w:lineRule="auto"/>
              <w:jc w:val="left"/>
              <w:rPr>
                <w:rFonts w:eastAsia="Times New Roman" w:cs="Times New Roman"/>
                <w:color w:val="000000"/>
                <w:sz w:val="18"/>
                <w:szCs w:val="18"/>
                <w:lang w:eastAsia="sk-SK"/>
              </w:rPr>
            </w:pPr>
            <w:r w:rsidRPr="004A00A6">
              <w:rPr>
                <w:rFonts w:eastAsia="Times New Roman" w:cs="Times New Roman"/>
                <w:color w:val="000000"/>
                <w:sz w:val="18"/>
                <w:szCs w:val="18"/>
                <w:lang w:eastAsia="sk-SK"/>
              </w:rPr>
              <w:t>Rezerva na riešenie vplyvov legislatívnych zmien</w:t>
            </w:r>
          </w:p>
        </w:tc>
        <w:tc>
          <w:tcPr>
            <w:tcW w:w="870" w:type="dxa"/>
            <w:gridSpan w:val="2"/>
            <w:tcBorders>
              <w:top w:val="nil"/>
              <w:left w:val="nil"/>
              <w:bottom w:val="nil"/>
              <w:right w:val="nil"/>
            </w:tcBorders>
            <w:shd w:val="clear" w:color="auto" w:fill="auto"/>
            <w:noWrap/>
            <w:vAlign w:val="center"/>
          </w:tcPr>
          <w:p w14:paraId="57A66985"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0</w:t>
            </w:r>
          </w:p>
        </w:tc>
        <w:tc>
          <w:tcPr>
            <w:tcW w:w="860" w:type="dxa"/>
            <w:tcBorders>
              <w:top w:val="nil"/>
              <w:left w:val="nil"/>
              <w:bottom w:val="nil"/>
              <w:right w:val="nil"/>
            </w:tcBorders>
            <w:shd w:val="clear" w:color="000000" w:fill="FFFFFF"/>
            <w:noWrap/>
            <w:vAlign w:val="center"/>
          </w:tcPr>
          <w:p w14:paraId="262AE7B0"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130 634</w:t>
            </w:r>
          </w:p>
        </w:tc>
        <w:tc>
          <w:tcPr>
            <w:tcW w:w="857" w:type="dxa"/>
            <w:tcBorders>
              <w:top w:val="nil"/>
              <w:left w:val="nil"/>
              <w:bottom w:val="nil"/>
              <w:right w:val="nil"/>
            </w:tcBorders>
            <w:shd w:val="clear" w:color="000000" w:fill="FFFFFF"/>
            <w:noWrap/>
            <w:vAlign w:val="center"/>
          </w:tcPr>
          <w:p w14:paraId="570712A5"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130 634</w:t>
            </w:r>
          </w:p>
        </w:tc>
        <w:tc>
          <w:tcPr>
            <w:tcW w:w="931" w:type="dxa"/>
            <w:tcBorders>
              <w:top w:val="nil"/>
              <w:left w:val="nil"/>
              <w:bottom w:val="nil"/>
              <w:right w:val="nil"/>
            </w:tcBorders>
            <w:shd w:val="clear" w:color="auto" w:fill="auto"/>
            <w:noWrap/>
            <w:vAlign w:val="center"/>
            <w:hideMark/>
          </w:tcPr>
          <w:p w14:paraId="45631743"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130 634</w:t>
            </w:r>
          </w:p>
        </w:tc>
        <w:tc>
          <w:tcPr>
            <w:tcW w:w="1190" w:type="dxa"/>
            <w:tcBorders>
              <w:top w:val="nil"/>
              <w:left w:val="nil"/>
              <w:bottom w:val="nil"/>
              <w:right w:val="nil"/>
            </w:tcBorders>
            <w:shd w:val="clear" w:color="000000" w:fill="FFFFFF"/>
            <w:vAlign w:val="center"/>
            <w:hideMark/>
          </w:tcPr>
          <w:p w14:paraId="05803E95"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130 634</w:t>
            </w:r>
          </w:p>
        </w:tc>
        <w:tc>
          <w:tcPr>
            <w:tcW w:w="1139" w:type="dxa"/>
            <w:tcBorders>
              <w:top w:val="nil"/>
              <w:left w:val="nil"/>
              <w:bottom w:val="nil"/>
              <w:right w:val="nil"/>
            </w:tcBorders>
            <w:shd w:val="clear" w:color="000000" w:fill="FFFFFF"/>
            <w:vAlign w:val="center"/>
          </w:tcPr>
          <w:p w14:paraId="23ED9A6B"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0</w:t>
            </w:r>
          </w:p>
        </w:tc>
      </w:tr>
      <w:tr w:rsidR="004C3312" w:rsidRPr="004A00A6" w14:paraId="093766DC" w14:textId="77777777" w:rsidTr="004A00A6">
        <w:trPr>
          <w:trHeight w:val="360"/>
        </w:trPr>
        <w:tc>
          <w:tcPr>
            <w:tcW w:w="3367" w:type="dxa"/>
            <w:tcBorders>
              <w:top w:val="nil"/>
              <w:left w:val="nil"/>
              <w:bottom w:val="nil"/>
              <w:right w:val="nil"/>
            </w:tcBorders>
            <w:shd w:val="clear" w:color="000000" w:fill="FFFFFF"/>
            <w:noWrap/>
            <w:vAlign w:val="center"/>
            <w:hideMark/>
          </w:tcPr>
          <w:p w14:paraId="4391E5E0" w14:textId="77777777" w:rsidR="004C3312" w:rsidRPr="004A00A6" w:rsidRDefault="004C3312" w:rsidP="004C3312">
            <w:pPr>
              <w:spacing w:after="0" w:line="240" w:lineRule="auto"/>
              <w:jc w:val="left"/>
              <w:rPr>
                <w:rFonts w:eastAsia="Times New Roman" w:cs="Times New Roman"/>
                <w:color w:val="000000"/>
                <w:sz w:val="18"/>
                <w:szCs w:val="18"/>
                <w:lang w:eastAsia="sk-SK"/>
              </w:rPr>
            </w:pPr>
            <w:r w:rsidRPr="004A00A6">
              <w:rPr>
                <w:rFonts w:eastAsia="Times New Roman" w:cs="Times New Roman"/>
                <w:color w:val="000000"/>
                <w:sz w:val="18"/>
                <w:szCs w:val="18"/>
                <w:lang w:eastAsia="sk-SK"/>
              </w:rPr>
              <w:t>Rezerva na riešenie krízových situácií mimo času vojny a vojnového stavu a vykonávanie povodňových prác</w:t>
            </w:r>
          </w:p>
        </w:tc>
        <w:tc>
          <w:tcPr>
            <w:tcW w:w="870" w:type="dxa"/>
            <w:gridSpan w:val="2"/>
            <w:tcBorders>
              <w:top w:val="nil"/>
              <w:left w:val="nil"/>
              <w:bottom w:val="nil"/>
              <w:right w:val="nil"/>
            </w:tcBorders>
            <w:shd w:val="clear" w:color="auto" w:fill="auto"/>
            <w:noWrap/>
            <w:vAlign w:val="center"/>
          </w:tcPr>
          <w:p w14:paraId="4F2CAA4D"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8 200</w:t>
            </w:r>
          </w:p>
        </w:tc>
        <w:tc>
          <w:tcPr>
            <w:tcW w:w="860" w:type="dxa"/>
            <w:tcBorders>
              <w:top w:val="nil"/>
              <w:left w:val="nil"/>
              <w:bottom w:val="nil"/>
              <w:right w:val="nil"/>
            </w:tcBorders>
            <w:shd w:val="clear" w:color="000000" w:fill="FFFFFF"/>
            <w:noWrap/>
            <w:vAlign w:val="center"/>
          </w:tcPr>
          <w:p w14:paraId="7F8E2356"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11 000</w:t>
            </w:r>
          </w:p>
        </w:tc>
        <w:tc>
          <w:tcPr>
            <w:tcW w:w="857" w:type="dxa"/>
            <w:tcBorders>
              <w:top w:val="nil"/>
              <w:left w:val="nil"/>
              <w:bottom w:val="nil"/>
              <w:right w:val="nil"/>
            </w:tcBorders>
            <w:shd w:val="clear" w:color="000000" w:fill="FFFFFF"/>
            <w:noWrap/>
            <w:vAlign w:val="center"/>
          </w:tcPr>
          <w:p w14:paraId="0AEE9281"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11 000</w:t>
            </w:r>
          </w:p>
        </w:tc>
        <w:tc>
          <w:tcPr>
            <w:tcW w:w="931" w:type="dxa"/>
            <w:tcBorders>
              <w:top w:val="nil"/>
              <w:left w:val="nil"/>
              <w:bottom w:val="nil"/>
              <w:right w:val="nil"/>
            </w:tcBorders>
            <w:shd w:val="clear" w:color="auto" w:fill="auto"/>
            <w:noWrap/>
            <w:vAlign w:val="center"/>
            <w:hideMark/>
          </w:tcPr>
          <w:p w14:paraId="7D7726DE"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11 000</w:t>
            </w:r>
          </w:p>
        </w:tc>
        <w:tc>
          <w:tcPr>
            <w:tcW w:w="1190" w:type="dxa"/>
            <w:tcBorders>
              <w:top w:val="nil"/>
              <w:left w:val="nil"/>
              <w:bottom w:val="nil"/>
              <w:right w:val="nil"/>
            </w:tcBorders>
            <w:shd w:val="clear" w:color="000000" w:fill="FFFFFF"/>
            <w:vAlign w:val="center"/>
            <w:hideMark/>
          </w:tcPr>
          <w:p w14:paraId="5F1B01D7"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6 656</w:t>
            </w:r>
          </w:p>
        </w:tc>
        <w:tc>
          <w:tcPr>
            <w:tcW w:w="1139" w:type="dxa"/>
            <w:tcBorders>
              <w:top w:val="nil"/>
              <w:left w:val="nil"/>
              <w:bottom w:val="nil"/>
              <w:right w:val="nil"/>
            </w:tcBorders>
            <w:shd w:val="clear" w:color="000000" w:fill="FFFFFF"/>
            <w:vAlign w:val="center"/>
          </w:tcPr>
          <w:p w14:paraId="2A22843A"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4 344</w:t>
            </w:r>
          </w:p>
        </w:tc>
      </w:tr>
      <w:tr w:rsidR="004C3312" w:rsidRPr="004A00A6" w14:paraId="4F26F6E1" w14:textId="77777777" w:rsidTr="004A00A6">
        <w:trPr>
          <w:trHeight w:val="288"/>
        </w:trPr>
        <w:tc>
          <w:tcPr>
            <w:tcW w:w="3367" w:type="dxa"/>
            <w:tcBorders>
              <w:top w:val="nil"/>
              <w:left w:val="nil"/>
              <w:bottom w:val="nil"/>
              <w:right w:val="nil"/>
            </w:tcBorders>
            <w:shd w:val="clear" w:color="000000" w:fill="FFFFFF"/>
            <w:noWrap/>
            <w:vAlign w:val="center"/>
            <w:hideMark/>
          </w:tcPr>
          <w:p w14:paraId="2D71CBD5" w14:textId="77777777" w:rsidR="004C3312" w:rsidRPr="004A00A6" w:rsidRDefault="004C3312" w:rsidP="004C3312">
            <w:pPr>
              <w:spacing w:after="0" w:line="240" w:lineRule="auto"/>
              <w:jc w:val="left"/>
              <w:rPr>
                <w:rFonts w:eastAsia="Times New Roman" w:cs="Times New Roman"/>
                <w:color w:val="000000"/>
                <w:sz w:val="18"/>
                <w:szCs w:val="18"/>
                <w:lang w:eastAsia="sk-SK"/>
              </w:rPr>
            </w:pPr>
            <w:r w:rsidRPr="004A00A6">
              <w:rPr>
                <w:rFonts w:eastAsia="Times New Roman" w:cs="Times New Roman"/>
                <w:color w:val="000000"/>
                <w:sz w:val="18"/>
                <w:szCs w:val="18"/>
                <w:lang w:eastAsia="sk-SK"/>
              </w:rPr>
              <w:t>Rezerva predsedu vlády SR</w:t>
            </w:r>
          </w:p>
        </w:tc>
        <w:tc>
          <w:tcPr>
            <w:tcW w:w="870" w:type="dxa"/>
            <w:gridSpan w:val="2"/>
            <w:tcBorders>
              <w:top w:val="nil"/>
              <w:left w:val="nil"/>
              <w:bottom w:val="nil"/>
              <w:right w:val="nil"/>
            </w:tcBorders>
            <w:shd w:val="clear" w:color="auto" w:fill="auto"/>
            <w:noWrap/>
            <w:vAlign w:val="center"/>
          </w:tcPr>
          <w:p w14:paraId="01A56FEB"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4 086</w:t>
            </w:r>
          </w:p>
        </w:tc>
        <w:tc>
          <w:tcPr>
            <w:tcW w:w="860" w:type="dxa"/>
            <w:tcBorders>
              <w:top w:val="nil"/>
              <w:left w:val="nil"/>
              <w:bottom w:val="nil"/>
              <w:right w:val="nil"/>
            </w:tcBorders>
            <w:shd w:val="clear" w:color="000000" w:fill="FFFFFF"/>
            <w:noWrap/>
            <w:vAlign w:val="center"/>
          </w:tcPr>
          <w:p w14:paraId="42C32D10"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1 500</w:t>
            </w:r>
          </w:p>
        </w:tc>
        <w:tc>
          <w:tcPr>
            <w:tcW w:w="857" w:type="dxa"/>
            <w:tcBorders>
              <w:top w:val="nil"/>
              <w:left w:val="nil"/>
              <w:bottom w:val="nil"/>
              <w:right w:val="nil"/>
            </w:tcBorders>
            <w:shd w:val="clear" w:color="000000" w:fill="FFFFFF"/>
            <w:noWrap/>
            <w:vAlign w:val="center"/>
          </w:tcPr>
          <w:p w14:paraId="54A49C79"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2 003</w:t>
            </w:r>
          </w:p>
        </w:tc>
        <w:tc>
          <w:tcPr>
            <w:tcW w:w="931" w:type="dxa"/>
            <w:tcBorders>
              <w:top w:val="nil"/>
              <w:left w:val="nil"/>
              <w:bottom w:val="nil"/>
              <w:right w:val="nil"/>
            </w:tcBorders>
            <w:shd w:val="clear" w:color="auto" w:fill="auto"/>
            <w:noWrap/>
            <w:vAlign w:val="center"/>
            <w:hideMark/>
          </w:tcPr>
          <w:p w14:paraId="4A13B535"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2 003</w:t>
            </w:r>
          </w:p>
        </w:tc>
        <w:tc>
          <w:tcPr>
            <w:tcW w:w="1190" w:type="dxa"/>
            <w:tcBorders>
              <w:top w:val="nil"/>
              <w:left w:val="nil"/>
              <w:bottom w:val="nil"/>
              <w:right w:val="nil"/>
            </w:tcBorders>
            <w:shd w:val="clear" w:color="000000" w:fill="FFFFFF"/>
            <w:vAlign w:val="center"/>
            <w:hideMark/>
          </w:tcPr>
          <w:p w14:paraId="711B97A1"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1 942</w:t>
            </w:r>
          </w:p>
        </w:tc>
        <w:tc>
          <w:tcPr>
            <w:tcW w:w="1139" w:type="dxa"/>
            <w:tcBorders>
              <w:top w:val="nil"/>
              <w:left w:val="nil"/>
              <w:bottom w:val="nil"/>
              <w:right w:val="nil"/>
            </w:tcBorders>
            <w:shd w:val="clear" w:color="000000" w:fill="FFFFFF"/>
            <w:vAlign w:val="center"/>
          </w:tcPr>
          <w:p w14:paraId="4A94F279"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61</w:t>
            </w:r>
          </w:p>
        </w:tc>
      </w:tr>
      <w:tr w:rsidR="004C3312" w:rsidRPr="004A00A6" w14:paraId="520E13A0" w14:textId="77777777" w:rsidTr="004A00A6">
        <w:trPr>
          <w:trHeight w:val="288"/>
        </w:trPr>
        <w:tc>
          <w:tcPr>
            <w:tcW w:w="3367" w:type="dxa"/>
            <w:tcBorders>
              <w:top w:val="nil"/>
              <w:left w:val="nil"/>
              <w:bottom w:val="nil"/>
              <w:right w:val="nil"/>
            </w:tcBorders>
            <w:shd w:val="clear" w:color="000000" w:fill="FFFFFF"/>
            <w:noWrap/>
            <w:vAlign w:val="center"/>
            <w:hideMark/>
          </w:tcPr>
          <w:p w14:paraId="24D9F74C" w14:textId="77777777" w:rsidR="004C3312" w:rsidRPr="004A00A6" w:rsidRDefault="004C3312" w:rsidP="004C3312">
            <w:pPr>
              <w:spacing w:after="0" w:line="240" w:lineRule="auto"/>
              <w:jc w:val="left"/>
              <w:rPr>
                <w:rFonts w:eastAsia="Times New Roman" w:cs="Times New Roman"/>
                <w:color w:val="000000"/>
                <w:sz w:val="18"/>
                <w:szCs w:val="18"/>
                <w:lang w:eastAsia="sk-SK"/>
              </w:rPr>
            </w:pPr>
            <w:r w:rsidRPr="004A00A6">
              <w:rPr>
                <w:rFonts w:eastAsia="Times New Roman" w:cs="Times New Roman"/>
                <w:color w:val="000000"/>
                <w:sz w:val="18"/>
                <w:szCs w:val="18"/>
                <w:lang w:eastAsia="sk-SK"/>
              </w:rPr>
              <w:t>Rezerva na realizáciu súdnych a exekučných rozhodnutí</w:t>
            </w:r>
          </w:p>
        </w:tc>
        <w:tc>
          <w:tcPr>
            <w:tcW w:w="870" w:type="dxa"/>
            <w:gridSpan w:val="2"/>
            <w:tcBorders>
              <w:top w:val="nil"/>
              <w:left w:val="nil"/>
              <w:bottom w:val="nil"/>
              <w:right w:val="nil"/>
            </w:tcBorders>
            <w:shd w:val="clear" w:color="auto" w:fill="auto"/>
            <w:noWrap/>
            <w:vAlign w:val="center"/>
          </w:tcPr>
          <w:p w14:paraId="58F0E51E"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1 200</w:t>
            </w:r>
          </w:p>
        </w:tc>
        <w:tc>
          <w:tcPr>
            <w:tcW w:w="860" w:type="dxa"/>
            <w:tcBorders>
              <w:top w:val="nil"/>
              <w:left w:val="nil"/>
              <w:bottom w:val="nil"/>
              <w:right w:val="nil"/>
            </w:tcBorders>
            <w:shd w:val="clear" w:color="000000" w:fill="FFFFFF"/>
            <w:noWrap/>
            <w:vAlign w:val="center"/>
          </w:tcPr>
          <w:p w14:paraId="2C9286D1"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10 000</w:t>
            </w:r>
          </w:p>
        </w:tc>
        <w:tc>
          <w:tcPr>
            <w:tcW w:w="857" w:type="dxa"/>
            <w:tcBorders>
              <w:top w:val="nil"/>
              <w:left w:val="nil"/>
              <w:bottom w:val="nil"/>
              <w:right w:val="nil"/>
            </w:tcBorders>
            <w:shd w:val="clear" w:color="000000" w:fill="FFFFFF"/>
            <w:noWrap/>
            <w:vAlign w:val="center"/>
          </w:tcPr>
          <w:p w14:paraId="0C4ACE61"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10 000</w:t>
            </w:r>
          </w:p>
        </w:tc>
        <w:tc>
          <w:tcPr>
            <w:tcW w:w="931" w:type="dxa"/>
            <w:tcBorders>
              <w:top w:val="nil"/>
              <w:left w:val="nil"/>
              <w:bottom w:val="nil"/>
              <w:right w:val="nil"/>
            </w:tcBorders>
            <w:shd w:val="clear" w:color="auto" w:fill="auto"/>
            <w:noWrap/>
            <w:vAlign w:val="center"/>
            <w:hideMark/>
          </w:tcPr>
          <w:p w14:paraId="2CDC1989"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10 000</w:t>
            </w:r>
          </w:p>
        </w:tc>
        <w:tc>
          <w:tcPr>
            <w:tcW w:w="1190" w:type="dxa"/>
            <w:tcBorders>
              <w:top w:val="nil"/>
              <w:left w:val="nil"/>
              <w:bottom w:val="nil"/>
              <w:right w:val="nil"/>
            </w:tcBorders>
            <w:shd w:val="clear" w:color="000000" w:fill="FFFFFF"/>
            <w:vAlign w:val="center"/>
            <w:hideMark/>
          </w:tcPr>
          <w:p w14:paraId="12CC5C63"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10 000</w:t>
            </w:r>
          </w:p>
        </w:tc>
        <w:tc>
          <w:tcPr>
            <w:tcW w:w="1139" w:type="dxa"/>
            <w:tcBorders>
              <w:top w:val="nil"/>
              <w:left w:val="nil"/>
              <w:bottom w:val="nil"/>
              <w:right w:val="nil"/>
            </w:tcBorders>
            <w:shd w:val="clear" w:color="000000" w:fill="FFFFFF"/>
            <w:vAlign w:val="center"/>
          </w:tcPr>
          <w:p w14:paraId="4500FD9C"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0</w:t>
            </w:r>
          </w:p>
        </w:tc>
      </w:tr>
      <w:tr w:rsidR="004C3312" w:rsidRPr="004A00A6" w14:paraId="7C43E3A5" w14:textId="77777777" w:rsidTr="004A00A6">
        <w:trPr>
          <w:trHeight w:val="288"/>
        </w:trPr>
        <w:tc>
          <w:tcPr>
            <w:tcW w:w="3367" w:type="dxa"/>
            <w:tcBorders>
              <w:top w:val="nil"/>
              <w:left w:val="nil"/>
              <w:bottom w:val="nil"/>
              <w:right w:val="nil"/>
            </w:tcBorders>
            <w:shd w:val="clear" w:color="000000" w:fill="FFFFFF"/>
            <w:noWrap/>
            <w:vAlign w:val="center"/>
            <w:hideMark/>
          </w:tcPr>
          <w:p w14:paraId="0113C5AF" w14:textId="77777777" w:rsidR="004C3312" w:rsidRPr="004A00A6" w:rsidRDefault="004C3312" w:rsidP="004C3312">
            <w:pPr>
              <w:spacing w:after="0" w:line="240" w:lineRule="auto"/>
              <w:jc w:val="left"/>
              <w:rPr>
                <w:rFonts w:eastAsia="Times New Roman" w:cs="Times New Roman"/>
                <w:color w:val="000000"/>
                <w:sz w:val="18"/>
                <w:szCs w:val="18"/>
                <w:lang w:eastAsia="sk-SK"/>
              </w:rPr>
            </w:pPr>
            <w:r w:rsidRPr="004A00A6">
              <w:rPr>
                <w:rFonts w:eastAsia="Times New Roman" w:cs="Times New Roman"/>
                <w:color w:val="000000"/>
                <w:sz w:val="18"/>
                <w:szCs w:val="18"/>
                <w:lang w:eastAsia="sk-SK"/>
              </w:rPr>
              <w:t>Rezerva vlády SR</w:t>
            </w:r>
          </w:p>
        </w:tc>
        <w:tc>
          <w:tcPr>
            <w:tcW w:w="870" w:type="dxa"/>
            <w:gridSpan w:val="2"/>
            <w:tcBorders>
              <w:top w:val="nil"/>
              <w:left w:val="nil"/>
              <w:bottom w:val="nil"/>
              <w:right w:val="nil"/>
            </w:tcBorders>
            <w:shd w:val="clear" w:color="auto" w:fill="auto"/>
            <w:noWrap/>
            <w:vAlign w:val="center"/>
          </w:tcPr>
          <w:p w14:paraId="6E9374E8"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242</w:t>
            </w:r>
          </w:p>
        </w:tc>
        <w:tc>
          <w:tcPr>
            <w:tcW w:w="860" w:type="dxa"/>
            <w:tcBorders>
              <w:top w:val="nil"/>
              <w:left w:val="nil"/>
              <w:bottom w:val="nil"/>
              <w:right w:val="nil"/>
            </w:tcBorders>
            <w:shd w:val="clear" w:color="000000" w:fill="FFFFFF"/>
            <w:noWrap/>
            <w:vAlign w:val="center"/>
          </w:tcPr>
          <w:p w14:paraId="29F8DA2D"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5 000</w:t>
            </w:r>
          </w:p>
        </w:tc>
        <w:tc>
          <w:tcPr>
            <w:tcW w:w="857" w:type="dxa"/>
            <w:tcBorders>
              <w:top w:val="nil"/>
              <w:left w:val="nil"/>
              <w:bottom w:val="nil"/>
              <w:right w:val="nil"/>
            </w:tcBorders>
            <w:shd w:val="clear" w:color="000000" w:fill="FFFFFF"/>
            <w:noWrap/>
            <w:vAlign w:val="center"/>
          </w:tcPr>
          <w:p w14:paraId="4AD6B2F5"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5 000</w:t>
            </w:r>
          </w:p>
        </w:tc>
        <w:tc>
          <w:tcPr>
            <w:tcW w:w="931" w:type="dxa"/>
            <w:tcBorders>
              <w:top w:val="nil"/>
              <w:left w:val="nil"/>
              <w:bottom w:val="nil"/>
              <w:right w:val="nil"/>
            </w:tcBorders>
            <w:shd w:val="clear" w:color="auto" w:fill="auto"/>
            <w:noWrap/>
            <w:vAlign w:val="center"/>
            <w:hideMark/>
          </w:tcPr>
          <w:p w14:paraId="299C4D34"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1 100</w:t>
            </w:r>
          </w:p>
        </w:tc>
        <w:tc>
          <w:tcPr>
            <w:tcW w:w="1190" w:type="dxa"/>
            <w:tcBorders>
              <w:top w:val="nil"/>
              <w:left w:val="nil"/>
              <w:bottom w:val="nil"/>
              <w:right w:val="nil"/>
            </w:tcBorders>
            <w:shd w:val="clear" w:color="000000" w:fill="FFFFFF"/>
            <w:vAlign w:val="center"/>
            <w:hideMark/>
          </w:tcPr>
          <w:p w14:paraId="6C4A8274" w14:textId="77777777" w:rsidR="004C3312" w:rsidRPr="004A00A6" w:rsidRDefault="004C3312" w:rsidP="004C3312">
            <w:pPr>
              <w:spacing w:after="0" w:line="240" w:lineRule="auto"/>
              <w:jc w:val="right"/>
              <w:rPr>
                <w:rFonts w:eastAsia="Times New Roman" w:cs="Times New Roman"/>
                <w:color w:val="000000"/>
                <w:sz w:val="18"/>
                <w:szCs w:val="18"/>
                <w:lang w:eastAsia="sk-SK"/>
              </w:rPr>
            </w:pPr>
            <w:r w:rsidRPr="004A00A6">
              <w:rPr>
                <w:rFonts w:eastAsia="Times New Roman" w:cs="Times New Roman"/>
                <w:color w:val="000000"/>
                <w:sz w:val="18"/>
                <w:szCs w:val="18"/>
                <w:lang w:eastAsia="sk-SK"/>
              </w:rPr>
              <w:t>1 100</w:t>
            </w:r>
          </w:p>
        </w:tc>
        <w:tc>
          <w:tcPr>
            <w:tcW w:w="1139" w:type="dxa"/>
            <w:tcBorders>
              <w:top w:val="nil"/>
              <w:left w:val="nil"/>
              <w:bottom w:val="nil"/>
              <w:right w:val="nil"/>
            </w:tcBorders>
            <w:shd w:val="clear" w:color="000000" w:fill="FFFFFF"/>
            <w:vAlign w:val="center"/>
          </w:tcPr>
          <w:p w14:paraId="017B8FAF" w14:textId="77777777" w:rsidR="004C3312" w:rsidRPr="004A00A6" w:rsidRDefault="004C3312" w:rsidP="004C3312">
            <w:pPr>
              <w:spacing w:after="0" w:line="240" w:lineRule="auto"/>
              <w:jc w:val="right"/>
              <w:rPr>
                <w:rFonts w:eastAsia="Times New Roman" w:cs="Times New Roman"/>
                <w:color w:val="000000"/>
                <w:sz w:val="18"/>
                <w:szCs w:val="18"/>
                <w:highlight w:val="yellow"/>
                <w:lang w:eastAsia="sk-SK"/>
              </w:rPr>
            </w:pPr>
            <w:r w:rsidRPr="004A00A6">
              <w:rPr>
                <w:rFonts w:eastAsia="Times New Roman" w:cs="Times New Roman"/>
                <w:color w:val="000000"/>
                <w:sz w:val="18"/>
                <w:szCs w:val="18"/>
                <w:lang w:eastAsia="sk-SK"/>
              </w:rPr>
              <w:t>3 900</w:t>
            </w:r>
          </w:p>
        </w:tc>
      </w:tr>
      <w:tr w:rsidR="004C3312" w:rsidRPr="004A00A6" w14:paraId="6D3152AE" w14:textId="77777777" w:rsidTr="004A00A6">
        <w:trPr>
          <w:trHeight w:val="288"/>
        </w:trPr>
        <w:tc>
          <w:tcPr>
            <w:tcW w:w="3367" w:type="dxa"/>
            <w:tcBorders>
              <w:top w:val="single" w:sz="4" w:space="0" w:color="auto"/>
              <w:left w:val="nil"/>
              <w:bottom w:val="single" w:sz="4" w:space="0" w:color="auto"/>
              <w:right w:val="nil"/>
            </w:tcBorders>
            <w:shd w:val="clear" w:color="000000" w:fill="FFFFFF"/>
            <w:noWrap/>
            <w:vAlign w:val="center"/>
            <w:hideMark/>
          </w:tcPr>
          <w:p w14:paraId="53811E30" w14:textId="77777777" w:rsidR="004C3312" w:rsidRPr="004A00A6" w:rsidRDefault="004C3312" w:rsidP="004C3312">
            <w:pPr>
              <w:spacing w:after="0" w:line="240" w:lineRule="auto"/>
              <w:jc w:val="left"/>
              <w:rPr>
                <w:rFonts w:eastAsia="Times New Roman" w:cs="Times New Roman"/>
                <w:b/>
                <w:bCs/>
                <w:color w:val="000000"/>
                <w:sz w:val="18"/>
                <w:szCs w:val="18"/>
                <w:lang w:eastAsia="sk-SK"/>
              </w:rPr>
            </w:pPr>
            <w:r w:rsidRPr="004A00A6">
              <w:rPr>
                <w:rFonts w:eastAsia="Times New Roman" w:cs="Times New Roman"/>
                <w:b/>
                <w:bCs/>
                <w:color w:val="000000"/>
                <w:sz w:val="18"/>
                <w:szCs w:val="18"/>
                <w:lang w:eastAsia="sk-SK"/>
              </w:rPr>
              <w:t>Spolu</w:t>
            </w:r>
          </w:p>
        </w:tc>
        <w:tc>
          <w:tcPr>
            <w:tcW w:w="870" w:type="dxa"/>
            <w:gridSpan w:val="2"/>
            <w:tcBorders>
              <w:top w:val="single" w:sz="4" w:space="0" w:color="auto"/>
              <w:left w:val="nil"/>
              <w:bottom w:val="single" w:sz="4" w:space="0" w:color="auto"/>
              <w:right w:val="nil"/>
            </w:tcBorders>
            <w:shd w:val="clear" w:color="auto" w:fill="auto"/>
            <w:noWrap/>
            <w:vAlign w:val="center"/>
          </w:tcPr>
          <w:p w14:paraId="1B6FF660" w14:textId="77777777" w:rsidR="004C3312" w:rsidRPr="004A00A6" w:rsidRDefault="004C3312" w:rsidP="004C3312">
            <w:pPr>
              <w:spacing w:after="0" w:line="240" w:lineRule="auto"/>
              <w:jc w:val="right"/>
              <w:rPr>
                <w:rFonts w:eastAsia="Times New Roman" w:cs="Times New Roman"/>
                <w:b/>
                <w:bCs/>
                <w:color w:val="000000"/>
                <w:sz w:val="18"/>
                <w:szCs w:val="18"/>
                <w:lang w:eastAsia="sk-SK"/>
              </w:rPr>
            </w:pPr>
            <w:r w:rsidRPr="004A00A6">
              <w:rPr>
                <w:rFonts w:eastAsia="Times New Roman" w:cs="Times New Roman"/>
                <w:b/>
                <w:bCs/>
                <w:color w:val="000000"/>
                <w:sz w:val="18"/>
                <w:szCs w:val="18"/>
                <w:lang w:eastAsia="sk-SK"/>
              </w:rPr>
              <w:t>2 236 427</w:t>
            </w:r>
          </w:p>
        </w:tc>
        <w:tc>
          <w:tcPr>
            <w:tcW w:w="860" w:type="dxa"/>
            <w:tcBorders>
              <w:top w:val="single" w:sz="4" w:space="0" w:color="auto"/>
              <w:left w:val="nil"/>
              <w:bottom w:val="single" w:sz="4" w:space="0" w:color="auto"/>
              <w:right w:val="nil"/>
            </w:tcBorders>
            <w:shd w:val="clear" w:color="000000" w:fill="FFFFFF"/>
            <w:noWrap/>
            <w:vAlign w:val="center"/>
          </w:tcPr>
          <w:p w14:paraId="314B79AC" w14:textId="77777777" w:rsidR="004C3312" w:rsidRPr="004A00A6" w:rsidRDefault="004C3312" w:rsidP="004C3312">
            <w:pPr>
              <w:spacing w:after="0" w:line="240" w:lineRule="auto"/>
              <w:jc w:val="right"/>
              <w:rPr>
                <w:rFonts w:eastAsia="Times New Roman" w:cs="Times New Roman"/>
                <w:b/>
                <w:bCs/>
                <w:color w:val="000000"/>
                <w:sz w:val="18"/>
                <w:szCs w:val="18"/>
                <w:highlight w:val="yellow"/>
                <w:lang w:eastAsia="sk-SK"/>
              </w:rPr>
            </w:pPr>
            <w:r w:rsidRPr="004A00A6">
              <w:rPr>
                <w:rFonts w:eastAsia="Times New Roman" w:cs="Times New Roman"/>
                <w:b/>
                <w:bCs/>
                <w:color w:val="000000"/>
                <w:sz w:val="18"/>
                <w:szCs w:val="18"/>
                <w:lang w:eastAsia="sk-SK"/>
              </w:rPr>
              <w:t>1 753 794</w:t>
            </w:r>
          </w:p>
        </w:tc>
        <w:tc>
          <w:tcPr>
            <w:tcW w:w="857" w:type="dxa"/>
            <w:tcBorders>
              <w:top w:val="single" w:sz="4" w:space="0" w:color="auto"/>
              <w:left w:val="nil"/>
              <w:bottom w:val="single" w:sz="4" w:space="0" w:color="auto"/>
              <w:right w:val="nil"/>
            </w:tcBorders>
            <w:shd w:val="clear" w:color="000000" w:fill="FFFFFF"/>
            <w:noWrap/>
            <w:vAlign w:val="center"/>
          </w:tcPr>
          <w:p w14:paraId="37878930" w14:textId="77777777" w:rsidR="004C3312" w:rsidRPr="004A00A6" w:rsidRDefault="004C3312" w:rsidP="004C3312">
            <w:pPr>
              <w:spacing w:after="0" w:line="240" w:lineRule="auto"/>
              <w:jc w:val="right"/>
              <w:rPr>
                <w:rFonts w:eastAsia="Times New Roman" w:cs="Times New Roman"/>
                <w:b/>
                <w:bCs/>
                <w:color w:val="000000"/>
                <w:sz w:val="18"/>
                <w:szCs w:val="18"/>
                <w:highlight w:val="yellow"/>
                <w:lang w:eastAsia="sk-SK"/>
              </w:rPr>
            </w:pPr>
            <w:r w:rsidRPr="004A00A6">
              <w:rPr>
                <w:rFonts w:eastAsia="Times New Roman" w:cs="Times New Roman"/>
                <w:b/>
                <w:bCs/>
                <w:color w:val="000000"/>
                <w:sz w:val="18"/>
                <w:szCs w:val="18"/>
                <w:lang w:eastAsia="sk-SK"/>
              </w:rPr>
              <w:t>1 929 358</w:t>
            </w:r>
          </w:p>
        </w:tc>
        <w:tc>
          <w:tcPr>
            <w:tcW w:w="931" w:type="dxa"/>
            <w:tcBorders>
              <w:top w:val="single" w:sz="4" w:space="0" w:color="auto"/>
              <w:left w:val="nil"/>
              <w:bottom w:val="single" w:sz="4" w:space="0" w:color="auto"/>
              <w:right w:val="nil"/>
            </w:tcBorders>
            <w:shd w:val="clear" w:color="auto" w:fill="auto"/>
            <w:noWrap/>
            <w:vAlign w:val="center"/>
            <w:hideMark/>
          </w:tcPr>
          <w:p w14:paraId="65A6B7C6" w14:textId="77777777" w:rsidR="004C3312" w:rsidRPr="004A00A6" w:rsidRDefault="004C3312" w:rsidP="004C3312">
            <w:pPr>
              <w:spacing w:after="0" w:line="240" w:lineRule="auto"/>
              <w:jc w:val="right"/>
              <w:rPr>
                <w:rFonts w:eastAsia="Times New Roman" w:cs="Times New Roman"/>
                <w:b/>
                <w:bCs/>
                <w:color w:val="000000"/>
                <w:sz w:val="18"/>
                <w:szCs w:val="18"/>
                <w:highlight w:val="yellow"/>
                <w:lang w:eastAsia="sk-SK"/>
              </w:rPr>
            </w:pPr>
            <w:r w:rsidRPr="004A00A6">
              <w:rPr>
                <w:rFonts w:eastAsia="Times New Roman" w:cs="Times New Roman"/>
                <w:b/>
                <w:bCs/>
                <w:color w:val="000000"/>
                <w:sz w:val="18"/>
                <w:szCs w:val="18"/>
                <w:lang w:eastAsia="sk-SK"/>
              </w:rPr>
              <w:t>1 889 555</w:t>
            </w:r>
          </w:p>
        </w:tc>
        <w:tc>
          <w:tcPr>
            <w:tcW w:w="1190" w:type="dxa"/>
            <w:tcBorders>
              <w:top w:val="single" w:sz="4" w:space="0" w:color="auto"/>
              <w:left w:val="nil"/>
              <w:bottom w:val="single" w:sz="4" w:space="0" w:color="auto"/>
              <w:right w:val="nil"/>
            </w:tcBorders>
            <w:shd w:val="clear" w:color="000000" w:fill="FFFFFF"/>
            <w:noWrap/>
            <w:vAlign w:val="center"/>
            <w:hideMark/>
          </w:tcPr>
          <w:p w14:paraId="47E50FC1" w14:textId="77777777" w:rsidR="004C3312" w:rsidRPr="004A00A6" w:rsidRDefault="004C3312" w:rsidP="004C3312">
            <w:pPr>
              <w:spacing w:after="0" w:line="240" w:lineRule="auto"/>
              <w:jc w:val="right"/>
              <w:rPr>
                <w:rFonts w:eastAsia="Times New Roman" w:cs="Times New Roman"/>
                <w:b/>
                <w:bCs/>
                <w:color w:val="000000"/>
                <w:sz w:val="18"/>
                <w:szCs w:val="18"/>
                <w:highlight w:val="yellow"/>
                <w:lang w:eastAsia="sk-SK"/>
              </w:rPr>
            </w:pPr>
            <w:r w:rsidRPr="004A00A6">
              <w:rPr>
                <w:rFonts w:eastAsia="Times New Roman" w:cs="Times New Roman"/>
                <w:b/>
                <w:bCs/>
                <w:color w:val="000000"/>
                <w:sz w:val="18"/>
                <w:szCs w:val="18"/>
                <w:lang w:eastAsia="sk-SK"/>
              </w:rPr>
              <w:t>1 889 555</w:t>
            </w:r>
          </w:p>
        </w:tc>
        <w:tc>
          <w:tcPr>
            <w:tcW w:w="1139" w:type="dxa"/>
            <w:tcBorders>
              <w:top w:val="single" w:sz="4" w:space="0" w:color="auto"/>
              <w:left w:val="nil"/>
              <w:bottom w:val="single" w:sz="4" w:space="0" w:color="auto"/>
              <w:right w:val="nil"/>
            </w:tcBorders>
            <w:shd w:val="clear" w:color="000000" w:fill="FFFFFF"/>
            <w:noWrap/>
            <w:vAlign w:val="center"/>
            <w:hideMark/>
          </w:tcPr>
          <w:p w14:paraId="399A3D60" w14:textId="77777777" w:rsidR="004C3312" w:rsidRPr="004A00A6" w:rsidRDefault="004C3312" w:rsidP="004C3312">
            <w:pPr>
              <w:spacing w:after="0" w:line="240" w:lineRule="auto"/>
              <w:jc w:val="right"/>
              <w:rPr>
                <w:rFonts w:eastAsia="Times New Roman" w:cs="Times New Roman"/>
                <w:b/>
                <w:bCs/>
                <w:color w:val="000000"/>
                <w:sz w:val="18"/>
                <w:szCs w:val="18"/>
                <w:highlight w:val="yellow"/>
                <w:lang w:eastAsia="sk-SK"/>
              </w:rPr>
            </w:pPr>
            <w:r w:rsidRPr="004A00A6">
              <w:rPr>
                <w:rFonts w:eastAsia="Times New Roman" w:cs="Times New Roman"/>
                <w:b/>
                <w:bCs/>
                <w:color w:val="000000"/>
                <w:sz w:val="18"/>
                <w:szCs w:val="18"/>
                <w:lang w:eastAsia="sk-SK"/>
              </w:rPr>
              <w:t>39 803</w:t>
            </w:r>
          </w:p>
        </w:tc>
      </w:tr>
    </w:tbl>
    <w:p w14:paraId="3A30F8D6" w14:textId="0D559ED7" w:rsidR="004C3312" w:rsidRPr="00B1180A" w:rsidRDefault="004C3312" w:rsidP="004C3312">
      <w:pPr>
        <w:spacing w:line="240" w:lineRule="auto"/>
        <w:rPr>
          <w:sz w:val="16"/>
          <w:szCs w:val="16"/>
        </w:rPr>
      </w:pPr>
      <w:r w:rsidRPr="00B1180A">
        <w:rPr>
          <w:sz w:val="16"/>
          <w:szCs w:val="16"/>
        </w:rPr>
        <w:t xml:space="preserve">* Upravený rozpočet predstavuje celkový disponibilný zdroj prostriedkov jednotlivých rezerv v roku 2021. </w:t>
      </w:r>
      <w:r>
        <w:rPr>
          <w:sz w:val="16"/>
          <w:szCs w:val="16"/>
        </w:rPr>
        <w:t xml:space="preserve">    </w:t>
      </w:r>
      <w:r w:rsidR="006423E5">
        <w:rPr>
          <w:sz w:val="16"/>
          <w:szCs w:val="16"/>
        </w:rPr>
        <w:t xml:space="preserve">           </w:t>
      </w:r>
      <w:r>
        <w:rPr>
          <w:sz w:val="16"/>
          <w:szCs w:val="16"/>
        </w:rPr>
        <w:t xml:space="preserve">    </w:t>
      </w:r>
      <w:r w:rsidRPr="00B1180A">
        <w:rPr>
          <w:sz w:val="16"/>
          <w:szCs w:val="16"/>
        </w:rPr>
        <w:t>Zdroj: MF SR, ÚV SR</w:t>
      </w:r>
    </w:p>
    <w:p w14:paraId="23928A54" w14:textId="77777777" w:rsidR="004A00A6" w:rsidRDefault="004A00A6" w:rsidP="004C3312">
      <w:pPr>
        <w:spacing w:line="240" w:lineRule="auto"/>
        <w:rPr>
          <w:b/>
          <w:sz w:val="24"/>
          <w:szCs w:val="24"/>
        </w:rPr>
      </w:pPr>
    </w:p>
    <w:p w14:paraId="4F37CAF0" w14:textId="77777777" w:rsidR="00043553" w:rsidRDefault="00043553">
      <w:pPr>
        <w:spacing w:after="160" w:line="259" w:lineRule="auto"/>
        <w:jc w:val="left"/>
        <w:rPr>
          <w:b/>
          <w:sz w:val="24"/>
          <w:szCs w:val="24"/>
        </w:rPr>
      </w:pPr>
      <w:r>
        <w:rPr>
          <w:b/>
          <w:sz w:val="24"/>
          <w:szCs w:val="24"/>
        </w:rPr>
        <w:br w:type="page"/>
      </w:r>
    </w:p>
    <w:p w14:paraId="7ED3DA41" w14:textId="175912ED" w:rsidR="004C3312" w:rsidRPr="00103E6B" w:rsidRDefault="004C3312" w:rsidP="004C3312">
      <w:pPr>
        <w:spacing w:line="240" w:lineRule="auto"/>
        <w:rPr>
          <w:b/>
          <w:sz w:val="24"/>
          <w:szCs w:val="24"/>
        </w:rPr>
      </w:pPr>
      <w:r w:rsidRPr="00103E6B">
        <w:rPr>
          <w:b/>
          <w:sz w:val="24"/>
          <w:szCs w:val="24"/>
        </w:rPr>
        <w:lastRenderedPageBreak/>
        <w:t>Rezerva vlády Slovenskej republiky</w:t>
      </w:r>
    </w:p>
    <w:p w14:paraId="6C4D8820" w14:textId="3853B2F4" w:rsidR="004A5D5F" w:rsidRDefault="004C3312" w:rsidP="004C3312">
      <w:pPr>
        <w:spacing w:line="240" w:lineRule="auto"/>
        <w:rPr>
          <w:sz w:val="24"/>
          <w:szCs w:val="24"/>
        </w:rPr>
      </w:pPr>
      <w:r>
        <w:rPr>
          <w:sz w:val="24"/>
          <w:szCs w:val="24"/>
        </w:rPr>
        <w:t>Z rozpočtovanej rezervy v sume 5 000 tis. eur boli príjemcom uvoľnené prostriedky v sume 1 100 tis. eur</w:t>
      </w:r>
      <w:r w:rsidRPr="001A4C66">
        <w:rPr>
          <w:sz w:val="24"/>
          <w:szCs w:val="24"/>
        </w:rPr>
        <w:t>.</w:t>
      </w:r>
    </w:p>
    <w:p w14:paraId="59A879D4" w14:textId="051911BB" w:rsidR="004A5D5F" w:rsidRPr="004A5D5F" w:rsidRDefault="000643AF" w:rsidP="004A5D5F">
      <w:pPr>
        <w:spacing w:after="0" w:line="240" w:lineRule="auto"/>
        <w:jc w:val="left"/>
        <w:rPr>
          <w:rFonts w:eastAsia="Times New Roman" w:cs="Times New Roman"/>
          <w:b/>
          <w:bCs/>
          <w:color w:val="5B9BD5" w:themeColor="accent1"/>
          <w:sz w:val="18"/>
          <w:szCs w:val="18"/>
          <w:lang w:eastAsia="sk-SK"/>
        </w:rPr>
      </w:pPr>
      <w:r>
        <w:rPr>
          <w:rFonts w:eastAsia="Times New Roman" w:cs="Times New Roman"/>
          <w:b/>
          <w:bCs/>
          <w:color w:val="5B9BD5" w:themeColor="accent1"/>
          <w:sz w:val="18"/>
          <w:szCs w:val="18"/>
          <w:lang w:eastAsia="sk-SK"/>
        </w:rPr>
        <w:t>Tabuľka 5</w:t>
      </w:r>
      <w:r w:rsidR="008B3212">
        <w:rPr>
          <w:rFonts w:eastAsia="Times New Roman" w:cs="Times New Roman"/>
          <w:b/>
          <w:bCs/>
          <w:color w:val="5B9BD5" w:themeColor="accent1"/>
          <w:sz w:val="18"/>
          <w:szCs w:val="18"/>
          <w:lang w:eastAsia="sk-SK"/>
        </w:rPr>
        <w:t>2</w:t>
      </w:r>
      <w:r w:rsidR="004A5D5F" w:rsidRPr="004A5D5F">
        <w:rPr>
          <w:rFonts w:eastAsia="Times New Roman" w:cs="Times New Roman"/>
          <w:b/>
          <w:bCs/>
          <w:color w:val="5B9BD5" w:themeColor="accent1"/>
          <w:sz w:val="18"/>
          <w:szCs w:val="18"/>
          <w:lang w:eastAsia="sk-SK"/>
        </w:rPr>
        <w:t xml:space="preserve"> - Rezerva vlády                                                                                                                          </w:t>
      </w:r>
    </w:p>
    <w:tbl>
      <w:tblPr>
        <w:tblW w:w="9062" w:type="dxa"/>
        <w:tblCellMar>
          <w:left w:w="70" w:type="dxa"/>
          <w:right w:w="70" w:type="dxa"/>
        </w:tblCellMar>
        <w:tblLook w:val="04A0" w:firstRow="1" w:lastRow="0" w:firstColumn="1" w:lastColumn="0" w:noHBand="0" w:noVBand="1"/>
      </w:tblPr>
      <w:tblGrid>
        <w:gridCol w:w="3140"/>
        <w:gridCol w:w="4662"/>
        <w:gridCol w:w="136"/>
        <w:gridCol w:w="1124"/>
      </w:tblGrid>
      <w:tr w:rsidR="004A5D5F" w:rsidRPr="004225A9" w14:paraId="5045E2AD" w14:textId="77777777" w:rsidTr="003A0696">
        <w:trPr>
          <w:trHeight w:val="330"/>
        </w:trPr>
        <w:tc>
          <w:tcPr>
            <w:tcW w:w="3140" w:type="dxa"/>
            <w:tcBorders>
              <w:top w:val="single" w:sz="4" w:space="0" w:color="auto"/>
              <w:left w:val="nil"/>
              <w:bottom w:val="single" w:sz="4" w:space="0" w:color="auto"/>
              <w:right w:val="nil"/>
            </w:tcBorders>
            <w:shd w:val="clear" w:color="auto" w:fill="auto"/>
            <w:vAlign w:val="center"/>
            <w:hideMark/>
          </w:tcPr>
          <w:p w14:paraId="2F56A40A" w14:textId="77777777" w:rsidR="004A5D5F" w:rsidRPr="004225A9" w:rsidRDefault="004A5D5F" w:rsidP="003A0696">
            <w:pPr>
              <w:spacing w:after="0" w:line="240" w:lineRule="auto"/>
              <w:rPr>
                <w:rFonts w:eastAsia="Times New Roman" w:cs="Times New Roman"/>
                <w:b/>
                <w:bCs/>
                <w:sz w:val="16"/>
                <w:szCs w:val="16"/>
                <w:lang w:eastAsia="sk-SK"/>
              </w:rPr>
            </w:pPr>
            <w:r w:rsidRPr="004225A9">
              <w:rPr>
                <w:rFonts w:eastAsia="Times New Roman" w:cs="Times New Roman"/>
                <w:b/>
                <w:bCs/>
                <w:sz w:val="16"/>
                <w:szCs w:val="16"/>
                <w:lang w:eastAsia="sk-SK"/>
              </w:rPr>
              <w:t>Prijímateľ</w:t>
            </w:r>
          </w:p>
        </w:tc>
        <w:tc>
          <w:tcPr>
            <w:tcW w:w="4662" w:type="dxa"/>
            <w:tcBorders>
              <w:top w:val="single" w:sz="4" w:space="0" w:color="auto"/>
              <w:left w:val="nil"/>
              <w:bottom w:val="single" w:sz="4" w:space="0" w:color="auto"/>
              <w:right w:val="nil"/>
            </w:tcBorders>
            <w:shd w:val="clear" w:color="auto" w:fill="auto"/>
            <w:vAlign w:val="center"/>
            <w:hideMark/>
          </w:tcPr>
          <w:p w14:paraId="29DFEE4C" w14:textId="77777777" w:rsidR="004A5D5F" w:rsidRPr="004225A9" w:rsidRDefault="004A5D5F" w:rsidP="003A0696">
            <w:pPr>
              <w:spacing w:after="0" w:line="240" w:lineRule="auto"/>
              <w:jc w:val="center"/>
              <w:rPr>
                <w:rFonts w:eastAsia="Times New Roman" w:cs="Times New Roman"/>
                <w:b/>
                <w:bCs/>
                <w:sz w:val="16"/>
                <w:szCs w:val="16"/>
                <w:lang w:eastAsia="sk-SK"/>
              </w:rPr>
            </w:pPr>
            <w:r w:rsidRPr="004225A9">
              <w:rPr>
                <w:rFonts w:eastAsia="Times New Roman" w:cs="Times New Roman"/>
                <w:b/>
                <w:bCs/>
                <w:sz w:val="16"/>
                <w:szCs w:val="16"/>
                <w:lang w:eastAsia="sk-SK"/>
              </w:rPr>
              <w:t>Účel</w:t>
            </w:r>
          </w:p>
        </w:tc>
        <w:tc>
          <w:tcPr>
            <w:tcW w:w="1260" w:type="dxa"/>
            <w:gridSpan w:val="2"/>
            <w:tcBorders>
              <w:top w:val="single" w:sz="4" w:space="0" w:color="auto"/>
              <w:left w:val="nil"/>
              <w:bottom w:val="single" w:sz="4" w:space="0" w:color="auto"/>
              <w:right w:val="nil"/>
            </w:tcBorders>
            <w:shd w:val="clear" w:color="auto" w:fill="auto"/>
            <w:vAlign w:val="center"/>
            <w:hideMark/>
          </w:tcPr>
          <w:p w14:paraId="0EC5AB36" w14:textId="77777777" w:rsidR="004A5D5F" w:rsidRPr="004225A9" w:rsidRDefault="004A5D5F" w:rsidP="003A0696">
            <w:pPr>
              <w:spacing w:after="0" w:line="240" w:lineRule="auto"/>
              <w:jc w:val="center"/>
              <w:rPr>
                <w:rFonts w:eastAsia="Times New Roman" w:cs="Times New Roman"/>
                <w:b/>
                <w:bCs/>
                <w:sz w:val="16"/>
                <w:szCs w:val="16"/>
                <w:lang w:eastAsia="sk-SK"/>
              </w:rPr>
            </w:pPr>
            <w:r w:rsidRPr="004225A9">
              <w:rPr>
                <w:rFonts w:eastAsia="Times New Roman" w:cs="Times New Roman"/>
                <w:b/>
                <w:bCs/>
                <w:sz w:val="16"/>
                <w:szCs w:val="16"/>
                <w:lang w:eastAsia="sk-SK"/>
              </w:rPr>
              <w:t xml:space="preserve">  Suma v tis. eur</w:t>
            </w:r>
          </w:p>
        </w:tc>
      </w:tr>
      <w:tr w:rsidR="004A5D5F" w:rsidRPr="004225A9" w14:paraId="64927F30" w14:textId="77777777" w:rsidTr="003A0696">
        <w:trPr>
          <w:trHeight w:val="463"/>
        </w:trPr>
        <w:tc>
          <w:tcPr>
            <w:tcW w:w="3140" w:type="dxa"/>
            <w:tcBorders>
              <w:top w:val="single" w:sz="4" w:space="0" w:color="auto"/>
              <w:left w:val="nil"/>
              <w:right w:val="nil"/>
            </w:tcBorders>
            <w:shd w:val="clear" w:color="auto" w:fill="auto"/>
            <w:vAlign w:val="center"/>
          </w:tcPr>
          <w:p w14:paraId="2415D932" w14:textId="77777777" w:rsidR="004A5D5F" w:rsidRPr="004225A9" w:rsidRDefault="004A5D5F" w:rsidP="003A0696">
            <w:pPr>
              <w:rPr>
                <w:rFonts w:cs="Times New Roman"/>
                <w:sz w:val="16"/>
                <w:szCs w:val="16"/>
              </w:rPr>
            </w:pPr>
            <w:r w:rsidRPr="004225A9">
              <w:rPr>
                <w:rFonts w:cs="Times New Roman"/>
                <w:sz w:val="16"/>
                <w:szCs w:val="16"/>
              </w:rPr>
              <w:t xml:space="preserve">Mestská časť Bratislava - Staré Mesto </w:t>
            </w:r>
          </w:p>
        </w:tc>
        <w:tc>
          <w:tcPr>
            <w:tcW w:w="4662" w:type="dxa"/>
            <w:tcBorders>
              <w:top w:val="single" w:sz="4" w:space="0" w:color="auto"/>
              <w:left w:val="nil"/>
              <w:right w:val="nil"/>
            </w:tcBorders>
            <w:shd w:val="clear" w:color="auto" w:fill="auto"/>
            <w:vAlign w:val="bottom"/>
          </w:tcPr>
          <w:p w14:paraId="753A1E8A" w14:textId="77777777" w:rsidR="004A5D5F" w:rsidRPr="004225A9" w:rsidRDefault="004A5D5F" w:rsidP="003A0696">
            <w:pPr>
              <w:spacing w:after="0" w:line="240" w:lineRule="auto"/>
              <w:rPr>
                <w:rFonts w:cs="Times New Roman"/>
                <w:sz w:val="16"/>
                <w:szCs w:val="16"/>
              </w:rPr>
            </w:pPr>
          </w:p>
          <w:p w14:paraId="51B289FF" w14:textId="77777777" w:rsidR="004A5D5F" w:rsidRPr="004225A9" w:rsidRDefault="004A5D5F" w:rsidP="003A0696">
            <w:pPr>
              <w:spacing w:after="0" w:line="240" w:lineRule="auto"/>
              <w:rPr>
                <w:rFonts w:cs="Times New Roman"/>
                <w:sz w:val="16"/>
                <w:szCs w:val="16"/>
              </w:rPr>
            </w:pPr>
            <w:r>
              <w:rPr>
                <w:rFonts w:cs="Times New Roman"/>
                <w:sz w:val="16"/>
                <w:szCs w:val="16"/>
              </w:rPr>
              <w:t xml:space="preserve">UZN č. 605/2021 v znení UZN č. 715/2021 </w:t>
            </w:r>
            <w:r w:rsidRPr="004225A9">
              <w:rPr>
                <w:rFonts w:cs="Times New Roman"/>
                <w:sz w:val="16"/>
                <w:szCs w:val="16"/>
              </w:rPr>
              <w:t xml:space="preserve">na zriadenie Hrobu neznámeho vojaka ako protokolárne miesto </w:t>
            </w:r>
            <w:r>
              <w:rPr>
                <w:rFonts w:cs="Times New Roman"/>
                <w:sz w:val="16"/>
                <w:szCs w:val="16"/>
              </w:rPr>
              <w:t>SR</w:t>
            </w:r>
            <w:r w:rsidRPr="004225A9">
              <w:rPr>
                <w:rFonts w:cs="Times New Roman"/>
                <w:sz w:val="16"/>
                <w:szCs w:val="16"/>
              </w:rPr>
              <w:t xml:space="preserve"> v hlavnom meste Bratislava</w:t>
            </w:r>
          </w:p>
          <w:p w14:paraId="4964CAD6" w14:textId="77777777" w:rsidR="004A5D5F" w:rsidRPr="004225A9" w:rsidRDefault="004A5D5F" w:rsidP="003A0696">
            <w:pPr>
              <w:spacing w:after="0" w:line="240" w:lineRule="auto"/>
              <w:rPr>
                <w:rFonts w:cs="Times New Roman"/>
                <w:sz w:val="16"/>
                <w:szCs w:val="16"/>
              </w:rPr>
            </w:pPr>
          </w:p>
        </w:tc>
        <w:tc>
          <w:tcPr>
            <w:tcW w:w="1260" w:type="dxa"/>
            <w:gridSpan w:val="2"/>
            <w:tcBorders>
              <w:top w:val="single" w:sz="4" w:space="0" w:color="auto"/>
              <w:left w:val="nil"/>
              <w:right w:val="nil"/>
            </w:tcBorders>
            <w:shd w:val="clear" w:color="auto" w:fill="auto"/>
            <w:vAlign w:val="center"/>
          </w:tcPr>
          <w:p w14:paraId="3AC64D5B" w14:textId="77777777" w:rsidR="004A5D5F" w:rsidRPr="004225A9" w:rsidRDefault="004A5D5F" w:rsidP="003A0696">
            <w:pPr>
              <w:jc w:val="right"/>
              <w:rPr>
                <w:rFonts w:cs="Times New Roman"/>
                <w:sz w:val="16"/>
                <w:szCs w:val="16"/>
              </w:rPr>
            </w:pPr>
            <w:r w:rsidRPr="004225A9">
              <w:rPr>
                <w:rFonts w:cs="Times New Roman"/>
                <w:sz w:val="16"/>
                <w:szCs w:val="16"/>
              </w:rPr>
              <w:t xml:space="preserve">770 </w:t>
            </w:r>
          </w:p>
        </w:tc>
      </w:tr>
      <w:tr w:rsidR="004A5D5F" w:rsidRPr="004225A9" w14:paraId="1EFE6B3B" w14:textId="77777777" w:rsidTr="003A0696">
        <w:trPr>
          <w:trHeight w:val="93"/>
        </w:trPr>
        <w:tc>
          <w:tcPr>
            <w:tcW w:w="3140" w:type="dxa"/>
            <w:tcBorders>
              <w:left w:val="nil"/>
              <w:right w:val="nil"/>
            </w:tcBorders>
            <w:shd w:val="clear" w:color="auto" w:fill="auto"/>
            <w:vAlign w:val="center"/>
          </w:tcPr>
          <w:p w14:paraId="63263A30" w14:textId="77777777" w:rsidR="004A5D5F" w:rsidRPr="004225A9" w:rsidRDefault="004A5D5F" w:rsidP="003A0696">
            <w:pPr>
              <w:rPr>
                <w:rFonts w:cs="Times New Roman"/>
                <w:sz w:val="16"/>
                <w:szCs w:val="16"/>
              </w:rPr>
            </w:pPr>
            <w:r w:rsidRPr="004225A9">
              <w:rPr>
                <w:rFonts w:cs="Times New Roman"/>
                <w:sz w:val="16"/>
                <w:szCs w:val="16"/>
              </w:rPr>
              <w:t xml:space="preserve">Konferencia biskupov Slovenska </w:t>
            </w:r>
          </w:p>
        </w:tc>
        <w:tc>
          <w:tcPr>
            <w:tcW w:w="4662" w:type="dxa"/>
            <w:tcBorders>
              <w:left w:val="nil"/>
              <w:right w:val="nil"/>
            </w:tcBorders>
            <w:shd w:val="clear" w:color="auto" w:fill="auto"/>
            <w:vAlign w:val="bottom"/>
          </w:tcPr>
          <w:p w14:paraId="4C9336E7" w14:textId="77777777" w:rsidR="004A5D5F" w:rsidRPr="004225A9" w:rsidRDefault="004A5D5F" w:rsidP="003A0696">
            <w:pPr>
              <w:rPr>
                <w:rFonts w:cs="Times New Roman"/>
                <w:sz w:val="16"/>
                <w:szCs w:val="16"/>
              </w:rPr>
            </w:pPr>
            <w:r>
              <w:rPr>
                <w:rFonts w:cs="Times New Roman"/>
                <w:sz w:val="16"/>
                <w:szCs w:val="16"/>
              </w:rPr>
              <w:t xml:space="preserve">UZN č. 63/2022 </w:t>
            </w:r>
            <w:r w:rsidRPr="004225A9">
              <w:rPr>
                <w:rFonts w:cs="Times New Roman"/>
                <w:sz w:val="16"/>
                <w:szCs w:val="16"/>
              </w:rPr>
              <w:t>na projekt misijnej pastoračnej práce v rómskych komunitách</w:t>
            </w:r>
          </w:p>
        </w:tc>
        <w:tc>
          <w:tcPr>
            <w:tcW w:w="1260" w:type="dxa"/>
            <w:gridSpan w:val="2"/>
            <w:tcBorders>
              <w:left w:val="nil"/>
              <w:right w:val="nil"/>
            </w:tcBorders>
            <w:shd w:val="clear" w:color="auto" w:fill="auto"/>
            <w:vAlign w:val="center"/>
          </w:tcPr>
          <w:p w14:paraId="46AE123C" w14:textId="77777777" w:rsidR="004A5D5F" w:rsidRPr="004225A9" w:rsidRDefault="004A5D5F" w:rsidP="003A0696">
            <w:pPr>
              <w:jc w:val="right"/>
              <w:rPr>
                <w:rFonts w:cs="Times New Roman"/>
                <w:sz w:val="16"/>
                <w:szCs w:val="16"/>
              </w:rPr>
            </w:pPr>
            <w:r w:rsidRPr="004225A9">
              <w:rPr>
                <w:rFonts w:cs="Times New Roman"/>
                <w:sz w:val="16"/>
                <w:szCs w:val="16"/>
              </w:rPr>
              <w:t xml:space="preserve">330 </w:t>
            </w:r>
          </w:p>
        </w:tc>
      </w:tr>
      <w:tr w:rsidR="004A5D5F" w:rsidRPr="004225A9" w14:paraId="70ED95BC" w14:textId="77777777" w:rsidTr="003A0696">
        <w:trPr>
          <w:trHeight w:val="330"/>
        </w:trPr>
        <w:tc>
          <w:tcPr>
            <w:tcW w:w="7938" w:type="dxa"/>
            <w:gridSpan w:val="3"/>
            <w:tcBorders>
              <w:top w:val="single" w:sz="4" w:space="0" w:color="auto"/>
              <w:left w:val="nil"/>
              <w:bottom w:val="single" w:sz="4" w:space="0" w:color="auto"/>
              <w:right w:val="nil"/>
            </w:tcBorders>
            <w:shd w:val="clear" w:color="auto" w:fill="auto"/>
            <w:vAlign w:val="center"/>
            <w:hideMark/>
          </w:tcPr>
          <w:p w14:paraId="21646B56" w14:textId="77777777" w:rsidR="004A5D5F" w:rsidRPr="004225A9" w:rsidRDefault="004A5D5F" w:rsidP="003A0696">
            <w:pPr>
              <w:spacing w:after="0" w:line="240" w:lineRule="auto"/>
              <w:rPr>
                <w:rFonts w:eastAsia="Times New Roman" w:cs="Times New Roman"/>
                <w:b/>
                <w:bCs/>
                <w:color w:val="000000"/>
                <w:sz w:val="16"/>
                <w:szCs w:val="16"/>
                <w:lang w:eastAsia="sk-SK"/>
              </w:rPr>
            </w:pPr>
            <w:r>
              <w:rPr>
                <w:rFonts w:eastAsia="Times New Roman" w:cs="Times New Roman"/>
                <w:b/>
                <w:bCs/>
                <w:sz w:val="16"/>
                <w:szCs w:val="16"/>
                <w:lang w:eastAsia="sk-SK"/>
              </w:rPr>
              <w:t xml:space="preserve">                                                                                                                                                                        </w:t>
            </w:r>
            <w:r w:rsidRPr="004225A9">
              <w:rPr>
                <w:rFonts w:eastAsia="Times New Roman" w:cs="Times New Roman"/>
                <w:b/>
                <w:bCs/>
                <w:sz w:val="16"/>
                <w:szCs w:val="16"/>
                <w:lang w:eastAsia="sk-SK"/>
              </w:rPr>
              <w:t>Spolu celkom</w:t>
            </w:r>
          </w:p>
        </w:tc>
        <w:tc>
          <w:tcPr>
            <w:tcW w:w="1124" w:type="dxa"/>
            <w:tcBorders>
              <w:top w:val="single" w:sz="4" w:space="0" w:color="auto"/>
              <w:left w:val="nil"/>
              <w:bottom w:val="single" w:sz="4" w:space="0" w:color="auto"/>
              <w:right w:val="nil"/>
            </w:tcBorders>
            <w:shd w:val="clear" w:color="auto" w:fill="auto"/>
            <w:noWrap/>
            <w:vAlign w:val="center"/>
            <w:hideMark/>
          </w:tcPr>
          <w:p w14:paraId="24767EDC" w14:textId="77777777" w:rsidR="004A5D5F" w:rsidRPr="004225A9" w:rsidRDefault="004A5D5F" w:rsidP="003A0696">
            <w:pPr>
              <w:spacing w:after="0" w:line="240" w:lineRule="auto"/>
              <w:jc w:val="right"/>
              <w:rPr>
                <w:rFonts w:eastAsia="Times New Roman" w:cs="Times New Roman"/>
                <w:b/>
                <w:bCs/>
                <w:color w:val="000000"/>
                <w:sz w:val="16"/>
                <w:szCs w:val="16"/>
                <w:lang w:eastAsia="sk-SK"/>
              </w:rPr>
            </w:pPr>
            <w:r w:rsidRPr="004225A9">
              <w:rPr>
                <w:rFonts w:eastAsia="Times New Roman" w:cs="Times New Roman"/>
                <w:b/>
                <w:bCs/>
                <w:color w:val="000000"/>
                <w:sz w:val="16"/>
                <w:szCs w:val="16"/>
                <w:lang w:eastAsia="sk-SK"/>
              </w:rPr>
              <w:t xml:space="preserve">1 100 </w:t>
            </w:r>
          </w:p>
        </w:tc>
      </w:tr>
    </w:tbl>
    <w:p w14:paraId="531395A0" w14:textId="457F451A" w:rsidR="003D74E7" w:rsidRDefault="004A5D5F" w:rsidP="00043553">
      <w:pPr>
        <w:tabs>
          <w:tab w:val="left" w:pos="0"/>
          <w:tab w:val="left" w:pos="720"/>
          <w:tab w:val="left" w:pos="1440"/>
          <w:tab w:val="left" w:pos="2160"/>
          <w:tab w:val="left" w:pos="2880"/>
          <w:tab w:val="left" w:pos="3600"/>
          <w:tab w:val="left" w:pos="4320"/>
        </w:tabs>
        <w:adjustRightInd w:val="0"/>
        <w:spacing w:after="0" w:line="240" w:lineRule="auto"/>
        <w:rPr>
          <w:b/>
          <w:sz w:val="24"/>
          <w:szCs w:val="24"/>
        </w:rPr>
      </w:pPr>
      <w:r w:rsidRPr="004225A9">
        <w:rPr>
          <w:rFonts w:eastAsia="Times New Roman" w:cs="Times New Roman"/>
          <w:i/>
          <w:color w:val="000000"/>
          <w:sz w:val="16"/>
          <w:szCs w:val="16"/>
          <w:lang w:eastAsia="cs-CZ"/>
        </w:rPr>
        <w:t xml:space="preserve">                                                                                                                                                                                                          </w:t>
      </w:r>
      <w:r w:rsidRPr="004A5D5F">
        <w:rPr>
          <w:rFonts w:eastAsia="Times New Roman" w:cs="Times New Roman"/>
          <w:color w:val="000000"/>
          <w:sz w:val="18"/>
          <w:szCs w:val="18"/>
          <w:lang w:eastAsia="cs-CZ"/>
        </w:rPr>
        <w:t>Zdroj: MF  SR</w:t>
      </w:r>
    </w:p>
    <w:p w14:paraId="72D3AD1E" w14:textId="35C148D3" w:rsidR="004C3312" w:rsidRPr="00C11236" w:rsidRDefault="004C3312" w:rsidP="004C3312">
      <w:pPr>
        <w:spacing w:line="240" w:lineRule="auto"/>
        <w:rPr>
          <w:b/>
          <w:sz w:val="24"/>
          <w:szCs w:val="24"/>
        </w:rPr>
      </w:pPr>
      <w:r w:rsidRPr="00C11236">
        <w:rPr>
          <w:b/>
          <w:sz w:val="24"/>
          <w:szCs w:val="24"/>
        </w:rPr>
        <w:t>Rezerva predsedu vlády Slovenskej republiky</w:t>
      </w:r>
    </w:p>
    <w:p w14:paraId="3DA555A1" w14:textId="5B787983" w:rsidR="004C3312" w:rsidRPr="001206B5" w:rsidRDefault="004C3312" w:rsidP="004C3312">
      <w:pPr>
        <w:spacing w:line="240" w:lineRule="auto"/>
        <w:rPr>
          <w:sz w:val="24"/>
          <w:szCs w:val="24"/>
        </w:rPr>
      </w:pPr>
      <w:r w:rsidRPr="001206B5">
        <w:rPr>
          <w:sz w:val="24"/>
          <w:szCs w:val="24"/>
        </w:rPr>
        <w:t>Rezerva predsedu</w:t>
      </w:r>
      <w:r>
        <w:rPr>
          <w:sz w:val="24"/>
          <w:szCs w:val="24"/>
        </w:rPr>
        <w:t xml:space="preserve"> vlády sa rozpočtovala v sume 1 </w:t>
      </w:r>
      <w:r w:rsidRPr="001206B5">
        <w:rPr>
          <w:sz w:val="24"/>
          <w:szCs w:val="24"/>
        </w:rPr>
        <w:t xml:space="preserve">500 tis. eur. Na základe § 8 ods. 6 </w:t>
      </w:r>
      <w:r w:rsidR="00545BC2" w:rsidRPr="00F42FB3">
        <w:rPr>
          <w:rFonts w:cs="Times New Roman"/>
          <w:color w:val="000000" w:themeColor="text1"/>
          <w:sz w:val="24"/>
          <w:szCs w:val="24"/>
        </w:rPr>
        <w:t xml:space="preserve">zákona </w:t>
      </w:r>
      <w:r w:rsidR="00545BC2">
        <w:rPr>
          <w:rFonts w:cs="Times New Roman"/>
          <w:color w:val="000000" w:themeColor="text1"/>
          <w:sz w:val="24"/>
          <w:szCs w:val="24"/>
        </w:rPr>
        <w:t>o rozpočtových pravidlách</w:t>
      </w:r>
      <w:r w:rsidRPr="001206B5">
        <w:rPr>
          <w:sz w:val="24"/>
          <w:szCs w:val="24"/>
        </w:rPr>
        <w:t xml:space="preserve"> sa povolilo prekročenie limitu kapitálových výdavkov z predchádzajúcich rokov v sume 1 024 tis. eur na p</w:t>
      </w:r>
      <w:r>
        <w:rPr>
          <w:sz w:val="24"/>
          <w:szCs w:val="24"/>
        </w:rPr>
        <w:t>oužitie v roku 2022. Kapitola Úrad vlády</w:t>
      </w:r>
      <w:r w:rsidRPr="001206B5">
        <w:rPr>
          <w:sz w:val="24"/>
          <w:szCs w:val="24"/>
        </w:rPr>
        <w:t xml:space="preserve"> SR viazala na konci roka 2022 na základe oznámenia podľa § 8 ods. 6 </w:t>
      </w:r>
      <w:r w:rsidR="00545BC2" w:rsidRPr="00F42FB3">
        <w:rPr>
          <w:rFonts w:cs="Times New Roman"/>
          <w:color w:val="000000" w:themeColor="text1"/>
          <w:sz w:val="24"/>
          <w:szCs w:val="24"/>
        </w:rPr>
        <w:t xml:space="preserve">zákona </w:t>
      </w:r>
      <w:r w:rsidR="00545BC2">
        <w:rPr>
          <w:rFonts w:cs="Times New Roman"/>
          <w:color w:val="000000" w:themeColor="text1"/>
          <w:sz w:val="24"/>
          <w:szCs w:val="24"/>
        </w:rPr>
        <w:t>o rozpočtových pravidlách</w:t>
      </w:r>
      <w:r w:rsidR="00545BC2" w:rsidRPr="001206B5">
        <w:rPr>
          <w:sz w:val="24"/>
          <w:szCs w:val="24"/>
        </w:rPr>
        <w:t xml:space="preserve"> </w:t>
      </w:r>
      <w:r w:rsidRPr="001206B5">
        <w:rPr>
          <w:sz w:val="24"/>
          <w:szCs w:val="24"/>
        </w:rPr>
        <w:t xml:space="preserve">rozpočtové prostriedky na rezerve predsedu vlády v sume 527 tis. eur na účely použitia týchto výdavkov v nasledujúcom rozpočtovom roku. </w:t>
      </w:r>
    </w:p>
    <w:p w14:paraId="0AD2D38A" w14:textId="77777777" w:rsidR="004C3312" w:rsidRPr="001206B5" w:rsidRDefault="004C3312" w:rsidP="004C3312">
      <w:pPr>
        <w:spacing w:line="240" w:lineRule="auto"/>
        <w:rPr>
          <w:sz w:val="24"/>
          <w:szCs w:val="24"/>
        </w:rPr>
      </w:pPr>
      <w:r w:rsidRPr="001206B5">
        <w:rPr>
          <w:sz w:val="24"/>
          <w:szCs w:val="24"/>
        </w:rPr>
        <w:t>K 31. 12. 2022 predstavoval upravený rozpočet n</w:t>
      </w:r>
      <w:r>
        <w:rPr>
          <w:sz w:val="24"/>
          <w:szCs w:val="24"/>
        </w:rPr>
        <w:t>a rezerve predsedu vlády</w:t>
      </w:r>
      <w:r>
        <w:rPr>
          <w:rStyle w:val="Odkaznapoznmkupodiarou"/>
          <w:sz w:val="24"/>
          <w:szCs w:val="24"/>
        </w:rPr>
        <w:footnoteReference w:id="33"/>
      </w:r>
      <w:r>
        <w:rPr>
          <w:sz w:val="24"/>
          <w:szCs w:val="24"/>
        </w:rPr>
        <w:t xml:space="preserve"> sumu 2 </w:t>
      </w:r>
      <w:r w:rsidRPr="001206B5">
        <w:rPr>
          <w:sz w:val="24"/>
          <w:szCs w:val="24"/>
        </w:rPr>
        <w:t>003 tis. eur, z ktorej sa celkovo príjemcom, ktorými boli predovšetkým obce a mestá, občianske združenia, neziskové organizácie, cirkev a náboženské organizácie, poskytla suma 1</w:t>
      </w:r>
      <w:r>
        <w:rPr>
          <w:sz w:val="24"/>
          <w:szCs w:val="24"/>
        </w:rPr>
        <w:t> </w:t>
      </w:r>
      <w:r w:rsidRPr="001206B5">
        <w:rPr>
          <w:sz w:val="24"/>
          <w:szCs w:val="24"/>
        </w:rPr>
        <w:t>942 tis. eur.</w:t>
      </w:r>
    </w:p>
    <w:p w14:paraId="550A04A3" w14:textId="77777777" w:rsidR="004C3312" w:rsidRPr="00CF58A3" w:rsidRDefault="004C3312" w:rsidP="004C3312">
      <w:pPr>
        <w:spacing w:line="240" w:lineRule="auto"/>
        <w:rPr>
          <w:sz w:val="24"/>
          <w:szCs w:val="24"/>
          <w:highlight w:val="yellow"/>
        </w:rPr>
      </w:pPr>
      <w:r>
        <w:rPr>
          <w:sz w:val="24"/>
          <w:szCs w:val="24"/>
        </w:rPr>
        <w:t>Rozdiel v sume 61 </w:t>
      </w:r>
      <w:r w:rsidRPr="001206B5">
        <w:rPr>
          <w:sz w:val="24"/>
          <w:szCs w:val="24"/>
        </w:rPr>
        <w:t>tis. eur oproti upravenému rozpočtu predstavujú nevyčerpané výdavky z dôvodu vrátených dotácií, resp. časti dotácií, poskytnutých v roku 2022 a z dôvodu neuzavretia zmluvy o poskytnutí dotácie, resp. nevyčerpania dotácie v plnej výške.</w:t>
      </w:r>
    </w:p>
    <w:p w14:paraId="7C60C132" w14:textId="77777777" w:rsidR="004C3312" w:rsidRPr="006D197B" w:rsidRDefault="004C3312" w:rsidP="004C3312">
      <w:pPr>
        <w:spacing w:line="240" w:lineRule="auto"/>
        <w:rPr>
          <w:b/>
          <w:sz w:val="24"/>
          <w:szCs w:val="24"/>
        </w:rPr>
      </w:pPr>
      <w:r w:rsidRPr="006D197B">
        <w:rPr>
          <w:b/>
          <w:sz w:val="24"/>
          <w:szCs w:val="24"/>
        </w:rPr>
        <w:t>Rezerva na prostriedky EÚ a odvody EÚ</w:t>
      </w:r>
    </w:p>
    <w:p w14:paraId="26E08F28" w14:textId="268C1CF8" w:rsidR="004C3312" w:rsidRDefault="004C3312" w:rsidP="004C3312">
      <w:pPr>
        <w:spacing w:line="240" w:lineRule="auto"/>
        <w:rPr>
          <w:sz w:val="24"/>
          <w:szCs w:val="24"/>
        </w:rPr>
      </w:pPr>
      <w:r w:rsidRPr="007C20AE">
        <w:rPr>
          <w:sz w:val="24"/>
          <w:szCs w:val="24"/>
        </w:rPr>
        <w:t>Rezerva na prostriedky Európskej únie a odvody Európskej ún</w:t>
      </w:r>
      <w:r w:rsidR="00D535B1">
        <w:rPr>
          <w:sz w:val="24"/>
          <w:szCs w:val="24"/>
        </w:rPr>
        <w:t>ii bola schválená v sume 483 191</w:t>
      </w:r>
      <w:r w:rsidRPr="007C20AE">
        <w:rPr>
          <w:sz w:val="24"/>
          <w:szCs w:val="24"/>
        </w:rPr>
        <w:t> tis. eur.</w:t>
      </w:r>
      <w:r w:rsidRPr="007C20AE">
        <w:t xml:space="preserve"> </w:t>
      </w:r>
      <w:r w:rsidRPr="007C20AE">
        <w:rPr>
          <w:sz w:val="24"/>
          <w:szCs w:val="24"/>
        </w:rPr>
        <w:t xml:space="preserve">Podľa § 8 ods. 6 </w:t>
      </w:r>
      <w:r w:rsidR="00545BC2" w:rsidRPr="00F42FB3">
        <w:rPr>
          <w:rFonts w:cs="Times New Roman"/>
          <w:color w:val="000000" w:themeColor="text1"/>
          <w:sz w:val="24"/>
          <w:szCs w:val="24"/>
        </w:rPr>
        <w:t xml:space="preserve">zákona </w:t>
      </w:r>
      <w:r w:rsidR="00545BC2">
        <w:rPr>
          <w:rFonts w:cs="Times New Roman"/>
          <w:color w:val="000000" w:themeColor="text1"/>
          <w:sz w:val="24"/>
          <w:szCs w:val="24"/>
        </w:rPr>
        <w:t>o rozpočtových pravidlách</w:t>
      </w:r>
      <w:r w:rsidRPr="007C20AE">
        <w:rPr>
          <w:sz w:val="24"/>
          <w:szCs w:val="24"/>
        </w:rPr>
        <w:t xml:space="preserve"> sa povolilo prekročenie limitu výdavkov z pr</w:t>
      </w:r>
      <w:r>
        <w:rPr>
          <w:sz w:val="24"/>
          <w:szCs w:val="24"/>
        </w:rPr>
        <w:t>edchádzajúcich rokov v sume 133</w:t>
      </w:r>
      <w:r w:rsidR="00274C54">
        <w:rPr>
          <w:sz w:val="24"/>
          <w:szCs w:val="24"/>
        </w:rPr>
        <w:t> 805 tis. </w:t>
      </w:r>
      <w:r w:rsidRPr="007C20AE">
        <w:rPr>
          <w:sz w:val="24"/>
          <w:szCs w:val="24"/>
        </w:rPr>
        <w:t>eur.</w:t>
      </w:r>
      <w:r w:rsidRPr="00E30764">
        <w:t xml:space="preserve"> </w:t>
      </w:r>
      <w:r w:rsidRPr="00E30764">
        <w:rPr>
          <w:sz w:val="24"/>
          <w:szCs w:val="24"/>
        </w:rPr>
        <w:t>Podrobné informácie sú prezentované v</w:t>
      </w:r>
      <w:r w:rsidR="004A2F63">
        <w:rPr>
          <w:sz w:val="24"/>
          <w:szCs w:val="24"/>
        </w:rPr>
        <w:t xml:space="preserve"> nasledovnej </w:t>
      </w:r>
      <w:r w:rsidR="00274C54">
        <w:rPr>
          <w:sz w:val="24"/>
          <w:szCs w:val="24"/>
        </w:rPr>
        <w:t>t</w:t>
      </w:r>
      <w:r w:rsidRPr="00E30764">
        <w:rPr>
          <w:sz w:val="24"/>
          <w:szCs w:val="24"/>
        </w:rPr>
        <w:t>abuľke</w:t>
      </w:r>
      <w:r w:rsidR="004A2F63">
        <w:rPr>
          <w:sz w:val="24"/>
          <w:szCs w:val="24"/>
        </w:rPr>
        <w:t>:</w:t>
      </w:r>
      <w:r>
        <w:rPr>
          <w:sz w:val="24"/>
          <w:szCs w:val="24"/>
        </w:rPr>
        <w:t xml:space="preserve"> </w:t>
      </w:r>
    </w:p>
    <w:tbl>
      <w:tblPr>
        <w:tblW w:w="9072" w:type="dxa"/>
        <w:tblCellMar>
          <w:left w:w="70" w:type="dxa"/>
          <w:right w:w="70" w:type="dxa"/>
        </w:tblCellMar>
        <w:tblLook w:val="04A0" w:firstRow="1" w:lastRow="0" w:firstColumn="1" w:lastColumn="0" w:noHBand="0" w:noVBand="1"/>
      </w:tblPr>
      <w:tblGrid>
        <w:gridCol w:w="1309"/>
        <w:gridCol w:w="6167"/>
        <w:gridCol w:w="1596"/>
      </w:tblGrid>
      <w:tr w:rsidR="004C3312" w:rsidRPr="00E30764" w14:paraId="6ED4A362" w14:textId="77777777" w:rsidTr="004C3312">
        <w:trPr>
          <w:trHeight w:val="375"/>
        </w:trPr>
        <w:tc>
          <w:tcPr>
            <w:tcW w:w="7476" w:type="dxa"/>
            <w:gridSpan w:val="2"/>
            <w:tcBorders>
              <w:top w:val="nil"/>
              <w:left w:val="nil"/>
              <w:bottom w:val="single" w:sz="4" w:space="0" w:color="auto"/>
              <w:right w:val="nil"/>
            </w:tcBorders>
            <w:shd w:val="clear" w:color="auto" w:fill="auto"/>
            <w:noWrap/>
            <w:vAlign w:val="center"/>
            <w:hideMark/>
          </w:tcPr>
          <w:p w14:paraId="0FE0ABE7" w14:textId="12FEE31A" w:rsidR="004C3312" w:rsidRPr="00E30764" w:rsidRDefault="001656EA" w:rsidP="00507DFC">
            <w:pPr>
              <w:spacing w:after="0" w:line="240" w:lineRule="auto"/>
              <w:jc w:val="left"/>
              <w:rPr>
                <w:rFonts w:eastAsia="Times New Roman" w:cs="Times New Roman"/>
                <w:b/>
                <w:bCs/>
                <w:color w:val="5B9BD5" w:themeColor="accent1"/>
                <w:sz w:val="20"/>
                <w:szCs w:val="20"/>
                <w:lang w:eastAsia="sk-SK"/>
              </w:rPr>
            </w:pPr>
            <w:r>
              <w:rPr>
                <w:rFonts w:eastAsia="Times New Roman" w:cs="Times New Roman"/>
                <w:b/>
                <w:bCs/>
                <w:color w:val="5B9BD5" w:themeColor="accent1"/>
                <w:sz w:val="20"/>
                <w:szCs w:val="20"/>
                <w:lang w:eastAsia="sk-SK"/>
              </w:rPr>
              <w:t>Tabuľka 5</w:t>
            </w:r>
            <w:r w:rsidR="00507DFC">
              <w:rPr>
                <w:rFonts w:eastAsia="Times New Roman" w:cs="Times New Roman"/>
                <w:b/>
                <w:bCs/>
                <w:color w:val="5B9BD5" w:themeColor="accent1"/>
                <w:sz w:val="20"/>
                <w:szCs w:val="20"/>
                <w:lang w:eastAsia="sk-SK"/>
              </w:rPr>
              <w:t>3</w:t>
            </w:r>
            <w:r w:rsidR="004C3312" w:rsidRPr="00E30764">
              <w:rPr>
                <w:rFonts w:eastAsia="Times New Roman" w:cs="Times New Roman"/>
                <w:b/>
                <w:bCs/>
                <w:color w:val="5B9BD5" w:themeColor="accent1"/>
                <w:sz w:val="20"/>
                <w:szCs w:val="20"/>
                <w:lang w:eastAsia="sk-SK"/>
              </w:rPr>
              <w:t xml:space="preserve"> - Rezerva na prostriedky Európskej únie a odvody Európskej únií</w:t>
            </w:r>
          </w:p>
        </w:tc>
        <w:tc>
          <w:tcPr>
            <w:tcW w:w="1596" w:type="dxa"/>
            <w:tcBorders>
              <w:top w:val="nil"/>
              <w:left w:val="nil"/>
              <w:bottom w:val="nil"/>
              <w:right w:val="nil"/>
            </w:tcBorders>
            <w:shd w:val="clear" w:color="auto" w:fill="auto"/>
            <w:noWrap/>
            <w:vAlign w:val="center"/>
            <w:hideMark/>
          </w:tcPr>
          <w:p w14:paraId="392F8380" w14:textId="77777777" w:rsidR="004C3312" w:rsidRPr="00E30764" w:rsidRDefault="004C3312" w:rsidP="004C3312">
            <w:pPr>
              <w:spacing w:after="0" w:line="240" w:lineRule="auto"/>
              <w:jc w:val="right"/>
              <w:rPr>
                <w:rFonts w:eastAsia="Times New Roman" w:cs="Times New Roman"/>
                <w:color w:val="000000"/>
                <w:sz w:val="16"/>
                <w:szCs w:val="16"/>
                <w:lang w:eastAsia="sk-SK"/>
              </w:rPr>
            </w:pPr>
          </w:p>
        </w:tc>
      </w:tr>
      <w:tr w:rsidR="004C3312" w:rsidRPr="00E30764" w14:paraId="4C56B385" w14:textId="77777777" w:rsidTr="004C3312">
        <w:trPr>
          <w:trHeight w:val="375"/>
        </w:trPr>
        <w:tc>
          <w:tcPr>
            <w:tcW w:w="1309" w:type="dxa"/>
            <w:tcBorders>
              <w:top w:val="nil"/>
              <w:left w:val="nil"/>
              <w:bottom w:val="single" w:sz="4" w:space="0" w:color="auto"/>
              <w:right w:val="nil"/>
            </w:tcBorders>
            <w:shd w:val="clear" w:color="auto" w:fill="auto"/>
            <w:noWrap/>
            <w:vAlign w:val="center"/>
            <w:hideMark/>
          </w:tcPr>
          <w:p w14:paraId="6E8CD74B" w14:textId="77777777" w:rsidR="004C3312" w:rsidRPr="00E30764" w:rsidRDefault="004C3312" w:rsidP="004C3312">
            <w:pPr>
              <w:spacing w:after="0" w:line="240" w:lineRule="auto"/>
              <w:jc w:val="center"/>
              <w:rPr>
                <w:rFonts w:eastAsia="Times New Roman" w:cs="Times New Roman"/>
                <w:b/>
                <w:bCs/>
                <w:sz w:val="16"/>
                <w:szCs w:val="16"/>
                <w:lang w:eastAsia="sk-SK"/>
              </w:rPr>
            </w:pPr>
            <w:r w:rsidRPr="00E30764">
              <w:rPr>
                <w:rFonts w:eastAsia="Times New Roman" w:cs="Times New Roman"/>
                <w:b/>
                <w:bCs/>
                <w:sz w:val="16"/>
                <w:szCs w:val="16"/>
                <w:lang w:eastAsia="sk-SK"/>
              </w:rPr>
              <w:t xml:space="preserve">Kapitola </w:t>
            </w:r>
          </w:p>
        </w:tc>
        <w:tc>
          <w:tcPr>
            <w:tcW w:w="6167" w:type="dxa"/>
            <w:tcBorders>
              <w:top w:val="nil"/>
              <w:left w:val="nil"/>
              <w:bottom w:val="single" w:sz="4" w:space="0" w:color="auto"/>
              <w:right w:val="nil"/>
            </w:tcBorders>
            <w:shd w:val="clear" w:color="auto" w:fill="auto"/>
            <w:noWrap/>
            <w:vAlign w:val="center"/>
            <w:hideMark/>
          </w:tcPr>
          <w:p w14:paraId="2C2C3948" w14:textId="77777777" w:rsidR="004C3312" w:rsidRPr="00E30764" w:rsidRDefault="004C3312" w:rsidP="004C3312">
            <w:pPr>
              <w:spacing w:after="0" w:line="240" w:lineRule="auto"/>
              <w:jc w:val="center"/>
              <w:rPr>
                <w:rFonts w:eastAsia="Times New Roman" w:cs="Times New Roman"/>
                <w:b/>
                <w:bCs/>
                <w:sz w:val="16"/>
                <w:szCs w:val="16"/>
                <w:lang w:eastAsia="sk-SK"/>
              </w:rPr>
            </w:pPr>
            <w:r w:rsidRPr="00E30764">
              <w:rPr>
                <w:rFonts w:eastAsia="Times New Roman" w:cs="Times New Roman"/>
                <w:b/>
                <w:bCs/>
                <w:sz w:val="16"/>
                <w:szCs w:val="16"/>
                <w:lang w:eastAsia="sk-SK"/>
              </w:rPr>
              <w:t>Účel</w:t>
            </w:r>
          </w:p>
        </w:tc>
        <w:tc>
          <w:tcPr>
            <w:tcW w:w="1596" w:type="dxa"/>
            <w:tcBorders>
              <w:top w:val="single" w:sz="4" w:space="0" w:color="auto"/>
              <w:left w:val="nil"/>
              <w:bottom w:val="single" w:sz="4" w:space="0" w:color="auto"/>
              <w:right w:val="nil"/>
            </w:tcBorders>
            <w:shd w:val="clear" w:color="auto" w:fill="auto"/>
            <w:noWrap/>
            <w:vAlign w:val="center"/>
            <w:hideMark/>
          </w:tcPr>
          <w:p w14:paraId="379E3B53" w14:textId="1D7A8EE3" w:rsidR="004C3312" w:rsidRPr="00E30764" w:rsidRDefault="004C3312" w:rsidP="00274C54">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Suma v tis. eur</w:t>
            </w:r>
          </w:p>
        </w:tc>
      </w:tr>
      <w:tr w:rsidR="004C3312" w:rsidRPr="00E30764" w14:paraId="62721E20" w14:textId="77777777" w:rsidTr="004C3312">
        <w:trPr>
          <w:trHeight w:val="420"/>
        </w:trPr>
        <w:tc>
          <w:tcPr>
            <w:tcW w:w="1309" w:type="dxa"/>
            <w:vMerge w:val="restart"/>
            <w:tcBorders>
              <w:top w:val="nil"/>
              <w:left w:val="nil"/>
              <w:bottom w:val="nil"/>
              <w:right w:val="nil"/>
            </w:tcBorders>
            <w:shd w:val="clear" w:color="auto" w:fill="auto"/>
            <w:vAlign w:val="center"/>
            <w:hideMark/>
          </w:tcPr>
          <w:p w14:paraId="3531E363" w14:textId="77777777" w:rsidR="004C3312" w:rsidRPr="00E30764"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dopravy a výstavby</w:t>
            </w:r>
            <w:r w:rsidRPr="00E30764">
              <w:rPr>
                <w:rFonts w:eastAsia="Times New Roman" w:cs="Times New Roman"/>
                <w:sz w:val="16"/>
                <w:szCs w:val="16"/>
                <w:lang w:eastAsia="sk-SK"/>
              </w:rPr>
              <w:t xml:space="preserve"> SR</w:t>
            </w:r>
          </w:p>
        </w:tc>
        <w:tc>
          <w:tcPr>
            <w:tcW w:w="6167" w:type="dxa"/>
            <w:tcBorders>
              <w:top w:val="nil"/>
              <w:left w:val="nil"/>
              <w:bottom w:val="nil"/>
              <w:right w:val="nil"/>
            </w:tcBorders>
            <w:shd w:val="clear" w:color="auto" w:fill="auto"/>
            <w:vAlign w:val="bottom"/>
            <w:hideMark/>
          </w:tcPr>
          <w:p w14:paraId="55ED2049" w14:textId="77777777" w:rsidR="004C3312" w:rsidRPr="00E30764" w:rsidRDefault="004C3312" w:rsidP="004C3312">
            <w:pPr>
              <w:spacing w:after="0" w:line="240" w:lineRule="auto"/>
              <w:rPr>
                <w:rFonts w:eastAsia="Times New Roman" w:cs="Times New Roman"/>
                <w:sz w:val="16"/>
                <w:szCs w:val="16"/>
                <w:lang w:eastAsia="sk-SK"/>
              </w:rPr>
            </w:pPr>
            <w:r w:rsidRPr="00E30764">
              <w:rPr>
                <w:rFonts w:eastAsia="Times New Roman" w:cs="Times New Roman"/>
                <w:sz w:val="16"/>
                <w:szCs w:val="16"/>
                <w:lang w:eastAsia="sk-SK"/>
              </w:rPr>
              <w:t>Na vysporiadanie systémových nezrovnalostí za Operačný program Integrovaná infraštruktúra a Operačný program Doprava</w:t>
            </w:r>
          </w:p>
        </w:tc>
        <w:tc>
          <w:tcPr>
            <w:tcW w:w="1596" w:type="dxa"/>
            <w:tcBorders>
              <w:top w:val="nil"/>
              <w:left w:val="nil"/>
              <w:bottom w:val="nil"/>
              <w:right w:val="nil"/>
            </w:tcBorders>
            <w:shd w:val="clear" w:color="auto" w:fill="auto"/>
            <w:vAlign w:val="center"/>
            <w:hideMark/>
          </w:tcPr>
          <w:p w14:paraId="04FC69C3"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27 310</w:t>
            </w:r>
          </w:p>
        </w:tc>
      </w:tr>
      <w:tr w:rsidR="004C3312" w:rsidRPr="00E30764" w14:paraId="3C7BE4ED" w14:textId="77777777" w:rsidTr="004C3312">
        <w:trPr>
          <w:trHeight w:val="480"/>
        </w:trPr>
        <w:tc>
          <w:tcPr>
            <w:tcW w:w="1309" w:type="dxa"/>
            <w:vMerge/>
            <w:tcBorders>
              <w:top w:val="nil"/>
              <w:left w:val="nil"/>
              <w:bottom w:val="nil"/>
              <w:right w:val="nil"/>
            </w:tcBorders>
            <w:vAlign w:val="center"/>
            <w:hideMark/>
          </w:tcPr>
          <w:p w14:paraId="4EFAABFB" w14:textId="77777777" w:rsidR="004C3312" w:rsidRPr="00E30764" w:rsidRDefault="004C3312" w:rsidP="004C3312">
            <w:pPr>
              <w:spacing w:after="0" w:line="240" w:lineRule="auto"/>
              <w:jc w:val="left"/>
              <w:rPr>
                <w:rFonts w:eastAsia="Times New Roman" w:cs="Times New Roman"/>
                <w:sz w:val="16"/>
                <w:szCs w:val="16"/>
                <w:lang w:eastAsia="sk-SK"/>
              </w:rPr>
            </w:pPr>
          </w:p>
        </w:tc>
        <w:tc>
          <w:tcPr>
            <w:tcW w:w="6167" w:type="dxa"/>
            <w:tcBorders>
              <w:top w:val="nil"/>
              <w:left w:val="nil"/>
              <w:bottom w:val="nil"/>
              <w:right w:val="nil"/>
            </w:tcBorders>
            <w:shd w:val="clear" w:color="auto" w:fill="auto"/>
            <w:vAlign w:val="bottom"/>
            <w:hideMark/>
          </w:tcPr>
          <w:p w14:paraId="01A4ADC7" w14:textId="77777777" w:rsidR="004C3312" w:rsidRPr="00E30764" w:rsidRDefault="004C3312" w:rsidP="004C3312">
            <w:pPr>
              <w:spacing w:after="0" w:line="240" w:lineRule="auto"/>
              <w:rPr>
                <w:rFonts w:eastAsia="Times New Roman" w:cs="Times New Roman"/>
                <w:sz w:val="16"/>
                <w:szCs w:val="16"/>
                <w:lang w:eastAsia="sk-SK"/>
              </w:rPr>
            </w:pPr>
            <w:r w:rsidRPr="00E30764">
              <w:rPr>
                <w:rFonts w:eastAsia="Times New Roman" w:cs="Times New Roman"/>
                <w:sz w:val="16"/>
                <w:szCs w:val="16"/>
                <w:lang w:eastAsia="sk-SK"/>
              </w:rPr>
              <w:t xml:space="preserve">Na vysporiadanie systémových nezrovnalostí za Operačný program Integrovaná infraštruktúra za </w:t>
            </w:r>
            <w:proofErr w:type="spellStart"/>
            <w:r w:rsidRPr="00E30764">
              <w:rPr>
                <w:rFonts w:eastAsia="Times New Roman" w:cs="Times New Roman"/>
                <w:sz w:val="16"/>
                <w:szCs w:val="16"/>
                <w:lang w:eastAsia="sk-SK"/>
              </w:rPr>
              <w:t>extrapolovanú</w:t>
            </w:r>
            <w:proofErr w:type="spellEnd"/>
            <w:r w:rsidRPr="00E30764">
              <w:rPr>
                <w:rFonts w:eastAsia="Times New Roman" w:cs="Times New Roman"/>
                <w:sz w:val="16"/>
                <w:szCs w:val="16"/>
                <w:lang w:eastAsia="sk-SK"/>
              </w:rPr>
              <w:t xml:space="preserve"> finančnú opravu z auditu Európskej komisie</w:t>
            </w:r>
          </w:p>
        </w:tc>
        <w:tc>
          <w:tcPr>
            <w:tcW w:w="1596" w:type="dxa"/>
            <w:tcBorders>
              <w:top w:val="nil"/>
              <w:left w:val="nil"/>
              <w:bottom w:val="nil"/>
              <w:right w:val="nil"/>
            </w:tcBorders>
            <w:shd w:val="clear" w:color="auto" w:fill="auto"/>
            <w:vAlign w:val="center"/>
            <w:hideMark/>
          </w:tcPr>
          <w:p w14:paraId="25AB6CDB"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13 012</w:t>
            </w:r>
          </w:p>
        </w:tc>
      </w:tr>
      <w:tr w:rsidR="004C3312" w:rsidRPr="00E30764" w14:paraId="04D6080F" w14:textId="77777777" w:rsidTr="004C3312">
        <w:trPr>
          <w:trHeight w:val="375"/>
        </w:trPr>
        <w:tc>
          <w:tcPr>
            <w:tcW w:w="7476" w:type="dxa"/>
            <w:gridSpan w:val="2"/>
            <w:tcBorders>
              <w:top w:val="nil"/>
              <w:left w:val="nil"/>
              <w:bottom w:val="single" w:sz="4" w:space="0" w:color="auto"/>
              <w:right w:val="nil"/>
            </w:tcBorders>
            <w:shd w:val="clear" w:color="auto" w:fill="auto"/>
            <w:vAlign w:val="center"/>
            <w:hideMark/>
          </w:tcPr>
          <w:p w14:paraId="780A357E"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 xml:space="preserve">Spolu </w:t>
            </w:r>
          </w:p>
        </w:tc>
        <w:tc>
          <w:tcPr>
            <w:tcW w:w="1596" w:type="dxa"/>
            <w:tcBorders>
              <w:top w:val="nil"/>
              <w:left w:val="nil"/>
              <w:bottom w:val="single" w:sz="4" w:space="0" w:color="auto"/>
              <w:right w:val="nil"/>
            </w:tcBorders>
            <w:shd w:val="clear" w:color="auto" w:fill="auto"/>
            <w:vAlign w:val="center"/>
            <w:hideMark/>
          </w:tcPr>
          <w:p w14:paraId="3AB31FC1"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40 321</w:t>
            </w:r>
          </w:p>
        </w:tc>
      </w:tr>
      <w:tr w:rsidR="004C3312" w:rsidRPr="00E30764" w14:paraId="59A1B179" w14:textId="77777777" w:rsidTr="004C3312">
        <w:trPr>
          <w:trHeight w:val="435"/>
        </w:trPr>
        <w:tc>
          <w:tcPr>
            <w:tcW w:w="1309" w:type="dxa"/>
            <w:tcBorders>
              <w:top w:val="nil"/>
              <w:left w:val="nil"/>
              <w:bottom w:val="nil"/>
              <w:right w:val="nil"/>
            </w:tcBorders>
            <w:shd w:val="clear" w:color="auto" w:fill="auto"/>
            <w:vAlign w:val="center"/>
            <w:hideMark/>
          </w:tcPr>
          <w:p w14:paraId="21FFCBDE" w14:textId="77777777" w:rsidR="004C3312" w:rsidRPr="00E30764" w:rsidRDefault="004C3312" w:rsidP="004C3312">
            <w:pPr>
              <w:spacing w:after="0" w:line="240" w:lineRule="auto"/>
              <w:jc w:val="left"/>
              <w:rPr>
                <w:rFonts w:eastAsia="Times New Roman" w:cs="Times New Roman"/>
                <w:sz w:val="16"/>
                <w:szCs w:val="16"/>
                <w:lang w:eastAsia="sk-SK"/>
              </w:rPr>
            </w:pPr>
            <w:r w:rsidRPr="00E30764">
              <w:rPr>
                <w:rFonts w:eastAsia="Times New Roman" w:cs="Times New Roman"/>
                <w:sz w:val="16"/>
                <w:szCs w:val="16"/>
                <w:lang w:eastAsia="sk-SK"/>
              </w:rPr>
              <w:t>M</w:t>
            </w:r>
            <w:r>
              <w:rPr>
                <w:rFonts w:eastAsia="Times New Roman" w:cs="Times New Roman"/>
                <w:sz w:val="16"/>
                <w:szCs w:val="16"/>
                <w:lang w:eastAsia="sk-SK"/>
              </w:rPr>
              <w:t>inisterstvo práce, sociálnych vecí a rodiny</w:t>
            </w:r>
            <w:r w:rsidRPr="00E30764">
              <w:rPr>
                <w:rFonts w:eastAsia="Times New Roman" w:cs="Times New Roman"/>
                <w:sz w:val="16"/>
                <w:szCs w:val="16"/>
                <w:lang w:eastAsia="sk-SK"/>
              </w:rPr>
              <w:t xml:space="preserve"> SR</w:t>
            </w:r>
          </w:p>
        </w:tc>
        <w:tc>
          <w:tcPr>
            <w:tcW w:w="6167" w:type="dxa"/>
            <w:tcBorders>
              <w:top w:val="nil"/>
              <w:left w:val="nil"/>
              <w:bottom w:val="nil"/>
              <w:right w:val="nil"/>
            </w:tcBorders>
            <w:shd w:val="clear" w:color="auto" w:fill="auto"/>
            <w:vAlign w:val="bottom"/>
            <w:hideMark/>
          </w:tcPr>
          <w:p w14:paraId="6D3CC1C3" w14:textId="77777777" w:rsidR="004C3312" w:rsidRPr="00E30764" w:rsidRDefault="004C3312" w:rsidP="004C3312">
            <w:pPr>
              <w:spacing w:after="0" w:line="240" w:lineRule="auto"/>
              <w:rPr>
                <w:rFonts w:eastAsia="Times New Roman" w:cs="Times New Roman"/>
                <w:sz w:val="16"/>
                <w:szCs w:val="16"/>
                <w:lang w:eastAsia="sk-SK"/>
              </w:rPr>
            </w:pPr>
            <w:r w:rsidRPr="00E30764">
              <w:rPr>
                <w:rFonts w:eastAsia="Times New Roman" w:cs="Times New Roman"/>
                <w:sz w:val="16"/>
                <w:szCs w:val="16"/>
                <w:lang w:eastAsia="sk-SK"/>
              </w:rPr>
              <w:t>Na vysporiadanie individuálnych a systémových nezrovnalostí za Operačný program Ľudské zdroje za programové obdobie 2014 - 2022</w:t>
            </w:r>
          </w:p>
        </w:tc>
        <w:tc>
          <w:tcPr>
            <w:tcW w:w="1596" w:type="dxa"/>
            <w:tcBorders>
              <w:top w:val="nil"/>
              <w:left w:val="nil"/>
              <w:bottom w:val="nil"/>
              <w:right w:val="nil"/>
            </w:tcBorders>
            <w:shd w:val="clear" w:color="auto" w:fill="auto"/>
            <w:vAlign w:val="center"/>
            <w:hideMark/>
          </w:tcPr>
          <w:p w14:paraId="4EE245EF"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26 675</w:t>
            </w:r>
          </w:p>
        </w:tc>
      </w:tr>
      <w:tr w:rsidR="004C3312" w:rsidRPr="00E30764" w14:paraId="55861A58" w14:textId="77777777" w:rsidTr="004C3312">
        <w:trPr>
          <w:trHeight w:val="375"/>
        </w:trPr>
        <w:tc>
          <w:tcPr>
            <w:tcW w:w="7476" w:type="dxa"/>
            <w:gridSpan w:val="2"/>
            <w:tcBorders>
              <w:top w:val="nil"/>
              <w:left w:val="nil"/>
              <w:bottom w:val="single" w:sz="4" w:space="0" w:color="auto"/>
              <w:right w:val="nil"/>
            </w:tcBorders>
            <w:shd w:val="clear" w:color="auto" w:fill="auto"/>
            <w:vAlign w:val="center"/>
            <w:hideMark/>
          </w:tcPr>
          <w:p w14:paraId="2B224C05"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 xml:space="preserve">Spolu </w:t>
            </w:r>
          </w:p>
        </w:tc>
        <w:tc>
          <w:tcPr>
            <w:tcW w:w="1596" w:type="dxa"/>
            <w:tcBorders>
              <w:top w:val="nil"/>
              <w:left w:val="nil"/>
              <w:bottom w:val="single" w:sz="4" w:space="0" w:color="auto"/>
              <w:right w:val="nil"/>
            </w:tcBorders>
            <w:shd w:val="clear" w:color="auto" w:fill="auto"/>
            <w:vAlign w:val="center"/>
            <w:hideMark/>
          </w:tcPr>
          <w:p w14:paraId="5DCB2638"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26 675</w:t>
            </w:r>
          </w:p>
        </w:tc>
      </w:tr>
      <w:tr w:rsidR="004C3312" w:rsidRPr="00E30764" w14:paraId="4BCA2ACF" w14:textId="77777777" w:rsidTr="004C3312">
        <w:trPr>
          <w:trHeight w:val="609"/>
        </w:trPr>
        <w:tc>
          <w:tcPr>
            <w:tcW w:w="1309" w:type="dxa"/>
            <w:vMerge w:val="restart"/>
            <w:tcBorders>
              <w:top w:val="nil"/>
              <w:left w:val="nil"/>
              <w:bottom w:val="nil"/>
              <w:right w:val="nil"/>
            </w:tcBorders>
            <w:shd w:val="clear" w:color="auto" w:fill="auto"/>
            <w:vAlign w:val="center"/>
            <w:hideMark/>
          </w:tcPr>
          <w:p w14:paraId="14AD804E" w14:textId="77777777" w:rsidR="004C3312" w:rsidRPr="00E30764"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investícií, regionálneho rozvoja a informatizácie</w:t>
            </w:r>
            <w:r w:rsidRPr="00E30764">
              <w:rPr>
                <w:rFonts w:eastAsia="Times New Roman" w:cs="Times New Roman"/>
                <w:sz w:val="16"/>
                <w:szCs w:val="16"/>
                <w:lang w:eastAsia="sk-SK"/>
              </w:rPr>
              <w:t xml:space="preserve"> SR </w:t>
            </w:r>
          </w:p>
        </w:tc>
        <w:tc>
          <w:tcPr>
            <w:tcW w:w="6167" w:type="dxa"/>
            <w:tcBorders>
              <w:top w:val="nil"/>
              <w:left w:val="nil"/>
              <w:bottom w:val="nil"/>
              <w:right w:val="nil"/>
            </w:tcBorders>
            <w:shd w:val="clear" w:color="auto" w:fill="auto"/>
            <w:vAlign w:val="bottom"/>
            <w:hideMark/>
          </w:tcPr>
          <w:p w14:paraId="5F1FFE1C" w14:textId="77777777" w:rsidR="004C3312" w:rsidRPr="00E30764" w:rsidRDefault="004C3312" w:rsidP="004C3312">
            <w:pPr>
              <w:spacing w:after="0" w:line="240" w:lineRule="auto"/>
              <w:rPr>
                <w:rFonts w:eastAsia="Times New Roman" w:cs="Times New Roman"/>
                <w:sz w:val="16"/>
                <w:szCs w:val="16"/>
                <w:lang w:eastAsia="sk-SK"/>
              </w:rPr>
            </w:pPr>
            <w:r w:rsidRPr="00E30764">
              <w:rPr>
                <w:rFonts w:cs="Times New Roman"/>
                <w:sz w:val="16"/>
                <w:szCs w:val="16"/>
              </w:rPr>
              <w:t xml:space="preserve">Na vysporiadanie nezrovnalostí za Integrovaný regionálny operačný program, Operačný program Integrovaná infraštruktúra, </w:t>
            </w:r>
            <w:proofErr w:type="spellStart"/>
            <w:r w:rsidRPr="00E30764">
              <w:rPr>
                <w:rFonts w:cs="Times New Roman"/>
                <w:sz w:val="16"/>
                <w:szCs w:val="16"/>
              </w:rPr>
              <w:t>Interreg</w:t>
            </w:r>
            <w:proofErr w:type="spellEnd"/>
            <w:r w:rsidRPr="00E30764">
              <w:rPr>
                <w:rFonts w:cs="Times New Roman"/>
                <w:sz w:val="16"/>
                <w:szCs w:val="16"/>
              </w:rPr>
              <w:t xml:space="preserve"> V-A SK-AT, Finančný mechanizmus EHP                a Nórsky finančný mechanizmus za programové obdobie 2014 až 2020 </w:t>
            </w:r>
          </w:p>
        </w:tc>
        <w:tc>
          <w:tcPr>
            <w:tcW w:w="1596" w:type="dxa"/>
            <w:tcBorders>
              <w:top w:val="nil"/>
              <w:left w:val="nil"/>
              <w:bottom w:val="nil"/>
              <w:right w:val="nil"/>
            </w:tcBorders>
            <w:shd w:val="clear" w:color="auto" w:fill="auto"/>
            <w:vAlign w:val="center"/>
            <w:hideMark/>
          </w:tcPr>
          <w:p w14:paraId="696466D7"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20 828</w:t>
            </w:r>
          </w:p>
        </w:tc>
      </w:tr>
      <w:tr w:rsidR="004C3312" w:rsidRPr="00E30764" w14:paraId="3B8CBDC6" w14:textId="77777777" w:rsidTr="004C3312">
        <w:trPr>
          <w:trHeight w:val="429"/>
        </w:trPr>
        <w:tc>
          <w:tcPr>
            <w:tcW w:w="1309" w:type="dxa"/>
            <w:vMerge/>
            <w:tcBorders>
              <w:top w:val="nil"/>
              <w:left w:val="nil"/>
              <w:bottom w:val="nil"/>
              <w:right w:val="nil"/>
            </w:tcBorders>
            <w:vAlign w:val="center"/>
            <w:hideMark/>
          </w:tcPr>
          <w:p w14:paraId="25D925D6" w14:textId="77777777" w:rsidR="004C3312" w:rsidRPr="00E30764" w:rsidRDefault="004C3312" w:rsidP="004C3312">
            <w:pPr>
              <w:spacing w:after="0" w:line="240" w:lineRule="auto"/>
              <w:jc w:val="left"/>
              <w:rPr>
                <w:rFonts w:eastAsia="Times New Roman" w:cs="Times New Roman"/>
                <w:sz w:val="16"/>
                <w:szCs w:val="16"/>
                <w:lang w:eastAsia="sk-SK"/>
              </w:rPr>
            </w:pPr>
          </w:p>
        </w:tc>
        <w:tc>
          <w:tcPr>
            <w:tcW w:w="6167" w:type="dxa"/>
            <w:tcBorders>
              <w:top w:val="nil"/>
              <w:left w:val="nil"/>
              <w:bottom w:val="nil"/>
              <w:right w:val="nil"/>
            </w:tcBorders>
            <w:shd w:val="clear" w:color="auto" w:fill="auto"/>
            <w:vAlign w:val="bottom"/>
            <w:hideMark/>
          </w:tcPr>
          <w:p w14:paraId="168D4608" w14:textId="77777777" w:rsidR="004C3312" w:rsidRPr="00E30764" w:rsidRDefault="004C3312" w:rsidP="004C3312">
            <w:pPr>
              <w:spacing w:after="0" w:line="240" w:lineRule="auto"/>
              <w:rPr>
                <w:rFonts w:eastAsia="Times New Roman" w:cs="Times New Roman"/>
                <w:sz w:val="16"/>
                <w:szCs w:val="16"/>
                <w:lang w:eastAsia="sk-SK"/>
              </w:rPr>
            </w:pPr>
            <w:r w:rsidRPr="00E30764">
              <w:rPr>
                <w:rFonts w:cs="Times New Roman"/>
                <w:sz w:val="16"/>
                <w:szCs w:val="16"/>
              </w:rPr>
              <w:t>Na kartelovú korekciu za Integrovaný regionálny operačný program a na vysporiadanie nezrovnalostí v programe V-A SK-CZ</w:t>
            </w:r>
          </w:p>
        </w:tc>
        <w:tc>
          <w:tcPr>
            <w:tcW w:w="1596" w:type="dxa"/>
            <w:tcBorders>
              <w:top w:val="nil"/>
              <w:left w:val="nil"/>
              <w:bottom w:val="nil"/>
              <w:right w:val="nil"/>
            </w:tcBorders>
            <w:shd w:val="clear" w:color="auto" w:fill="auto"/>
            <w:vAlign w:val="center"/>
            <w:hideMark/>
          </w:tcPr>
          <w:p w14:paraId="44C458BA"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1 987</w:t>
            </w:r>
          </w:p>
        </w:tc>
      </w:tr>
      <w:tr w:rsidR="004C3312" w:rsidRPr="00E30764" w14:paraId="58DD3461" w14:textId="77777777" w:rsidTr="004C3312">
        <w:trPr>
          <w:trHeight w:val="480"/>
        </w:trPr>
        <w:tc>
          <w:tcPr>
            <w:tcW w:w="1309" w:type="dxa"/>
            <w:vMerge/>
            <w:tcBorders>
              <w:top w:val="nil"/>
              <w:left w:val="nil"/>
              <w:bottom w:val="nil"/>
              <w:right w:val="nil"/>
            </w:tcBorders>
            <w:vAlign w:val="center"/>
            <w:hideMark/>
          </w:tcPr>
          <w:p w14:paraId="2159257B" w14:textId="77777777" w:rsidR="004C3312" w:rsidRPr="00E30764" w:rsidRDefault="004C3312" w:rsidP="004C3312">
            <w:pPr>
              <w:spacing w:after="0" w:line="240" w:lineRule="auto"/>
              <w:jc w:val="left"/>
              <w:rPr>
                <w:rFonts w:eastAsia="Times New Roman" w:cs="Times New Roman"/>
                <w:sz w:val="16"/>
                <w:szCs w:val="16"/>
                <w:lang w:eastAsia="sk-SK"/>
              </w:rPr>
            </w:pPr>
          </w:p>
        </w:tc>
        <w:tc>
          <w:tcPr>
            <w:tcW w:w="6167" w:type="dxa"/>
            <w:tcBorders>
              <w:top w:val="nil"/>
              <w:left w:val="nil"/>
              <w:bottom w:val="nil"/>
              <w:right w:val="nil"/>
            </w:tcBorders>
            <w:shd w:val="clear" w:color="auto" w:fill="auto"/>
            <w:vAlign w:val="bottom"/>
            <w:hideMark/>
          </w:tcPr>
          <w:p w14:paraId="73FF9D46" w14:textId="77777777" w:rsidR="004C3312" w:rsidRPr="00E30764" w:rsidRDefault="004C3312" w:rsidP="004C3312">
            <w:pPr>
              <w:spacing w:after="0" w:line="240" w:lineRule="auto"/>
              <w:rPr>
                <w:rFonts w:eastAsia="Times New Roman" w:cs="Times New Roman"/>
                <w:sz w:val="16"/>
                <w:szCs w:val="16"/>
                <w:lang w:eastAsia="sk-SK"/>
              </w:rPr>
            </w:pPr>
            <w:r w:rsidRPr="00E30764">
              <w:rPr>
                <w:rFonts w:cs="Times New Roman"/>
                <w:sz w:val="16"/>
                <w:szCs w:val="16"/>
              </w:rPr>
              <w:t>Na vysporiadanie nezrovnalostí za Operačný program Bratislavský kraj a Regionálny operačný program za programové obdobie 2007 až 2013</w:t>
            </w:r>
          </w:p>
        </w:tc>
        <w:tc>
          <w:tcPr>
            <w:tcW w:w="1596" w:type="dxa"/>
            <w:tcBorders>
              <w:top w:val="nil"/>
              <w:left w:val="nil"/>
              <w:bottom w:val="nil"/>
              <w:right w:val="nil"/>
            </w:tcBorders>
            <w:shd w:val="clear" w:color="auto" w:fill="auto"/>
            <w:vAlign w:val="center"/>
            <w:hideMark/>
          </w:tcPr>
          <w:p w14:paraId="30416C1C"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658</w:t>
            </w:r>
          </w:p>
        </w:tc>
      </w:tr>
      <w:tr w:rsidR="004C3312" w:rsidRPr="00E30764" w14:paraId="1120E68A" w14:textId="77777777" w:rsidTr="004C3312">
        <w:trPr>
          <w:trHeight w:val="375"/>
        </w:trPr>
        <w:tc>
          <w:tcPr>
            <w:tcW w:w="7476" w:type="dxa"/>
            <w:gridSpan w:val="2"/>
            <w:tcBorders>
              <w:top w:val="nil"/>
              <w:left w:val="nil"/>
              <w:bottom w:val="single" w:sz="4" w:space="0" w:color="auto"/>
              <w:right w:val="nil"/>
            </w:tcBorders>
            <w:shd w:val="clear" w:color="auto" w:fill="auto"/>
            <w:vAlign w:val="center"/>
            <w:hideMark/>
          </w:tcPr>
          <w:p w14:paraId="392F4EA5"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 xml:space="preserve">Spolu </w:t>
            </w:r>
          </w:p>
        </w:tc>
        <w:tc>
          <w:tcPr>
            <w:tcW w:w="1596" w:type="dxa"/>
            <w:tcBorders>
              <w:top w:val="nil"/>
              <w:left w:val="nil"/>
              <w:bottom w:val="single" w:sz="4" w:space="0" w:color="auto"/>
              <w:right w:val="nil"/>
            </w:tcBorders>
            <w:shd w:val="clear" w:color="auto" w:fill="auto"/>
            <w:vAlign w:val="center"/>
            <w:hideMark/>
          </w:tcPr>
          <w:p w14:paraId="66E8EEE0"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23 473</w:t>
            </w:r>
          </w:p>
        </w:tc>
      </w:tr>
      <w:tr w:rsidR="004C3312" w:rsidRPr="00E30764" w14:paraId="17C508CD" w14:textId="77777777" w:rsidTr="004C3312">
        <w:trPr>
          <w:trHeight w:val="450"/>
        </w:trPr>
        <w:tc>
          <w:tcPr>
            <w:tcW w:w="1309" w:type="dxa"/>
            <w:tcBorders>
              <w:top w:val="nil"/>
              <w:left w:val="nil"/>
              <w:bottom w:val="nil"/>
              <w:right w:val="nil"/>
            </w:tcBorders>
            <w:shd w:val="clear" w:color="auto" w:fill="auto"/>
            <w:vAlign w:val="center"/>
            <w:hideMark/>
          </w:tcPr>
          <w:p w14:paraId="3638E379" w14:textId="77777777" w:rsidR="004C3312" w:rsidRPr="00E30764"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vnútra</w:t>
            </w:r>
            <w:r w:rsidRPr="00E30764">
              <w:rPr>
                <w:rFonts w:eastAsia="Times New Roman" w:cs="Times New Roman"/>
                <w:color w:val="000000"/>
                <w:sz w:val="16"/>
                <w:szCs w:val="16"/>
                <w:lang w:eastAsia="sk-SK"/>
              </w:rPr>
              <w:t xml:space="preserve"> SR </w:t>
            </w:r>
          </w:p>
        </w:tc>
        <w:tc>
          <w:tcPr>
            <w:tcW w:w="6167" w:type="dxa"/>
            <w:tcBorders>
              <w:top w:val="nil"/>
              <w:left w:val="nil"/>
              <w:bottom w:val="nil"/>
              <w:right w:val="nil"/>
            </w:tcBorders>
            <w:shd w:val="clear" w:color="auto" w:fill="auto"/>
            <w:vAlign w:val="bottom"/>
            <w:hideMark/>
          </w:tcPr>
          <w:p w14:paraId="3F7B5A4B" w14:textId="77777777" w:rsidR="004C3312" w:rsidRPr="00E30764" w:rsidRDefault="004C3312" w:rsidP="004C3312">
            <w:pPr>
              <w:spacing w:after="0" w:line="240" w:lineRule="auto"/>
              <w:rPr>
                <w:rFonts w:eastAsia="Times New Roman" w:cs="Times New Roman"/>
                <w:sz w:val="16"/>
                <w:szCs w:val="16"/>
                <w:lang w:eastAsia="sk-SK"/>
              </w:rPr>
            </w:pPr>
            <w:r w:rsidRPr="00E30764">
              <w:rPr>
                <w:rFonts w:eastAsia="Times New Roman" w:cs="Times New Roman"/>
                <w:sz w:val="16"/>
                <w:szCs w:val="16"/>
                <w:lang w:eastAsia="sk-SK"/>
              </w:rPr>
              <w:t xml:space="preserve">Na vysporiadanie nezrovnalostí v rámci projektu IS Identifikátora fyzických osôb </w:t>
            </w:r>
            <w:r w:rsidRPr="00E30764">
              <w:rPr>
                <w:rFonts w:eastAsia="Times New Roman" w:cs="Times New Roman"/>
                <w:sz w:val="16"/>
                <w:szCs w:val="16"/>
                <w:lang w:eastAsia="sk-SK"/>
              </w:rPr>
              <w:br/>
              <w:t>za programové obdobie 2014 až 2020</w:t>
            </w:r>
          </w:p>
        </w:tc>
        <w:tc>
          <w:tcPr>
            <w:tcW w:w="1596" w:type="dxa"/>
            <w:tcBorders>
              <w:top w:val="nil"/>
              <w:left w:val="nil"/>
              <w:bottom w:val="nil"/>
              <w:right w:val="nil"/>
            </w:tcBorders>
            <w:shd w:val="clear" w:color="auto" w:fill="auto"/>
            <w:vAlign w:val="center"/>
            <w:hideMark/>
          </w:tcPr>
          <w:p w14:paraId="7A43D811"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11 119</w:t>
            </w:r>
          </w:p>
        </w:tc>
      </w:tr>
      <w:tr w:rsidR="004C3312" w:rsidRPr="00E30764" w14:paraId="7F886963" w14:textId="77777777" w:rsidTr="004C3312">
        <w:trPr>
          <w:trHeight w:val="375"/>
        </w:trPr>
        <w:tc>
          <w:tcPr>
            <w:tcW w:w="7476" w:type="dxa"/>
            <w:gridSpan w:val="2"/>
            <w:tcBorders>
              <w:top w:val="nil"/>
              <w:left w:val="nil"/>
              <w:bottom w:val="single" w:sz="4" w:space="0" w:color="auto"/>
              <w:right w:val="nil"/>
            </w:tcBorders>
            <w:shd w:val="clear" w:color="auto" w:fill="auto"/>
            <w:vAlign w:val="center"/>
            <w:hideMark/>
          </w:tcPr>
          <w:p w14:paraId="7CEF676D" w14:textId="77777777" w:rsidR="004C3312" w:rsidRPr="00E30764" w:rsidRDefault="004C3312" w:rsidP="004C3312">
            <w:pPr>
              <w:spacing w:after="0" w:line="240" w:lineRule="auto"/>
              <w:jc w:val="right"/>
              <w:rPr>
                <w:rFonts w:eastAsia="Times New Roman" w:cs="Times New Roman"/>
                <w:b/>
                <w:bCs/>
                <w:color w:val="000000"/>
                <w:sz w:val="16"/>
                <w:szCs w:val="16"/>
                <w:lang w:eastAsia="sk-SK"/>
              </w:rPr>
            </w:pPr>
            <w:r w:rsidRPr="00E30764">
              <w:rPr>
                <w:rFonts w:eastAsia="Times New Roman" w:cs="Times New Roman"/>
                <w:b/>
                <w:bCs/>
                <w:color w:val="000000"/>
                <w:sz w:val="16"/>
                <w:szCs w:val="16"/>
                <w:lang w:eastAsia="sk-SK"/>
              </w:rPr>
              <w:t>Spolu</w:t>
            </w:r>
          </w:p>
        </w:tc>
        <w:tc>
          <w:tcPr>
            <w:tcW w:w="1596" w:type="dxa"/>
            <w:tcBorders>
              <w:top w:val="nil"/>
              <w:left w:val="nil"/>
              <w:bottom w:val="single" w:sz="4" w:space="0" w:color="auto"/>
              <w:right w:val="nil"/>
            </w:tcBorders>
            <w:shd w:val="clear" w:color="auto" w:fill="auto"/>
            <w:vAlign w:val="center"/>
            <w:hideMark/>
          </w:tcPr>
          <w:p w14:paraId="075FC154"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11 119</w:t>
            </w:r>
          </w:p>
        </w:tc>
      </w:tr>
      <w:tr w:rsidR="004C3312" w:rsidRPr="00E30764" w14:paraId="7F8855A7" w14:textId="77777777" w:rsidTr="004C3312">
        <w:trPr>
          <w:trHeight w:val="320"/>
        </w:trPr>
        <w:tc>
          <w:tcPr>
            <w:tcW w:w="1309" w:type="dxa"/>
            <w:tcBorders>
              <w:top w:val="nil"/>
              <w:left w:val="nil"/>
              <w:bottom w:val="nil"/>
              <w:right w:val="nil"/>
            </w:tcBorders>
            <w:shd w:val="clear" w:color="auto" w:fill="auto"/>
            <w:vAlign w:val="center"/>
            <w:hideMark/>
          </w:tcPr>
          <w:p w14:paraId="2F3FEBCF" w14:textId="77777777" w:rsidR="004C3312" w:rsidRPr="00E30764"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Slovenská informačná služba</w:t>
            </w:r>
          </w:p>
        </w:tc>
        <w:tc>
          <w:tcPr>
            <w:tcW w:w="6167" w:type="dxa"/>
            <w:tcBorders>
              <w:top w:val="nil"/>
              <w:left w:val="nil"/>
              <w:bottom w:val="nil"/>
              <w:right w:val="nil"/>
            </w:tcBorders>
            <w:shd w:val="clear" w:color="auto" w:fill="auto"/>
            <w:vAlign w:val="bottom"/>
            <w:hideMark/>
          </w:tcPr>
          <w:p w14:paraId="42462CF4" w14:textId="77777777" w:rsidR="004C3312" w:rsidRPr="00E30764" w:rsidRDefault="004C3312" w:rsidP="004C3312">
            <w:pPr>
              <w:spacing w:after="0" w:line="240" w:lineRule="auto"/>
              <w:rPr>
                <w:rFonts w:eastAsia="Times New Roman" w:cs="Times New Roman"/>
                <w:sz w:val="16"/>
                <w:szCs w:val="16"/>
                <w:lang w:eastAsia="sk-SK"/>
              </w:rPr>
            </w:pPr>
            <w:r w:rsidRPr="00E30764">
              <w:rPr>
                <w:rFonts w:eastAsia="Times New Roman" w:cs="Times New Roman"/>
                <w:sz w:val="16"/>
                <w:szCs w:val="16"/>
                <w:lang w:eastAsia="sk-SK"/>
              </w:rPr>
              <w:t>Na vysporiadanie nezrovnalostí</w:t>
            </w:r>
          </w:p>
        </w:tc>
        <w:tc>
          <w:tcPr>
            <w:tcW w:w="1596" w:type="dxa"/>
            <w:tcBorders>
              <w:top w:val="nil"/>
              <w:left w:val="nil"/>
              <w:bottom w:val="nil"/>
              <w:right w:val="nil"/>
            </w:tcBorders>
            <w:shd w:val="clear" w:color="auto" w:fill="auto"/>
            <w:vAlign w:val="center"/>
            <w:hideMark/>
          </w:tcPr>
          <w:p w14:paraId="193774CB"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3 773</w:t>
            </w:r>
          </w:p>
        </w:tc>
      </w:tr>
      <w:tr w:rsidR="004C3312" w:rsidRPr="00E30764" w14:paraId="07AB2599" w14:textId="77777777" w:rsidTr="004C3312">
        <w:trPr>
          <w:trHeight w:val="375"/>
        </w:trPr>
        <w:tc>
          <w:tcPr>
            <w:tcW w:w="7476" w:type="dxa"/>
            <w:gridSpan w:val="2"/>
            <w:tcBorders>
              <w:top w:val="nil"/>
              <w:left w:val="nil"/>
              <w:bottom w:val="single" w:sz="4" w:space="0" w:color="auto"/>
              <w:right w:val="nil"/>
            </w:tcBorders>
            <w:shd w:val="clear" w:color="auto" w:fill="auto"/>
            <w:vAlign w:val="center"/>
            <w:hideMark/>
          </w:tcPr>
          <w:p w14:paraId="2C4AD391" w14:textId="77777777" w:rsidR="004C3312" w:rsidRPr="00E30764" w:rsidRDefault="004C3312" w:rsidP="004C3312">
            <w:pPr>
              <w:spacing w:after="0" w:line="240" w:lineRule="auto"/>
              <w:jc w:val="right"/>
              <w:rPr>
                <w:rFonts w:eastAsia="Times New Roman" w:cs="Times New Roman"/>
                <w:b/>
                <w:bCs/>
                <w:color w:val="000000"/>
                <w:sz w:val="16"/>
                <w:szCs w:val="16"/>
                <w:lang w:eastAsia="sk-SK"/>
              </w:rPr>
            </w:pPr>
            <w:r w:rsidRPr="00E30764">
              <w:rPr>
                <w:rFonts w:eastAsia="Times New Roman" w:cs="Times New Roman"/>
                <w:b/>
                <w:bCs/>
                <w:color w:val="000000"/>
                <w:sz w:val="16"/>
                <w:szCs w:val="16"/>
                <w:lang w:eastAsia="sk-SK"/>
              </w:rPr>
              <w:t>Spolu</w:t>
            </w:r>
          </w:p>
        </w:tc>
        <w:tc>
          <w:tcPr>
            <w:tcW w:w="1596" w:type="dxa"/>
            <w:tcBorders>
              <w:top w:val="nil"/>
              <w:left w:val="nil"/>
              <w:bottom w:val="nil"/>
              <w:right w:val="nil"/>
            </w:tcBorders>
            <w:shd w:val="clear" w:color="auto" w:fill="auto"/>
            <w:vAlign w:val="center"/>
            <w:hideMark/>
          </w:tcPr>
          <w:p w14:paraId="4DA32ABB"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3 773</w:t>
            </w:r>
          </w:p>
        </w:tc>
      </w:tr>
      <w:tr w:rsidR="004C3312" w:rsidRPr="00E30764" w14:paraId="3B6C732A" w14:textId="77777777" w:rsidTr="004C3312">
        <w:trPr>
          <w:trHeight w:val="465"/>
        </w:trPr>
        <w:tc>
          <w:tcPr>
            <w:tcW w:w="1309" w:type="dxa"/>
            <w:tcBorders>
              <w:top w:val="nil"/>
              <w:left w:val="nil"/>
              <w:bottom w:val="nil"/>
              <w:right w:val="nil"/>
            </w:tcBorders>
            <w:shd w:val="clear" w:color="auto" w:fill="auto"/>
            <w:vAlign w:val="center"/>
            <w:hideMark/>
          </w:tcPr>
          <w:p w14:paraId="4BCE1401" w14:textId="77777777" w:rsidR="004C3312" w:rsidRPr="00E30764"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Národný bezpečnostný úrad</w:t>
            </w:r>
          </w:p>
        </w:tc>
        <w:tc>
          <w:tcPr>
            <w:tcW w:w="6167" w:type="dxa"/>
            <w:tcBorders>
              <w:top w:val="nil"/>
              <w:left w:val="nil"/>
              <w:bottom w:val="nil"/>
              <w:right w:val="nil"/>
            </w:tcBorders>
            <w:shd w:val="clear" w:color="auto" w:fill="auto"/>
            <w:vAlign w:val="bottom"/>
            <w:hideMark/>
          </w:tcPr>
          <w:p w14:paraId="3BE257C2" w14:textId="77777777" w:rsidR="004C3312" w:rsidRPr="00E30764" w:rsidRDefault="004C3312" w:rsidP="004C3312">
            <w:pPr>
              <w:spacing w:after="0" w:line="240" w:lineRule="auto"/>
              <w:rPr>
                <w:rFonts w:eastAsia="Times New Roman" w:cs="Times New Roman"/>
                <w:sz w:val="16"/>
                <w:szCs w:val="16"/>
                <w:lang w:eastAsia="sk-SK"/>
              </w:rPr>
            </w:pPr>
            <w:r w:rsidRPr="00E30764">
              <w:rPr>
                <w:rFonts w:eastAsia="Times New Roman" w:cs="Times New Roman"/>
                <w:sz w:val="16"/>
                <w:szCs w:val="16"/>
                <w:lang w:eastAsia="sk-SK"/>
              </w:rPr>
              <w:t>Na vysporiadanie individuálnej nezrovnalosti na projekte Národný systém riadenia incidentov kybernetickej bezpečnosti vo verejnej správe</w:t>
            </w:r>
          </w:p>
        </w:tc>
        <w:tc>
          <w:tcPr>
            <w:tcW w:w="1596" w:type="dxa"/>
            <w:tcBorders>
              <w:top w:val="single" w:sz="4" w:space="0" w:color="auto"/>
              <w:left w:val="nil"/>
              <w:bottom w:val="nil"/>
              <w:right w:val="nil"/>
            </w:tcBorders>
            <w:shd w:val="clear" w:color="auto" w:fill="auto"/>
            <w:vAlign w:val="center"/>
            <w:hideMark/>
          </w:tcPr>
          <w:p w14:paraId="754D8ECE"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2 896</w:t>
            </w:r>
          </w:p>
        </w:tc>
      </w:tr>
      <w:tr w:rsidR="004C3312" w:rsidRPr="00E30764" w14:paraId="34125382" w14:textId="77777777" w:rsidTr="004C3312">
        <w:trPr>
          <w:trHeight w:val="375"/>
        </w:trPr>
        <w:tc>
          <w:tcPr>
            <w:tcW w:w="7476" w:type="dxa"/>
            <w:gridSpan w:val="2"/>
            <w:tcBorders>
              <w:top w:val="nil"/>
              <w:left w:val="nil"/>
              <w:bottom w:val="single" w:sz="4" w:space="0" w:color="auto"/>
              <w:right w:val="nil"/>
            </w:tcBorders>
            <w:shd w:val="clear" w:color="auto" w:fill="auto"/>
            <w:vAlign w:val="center"/>
            <w:hideMark/>
          </w:tcPr>
          <w:p w14:paraId="4A8AF5B0"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Spolu</w:t>
            </w:r>
          </w:p>
        </w:tc>
        <w:tc>
          <w:tcPr>
            <w:tcW w:w="1596" w:type="dxa"/>
            <w:tcBorders>
              <w:top w:val="nil"/>
              <w:left w:val="nil"/>
              <w:bottom w:val="single" w:sz="4" w:space="0" w:color="auto"/>
              <w:right w:val="nil"/>
            </w:tcBorders>
            <w:shd w:val="clear" w:color="auto" w:fill="auto"/>
            <w:vAlign w:val="center"/>
            <w:hideMark/>
          </w:tcPr>
          <w:p w14:paraId="50003C33"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2 896</w:t>
            </w:r>
          </w:p>
        </w:tc>
      </w:tr>
      <w:tr w:rsidR="004C3312" w:rsidRPr="00E30764" w14:paraId="72957A74" w14:textId="77777777" w:rsidTr="004C3312">
        <w:trPr>
          <w:trHeight w:val="495"/>
        </w:trPr>
        <w:tc>
          <w:tcPr>
            <w:tcW w:w="1309" w:type="dxa"/>
            <w:tcBorders>
              <w:top w:val="nil"/>
              <w:left w:val="nil"/>
              <w:bottom w:val="nil"/>
              <w:right w:val="nil"/>
            </w:tcBorders>
            <w:shd w:val="clear" w:color="auto" w:fill="auto"/>
            <w:vAlign w:val="center"/>
            <w:hideMark/>
          </w:tcPr>
          <w:p w14:paraId="3E1A7A0B" w14:textId="77777777" w:rsidR="004C3312" w:rsidRPr="00E30764"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životného prostredia</w:t>
            </w:r>
            <w:r w:rsidRPr="00E30764">
              <w:rPr>
                <w:rFonts w:eastAsia="Times New Roman" w:cs="Times New Roman"/>
                <w:color w:val="000000"/>
                <w:sz w:val="16"/>
                <w:szCs w:val="16"/>
                <w:lang w:eastAsia="sk-SK"/>
              </w:rPr>
              <w:t xml:space="preserve"> SR </w:t>
            </w:r>
          </w:p>
        </w:tc>
        <w:tc>
          <w:tcPr>
            <w:tcW w:w="6167" w:type="dxa"/>
            <w:tcBorders>
              <w:top w:val="nil"/>
              <w:left w:val="nil"/>
              <w:bottom w:val="nil"/>
              <w:right w:val="nil"/>
            </w:tcBorders>
            <w:shd w:val="clear" w:color="auto" w:fill="auto"/>
            <w:vAlign w:val="bottom"/>
            <w:hideMark/>
          </w:tcPr>
          <w:p w14:paraId="18C8CD58" w14:textId="77777777" w:rsidR="004C3312" w:rsidRPr="00E30764" w:rsidRDefault="004C3312" w:rsidP="004C3312">
            <w:pPr>
              <w:spacing w:after="0" w:line="240" w:lineRule="auto"/>
              <w:rPr>
                <w:rFonts w:eastAsia="Times New Roman" w:cs="Times New Roman"/>
                <w:sz w:val="16"/>
                <w:szCs w:val="16"/>
                <w:lang w:eastAsia="sk-SK"/>
              </w:rPr>
            </w:pPr>
            <w:r w:rsidRPr="00E30764">
              <w:rPr>
                <w:rFonts w:eastAsia="Times New Roman" w:cs="Times New Roman"/>
                <w:sz w:val="16"/>
                <w:szCs w:val="16"/>
                <w:lang w:eastAsia="sk-SK"/>
              </w:rPr>
              <w:t>Na vysporiadanie individuálnych nezrovnalostí za Operačný program Kvalita životného prostredia za programové obdobie 2014 až 2020</w:t>
            </w:r>
          </w:p>
        </w:tc>
        <w:tc>
          <w:tcPr>
            <w:tcW w:w="1596" w:type="dxa"/>
            <w:tcBorders>
              <w:top w:val="nil"/>
              <w:left w:val="nil"/>
              <w:bottom w:val="nil"/>
              <w:right w:val="nil"/>
            </w:tcBorders>
            <w:shd w:val="clear" w:color="auto" w:fill="auto"/>
            <w:vAlign w:val="center"/>
            <w:hideMark/>
          </w:tcPr>
          <w:p w14:paraId="6A7A582C"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1 331</w:t>
            </w:r>
          </w:p>
        </w:tc>
      </w:tr>
      <w:tr w:rsidR="004C3312" w:rsidRPr="00E30764" w14:paraId="46DBB1CF" w14:textId="77777777" w:rsidTr="004C3312">
        <w:trPr>
          <w:trHeight w:val="375"/>
        </w:trPr>
        <w:tc>
          <w:tcPr>
            <w:tcW w:w="7476" w:type="dxa"/>
            <w:gridSpan w:val="2"/>
            <w:tcBorders>
              <w:top w:val="nil"/>
              <w:left w:val="nil"/>
              <w:bottom w:val="single" w:sz="4" w:space="0" w:color="auto"/>
              <w:right w:val="nil"/>
            </w:tcBorders>
            <w:shd w:val="clear" w:color="auto" w:fill="auto"/>
            <w:vAlign w:val="center"/>
            <w:hideMark/>
          </w:tcPr>
          <w:p w14:paraId="6B87B89D"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Spolu</w:t>
            </w:r>
          </w:p>
        </w:tc>
        <w:tc>
          <w:tcPr>
            <w:tcW w:w="1596" w:type="dxa"/>
            <w:tcBorders>
              <w:top w:val="nil"/>
              <w:left w:val="nil"/>
              <w:bottom w:val="single" w:sz="4" w:space="0" w:color="auto"/>
              <w:right w:val="nil"/>
            </w:tcBorders>
            <w:shd w:val="clear" w:color="auto" w:fill="auto"/>
            <w:vAlign w:val="center"/>
            <w:hideMark/>
          </w:tcPr>
          <w:p w14:paraId="50C23E45"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1 331</w:t>
            </w:r>
          </w:p>
        </w:tc>
      </w:tr>
      <w:tr w:rsidR="004C3312" w:rsidRPr="00E30764" w14:paraId="3DE34E0A" w14:textId="77777777" w:rsidTr="004C3312">
        <w:trPr>
          <w:trHeight w:val="520"/>
        </w:trPr>
        <w:tc>
          <w:tcPr>
            <w:tcW w:w="1309" w:type="dxa"/>
            <w:tcBorders>
              <w:top w:val="nil"/>
              <w:left w:val="nil"/>
              <w:bottom w:val="nil"/>
              <w:right w:val="nil"/>
            </w:tcBorders>
            <w:shd w:val="clear" w:color="auto" w:fill="auto"/>
            <w:vAlign w:val="center"/>
            <w:hideMark/>
          </w:tcPr>
          <w:p w14:paraId="75413CBF" w14:textId="049367B8" w:rsidR="004C3312" w:rsidRPr="00E30764" w:rsidRDefault="004A00A6" w:rsidP="004C3312">
            <w:pPr>
              <w:spacing w:after="0" w:line="240" w:lineRule="auto"/>
              <w:jc w:val="left"/>
              <w:rPr>
                <w:rFonts w:eastAsia="Times New Roman" w:cs="Times New Roman"/>
                <w:sz w:val="16"/>
                <w:szCs w:val="16"/>
                <w:lang w:eastAsia="sk-SK"/>
              </w:rPr>
            </w:pPr>
            <w:r>
              <w:br w:type="page"/>
            </w:r>
            <w:r w:rsidR="004C3312" w:rsidRPr="00E30764">
              <w:rPr>
                <w:rFonts w:eastAsia="Times New Roman" w:cs="Times New Roman"/>
                <w:sz w:val="16"/>
                <w:szCs w:val="16"/>
                <w:lang w:eastAsia="sk-SK"/>
              </w:rPr>
              <w:t>M</w:t>
            </w:r>
            <w:r w:rsidR="004C3312">
              <w:rPr>
                <w:rFonts w:eastAsia="Times New Roman" w:cs="Times New Roman"/>
                <w:sz w:val="16"/>
                <w:szCs w:val="16"/>
                <w:lang w:eastAsia="sk-SK"/>
              </w:rPr>
              <w:t>inisterstvo školstva, vedy, výskumu a športu</w:t>
            </w:r>
            <w:r w:rsidR="004C3312" w:rsidRPr="00E30764">
              <w:rPr>
                <w:rFonts w:eastAsia="Times New Roman" w:cs="Times New Roman"/>
                <w:sz w:val="16"/>
                <w:szCs w:val="16"/>
                <w:lang w:eastAsia="sk-SK"/>
              </w:rPr>
              <w:t xml:space="preserve"> SR</w:t>
            </w:r>
          </w:p>
        </w:tc>
        <w:tc>
          <w:tcPr>
            <w:tcW w:w="6167" w:type="dxa"/>
            <w:tcBorders>
              <w:top w:val="nil"/>
              <w:left w:val="nil"/>
              <w:bottom w:val="nil"/>
              <w:right w:val="nil"/>
            </w:tcBorders>
            <w:shd w:val="clear" w:color="auto" w:fill="auto"/>
            <w:vAlign w:val="bottom"/>
            <w:hideMark/>
          </w:tcPr>
          <w:p w14:paraId="62C45077" w14:textId="77777777" w:rsidR="004C3312" w:rsidRPr="00E30764" w:rsidRDefault="004C3312" w:rsidP="004C3312">
            <w:pPr>
              <w:spacing w:after="0" w:line="240" w:lineRule="auto"/>
              <w:rPr>
                <w:rFonts w:eastAsia="Times New Roman" w:cs="Times New Roman"/>
                <w:sz w:val="16"/>
                <w:szCs w:val="16"/>
                <w:lang w:eastAsia="sk-SK"/>
              </w:rPr>
            </w:pPr>
          </w:p>
          <w:p w14:paraId="204FC06C" w14:textId="77777777" w:rsidR="004C3312" w:rsidRPr="00E30764" w:rsidRDefault="004C3312" w:rsidP="004C3312">
            <w:pPr>
              <w:spacing w:after="0" w:line="240" w:lineRule="auto"/>
              <w:rPr>
                <w:rFonts w:eastAsia="Times New Roman" w:cs="Times New Roman"/>
                <w:sz w:val="16"/>
                <w:szCs w:val="16"/>
                <w:lang w:eastAsia="sk-SK"/>
              </w:rPr>
            </w:pPr>
            <w:r w:rsidRPr="00E30764">
              <w:rPr>
                <w:rFonts w:eastAsia="Times New Roman" w:cs="Times New Roman"/>
                <w:sz w:val="16"/>
                <w:szCs w:val="16"/>
                <w:lang w:eastAsia="sk-SK"/>
              </w:rPr>
              <w:t xml:space="preserve">Na vysporiadanie nezrovnalostí v rámci projektov realizovaných v 3. programovom období 2014 - 2022 za Operačný program Integrovaná infraštruktúra a Operačný program Ľudské zdroje </w:t>
            </w:r>
          </w:p>
        </w:tc>
        <w:tc>
          <w:tcPr>
            <w:tcW w:w="1596" w:type="dxa"/>
            <w:tcBorders>
              <w:top w:val="nil"/>
              <w:left w:val="nil"/>
              <w:bottom w:val="nil"/>
              <w:right w:val="nil"/>
            </w:tcBorders>
            <w:shd w:val="clear" w:color="auto" w:fill="auto"/>
            <w:vAlign w:val="center"/>
            <w:hideMark/>
          </w:tcPr>
          <w:p w14:paraId="2E95A4E2" w14:textId="77777777" w:rsidR="004C3312" w:rsidRPr="00E30764" w:rsidRDefault="004C3312" w:rsidP="004C3312">
            <w:pPr>
              <w:spacing w:after="0" w:line="240" w:lineRule="auto"/>
              <w:jc w:val="right"/>
              <w:rPr>
                <w:rFonts w:eastAsia="Times New Roman" w:cs="Times New Roman"/>
                <w:sz w:val="16"/>
                <w:szCs w:val="16"/>
                <w:lang w:eastAsia="sk-SK"/>
              </w:rPr>
            </w:pPr>
            <w:r w:rsidRPr="00E30764">
              <w:rPr>
                <w:rFonts w:cs="Times New Roman"/>
                <w:sz w:val="16"/>
                <w:szCs w:val="16"/>
              </w:rPr>
              <w:t>899</w:t>
            </w:r>
          </w:p>
        </w:tc>
      </w:tr>
      <w:tr w:rsidR="004C3312" w:rsidRPr="00E30764" w14:paraId="5EEDC4FC" w14:textId="77777777" w:rsidTr="004C3312">
        <w:trPr>
          <w:trHeight w:val="375"/>
        </w:trPr>
        <w:tc>
          <w:tcPr>
            <w:tcW w:w="7476" w:type="dxa"/>
            <w:gridSpan w:val="2"/>
            <w:tcBorders>
              <w:top w:val="nil"/>
              <w:left w:val="nil"/>
              <w:bottom w:val="single" w:sz="4" w:space="0" w:color="auto"/>
              <w:right w:val="nil"/>
            </w:tcBorders>
            <w:shd w:val="clear" w:color="auto" w:fill="auto"/>
            <w:vAlign w:val="center"/>
            <w:hideMark/>
          </w:tcPr>
          <w:p w14:paraId="5435AA9A"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Spolu</w:t>
            </w:r>
          </w:p>
        </w:tc>
        <w:tc>
          <w:tcPr>
            <w:tcW w:w="1596" w:type="dxa"/>
            <w:tcBorders>
              <w:top w:val="nil"/>
              <w:left w:val="nil"/>
              <w:bottom w:val="single" w:sz="4" w:space="0" w:color="auto"/>
              <w:right w:val="nil"/>
            </w:tcBorders>
            <w:shd w:val="clear" w:color="auto" w:fill="auto"/>
            <w:vAlign w:val="center"/>
            <w:hideMark/>
          </w:tcPr>
          <w:p w14:paraId="29DEAF09" w14:textId="77777777" w:rsidR="004C3312" w:rsidRPr="00E30764" w:rsidRDefault="004C3312" w:rsidP="004C3312">
            <w:pPr>
              <w:spacing w:after="0" w:line="240" w:lineRule="auto"/>
              <w:jc w:val="right"/>
              <w:rPr>
                <w:rFonts w:eastAsia="Times New Roman" w:cs="Times New Roman"/>
                <w:b/>
                <w:bCs/>
                <w:sz w:val="16"/>
                <w:szCs w:val="16"/>
                <w:lang w:eastAsia="sk-SK"/>
              </w:rPr>
            </w:pPr>
            <w:r w:rsidRPr="00E30764">
              <w:rPr>
                <w:rFonts w:eastAsia="Times New Roman" w:cs="Times New Roman"/>
                <w:b/>
                <w:bCs/>
                <w:sz w:val="16"/>
                <w:szCs w:val="16"/>
                <w:lang w:eastAsia="sk-SK"/>
              </w:rPr>
              <w:t>899</w:t>
            </w:r>
          </w:p>
        </w:tc>
      </w:tr>
      <w:tr w:rsidR="004C3312" w:rsidRPr="00E30764" w14:paraId="5B33471B" w14:textId="77777777" w:rsidTr="004C3312">
        <w:trPr>
          <w:trHeight w:val="375"/>
        </w:trPr>
        <w:tc>
          <w:tcPr>
            <w:tcW w:w="7476" w:type="dxa"/>
            <w:gridSpan w:val="2"/>
            <w:tcBorders>
              <w:top w:val="nil"/>
              <w:left w:val="nil"/>
              <w:bottom w:val="single" w:sz="4" w:space="0" w:color="auto"/>
              <w:right w:val="nil"/>
            </w:tcBorders>
            <w:shd w:val="clear" w:color="000000" w:fill="FFFFFF"/>
            <w:vAlign w:val="center"/>
            <w:hideMark/>
          </w:tcPr>
          <w:p w14:paraId="62AAD3C8" w14:textId="77777777" w:rsidR="004C3312" w:rsidRPr="00E30764" w:rsidRDefault="004C3312" w:rsidP="004A00A6">
            <w:pPr>
              <w:spacing w:after="0" w:line="240" w:lineRule="auto"/>
              <w:jc w:val="right"/>
              <w:rPr>
                <w:rFonts w:eastAsia="Times New Roman" w:cs="Times New Roman"/>
                <w:b/>
                <w:bCs/>
                <w:color w:val="000000"/>
                <w:sz w:val="16"/>
                <w:szCs w:val="16"/>
                <w:lang w:eastAsia="sk-SK"/>
              </w:rPr>
            </w:pPr>
            <w:r w:rsidRPr="00E30764">
              <w:rPr>
                <w:rFonts w:eastAsia="Times New Roman" w:cs="Times New Roman"/>
                <w:b/>
                <w:bCs/>
                <w:color w:val="000000"/>
                <w:sz w:val="16"/>
                <w:szCs w:val="16"/>
                <w:lang w:eastAsia="sk-SK"/>
              </w:rPr>
              <w:t>Spolu celkom</w:t>
            </w:r>
          </w:p>
        </w:tc>
        <w:tc>
          <w:tcPr>
            <w:tcW w:w="1596" w:type="dxa"/>
            <w:tcBorders>
              <w:top w:val="nil"/>
              <w:left w:val="nil"/>
              <w:bottom w:val="single" w:sz="4" w:space="0" w:color="auto"/>
              <w:right w:val="nil"/>
            </w:tcBorders>
            <w:shd w:val="clear" w:color="000000" w:fill="FFFFFF"/>
            <w:vAlign w:val="center"/>
            <w:hideMark/>
          </w:tcPr>
          <w:p w14:paraId="4E8B907F" w14:textId="77777777" w:rsidR="004C3312" w:rsidRPr="00E30764" w:rsidRDefault="004C3312" w:rsidP="004C3312">
            <w:pPr>
              <w:spacing w:after="0" w:line="240" w:lineRule="auto"/>
              <w:jc w:val="right"/>
              <w:rPr>
                <w:rFonts w:eastAsia="Times New Roman" w:cs="Times New Roman"/>
                <w:b/>
                <w:bCs/>
                <w:color w:val="000000"/>
                <w:sz w:val="16"/>
                <w:szCs w:val="16"/>
                <w:lang w:eastAsia="sk-SK"/>
              </w:rPr>
            </w:pPr>
            <w:r w:rsidRPr="00E30764">
              <w:rPr>
                <w:rFonts w:eastAsia="Times New Roman" w:cs="Times New Roman"/>
                <w:b/>
                <w:bCs/>
                <w:color w:val="000000"/>
                <w:sz w:val="16"/>
                <w:szCs w:val="16"/>
                <w:lang w:eastAsia="sk-SK"/>
              </w:rPr>
              <w:t>110 488</w:t>
            </w:r>
          </w:p>
        </w:tc>
      </w:tr>
      <w:tr w:rsidR="004C3312" w:rsidRPr="00E30764" w14:paraId="27A8EFDC" w14:textId="77777777" w:rsidTr="004C3312">
        <w:trPr>
          <w:trHeight w:val="330"/>
        </w:trPr>
        <w:tc>
          <w:tcPr>
            <w:tcW w:w="1309" w:type="dxa"/>
            <w:tcBorders>
              <w:top w:val="nil"/>
              <w:left w:val="nil"/>
              <w:bottom w:val="nil"/>
              <w:right w:val="nil"/>
            </w:tcBorders>
            <w:shd w:val="clear" w:color="auto" w:fill="auto"/>
            <w:noWrap/>
            <w:vAlign w:val="bottom"/>
            <w:hideMark/>
          </w:tcPr>
          <w:p w14:paraId="593BB105" w14:textId="77777777" w:rsidR="004C3312" w:rsidRPr="00E30764" w:rsidRDefault="004C3312" w:rsidP="004C3312">
            <w:pPr>
              <w:spacing w:after="0" w:line="240" w:lineRule="auto"/>
              <w:jc w:val="right"/>
              <w:rPr>
                <w:rFonts w:eastAsia="Times New Roman" w:cs="Times New Roman"/>
                <w:b/>
                <w:bCs/>
                <w:color w:val="000000"/>
                <w:sz w:val="16"/>
                <w:szCs w:val="16"/>
                <w:lang w:eastAsia="sk-SK"/>
              </w:rPr>
            </w:pPr>
          </w:p>
        </w:tc>
        <w:tc>
          <w:tcPr>
            <w:tcW w:w="6167" w:type="dxa"/>
            <w:tcBorders>
              <w:top w:val="nil"/>
              <w:left w:val="nil"/>
              <w:bottom w:val="nil"/>
              <w:right w:val="nil"/>
            </w:tcBorders>
            <w:shd w:val="clear" w:color="auto" w:fill="auto"/>
            <w:noWrap/>
            <w:vAlign w:val="bottom"/>
            <w:hideMark/>
          </w:tcPr>
          <w:p w14:paraId="62030154" w14:textId="77777777" w:rsidR="004C3312" w:rsidRPr="00E30764" w:rsidRDefault="004C3312" w:rsidP="004C3312">
            <w:pPr>
              <w:spacing w:after="0" w:line="240" w:lineRule="auto"/>
              <w:jc w:val="left"/>
              <w:rPr>
                <w:rFonts w:eastAsia="Times New Roman" w:cs="Times New Roman"/>
                <w:sz w:val="20"/>
                <w:szCs w:val="20"/>
                <w:lang w:eastAsia="sk-SK"/>
              </w:rPr>
            </w:pPr>
          </w:p>
        </w:tc>
        <w:tc>
          <w:tcPr>
            <w:tcW w:w="1596" w:type="dxa"/>
            <w:tcBorders>
              <w:top w:val="nil"/>
              <w:left w:val="nil"/>
              <w:bottom w:val="nil"/>
              <w:right w:val="nil"/>
            </w:tcBorders>
            <w:shd w:val="clear" w:color="auto" w:fill="auto"/>
            <w:noWrap/>
            <w:vAlign w:val="center"/>
            <w:hideMark/>
          </w:tcPr>
          <w:p w14:paraId="2856DEAA" w14:textId="77777777" w:rsidR="004C3312" w:rsidRPr="00274C54" w:rsidRDefault="004C3312" w:rsidP="004C3312">
            <w:pPr>
              <w:spacing w:after="0" w:line="240" w:lineRule="auto"/>
              <w:jc w:val="right"/>
              <w:rPr>
                <w:rFonts w:eastAsia="Times New Roman" w:cs="Times New Roman"/>
                <w:iCs/>
                <w:color w:val="000000"/>
                <w:sz w:val="20"/>
                <w:szCs w:val="20"/>
                <w:lang w:eastAsia="sk-SK"/>
              </w:rPr>
            </w:pPr>
            <w:r w:rsidRPr="00274C54">
              <w:rPr>
                <w:rFonts w:eastAsia="Times New Roman" w:cs="Times New Roman"/>
                <w:iCs/>
                <w:color w:val="000000"/>
                <w:sz w:val="20"/>
                <w:szCs w:val="20"/>
                <w:lang w:eastAsia="sk-SK"/>
              </w:rPr>
              <w:t>Zdroj: MF SR</w:t>
            </w:r>
          </w:p>
        </w:tc>
      </w:tr>
    </w:tbl>
    <w:p w14:paraId="17068512" w14:textId="77777777" w:rsidR="004C3312" w:rsidRDefault="004C3312" w:rsidP="004C3312">
      <w:pPr>
        <w:spacing w:line="240" w:lineRule="auto"/>
        <w:rPr>
          <w:sz w:val="24"/>
          <w:szCs w:val="24"/>
          <w:highlight w:val="yellow"/>
        </w:rPr>
      </w:pPr>
    </w:p>
    <w:p w14:paraId="702BB537" w14:textId="77777777" w:rsidR="004C3312" w:rsidRPr="00E30764" w:rsidRDefault="004C3312" w:rsidP="004C3312">
      <w:pPr>
        <w:spacing w:line="240" w:lineRule="auto"/>
        <w:rPr>
          <w:sz w:val="24"/>
          <w:szCs w:val="24"/>
        </w:rPr>
      </w:pPr>
      <w:r w:rsidRPr="00E30764">
        <w:rPr>
          <w:sz w:val="24"/>
          <w:szCs w:val="24"/>
        </w:rPr>
        <w:t>Ďalej boli z uvedenej rezervy presunuté prostriedky v rámci kapitoly Všeobecná pokladničn</w:t>
      </w:r>
      <w:r>
        <w:rPr>
          <w:sz w:val="24"/>
          <w:szCs w:val="24"/>
        </w:rPr>
        <w:t>á správa v celkovej sume 426 </w:t>
      </w:r>
      <w:r w:rsidRPr="00E30764">
        <w:rPr>
          <w:sz w:val="24"/>
          <w:szCs w:val="24"/>
        </w:rPr>
        <w:t xml:space="preserve">191 tis. eur. </w:t>
      </w:r>
    </w:p>
    <w:p w14:paraId="57D3E93A" w14:textId="77777777" w:rsidR="004C3312" w:rsidRPr="00E30764" w:rsidRDefault="004C3312" w:rsidP="004C3312">
      <w:pPr>
        <w:spacing w:line="240" w:lineRule="auto"/>
        <w:rPr>
          <w:sz w:val="24"/>
          <w:szCs w:val="24"/>
        </w:rPr>
      </w:pPr>
      <w:r>
        <w:rPr>
          <w:sz w:val="24"/>
          <w:szCs w:val="24"/>
        </w:rPr>
        <w:t>Suma 326 </w:t>
      </w:r>
      <w:r w:rsidRPr="00E30764">
        <w:rPr>
          <w:sz w:val="24"/>
          <w:szCs w:val="24"/>
        </w:rPr>
        <w:t>191 tis. eur pôvodne rozpočtovaná na splatenie úrokov z omeškania vyplývajúca zo straty na tradičných vlastných zdrojoch, ktorej istina</w:t>
      </w:r>
      <w:r>
        <w:rPr>
          <w:sz w:val="24"/>
          <w:szCs w:val="24"/>
        </w:rPr>
        <w:t xml:space="preserve"> </w:t>
      </w:r>
      <w:r w:rsidRPr="00E30764">
        <w:rPr>
          <w:sz w:val="24"/>
          <w:szCs w:val="24"/>
        </w:rPr>
        <w:t>sa zaplatila</w:t>
      </w:r>
      <w:r>
        <w:rPr>
          <w:sz w:val="24"/>
          <w:szCs w:val="24"/>
        </w:rPr>
        <w:t xml:space="preserve"> (ako podmienečná platba zo strany Slovenskej republiky)</w:t>
      </w:r>
      <w:r w:rsidRPr="00E30764">
        <w:rPr>
          <w:sz w:val="24"/>
          <w:szCs w:val="24"/>
        </w:rPr>
        <w:t xml:space="preserve"> v roku 2021</w:t>
      </w:r>
      <w:r>
        <w:rPr>
          <w:sz w:val="24"/>
          <w:szCs w:val="24"/>
        </w:rPr>
        <w:t>,</w:t>
      </w:r>
      <w:r w:rsidRPr="00E30764">
        <w:rPr>
          <w:sz w:val="24"/>
          <w:szCs w:val="24"/>
        </w:rPr>
        <w:t xml:space="preserve"> bola presunutá na výdavkový titul „Výdavky na realizáciu nerozpočtovaných potrieb“ s cieľom finančného krytia rozpočtovo nezabezpečených výdavkov kapitol, implikovaných predovšetkým zvyšovaním cien energií a rastúcou mierou inflácie tovarov a služieb v roku 2022. Uvedená realizácia presunu bola vykonaná v nadväznosti na rozhodnutie </w:t>
      </w:r>
      <w:r w:rsidRPr="00B73EE2">
        <w:rPr>
          <w:sz w:val="24"/>
          <w:szCs w:val="24"/>
        </w:rPr>
        <w:t xml:space="preserve">Súdneho dvora EÚ vo veci EK </w:t>
      </w:r>
      <w:proofErr w:type="spellStart"/>
      <w:r w:rsidRPr="00B73EE2">
        <w:rPr>
          <w:sz w:val="24"/>
          <w:szCs w:val="24"/>
        </w:rPr>
        <w:t>vs</w:t>
      </w:r>
      <w:proofErr w:type="spellEnd"/>
      <w:r w:rsidRPr="00B73EE2">
        <w:rPr>
          <w:sz w:val="24"/>
          <w:szCs w:val="24"/>
        </w:rPr>
        <w:t>. UK</w:t>
      </w:r>
      <w:r w:rsidRPr="00E30764">
        <w:rPr>
          <w:sz w:val="24"/>
          <w:szCs w:val="24"/>
        </w:rPr>
        <w:t xml:space="preserve"> a zmenu legislatívy týkajúcej sa horného stropu úrokov z omeškania. Európska komisia má poskytnúť aktualizované prepočty sumy úrokov z omeškania, keďže suma úrokov môže byť nižšia a realizácia tejto finančnej operácie sa predpokladá najskôr v rozpočtovom roku 2023. </w:t>
      </w:r>
    </w:p>
    <w:p w14:paraId="77A745C9" w14:textId="77777777" w:rsidR="004C3312" w:rsidRPr="00E30764" w:rsidRDefault="004C3312" w:rsidP="004C3312">
      <w:pPr>
        <w:spacing w:line="240" w:lineRule="auto"/>
        <w:rPr>
          <w:sz w:val="24"/>
          <w:szCs w:val="24"/>
        </w:rPr>
      </w:pPr>
      <w:r>
        <w:rPr>
          <w:sz w:val="24"/>
          <w:szCs w:val="24"/>
        </w:rPr>
        <w:t>Suma 100 </w:t>
      </w:r>
      <w:r w:rsidRPr="00E30764">
        <w:rPr>
          <w:sz w:val="24"/>
          <w:szCs w:val="24"/>
        </w:rPr>
        <w:t>000 tis. eur pôvodne určená na vysporiadanie korekcií bola presunutá na výdavkový titul „Rezerva na mzdy a poistné“ na finančné krytie plnenia dodatkov č. 1 ku kolektívnym zmluvám vyššieho stupňa na rok 2022 v súvislosti s poskytnutím odmeny štátnym zamestnancom a zamestnancom pri výkone práce vo verejnom záujme, ktoré boli podpísané v mesiaci júl 2022.</w:t>
      </w:r>
    </w:p>
    <w:p w14:paraId="672D298D" w14:textId="1B06A122" w:rsidR="004C3312" w:rsidRPr="00CF58A3" w:rsidRDefault="004C3312" w:rsidP="004C3312">
      <w:pPr>
        <w:spacing w:line="240" w:lineRule="auto"/>
        <w:rPr>
          <w:sz w:val="24"/>
          <w:szCs w:val="24"/>
          <w:highlight w:val="yellow"/>
        </w:rPr>
      </w:pPr>
      <w:r w:rsidRPr="00E30764">
        <w:rPr>
          <w:sz w:val="24"/>
          <w:szCs w:val="24"/>
        </w:rPr>
        <w:t xml:space="preserve">Podľa § 8 ods. 6 </w:t>
      </w:r>
      <w:r w:rsidR="00545BC2" w:rsidRPr="00F42FB3">
        <w:rPr>
          <w:rFonts w:cs="Times New Roman"/>
          <w:color w:val="000000" w:themeColor="text1"/>
          <w:sz w:val="24"/>
          <w:szCs w:val="24"/>
        </w:rPr>
        <w:t xml:space="preserve">zákona </w:t>
      </w:r>
      <w:r w:rsidR="00545BC2">
        <w:rPr>
          <w:rFonts w:cs="Times New Roman"/>
          <w:color w:val="000000" w:themeColor="text1"/>
          <w:sz w:val="24"/>
          <w:szCs w:val="24"/>
        </w:rPr>
        <w:t>o rozpočtových pravidlách</w:t>
      </w:r>
      <w:r w:rsidR="00545BC2" w:rsidRPr="00E30764">
        <w:rPr>
          <w:sz w:val="24"/>
          <w:szCs w:val="24"/>
        </w:rPr>
        <w:t xml:space="preserve"> </w:t>
      </w:r>
      <w:r w:rsidRPr="00E30764">
        <w:rPr>
          <w:sz w:val="24"/>
          <w:szCs w:val="24"/>
        </w:rPr>
        <w:t>boli nevyčerpané prostriedky</w:t>
      </w:r>
      <w:r>
        <w:rPr>
          <w:sz w:val="24"/>
          <w:szCs w:val="24"/>
        </w:rPr>
        <w:t xml:space="preserve"> z roku 2022 v celkovej sume 59 </w:t>
      </w:r>
      <w:r w:rsidRPr="00E30764">
        <w:rPr>
          <w:sz w:val="24"/>
          <w:szCs w:val="24"/>
        </w:rPr>
        <w:t>374 tis. eur viazané na použitie v nasledujúcom rozpočtovom roku.</w:t>
      </w:r>
    </w:p>
    <w:p w14:paraId="01151D6F" w14:textId="77777777" w:rsidR="00043553" w:rsidRDefault="00043553">
      <w:pPr>
        <w:spacing w:after="160" w:line="259" w:lineRule="auto"/>
        <w:jc w:val="left"/>
        <w:rPr>
          <w:b/>
          <w:sz w:val="24"/>
          <w:szCs w:val="24"/>
        </w:rPr>
      </w:pPr>
      <w:r>
        <w:rPr>
          <w:b/>
          <w:sz w:val="24"/>
          <w:szCs w:val="24"/>
        </w:rPr>
        <w:br w:type="page"/>
      </w:r>
    </w:p>
    <w:p w14:paraId="4A9FF80A" w14:textId="7D8F64A6" w:rsidR="004C3312" w:rsidRPr="006D197B" w:rsidRDefault="004C3312" w:rsidP="004C3312">
      <w:pPr>
        <w:spacing w:line="240" w:lineRule="auto"/>
        <w:rPr>
          <w:b/>
          <w:sz w:val="24"/>
          <w:szCs w:val="24"/>
        </w:rPr>
      </w:pPr>
      <w:r w:rsidRPr="006D197B">
        <w:rPr>
          <w:b/>
          <w:sz w:val="24"/>
          <w:szCs w:val="24"/>
        </w:rPr>
        <w:lastRenderedPageBreak/>
        <w:t xml:space="preserve">Rezerva na riešenie </w:t>
      </w:r>
      <w:r>
        <w:rPr>
          <w:b/>
          <w:sz w:val="24"/>
          <w:szCs w:val="24"/>
        </w:rPr>
        <w:t>legislatívnych zmien</w:t>
      </w:r>
      <w:r w:rsidRPr="006D197B">
        <w:rPr>
          <w:b/>
          <w:sz w:val="24"/>
          <w:szCs w:val="24"/>
        </w:rPr>
        <w:t xml:space="preserve"> </w:t>
      </w:r>
    </w:p>
    <w:p w14:paraId="75FB6E19" w14:textId="77777777" w:rsidR="004C3312" w:rsidRDefault="004C3312" w:rsidP="004C3312">
      <w:pPr>
        <w:spacing w:line="240" w:lineRule="auto"/>
        <w:rPr>
          <w:sz w:val="24"/>
          <w:szCs w:val="24"/>
        </w:rPr>
      </w:pPr>
      <w:r w:rsidRPr="004B2D70">
        <w:rPr>
          <w:sz w:val="24"/>
          <w:szCs w:val="24"/>
        </w:rPr>
        <w:t>Z rezervy na riešenie vplyvov nových právnych predpisov rozpočtovanej v celkovej sume 130 634 tis. eur boli uvoľnené prostriedky v sume 32 947 tis. eur:</w:t>
      </w:r>
    </w:p>
    <w:tbl>
      <w:tblPr>
        <w:tblW w:w="9072" w:type="dxa"/>
        <w:tblCellMar>
          <w:left w:w="70" w:type="dxa"/>
          <w:right w:w="70" w:type="dxa"/>
        </w:tblCellMar>
        <w:tblLook w:val="04A0" w:firstRow="1" w:lastRow="0" w:firstColumn="1" w:lastColumn="0" w:noHBand="0" w:noVBand="1"/>
      </w:tblPr>
      <w:tblGrid>
        <w:gridCol w:w="1257"/>
        <w:gridCol w:w="5839"/>
        <w:gridCol w:w="1976"/>
      </w:tblGrid>
      <w:tr w:rsidR="004C3312" w:rsidRPr="004B2D70" w14:paraId="3310C1B6" w14:textId="77777777" w:rsidTr="004C3312">
        <w:trPr>
          <w:trHeight w:val="375"/>
        </w:trPr>
        <w:tc>
          <w:tcPr>
            <w:tcW w:w="7096" w:type="dxa"/>
            <w:gridSpan w:val="2"/>
            <w:tcBorders>
              <w:top w:val="nil"/>
              <w:left w:val="nil"/>
              <w:bottom w:val="single" w:sz="4" w:space="0" w:color="auto"/>
              <w:right w:val="nil"/>
            </w:tcBorders>
            <w:shd w:val="clear" w:color="auto" w:fill="auto"/>
            <w:noWrap/>
            <w:vAlign w:val="center"/>
            <w:hideMark/>
          </w:tcPr>
          <w:p w14:paraId="49BBA673" w14:textId="22180F05" w:rsidR="004C3312" w:rsidRPr="004B2D70" w:rsidRDefault="004C3312" w:rsidP="00507DFC">
            <w:pPr>
              <w:spacing w:after="0" w:line="240" w:lineRule="auto"/>
              <w:jc w:val="left"/>
              <w:rPr>
                <w:rFonts w:eastAsia="Times New Roman" w:cs="Times New Roman"/>
                <w:b/>
                <w:bCs/>
                <w:color w:val="5B9BD5" w:themeColor="accent1"/>
                <w:sz w:val="20"/>
                <w:szCs w:val="20"/>
                <w:lang w:eastAsia="sk-SK"/>
              </w:rPr>
            </w:pPr>
            <w:r w:rsidRPr="004B2D70">
              <w:rPr>
                <w:rFonts w:eastAsia="Times New Roman" w:cs="Times New Roman"/>
                <w:b/>
                <w:bCs/>
                <w:color w:val="5B9BD5" w:themeColor="accent1"/>
                <w:sz w:val="20"/>
                <w:szCs w:val="20"/>
                <w:lang w:eastAsia="sk-SK"/>
              </w:rPr>
              <w:t>Tabuľka</w:t>
            </w:r>
            <w:r w:rsidR="001656EA">
              <w:rPr>
                <w:rFonts w:eastAsia="Times New Roman" w:cs="Times New Roman"/>
                <w:b/>
                <w:bCs/>
                <w:color w:val="5B9BD5" w:themeColor="accent1"/>
                <w:sz w:val="20"/>
                <w:szCs w:val="20"/>
                <w:lang w:eastAsia="sk-SK"/>
              </w:rPr>
              <w:t xml:space="preserve"> 5</w:t>
            </w:r>
            <w:r w:rsidR="00507DFC">
              <w:rPr>
                <w:rFonts w:eastAsia="Times New Roman" w:cs="Times New Roman"/>
                <w:b/>
                <w:bCs/>
                <w:color w:val="5B9BD5" w:themeColor="accent1"/>
                <w:sz w:val="20"/>
                <w:szCs w:val="20"/>
                <w:lang w:eastAsia="sk-SK"/>
              </w:rPr>
              <w:t>4</w:t>
            </w:r>
            <w:r w:rsidRPr="004B2D70">
              <w:rPr>
                <w:rFonts w:eastAsia="Times New Roman" w:cs="Times New Roman"/>
                <w:b/>
                <w:bCs/>
                <w:color w:val="5B9BD5" w:themeColor="accent1"/>
                <w:sz w:val="20"/>
                <w:szCs w:val="20"/>
                <w:lang w:eastAsia="sk-SK"/>
              </w:rPr>
              <w:t xml:space="preserve"> - Rezerva na riešenie vplyvov legislatívnych zmien </w:t>
            </w:r>
          </w:p>
        </w:tc>
        <w:tc>
          <w:tcPr>
            <w:tcW w:w="1976" w:type="dxa"/>
            <w:tcBorders>
              <w:top w:val="nil"/>
              <w:left w:val="nil"/>
              <w:bottom w:val="nil"/>
              <w:right w:val="nil"/>
            </w:tcBorders>
            <w:shd w:val="clear" w:color="auto" w:fill="auto"/>
            <w:noWrap/>
            <w:vAlign w:val="center"/>
            <w:hideMark/>
          </w:tcPr>
          <w:p w14:paraId="3EED5CE0" w14:textId="77777777" w:rsidR="004C3312" w:rsidRPr="004B2D70" w:rsidRDefault="004C3312" w:rsidP="004C3312">
            <w:pPr>
              <w:spacing w:after="0" w:line="240" w:lineRule="auto"/>
              <w:jc w:val="left"/>
              <w:rPr>
                <w:rFonts w:eastAsia="Times New Roman" w:cs="Times New Roman"/>
                <w:sz w:val="20"/>
                <w:szCs w:val="20"/>
                <w:lang w:eastAsia="sk-SK"/>
              </w:rPr>
            </w:pPr>
          </w:p>
        </w:tc>
      </w:tr>
      <w:tr w:rsidR="004C3312" w:rsidRPr="004B2D70" w14:paraId="53B9B0B3" w14:textId="77777777" w:rsidTr="004C3312">
        <w:trPr>
          <w:trHeight w:val="375"/>
        </w:trPr>
        <w:tc>
          <w:tcPr>
            <w:tcW w:w="1257" w:type="dxa"/>
            <w:tcBorders>
              <w:top w:val="nil"/>
              <w:left w:val="nil"/>
              <w:bottom w:val="single" w:sz="4" w:space="0" w:color="auto"/>
              <w:right w:val="nil"/>
            </w:tcBorders>
            <w:shd w:val="clear" w:color="auto" w:fill="auto"/>
            <w:noWrap/>
            <w:vAlign w:val="center"/>
            <w:hideMark/>
          </w:tcPr>
          <w:p w14:paraId="24E42FC5" w14:textId="77777777" w:rsidR="004C3312" w:rsidRPr="004B2D70" w:rsidRDefault="004C3312" w:rsidP="004C3312">
            <w:pPr>
              <w:spacing w:after="0" w:line="240" w:lineRule="auto"/>
              <w:jc w:val="center"/>
              <w:rPr>
                <w:rFonts w:eastAsia="Times New Roman" w:cs="Times New Roman"/>
                <w:b/>
                <w:bCs/>
                <w:sz w:val="16"/>
                <w:szCs w:val="16"/>
                <w:lang w:eastAsia="sk-SK"/>
              </w:rPr>
            </w:pPr>
            <w:r w:rsidRPr="004B2D70">
              <w:rPr>
                <w:rFonts w:eastAsia="Times New Roman" w:cs="Times New Roman"/>
                <w:b/>
                <w:bCs/>
                <w:sz w:val="16"/>
                <w:szCs w:val="16"/>
                <w:lang w:eastAsia="sk-SK"/>
              </w:rPr>
              <w:t xml:space="preserve">Kapitola </w:t>
            </w:r>
          </w:p>
        </w:tc>
        <w:tc>
          <w:tcPr>
            <w:tcW w:w="5839" w:type="dxa"/>
            <w:tcBorders>
              <w:top w:val="nil"/>
              <w:left w:val="nil"/>
              <w:bottom w:val="single" w:sz="4" w:space="0" w:color="auto"/>
              <w:right w:val="nil"/>
            </w:tcBorders>
            <w:shd w:val="clear" w:color="auto" w:fill="auto"/>
            <w:noWrap/>
            <w:vAlign w:val="center"/>
            <w:hideMark/>
          </w:tcPr>
          <w:p w14:paraId="61096B6F" w14:textId="77777777" w:rsidR="004C3312" w:rsidRPr="004B2D70" w:rsidRDefault="004C3312" w:rsidP="004C3312">
            <w:pPr>
              <w:spacing w:after="0" w:line="240" w:lineRule="auto"/>
              <w:jc w:val="center"/>
              <w:rPr>
                <w:rFonts w:eastAsia="Times New Roman" w:cs="Times New Roman"/>
                <w:b/>
                <w:bCs/>
                <w:sz w:val="16"/>
                <w:szCs w:val="16"/>
                <w:lang w:eastAsia="sk-SK"/>
              </w:rPr>
            </w:pPr>
            <w:r w:rsidRPr="004B2D70">
              <w:rPr>
                <w:rFonts w:eastAsia="Times New Roman" w:cs="Times New Roman"/>
                <w:b/>
                <w:bCs/>
                <w:sz w:val="16"/>
                <w:szCs w:val="16"/>
                <w:lang w:eastAsia="sk-SK"/>
              </w:rPr>
              <w:t>Účel</w:t>
            </w:r>
          </w:p>
        </w:tc>
        <w:tc>
          <w:tcPr>
            <w:tcW w:w="1976" w:type="dxa"/>
            <w:tcBorders>
              <w:top w:val="single" w:sz="4" w:space="0" w:color="auto"/>
              <w:left w:val="nil"/>
              <w:bottom w:val="single" w:sz="4" w:space="0" w:color="auto"/>
              <w:right w:val="nil"/>
            </w:tcBorders>
            <w:shd w:val="clear" w:color="auto" w:fill="auto"/>
            <w:noWrap/>
            <w:vAlign w:val="center"/>
            <w:hideMark/>
          </w:tcPr>
          <w:p w14:paraId="416B7D7B" w14:textId="655ABF53" w:rsidR="004C3312" w:rsidRPr="004B2D70" w:rsidRDefault="004C3312" w:rsidP="00274C54">
            <w:pPr>
              <w:spacing w:after="0" w:line="240" w:lineRule="auto"/>
              <w:jc w:val="right"/>
              <w:rPr>
                <w:rFonts w:eastAsia="Times New Roman" w:cs="Times New Roman"/>
                <w:b/>
                <w:bCs/>
                <w:sz w:val="16"/>
                <w:szCs w:val="16"/>
                <w:lang w:eastAsia="sk-SK"/>
              </w:rPr>
            </w:pPr>
            <w:r w:rsidRPr="004B2D70">
              <w:rPr>
                <w:rFonts w:eastAsia="Times New Roman" w:cs="Times New Roman"/>
                <w:b/>
                <w:bCs/>
                <w:sz w:val="16"/>
                <w:szCs w:val="16"/>
                <w:lang w:eastAsia="sk-SK"/>
              </w:rPr>
              <w:t>Suma v tis. eur</w:t>
            </w:r>
          </w:p>
        </w:tc>
      </w:tr>
      <w:tr w:rsidR="004C3312" w:rsidRPr="004B2D70" w14:paraId="6C31E61C" w14:textId="77777777" w:rsidTr="004C3312">
        <w:trPr>
          <w:trHeight w:val="315"/>
        </w:trPr>
        <w:tc>
          <w:tcPr>
            <w:tcW w:w="1257" w:type="dxa"/>
            <w:vMerge w:val="restart"/>
            <w:tcBorders>
              <w:top w:val="nil"/>
              <w:left w:val="nil"/>
              <w:bottom w:val="nil"/>
              <w:right w:val="nil"/>
            </w:tcBorders>
            <w:shd w:val="clear" w:color="000000" w:fill="FFFFFF"/>
            <w:vAlign w:val="center"/>
            <w:hideMark/>
          </w:tcPr>
          <w:p w14:paraId="15BC94C7" w14:textId="77777777" w:rsidR="004C3312" w:rsidRPr="004B2D70"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Úrad pre územné plánovanie a výstavbu</w:t>
            </w:r>
            <w:r w:rsidRPr="004B2D70">
              <w:rPr>
                <w:rFonts w:eastAsia="Times New Roman" w:cs="Times New Roman"/>
                <w:color w:val="000000"/>
                <w:sz w:val="16"/>
                <w:szCs w:val="16"/>
                <w:lang w:eastAsia="sk-SK"/>
              </w:rPr>
              <w:t xml:space="preserve"> SR</w:t>
            </w:r>
          </w:p>
        </w:tc>
        <w:tc>
          <w:tcPr>
            <w:tcW w:w="5839" w:type="dxa"/>
            <w:tcBorders>
              <w:top w:val="nil"/>
              <w:left w:val="nil"/>
              <w:bottom w:val="nil"/>
              <w:right w:val="nil"/>
            </w:tcBorders>
            <w:shd w:val="clear" w:color="000000" w:fill="FFFFFF"/>
            <w:vAlign w:val="bottom"/>
            <w:hideMark/>
          </w:tcPr>
          <w:p w14:paraId="7EA45049"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Na</w:t>
            </w:r>
            <w:r>
              <w:rPr>
                <w:rFonts w:eastAsia="Times New Roman" w:cs="Times New Roman"/>
                <w:color w:val="000000"/>
                <w:sz w:val="16"/>
                <w:szCs w:val="16"/>
                <w:lang w:eastAsia="sk-SK"/>
              </w:rPr>
              <w:t xml:space="preserve"> projekt </w:t>
            </w:r>
            <w:r w:rsidRPr="004B2D70">
              <w:rPr>
                <w:rFonts w:eastAsia="Times New Roman" w:cs="Times New Roman"/>
                <w:color w:val="000000"/>
                <w:sz w:val="16"/>
                <w:szCs w:val="16"/>
                <w:lang w:eastAsia="sk-SK"/>
              </w:rPr>
              <w:t xml:space="preserve"> </w:t>
            </w:r>
            <w:proofErr w:type="spellStart"/>
            <w:r w:rsidRPr="004B2D70">
              <w:rPr>
                <w:rFonts w:eastAsia="Times New Roman" w:cs="Times New Roman"/>
                <w:color w:val="000000"/>
                <w:sz w:val="16"/>
                <w:szCs w:val="16"/>
                <w:lang w:eastAsia="sk-SK"/>
              </w:rPr>
              <w:t>Proof</w:t>
            </w:r>
            <w:proofErr w:type="spellEnd"/>
            <w:r w:rsidRPr="004B2D70">
              <w:rPr>
                <w:rFonts w:eastAsia="Times New Roman" w:cs="Times New Roman"/>
                <w:color w:val="000000"/>
                <w:sz w:val="16"/>
                <w:szCs w:val="16"/>
                <w:lang w:eastAsia="sk-SK"/>
              </w:rPr>
              <w:t xml:space="preserve"> of </w:t>
            </w:r>
            <w:proofErr w:type="spellStart"/>
            <w:r w:rsidRPr="004B2D70">
              <w:rPr>
                <w:rFonts w:eastAsia="Times New Roman" w:cs="Times New Roman"/>
                <w:color w:val="000000"/>
                <w:sz w:val="16"/>
                <w:szCs w:val="16"/>
                <w:lang w:eastAsia="sk-SK"/>
              </w:rPr>
              <w:t>concept</w:t>
            </w:r>
            <w:proofErr w:type="spellEnd"/>
            <w:r>
              <w:rPr>
                <w:rFonts w:eastAsia="Times New Roman" w:cs="Times New Roman"/>
                <w:color w:val="000000"/>
                <w:sz w:val="16"/>
                <w:szCs w:val="16"/>
                <w:lang w:eastAsia="sk-SK"/>
              </w:rPr>
              <w:t xml:space="preserve"> </w:t>
            </w:r>
            <w:r w:rsidRPr="004B2D70">
              <w:rPr>
                <w:rFonts w:eastAsia="Times New Roman" w:cs="Times New Roman"/>
                <w:color w:val="000000"/>
                <w:sz w:val="16"/>
                <w:szCs w:val="16"/>
                <w:lang w:eastAsia="sk-SK"/>
              </w:rPr>
              <w:t xml:space="preserve"> </w:t>
            </w:r>
          </w:p>
        </w:tc>
        <w:tc>
          <w:tcPr>
            <w:tcW w:w="1976" w:type="dxa"/>
            <w:tcBorders>
              <w:top w:val="nil"/>
              <w:left w:val="nil"/>
              <w:bottom w:val="nil"/>
              <w:right w:val="nil"/>
            </w:tcBorders>
            <w:shd w:val="clear" w:color="000000" w:fill="FFFFFF"/>
            <w:vAlign w:val="center"/>
            <w:hideMark/>
          </w:tcPr>
          <w:p w14:paraId="00A8F0FE"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9 592</w:t>
            </w:r>
          </w:p>
        </w:tc>
      </w:tr>
      <w:tr w:rsidR="004C3312" w:rsidRPr="004B2D70" w14:paraId="26504C03" w14:textId="77777777" w:rsidTr="004C3312">
        <w:trPr>
          <w:trHeight w:val="540"/>
        </w:trPr>
        <w:tc>
          <w:tcPr>
            <w:tcW w:w="1257" w:type="dxa"/>
            <w:vMerge/>
            <w:tcBorders>
              <w:top w:val="nil"/>
              <w:left w:val="nil"/>
              <w:bottom w:val="nil"/>
              <w:right w:val="nil"/>
            </w:tcBorders>
            <w:vAlign w:val="center"/>
            <w:hideMark/>
          </w:tcPr>
          <w:p w14:paraId="5155B5F6" w14:textId="77777777" w:rsidR="004C3312" w:rsidRPr="004B2D70" w:rsidRDefault="004C3312" w:rsidP="004C3312">
            <w:pPr>
              <w:spacing w:after="0" w:line="240" w:lineRule="auto"/>
              <w:jc w:val="left"/>
              <w:rPr>
                <w:rFonts w:eastAsia="Times New Roman" w:cs="Times New Roman"/>
                <w:color w:val="000000"/>
                <w:sz w:val="16"/>
                <w:szCs w:val="16"/>
                <w:lang w:eastAsia="sk-SK"/>
              </w:rPr>
            </w:pPr>
          </w:p>
        </w:tc>
        <w:tc>
          <w:tcPr>
            <w:tcW w:w="5839" w:type="dxa"/>
            <w:tcBorders>
              <w:top w:val="nil"/>
              <w:left w:val="nil"/>
              <w:bottom w:val="nil"/>
              <w:right w:val="nil"/>
            </w:tcBorders>
            <w:shd w:val="clear" w:color="auto" w:fill="auto"/>
            <w:vAlign w:val="bottom"/>
            <w:hideMark/>
          </w:tcPr>
          <w:p w14:paraId="6032720F" w14:textId="77777777" w:rsidR="004C3312" w:rsidRPr="007E25F4" w:rsidRDefault="004C3312" w:rsidP="004C3312">
            <w:pPr>
              <w:spacing w:after="0" w:line="240" w:lineRule="auto"/>
              <w:rPr>
                <w:color w:val="000000"/>
                <w:sz w:val="16"/>
                <w:szCs w:val="16"/>
                <w:lang w:eastAsia="sk-SK"/>
              </w:rPr>
            </w:pPr>
            <w:r w:rsidRPr="007E25F4">
              <w:rPr>
                <w:rFonts w:eastAsia="Times New Roman" w:cs="Times New Roman"/>
                <w:color w:val="000000"/>
                <w:sz w:val="16"/>
                <w:szCs w:val="16"/>
                <w:lang w:eastAsia="sk-SK"/>
              </w:rPr>
              <w:t>výskumnou činnosťou, ktorej účelom je vytvorenie návrhu riešenia Informačného systému územného plánovania a výstavby, ktorý má primárne digitalizovať procesy územného plánovania a procesy výstavby.</w:t>
            </w:r>
          </w:p>
          <w:p w14:paraId="0A4EA589"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 xml:space="preserve"> so vznikom Úradu pre územné plánovanie </w:t>
            </w:r>
            <w:r w:rsidRPr="004B2D70">
              <w:rPr>
                <w:rFonts w:eastAsia="Times New Roman" w:cs="Times New Roman"/>
                <w:color w:val="000000"/>
                <w:sz w:val="16"/>
                <w:szCs w:val="16"/>
                <w:lang w:eastAsia="sk-SK"/>
              </w:rPr>
              <w:br/>
              <w:t>a výstavbu SR v súlade s novelou zákona č. 575/2001 – kompetenčný zákon</w:t>
            </w:r>
          </w:p>
        </w:tc>
        <w:tc>
          <w:tcPr>
            <w:tcW w:w="1976" w:type="dxa"/>
            <w:tcBorders>
              <w:top w:val="nil"/>
              <w:left w:val="nil"/>
              <w:bottom w:val="nil"/>
              <w:right w:val="nil"/>
            </w:tcBorders>
            <w:shd w:val="clear" w:color="auto" w:fill="auto"/>
            <w:vAlign w:val="center"/>
            <w:hideMark/>
          </w:tcPr>
          <w:p w14:paraId="06312475"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1 628</w:t>
            </w:r>
          </w:p>
        </w:tc>
      </w:tr>
      <w:tr w:rsidR="004C3312" w:rsidRPr="004B2D70" w14:paraId="5DA70122" w14:textId="77777777" w:rsidTr="004C3312">
        <w:trPr>
          <w:trHeight w:val="442"/>
        </w:trPr>
        <w:tc>
          <w:tcPr>
            <w:tcW w:w="1257" w:type="dxa"/>
            <w:vMerge/>
            <w:tcBorders>
              <w:top w:val="nil"/>
              <w:left w:val="nil"/>
              <w:bottom w:val="nil"/>
              <w:right w:val="nil"/>
            </w:tcBorders>
            <w:vAlign w:val="center"/>
            <w:hideMark/>
          </w:tcPr>
          <w:p w14:paraId="7180C8B5" w14:textId="77777777" w:rsidR="004C3312" w:rsidRPr="004B2D70" w:rsidRDefault="004C3312" w:rsidP="004C3312">
            <w:pPr>
              <w:spacing w:after="0" w:line="240" w:lineRule="auto"/>
              <w:jc w:val="left"/>
              <w:rPr>
                <w:rFonts w:eastAsia="Times New Roman" w:cs="Times New Roman"/>
                <w:color w:val="000000"/>
                <w:sz w:val="16"/>
                <w:szCs w:val="16"/>
                <w:lang w:eastAsia="sk-SK"/>
              </w:rPr>
            </w:pPr>
          </w:p>
        </w:tc>
        <w:tc>
          <w:tcPr>
            <w:tcW w:w="5839" w:type="dxa"/>
            <w:tcBorders>
              <w:top w:val="nil"/>
              <w:left w:val="nil"/>
              <w:bottom w:val="nil"/>
              <w:right w:val="nil"/>
            </w:tcBorders>
            <w:shd w:val="clear" w:color="auto" w:fill="auto"/>
            <w:vAlign w:val="bottom"/>
            <w:hideMark/>
          </w:tcPr>
          <w:p w14:paraId="74A0BBBD" w14:textId="77777777" w:rsidR="004C3312" w:rsidRPr="004B2D70" w:rsidRDefault="004C3312" w:rsidP="004C3312">
            <w:pPr>
              <w:spacing w:after="0" w:line="240" w:lineRule="auto"/>
              <w:rPr>
                <w:rFonts w:eastAsia="Times New Roman" w:cs="Times New Roman"/>
                <w:sz w:val="16"/>
                <w:szCs w:val="16"/>
                <w:lang w:eastAsia="sk-SK"/>
              </w:rPr>
            </w:pPr>
            <w:r w:rsidRPr="004B2D70">
              <w:rPr>
                <w:rFonts w:eastAsia="Times New Roman" w:cs="Times New Roman"/>
                <w:sz w:val="16"/>
                <w:szCs w:val="16"/>
                <w:lang w:eastAsia="sk-SK"/>
              </w:rPr>
              <w:t xml:space="preserve">Na nákup servera z dôvodu zabezpečenia riadneho a plynulého chodu úradu </w:t>
            </w:r>
            <w:r w:rsidRPr="004B2D70">
              <w:rPr>
                <w:rFonts w:eastAsia="Times New Roman" w:cs="Times New Roman"/>
                <w:color w:val="000000"/>
                <w:sz w:val="16"/>
                <w:szCs w:val="16"/>
                <w:lang w:eastAsia="sk-SK"/>
              </w:rPr>
              <w:t>v súlade s novelou zákona č. 575/2001 – kompetenčný zákon</w:t>
            </w:r>
          </w:p>
        </w:tc>
        <w:tc>
          <w:tcPr>
            <w:tcW w:w="1976" w:type="dxa"/>
            <w:tcBorders>
              <w:top w:val="nil"/>
              <w:left w:val="nil"/>
              <w:bottom w:val="nil"/>
              <w:right w:val="nil"/>
            </w:tcBorders>
            <w:shd w:val="clear" w:color="auto" w:fill="auto"/>
            <w:vAlign w:val="center"/>
            <w:hideMark/>
          </w:tcPr>
          <w:p w14:paraId="554F48C1" w14:textId="77777777" w:rsidR="004C3312" w:rsidRPr="004B2D70" w:rsidRDefault="004C3312" w:rsidP="004C3312">
            <w:pPr>
              <w:spacing w:after="0" w:line="240" w:lineRule="auto"/>
              <w:jc w:val="right"/>
              <w:rPr>
                <w:rFonts w:eastAsia="Times New Roman" w:cs="Times New Roman"/>
                <w:sz w:val="16"/>
                <w:szCs w:val="16"/>
                <w:lang w:eastAsia="sk-SK"/>
              </w:rPr>
            </w:pPr>
            <w:r w:rsidRPr="004B2D70">
              <w:rPr>
                <w:rFonts w:cs="Times New Roman"/>
                <w:color w:val="000000"/>
                <w:sz w:val="16"/>
                <w:szCs w:val="16"/>
              </w:rPr>
              <w:t>83</w:t>
            </w:r>
          </w:p>
        </w:tc>
      </w:tr>
      <w:tr w:rsidR="004C3312" w:rsidRPr="004B2D70" w14:paraId="78B3FD3B" w14:textId="77777777" w:rsidTr="004C3312">
        <w:trPr>
          <w:trHeight w:val="704"/>
        </w:trPr>
        <w:tc>
          <w:tcPr>
            <w:tcW w:w="1257" w:type="dxa"/>
            <w:vMerge/>
            <w:tcBorders>
              <w:top w:val="nil"/>
              <w:left w:val="nil"/>
              <w:right w:val="nil"/>
            </w:tcBorders>
            <w:vAlign w:val="center"/>
            <w:hideMark/>
          </w:tcPr>
          <w:p w14:paraId="6AE35A34" w14:textId="77777777" w:rsidR="004C3312" w:rsidRPr="004B2D70" w:rsidRDefault="004C3312" w:rsidP="004C3312">
            <w:pPr>
              <w:spacing w:after="0" w:line="240" w:lineRule="auto"/>
              <w:jc w:val="left"/>
              <w:rPr>
                <w:rFonts w:eastAsia="Times New Roman" w:cs="Times New Roman"/>
                <w:color w:val="000000"/>
                <w:sz w:val="16"/>
                <w:szCs w:val="16"/>
                <w:lang w:eastAsia="sk-SK"/>
              </w:rPr>
            </w:pPr>
          </w:p>
        </w:tc>
        <w:tc>
          <w:tcPr>
            <w:tcW w:w="5839" w:type="dxa"/>
            <w:tcBorders>
              <w:top w:val="nil"/>
              <w:left w:val="nil"/>
              <w:right w:val="nil"/>
            </w:tcBorders>
            <w:shd w:val="clear" w:color="auto" w:fill="auto"/>
            <w:vAlign w:val="bottom"/>
            <w:hideMark/>
          </w:tcPr>
          <w:p w14:paraId="2F086977"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Na nákup nevyhnutnej informačnej a komunikačnej technológie z dôvodu zabezpečenia riadneho a plynulého chodu úradu v súlade s novelou zákona č. 575/2001 – kompetenčný zákon</w:t>
            </w:r>
          </w:p>
        </w:tc>
        <w:tc>
          <w:tcPr>
            <w:tcW w:w="1976" w:type="dxa"/>
            <w:tcBorders>
              <w:top w:val="nil"/>
              <w:left w:val="nil"/>
              <w:right w:val="nil"/>
            </w:tcBorders>
            <w:shd w:val="clear" w:color="auto" w:fill="auto"/>
            <w:vAlign w:val="center"/>
            <w:hideMark/>
          </w:tcPr>
          <w:p w14:paraId="70C2B559"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66</w:t>
            </w:r>
          </w:p>
        </w:tc>
      </w:tr>
      <w:tr w:rsidR="004C3312" w:rsidRPr="004B2D70" w14:paraId="3060A1FA" w14:textId="77777777" w:rsidTr="004C3312">
        <w:trPr>
          <w:trHeight w:val="282"/>
        </w:trPr>
        <w:tc>
          <w:tcPr>
            <w:tcW w:w="7096" w:type="dxa"/>
            <w:gridSpan w:val="2"/>
            <w:tcBorders>
              <w:top w:val="nil"/>
              <w:left w:val="nil"/>
              <w:bottom w:val="single" w:sz="4" w:space="0" w:color="auto"/>
              <w:right w:val="nil"/>
            </w:tcBorders>
            <w:shd w:val="clear" w:color="auto" w:fill="auto"/>
            <w:vAlign w:val="center"/>
            <w:hideMark/>
          </w:tcPr>
          <w:p w14:paraId="2C06C1D6"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Spolu</w:t>
            </w:r>
          </w:p>
        </w:tc>
        <w:tc>
          <w:tcPr>
            <w:tcW w:w="1976" w:type="dxa"/>
            <w:tcBorders>
              <w:top w:val="nil"/>
              <w:left w:val="nil"/>
              <w:bottom w:val="single" w:sz="4" w:space="0" w:color="auto"/>
              <w:right w:val="nil"/>
            </w:tcBorders>
            <w:shd w:val="clear" w:color="auto" w:fill="auto"/>
            <w:vAlign w:val="center"/>
            <w:hideMark/>
          </w:tcPr>
          <w:p w14:paraId="1A46FCE5"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11 369</w:t>
            </w:r>
          </w:p>
        </w:tc>
      </w:tr>
      <w:tr w:rsidR="004C3312" w:rsidRPr="004B2D70" w14:paraId="6EB2AD73" w14:textId="77777777" w:rsidTr="004C3312">
        <w:trPr>
          <w:trHeight w:val="915"/>
        </w:trPr>
        <w:tc>
          <w:tcPr>
            <w:tcW w:w="1257" w:type="dxa"/>
            <w:vMerge w:val="restart"/>
            <w:tcBorders>
              <w:top w:val="single" w:sz="4" w:space="0" w:color="auto"/>
              <w:left w:val="nil"/>
              <w:bottom w:val="nil"/>
              <w:right w:val="nil"/>
            </w:tcBorders>
            <w:shd w:val="clear" w:color="auto" w:fill="auto"/>
            <w:vAlign w:val="center"/>
            <w:hideMark/>
          </w:tcPr>
          <w:p w14:paraId="73E305C7" w14:textId="0A433735" w:rsidR="004C3312" w:rsidRPr="004B2D70" w:rsidRDefault="004C3312" w:rsidP="004C3312">
            <w:pPr>
              <w:spacing w:after="0" w:line="240" w:lineRule="auto"/>
              <w:jc w:val="left"/>
              <w:rPr>
                <w:rFonts w:eastAsia="Times New Roman" w:cs="Times New Roman"/>
                <w:color w:val="000000"/>
                <w:sz w:val="16"/>
                <w:szCs w:val="16"/>
                <w:lang w:eastAsia="sk-SK"/>
              </w:rPr>
            </w:pPr>
            <w:r w:rsidRPr="004B2D70">
              <w:rPr>
                <w:rFonts w:eastAsia="Times New Roman" w:cs="Times New Roman"/>
                <w:color w:val="000000"/>
                <w:sz w:val="16"/>
                <w:szCs w:val="16"/>
                <w:lang w:eastAsia="sk-SK"/>
              </w:rPr>
              <w:t>SR</w:t>
            </w:r>
            <w:r w:rsidR="00274C54">
              <w:rPr>
                <w:rFonts w:eastAsia="Times New Roman" w:cs="Times New Roman"/>
                <w:color w:val="000000"/>
                <w:sz w:val="16"/>
                <w:szCs w:val="16"/>
                <w:lang w:eastAsia="sk-SK"/>
              </w:rPr>
              <w:t xml:space="preserve"> Ministerstvo životného prostredia</w:t>
            </w:r>
          </w:p>
        </w:tc>
        <w:tc>
          <w:tcPr>
            <w:tcW w:w="5839" w:type="dxa"/>
            <w:tcBorders>
              <w:top w:val="single" w:sz="4" w:space="0" w:color="auto"/>
              <w:left w:val="nil"/>
              <w:bottom w:val="nil"/>
              <w:right w:val="nil"/>
            </w:tcBorders>
            <w:shd w:val="clear" w:color="auto" w:fill="auto"/>
            <w:vAlign w:val="bottom"/>
            <w:hideMark/>
          </w:tcPr>
          <w:p w14:paraId="247FD6DA" w14:textId="77777777" w:rsidR="004C3312" w:rsidRPr="004B2D70" w:rsidRDefault="004C3312" w:rsidP="004C3312">
            <w:pPr>
              <w:spacing w:after="0" w:line="240" w:lineRule="auto"/>
              <w:rPr>
                <w:rFonts w:eastAsia="Times New Roman" w:cs="Times New Roman"/>
                <w:sz w:val="16"/>
                <w:szCs w:val="16"/>
                <w:lang w:eastAsia="sk-SK"/>
              </w:rPr>
            </w:pPr>
            <w:r w:rsidRPr="004B2D70">
              <w:rPr>
                <w:rFonts w:eastAsia="Times New Roman" w:cs="Times New Roman"/>
                <w:sz w:val="16"/>
                <w:szCs w:val="16"/>
                <w:lang w:eastAsia="sk-SK"/>
              </w:rPr>
              <w:t xml:space="preserve">Na zabezpečenie financovania úloh novovzniknutých správ národných parkov vyplývajúcich zo zákona č. 6/2022 Z. z., ktorým sa mení a dopĺňa zákon </w:t>
            </w:r>
            <w:r w:rsidRPr="004B2D70">
              <w:rPr>
                <w:rFonts w:eastAsia="Times New Roman" w:cs="Times New Roman"/>
                <w:sz w:val="16"/>
                <w:szCs w:val="16"/>
                <w:lang w:eastAsia="sk-SK"/>
              </w:rPr>
              <w:br/>
              <w:t xml:space="preserve">č. 543/2002 Z. z. o ochrane prírody a krajiny v znení neskorších predpisov a ktorým </w:t>
            </w:r>
            <w:r w:rsidRPr="004B2D70">
              <w:rPr>
                <w:rFonts w:eastAsia="Times New Roman" w:cs="Times New Roman"/>
                <w:sz w:val="16"/>
                <w:szCs w:val="16"/>
                <w:lang w:eastAsia="sk-SK"/>
              </w:rPr>
              <w:br/>
              <w:t>sa menia a dopĺňajú niektoré zákony</w:t>
            </w:r>
          </w:p>
        </w:tc>
        <w:tc>
          <w:tcPr>
            <w:tcW w:w="1976" w:type="dxa"/>
            <w:tcBorders>
              <w:top w:val="single" w:sz="4" w:space="0" w:color="auto"/>
              <w:left w:val="nil"/>
              <w:bottom w:val="nil"/>
              <w:right w:val="nil"/>
            </w:tcBorders>
            <w:shd w:val="clear" w:color="auto" w:fill="auto"/>
            <w:vAlign w:val="center"/>
            <w:hideMark/>
          </w:tcPr>
          <w:p w14:paraId="57623C5D" w14:textId="77777777" w:rsidR="004C3312" w:rsidRPr="004B2D70" w:rsidRDefault="004C3312" w:rsidP="004C3312">
            <w:pPr>
              <w:spacing w:after="0" w:line="240" w:lineRule="auto"/>
              <w:jc w:val="right"/>
              <w:rPr>
                <w:rFonts w:eastAsia="Times New Roman" w:cs="Times New Roman"/>
                <w:sz w:val="16"/>
                <w:szCs w:val="16"/>
                <w:lang w:eastAsia="sk-SK"/>
              </w:rPr>
            </w:pPr>
            <w:r w:rsidRPr="004B2D70">
              <w:rPr>
                <w:rFonts w:cs="Times New Roman"/>
                <w:color w:val="000000"/>
                <w:sz w:val="16"/>
                <w:szCs w:val="16"/>
              </w:rPr>
              <w:t>10 625</w:t>
            </w:r>
          </w:p>
        </w:tc>
      </w:tr>
      <w:tr w:rsidR="004C3312" w:rsidRPr="004B2D70" w14:paraId="1A1F5DAB" w14:textId="77777777" w:rsidTr="004C3312">
        <w:trPr>
          <w:trHeight w:val="669"/>
        </w:trPr>
        <w:tc>
          <w:tcPr>
            <w:tcW w:w="1257" w:type="dxa"/>
            <w:vMerge/>
            <w:tcBorders>
              <w:left w:val="nil"/>
              <w:bottom w:val="nil"/>
              <w:right w:val="nil"/>
            </w:tcBorders>
            <w:shd w:val="clear" w:color="auto" w:fill="auto"/>
            <w:vAlign w:val="center"/>
            <w:hideMark/>
          </w:tcPr>
          <w:p w14:paraId="57B503AC" w14:textId="77777777" w:rsidR="004C3312" w:rsidRPr="004B2D70" w:rsidRDefault="004C3312" w:rsidP="004C3312">
            <w:pPr>
              <w:spacing w:after="0" w:line="240" w:lineRule="auto"/>
              <w:jc w:val="left"/>
              <w:rPr>
                <w:rFonts w:eastAsia="Times New Roman" w:cs="Times New Roman"/>
                <w:color w:val="000000"/>
                <w:sz w:val="16"/>
                <w:szCs w:val="16"/>
                <w:lang w:eastAsia="sk-SK"/>
              </w:rPr>
            </w:pPr>
          </w:p>
        </w:tc>
        <w:tc>
          <w:tcPr>
            <w:tcW w:w="5839" w:type="dxa"/>
            <w:tcBorders>
              <w:top w:val="nil"/>
              <w:left w:val="nil"/>
              <w:bottom w:val="nil"/>
              <w:right w:val="nil"/>
            </w:tcBorders>
            <w:shd w:val="clear" w:color="auto" w:fill="auto"/>
            <w:vAlign w:val="bottom"/>
            <w:hideMark/>
          </w:tcPr>
          <w:p w14:paraId="565AB0BB"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 xml:space="preserve">Na zriadenie odboru pre manažment národných parkov v súlade so zákonom </w:t>
            </w:r>
            <w:r w:rsidRPr="004B2D70">
              <w:rPr>
                <w:rFonts w:eastAsia="Times New Roman" w:cs="Times New Roman"/>
                <w:color w:val="000000"/>
                <w:sz w:val="16"/>
                <w:szCs w:val="16"/>
                <w:lang w:eastAsia="sk-SK"/>
              </w:rPr>
              <w:br/>
              <w:t xml:space="preserve">č. 6/2022 Z. z., ktorým sa mení a dopĺňa zákon č. 543/2002 Z. z. o ochrane prírody </w:t>
            </w:r>
            <w:r w:rsidRPr="004B2D70">
              <w:rPr>
                <w:rFonts w:eastAsia="Times New Roman" w:cs="Times New Roman"/>
                <w:color w:val="000000"/>
                <w:sz w:val="16"/>
                <w:szCs w:val="16"/>
                <w:lang w:eastAsia="sk-SK"/>
              </w:rPr>
              <w:br/>
              <w:t>a krajiny v znení neskorších predpisov a ktorým sa menia a dopĺňajú niektoré zákony</w:t>
            </w:r>
          </w:p>
        </w:tc>
        <w:tc>
          <w:tcPr>
            <w:tcW w:w="1976" w:type="dxa"/>
            <w:tcBorders>
              <w:top w:val="nil"/>
              <w:left w:val="nil"/>
              <w:bottom w:val="nil"/>
              <w:right w:val="nil"/>
            </w:tcBorders>
            <w:shd w:val="clear" w:color="auto" w:fill="auto"/>
            <w:vAlign w:val="center"/>
            <w:hideMark/>
          </w:tcPr>
          <w:p w14:paraId="703AC834" w14:textId="77777777" w:rsidR="004C3312" w:rsidRPr="004B2D70" w:rsidRDefault="004C3312" w:rsidP="004C3312">
            <w:pPr>
              <w:spacing w:after="0" w:line="240" w:lineRule="auto"/>
              <w:jc w:val="right"/>
              <w:rPr>
                <w:rFonts w:eastAsia="Times New Roman" w:cs="Times New Roman"/>
                <w:sz w:val="16"/>
                <w:szCs w:val="16"/>
                <w:lang w:eastAsia="sk-SK"/>
              </w:rPr>
            </w:pPr>
            <w:r w:rsidRPr="004B2D70">
              <w:rPr>
                <w:rFonts w:cs="Times New Roman"/>
                <w:color w:val="000000"/>
                <w:sz w:val="16"/>
                <w:szCs w:val="16"/>
              </w:rPr>
              <w:t>111</w:t>
            </w:r>
          </w:p>
        </w:tc>
      </w:tr>
      <w:tr w:rsidR="004C3312" w:rsidRPr="004B2D70" w14:paraId="65EBA1F6" w14:textId="77777777" w:rsidTr="004C3312">
        <w:trPr>
          <w:trHeight w:val="611"/>
        </w:trPr>
        <w:tc>
          <w:tcPr>
            <w:tcW w:w="1257" w:type="dxa"/>
            <w:vMerge/>
            <w:tcBorders>
              <w:left w:val="nil"/>
              <w:bottom w:val="nil"/>
              <w:right w:val="nil"/>
            </w:tcBorders>
            <w:shd w:val="clear" w:color="auto" w:fill="auto"/>
            <w:vAlign w:val="center"/>
            <w:hideMark/>
          </w:tcPr>
          <w:p w14:paraId="40591674" w14:textId="77777777" w:rsidR="004C3312" w:rsidRPr="004B2D70" w:rsidRDefault="004C3312" w:rsidP="004C3312">
            <w:pPr>
              <w:spacing w:after="0" w:line="240" w:lineRule="auto"/>
              <w:jc w:val="left"/>
              <w:rPr>
                <w:rFonts w:eastAsia="Times New Roman" w:cs="Times New Roman"/>
                <w:color w:val="000000"/>
                <w:sz w:val="16"/>
                <w:szCs w:val="16"/>
                <w:lang w:eastAsia="sk-SK"/>
              </w:rPr>
            </w:pPr>
          </w:p>
        </w:tc>
        <w:tc>
          <w:tcPr>
            <w:tcW w:w="5839" w:type="dxa"/>
            <w:tcBorders>
              <w:top w:val="nil"/>
              <w:left w:val="nil"/>
              <w:bottom w:val="nil"/>
              <w:right w:val="nil"/>
            </w:tcBorders>
            <w:shd w:val="clear" w:color="auto" w:fill="auto"/>
            <w:vAlign w:val="bottom"/>
            <w:hideMark/>
          </w:tcPr>
          <w:p w14:paraId="34BF35DC" w14:textId="77777777" w:rsidR="004C3312" w:rsidRPr="004B2D70" w:rsidRDefault="004C3312" w:rsidP="004C3312">
            <w:pPr>
              <w:spacing w:after="0" w:line="240" w:lineRule="auto"/>
              <w:rPr>
                <w:rFonts w:eastAsia="Times New Roman" w:cs="Times New Roman"/>
                <w:sz w:val="16"/>
                <w:szCs w:val="16"/>
                <w:lang w:eastAsia="sk-SK"/>
              </w:rPr>
            </w:pPr>
            <w:r w:rsidRPr="004B2D70">
              <w:rPr>
                <w:rFonts w:eastAsia="Times New Roman" w:cs="Times New Roman"/>
                <w:sz w:val="16"/>
                <w:szCs w:val="16"/>
                <w:lang w:eastAsia="sk-SK"/>
              </w:rPr>
              <w:t xml:space="preserve">Na úlohy Slovenskej inšpekcie životného prostredia vyplývajúce zo zákona </w:t>
            </w:r>
            <w:r w:rsidRPr="004B2D70">
              <w:rPr>
                <w:rFonts w:eastAsia="Times New Roman" w:cs="Times New Roman"/>
                <w:sz w:val="16"/>
                <w:szCs w:val="16"/>
                <w:lang w:eastAsia="sk-SK"/>
              </w:rPr>
              <w:br/>
              <w:t xml:space="preserve">č. 7/2022 Z. z. o ochrane druhov voľne žijúcich živočíchov </w:t>
            </w:r>
          </w:p>
        </w:tc>
        <w:tc>
          <w:tcPr>
            <w:tcW w:w="1976" w:type="dxa"/>
            <w:tcBorders>
              <w:top w:val="nil"/>
              <w:left w:val="nil"/>
              <w:bottom w:val="nil"/>
              <w:right w:val="nil"/>
            </w:tcBorders>
            <w:shd w:val="clear" w:color="auto" w:fill="auto"/>
            <w:vAlign w:val="center"/>
            <w:hideMark/>
          </w:tcPr>
          <w:p w14:paraId="26820AF8" w14:textId="77777777" w:rsidR="004C3312" w:rsidRPr="004B2D70" w:rsidRDefault="004C3312" w:rsidP="004C3312">
            <w:pPr>
              <w:spacing w:after="0" w:line="240" w:lineRule="auto"/>
              <w:jc w:val="right"/>
              <w:rPr>
                <w:rFonts w:eastAsia="Times New Roman" w:cs="Times New Roman"/>
                <w:sz w:val="16"/>
                <w:szCs w:val="16"/>
                <w:lang w:eastAsia="sk-SK"/>
              </w:rPr>
            </w:pPr>
            <w:r w:rsidRPr="004B2D70">
              <w:rPr>
                <w:rFonts w:cs="Times New Roman"/>
                <w:color w:val="000000"/>
                <w:sz w:val="16"/>
                <w:szCs w:val="16"/>
              </w:rPr>
              <w:t>68</w:t>
            </w:r>
          </w:p>
        </w:tc>
      </w:tr>
      <w:tr w:rsidR="004C3312" w:rsidRPr="004B2D70" w14:paraId="369A9686" w14:textId="77777777" w:rsidTr="004C3312">
        <w:trPr>
          <w:trHeight w:val="340"/>
        </w:trPr>
        <w:tc>
          <w:tcPr>
            <w:tcW w:w="7096" w:type="dxa"/>
            <w:gridSpan w:val="2"/>
            <w:tcBorders>
              <w:top w:val="nil"/>
              <w:left w:val="nil"/>
              <w:bottom w:val="nil"/>
              <w:right w:val="nil"/>
            </w:tcBorders>
            <w:shd w:val="clear" w:color="auto" w:fill="auto"/>
            <w:vAlign w:val="center"/>
            <w:hideMark/>
          </w:tcPr>
          <w:p w14:paraId="1BB13A5A"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 xml:space="preserve">Spolu </w:t>
            </w:r>
          </w:p>
        </w:tc>
        <w:tc>
          <w:tcPr>
            <w:tcW w:w="1976" w:type="dxa"/>
            <w:tcBorders>
              <w:top w:val="nil"/>
              <w:left w:val="nil"/>
              <w:bottom w:val="nil"/>
              <w:right w:val="nil"/>
            </w:tcBorders>
            <w:shd w:val="clear" w:color="auto" w:fill="auto"/>
            <w:vAlign w:val="center"/>
            <w:hideMark/>
          </w:tcPr>
          <w:p w14:paraId="79185C51"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10 805</w:t>
            </w:r>
          </w:p>
        </w:tc>
      </w:tr>
      <w:tr w:rsidR="004C3312" w:rsidRPr="004B2D70" w14:paraId="041E3017" w14:textId="77777777" w:rsidTr="004C3312">
        <w:trPr>
          <w:trHeight w:val="405"/>
        </w:trPr>
        <w:tc>
          <w:tcPr>
            <w:tcW w:w="1257" w:type="dxa"/>
            <w:vMerge w:val="restart"/>
            <w:tcBorders>
              <w:top w:val="single" w:sz="4" w:space="0" w:color="auto"/>
              <w:left w:val="nil"/>
              <w:bottom w:val="nil"/>
              <w:right w:val="nil"/>
            </w:tcBorders>
            <w:shd w:val="clear" w:color="auto" w:fill="auto"/>
            <w:vAlign w:val="center"/>
            <w:hideMark/>
          </w:tcPr>
          <w:p w14:paraId="638D5956" w14:textId="77777777" w:rsidR="004C3312" w:rsidRPr="004B2D70"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Úrad vlády</w:t>
            </w:r>
            <w:r w:rsidRPr="004B2D70">
              <w:rPr>
                <w:rFonts w:eastAsia="Times New Roman" w:cs="Times New Roman"/>
                <w:color w:val="000000"/>
                <w:sz w:val="16"/>
                <w:szCs w:val="16"/>
                <w:lang w:eastAsia="sk-SK"/>
              </w:rPr>
              <w:t xml:space="preserve"> SR </w:t>
            </w:r>
          </w:p>
        </w:tc>
        <w:tc>
          <w:tcPr>
            <w:tcW w:w="5839" w:type="dxa"/>
            <w:tcBorders>
              <w:top w:val="single" w:sz="4" w:space="0" w:color="auto"/>
              <w:left w:val="nil"/>
              <w:bottom w:val="nil"/>
              <w:right w:val="nil"/>
            </w:tcBorders>
            <w:shd w:val="clear" w:color="auto" w:fill="auto"/>
            <w:vAlign w:val="bottom"/>
            <w:hideMark/>
          </w:tcPr>
          <w:p w14:paraId="40A91D19" w14:textId="77777777" w:rsidR="004C3312" w:rsidRPr="004B2D70" w:rsidRDefault="004C3312" w:rsidP="004C3312">
            <w:pPr>
              <w:spacing w:after="0" w:line="240" w:lineRule="auto"/>
              <w:rPr>
                <w:rFonts w:eastAsia="Times New Roman" w:cs="Times New Roman"/>
                <w:color w:val="000000"/>
                <w:sz w:val="16"/>
                <w:szCs w:val="16"/>
                <w:lang w:eastAsia="sk-SK"/>
              </w:rPr>
            </w:pPr>
          </w:p>
          <w:p w14:paraId="32CE0E4A"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Na vytvorenie elektronickej platformy na verejné obstarávanie (EPVO) pre ÚPPVL v súlade s novelou zákona č. 343/2015 Z. z. o verejnom obstarávaní a o zmene a doplnení niektorých zákonov</w:t>
            </w:r>
          </w:p>
          <w:p w14:paraId="26070E4B" w14:textId="77777777" w:rsidR="004C3312" w:rsidRPr="004B2D70" w:rsidRDefault="004C3312" w:rsidP="004C3312">
            <w:pPr>
              <w:spacing w:after="0" w:line="240" w:lineRule="auto"/>
              <w:rPr>
                <w:rFonts w:eastAsia="Times New Roman" w:cs="Times New Roman"/>
                <w:color w:val="000000"/>
                <w:sz w:val="16"/>
                <w:szCs w:val="16"/>
                <w:lang w:eastAsia="sk-SK"/>
              </w:rPr>
            </w:pPr>
          </w:p>
        </w:tc>
        <w:tc>
          <w:tcPr>
            <w:tcW w:w="1976" w:type="dxa"/>
            <w:tcBorders>
              <w:top w:val="single" w:sz="4" w:space="0" w:color="auto"/>
              <w:left w:val="nil"/>
              <w:bottom w:val="nil"/>
              <w:right w:val="nil"/>
            </w:tcBorders>
            <w:shd w:val="clear" w:color="auto" w:fill="auto"/>
            <w:vAlign w:val="center"/>
            <w:hideMark/>
          </w:tcPr>
          <w:p w14:paraId="77BC0BD0"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5 095</w:t>
            </w:r>
          </w:p>
        </w:tc>
      </w:tr>
      <w:tr w:rsidR="004C3312" w:rsidRPr="004B2D70" w14:paraId="4B87B98D" w14:textId="77777777" w:rsidTr="004C3312">
        <w:trPr>
          <w:trHeight w:val="456"/>
        </w:trPr>
        <w:tc>
          <w:tcPr>
            <w:tcW w:w="1257" w:type="dxa"/>
            <w:vMerge/>
            <w:tcBorders>
              <w:top w:val="single" w:sz="4" w:space="0" w:color="auto"/>
              <w:left w:val="nil"/>
              <w:bottom w:val="nil"/>
              <w:right w:val="nil"/>
            </w:tcBorders>
            <w:shd w:val="clear" w:color="auto" w:fill="auto"/>
            <w:vAlign w:val="center"/>
            <w:hideMark/>
          </w:tcPr>
          <w:p w14:paraId="152789D8" w14:textId="77777777" w:rsidR="004C3312" w:rsidRPr="004B2D70" w:rsidRDefault="004C3312" w:rsidP="004C3312">
            <w:pPr>
              <w:spacing w:after="0" w:line="240" w:lineRule="auto"/>
              <w:jc w:val="left"/>
              <w:rPr>
                <w:rFonts w:eastAsia="Times New Roman" w:cs="Times New Roman"/>
                <w:color w:val="000000"/>
                <w:sz w:val="16"/>
                <w:szCs w:val="16"/>
                <w:lang w:eastAsia="sk-SK"/>
              </w:rPr>
            </w:pPr>
          </w:p>
        </w:tc>
        <w:tc>
          <w:tcPr>
            <w:tcW w:w="5839" w:type="dxa"/>
            <w:tcBorders>
              <w:top w:val="nil"/>
              <w:left w:val="nil"/>
              <w:bottom w:val="nil"/>
              <w:right w:val="nil"/>
            </w:tcBorders>
            <w:shd w:val="clear" w:color="auto" w:fill="auto"/>
            <w:vAlign w:val="bottom"/>
            <w:hideMark/>
          </w:tcPr>
          <w:p w14:paraId="28DFF2BF"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 xml:space="preserve">Na predĺženie elektronického trhoviska, sledovanie vývoja cien do EPVO, podporu infraštruktúry a nastavenie </w:t>
            </w:r>
            <w:proofErr w:type="spellStart"/>
            <w:r w:rsidRPr="004B2D70">
              <w:rPr>
                <w:rFonts w:eastAsia="Times New Roman" w:cs="Times New Roman"/>
                <w:color w:val="000000"/>
                <w:sz w:val="16"/>
                <w:szCs w:val="16"/>
                <w:lang w:eastAsia="sk-SK"/>
              </w:rPr>
              <w:t>cloudových</w:t>
            </w:r>
            <w:proofErr w:type="spellEnd"/>
            <w:r w:rsidRPr="004B2D70">
              <w:rPr>
                <w:rFonts w:eastAsia="Times New Roman" w:cs="Times New Roman"/>
                <w:color w:val="000000"/>
                <w:sz w:val="16"/>
                <w:szCs w:val="16"/>
                <w:lang w:eastAsia="sk-SK"/>
              </w:rPr>
              <w:t xml:space="preserve"> služieb pre ÚPPVL</w:t>
            </w:r>
          </w:p>
          <w:p w14:paraId="3270439B" w14:textId="77777777" w:rsidR="004C3312" w:rsidRPr="004B2D70" w:rsidRDefault="004C3312" w:rsidP="004C3312">
            <w:pPr>
              <w:spacing w:after="0" w:line="240" w:lineRule="auto"/>
              <w:rPr>
                <w:rFonts w:eastAsia="Times New Roman" w:cs="Times New Roman"/>
                <w:color w:val="000000"/>
                <w:sz w:val="16"/>
                <w:szCs w:val="16"/>
                <w:lang w:eastAsia="sk-SK"/>
              </w:rPr>
            </w:pPr>
          </w:p>
        </w:tc>
        <w:tc>
          <w:tcPr>
            <w:tcW w:w="1976" w:type="dxa"/>
            <w:tcBorders>
              <w:top w:val="nil"/>
              <w:left w:val="nil"/>
              <w:bottom w:val="nil"/>
              <w:right w:val="nil"/>
            </w:tcBorders>
            <w:shd w:val="clear" w:color="auto" w:fill="auto"/>
            <w:vAlign w:val="center"/>
            <w:hideMark/>
          </w:tcPr>
          <w:p w14:paraId="17DE7052"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575</w:t>
            </w:r>
          </w:p>
        </w:tc>
      </w:tr>
      <w:tr w:rsidR="004C3312" w:rsidRPr="004B2D70" w14:paraId="4A5917BA" w14:textId="77777777" w:rsidTr="004C3312">
        <w:trPr>
          <w:trHeight w:val="278"/>
        </w:trPr>
        <w:tc>
          <w:tcPr>
            <w:tcW w:w="1257" w:type="dxa"/>
            <w:vMerge/>
            <w:tcBorders>
              <w:top w:val="single" w:sz="4" w:space="0" w:color="auto"/>
              <w:left w:val="nil"/>
              <w:bottom w:val="nil"/>
              <w:right w:val="nil"/>
            </w:tcBorders>
            <w:shd w:val="clear" w:color="auto" w:fill="auto"/>
            <w:vAlign w:val="center"/>
            <w:hideMark/>
          </w:tcPr>
          <w:p w14:paraId="30E6462B" w14:textId="77777777" w:rsidR="004C3312" w:rsidRPr="004B2D70" w:rsidRDefault="004C3312" w:rsidP="004C3312">
            <w:pPr>
              <w:spacing w:after="0" w:line="240" w:lineRule="auto"/>
              <w:jc w:val="left"/>
              <w:rPr>
                <w:rFonts w:eastAsia="Times New Roman" w:cs="Times New Roman"/>
                <w:color w:val="000000"/>
                <w:sz w:val="16"/>
                <w:szCs w:val="16"/>
                <w:lang w:eastAsia="sk-SK"/>
              </w:rPr>
            </w:pPr>
          </w:p>
        </w:tc>
        <w:tc>
          <w:tcPr>
            <w:tcW w:w="5839" w:type="dxa"/>
            <w:tcBorders>
              <w:top w:val="nil"/>
              <w:left w:val="nil"/>
              <w:bottom w:val="nil"/>
              <w:right w:val="nil"/>
            </w:tcBorders>
            <w:shd w:val="clear" w:color="auto" w:fill="auto"/>
            <w:vAlign w:val="bottom"/>
            <w:hideMark/>
          </w:tcPr>
          <w:p w14:paraId="0D1EA156"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 xml:space="preserve">Na príspevok na činnosť Agentúry štátom podporovaného nájomného bývania podľa UZN č. 464/2022 </w:t>
            </w:r>
          </w:p>
        </w:tc>
        <w:tc>
          <w:tcPr>
            <w:tcW w:w="1976" w:type="dxa"/>
            <w:tcBorders>
              <w:top w:val="nil"/>
              <w:left w:val="nil"/>
              <w:bottom w:val="nil"/>
              <w:right w:val="nil"/>
            </w:tcBorders>
            <w:shd w:val="clear" w:color="auto" w:fill="auto"/>
            <w:vAlign w:val="center"/>
            <w:hideMark/>
          </w:tcPr>
          <w:p w14:paraId="6B201F2E"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333</w:t>
            </w:r>
          </w:p>
        </w:tc>
      </w:tr>
      <w:tr w:rsidR="004C3312" w:rsidRPr="004B2D70" w14:paraId="74DA9143" w14:textId="77777777" w:rsidTr="004C3312">
        <w:trPr>
          <w:trHeight w:val="361"/>
        </w:trPr>
        <w:tc>
          <w:tcPr>
            <w:tcW w:w="7096" w:type="dxa"/>
            <w:gridSpan w:val="2"/>
            <w:tcBorders>
              <w:top w:val="nil"/>
              <w:left w:val="nil"/>
              <w:bottom w:val="nil"/>
              <w:right w:val="nil"/>
            </w:tcBorders>
            <w:shd w:val="clear" w:color="auto" w:fill="auto"/>
            <w:vAlign w:val="center"/>
            <w:hideMark/>
          </w:tcPr>
          <w:p w14:paraId="56F029B0"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Spolu</w:t>
            </w:r>
          </w:p>
        </w:tc>
        <w:tc>
          <w:tcPr>
            <w:tcW w:w="1976" w:type="dxa"/>
            <w:tcBorders>
              <w:top w:val="nil"/>
              <w:left w:val="nil"/>
              <w:bottom w:val="nil"/>
              <w:right w:val="nil"/>
            </w:tcBorders>
            <w:shd w:val="clear" w:color="auto" w:fill="auto"/>
            <w:vAlign w:val="center"/>
            <w:hideMark/>
          </w:tcPr>
          <w:p w14:paraId="567C2D16"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6 002</w:t>
            </w:r>
          </w:p>
        </w:tc>
      </w:tr>
      <w:tr w:rsidR="004C3312" w:rsidRPr="004B2D70" w14:paraId="0B6C9031" w14:textId="77777777" w:rsidTr="004C3312">
        <w:trPr>
          <w:trHeight w:val="495"/>
        </w:trPr>
        <w:tc>
          <w:tcPr>
            <w:tcW w:w="1257" w:type="dxa"/>
            <w:tcBorders>
              <w:top w:val="single" w:sz="4" w:space="0" w:color="auto"/>
              <w:left w:val="nil"/>
              <w:bottom w:val="nil"/>
              <w:right w:val="nil"/>
            </w:tcBorders>
            <w:shd w:val="clear" w:color="auto" w:fill="auto"/>
            <w:vAlign w:val="center"/>
            <w:hideMark/>
          </w:tcPr>
          <w:p w14:paraId="0003A33E" w14:textId="77777777" w:rsidR="004C3312" w:rsidRPr="004B2D70"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Úrad pre verejné obstarávanie</w:t>
            </w:r>
            <w:r w:rsidRPr="004B2D70">
              <w:rPr>
                <w:rFonts w:eastAsia="Times New Roman" w:cs="Times New Roman"/>
                <w:color w:val="000000"/>
                <w:sz w:val="16"/>
                <w:szCs w:val="16"/>
                <w:lang w:eastAsia="sk-SK"/>
              </w:rPr>
              <w:t xml:space="preserve"> </w:t>
            </w:r>
          </w:p>
        </w:tc>
        <w:tc>
          <w:tcPr>
            <w:tcW w:w="5839" w:type="dxa"/>
            <w:tcBorders>
              <w:top w:val="single" w:sz="4" w:space="0" w:color="auto"/>
              <w:left w:val="nil"/>
              <w:bottom w:val="nil"/>
              <w:right w:val="nil"/>
            </w:tcBorders>
            <w:shd w:val="clear" w:color="auto" w:fill="auto"/>
            <w:vAlign w:val="bottom"/>
            <w:hideMark/>
          </w:tcPr>
          <w:p w14:paraId="269A2438"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 xml:space="preserve">Na profesionalizáciu verejného obstarávania podľa novely zákona č. 343/2015 Z. z. </w:t>
            </w:r>
            <w:r w:rsidRPr="004B2D70">
              <w:rPr>
                <w:rFonts w:eastAsia="Times New Roman" w:cs="Times New Roman"/>
                <w:color w:val="000000"/>
                <w:sz w:val="16"/>
                <w:szCs w:val="16"/>
                <w:lang w:eastAsia="sk-SK"/>
              </w:rPr>
              <w:br/>
              <w:t>o verejnom obstarávaní a o zmene a doplnení niektorých zákonov</w:t>
            </w:r>
          </w:p>
        </w:tc>
        <w:tc>
          <w:tcPr>
            <w:tcW w:w="1976" w:type="dxa"/>
            <w:tcBorders>
              <w:top w:val="single" w:sz="4" w:space="0" w:color="auto"/>
              <w:left w:val="nil"/>
              <w:bottom w:val="nil"/>
              <w:right w:val="nil"/>
            </w:tcBorders>
            <w:shd w:val="clear" w:color="auto" w:fill="auto"/>
            <w:vAlign w:val="center"/>
            <w:hideMark/>
          </w:tcPr>
          <w:p w14:paraId="026C2FA5"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1 550</w:t>
            </w:r>
          </w:p>
        </w:tc>
      </w:tr>
      <w:tr w:rsidR="004C3312" w:rsidRPr="004B2D70" w14:paraId="298264B2" w14:textId="77777777" w:rsidTr="004C3312">
        <w:trPr>
          <w:trHeight w:val="396"/>
        </w:trPr>
        <w:tc>
          <w:tcPr>
            <w:tcW w:w="7096" w:type="dxa"/>
            <w:gridSpan w:val="2"/>
            <w:tcBorders>
              <w:top w:val="nil"/>
              <w:left w:val="nil"/>
              <w:bottom w:val="single" w:sz="4" w:space="0" w:color="auto"/>
              <w:right w:val="nil"/>
            </w:tcBorders>
            <w:shd w:val="clear" w:color="auto" w:fill="auto"/>
            <w:vAlign w:val="center"/>
            <w:hideMark/>
          </w:tcPr>
          <w:p w14:paraId="5EE46F52"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Spolu</w:t>
            </w:r>
          </w:p>
        </w:tc>
        <w:tc>
          <w:tcPr>
            <w:tcW w:w="1976" w:type="dxa"/>
            <w:tcBorders>
              <w:top w:val="nil"/>
              <w:left w:val="nil"/>
              <w:bottom w:val="single" w:sz="4" w:space="0" w:color="auto"/>
              <w:right w:val="nil"/>
            </w:tcBorders>
            <w:shd w:val="clear" w:color="auto" w:fill="auto"/>
            <w:vAlign w:val="center"/>
            <w:hideMark/>
          </w:tcPr>
          <w:p w14:paraId="7C8F88DC"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1 550</w:t>
            </w:r>
          </w:p>
        </w:tc>
      </w:tr>
      <w:tr w:rsidR="004C3312" w:rsidRPr="004B2D70" w14:paraId="3FC463EC" w14:textId="77777777" w:rsidTr="001D0537">
        <w:trPr>
          <w:trHeight w:val="450"/>
        </w:trPr>
        <w:tc>
          <w:tcPr>
            <w:tcW w:w="1257" w:type="dxa"/>
            <w:tcBorders>
              <w:top w:val="single" w:sz="4" w:space="0" w:color="auto"/>
              <w:left w:val="nil"/>
              <w:bottom w:val="nil"/>
              <w:right w:val="nil"/>
            </w:tcBorders>
            <w:shd w:val="clear" w:color="auto" w:fill="auto"/>
            <w:vAlign w:val="center"/>
            <w:hideMark/>
          </w:tcPr>
          <w:p w14:paraId="0A5DD569" w14:textId="77777777" w:rsidR="004C3312" w:rsidRPr="004B2D70"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vnútra</w:t>
            </w:r>
            <w:r w:rsidRPr="004B2D70">
              <w:rPr>
                <w:rFonts w:eastAsia="Times New Roman" w:cs="Times New Roman"/>
                <w:sz w:val="16"/>
                <w:szCs w:val="16"/>
                <w:lang w:eastAsia="sk-SK"/>
              </w:rPr>
              <w:t xml:space="preserve"> SR</w:t>
            </w:r>
          </w:p>
        </w:tc>
        <w:tc>
          <w:tcPr>
            <w:tcW w:w="5839" w:type="dxa"/>
            <w:tcBorders>
              <w:top w:val="single" w:sz="4" w:space="0" w:color="auto"/>
              <w:left w:val="nil"/>
              <w:bottom w:val="nil"/>
              <w:right w:val="nil"/>
            </w:tcBorders>
            <w:shd w:val="clear" w:color="auto" w:fill="auto"/>
            <w:vAlign w:val="center"/>
            <w:hideMark/>
          </w:tcPr>
          <w:p w14:paraId="04613899" w14:textId="77777777" w:rsidR="004C3312" w:rsidRPr="004B2D70" w:rsidRDefault="004C3312" w:rsidP="004C3312">
            <w:pPr>
              <w:spacing w:after="0" w:line="240" w:lineRule="auto"/>
              <w:rPr>
                <w:rFonts w:eastAsia="Times New Roman" w:cs="Times New Roman"/>
                <w:sz w:val="16"/>
                <w:szCs w:val="16"/>
                <w:lang w:eastAsia="sk-SK"/>
              </w:rPr>
            </w:pPr>
            <w:r w:rsidRPr="001D0537">
              <w:rPr>
                <w:rFonts w:eastAsia="Times New Roman" w:cs="Times New Roman"/>
                <w:color w:val="000000"/>
                <w:sz w:val="16"/>
                <w:szCs w:val="16"/>
                <w:lang w:eastAsia="sk-SK"/>
              </w:rPr>
              <w:t>Na</w:t>
            </w:r>
            <w:r w:rsidRPr="004B2D70">
              <w:rPr>
                <w:rFonts w:eastAsia="Times New Roman" w:cs="Times New Roman"/>
                <w:sz w:val="16"/>
                <w:szCs w:val="16"/>
                <w:lang w:eastAsia="sk-SK"/>
              </w:rPr>
              <w:t xml:space="preserve"> zabezpečenie špeciálneho hlasovania v spojených voľbách podľa UZN č. 265/2022</w:t>
            </w:r>
          </w:p>
        </w:tc>
        <w:tc>
          <w:tcPr>
            <w:tcW w:w="1976" w:type="dxa"/>
            <w:tcBorders>
              <w:top w:val="single" w:sz="4" w:space="0" w:color="auto"/>
              <w:left w:val="nil"/>
              <w:bottom w:val="nil"/>
              <w:right w:val="nil"/>
            </w:tcBorders>
            <w:shd w:val="clear" w:color="auto" w:fill="auto"/>
            <w:vAlign w:val="center"/>
            <w:hideMark/>
          </w:tcPr>
          <w:p w14:paraId="20C4FA55" w14:textId="77777777" w:rsidR="004C3312" w:rsidRPr="004B2D70" w:rsidRDefault="004C3312" w:rsidP="004C3312">
            <w:pPr>
              <w:spacing w:after="0" w:line="240" w:lineRule="auto"/>
              <w:jc w:val="right"/>
              <w:rPr>
                <w:rFonts w:eastAsia="Times New Roman" w:cs="Times New Roman"/>
                <w:sz w:val="16"/>
                <w:szCs w:val="16"/>
                <w:lang w:eastAsia="sk-SK"/>
              </w:rPr>
            </w:pPr>
            <w:r w:rsidRPr="004B2D70">
              <w:rPr>
                <w:rFonts w:cs="Times New Roman"/>
                <w:color w:val="000000"/>
                <w:sz w:val="16"/>
                <w:szCs w:val="16"/>
              </w:rPr>
              <w:t>950</w:t>
            </w:r>
          </w:p>
        </w:tc>
      </w:tr>
      <w:tr w:rsidR="004C3312" w:rsidRPr="004B2D70" w14:paraId="2366FA4B" w14:textId="77777777" w:rsidTr="004C3312">
        <w:trPr>
          <w:trHeight w:val="262"/>
        </w:trPr>
        <w:tc>
          <w:tcPr>
            <w:tcW w:w="7096" w:type="dxa"/>
            <w:gridSpan w:val="2"/>
            <w:tcBorders>
              <w:top w:val="nil"/>
              <w:left w:val="nil"/>
              <w:bottom w:val="single" w:sz="4" w:space="0" w:color="auto"/>
              <w:right w:val="nil"/>
            </w:tcBorders>
            <w:shd w:val="clear" w:color="auto" w:fill="auto"/>
            <w:vAlign w:val="center"/>
            <w:hideMark/>
          </w:tcPr>
          <w:p w14:paraId="6C3A34CA"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Spolu</w:t>
            </w:r>
          </w:p>
        </w:tc>
        <w:tc>
          <w:tcPr>
            <w:tcW w:w="1976" w:type="dxa"/>
            <w:tcBorders>
              <w:top w:val="nil"/>
              <w:left w:val="nil"/>
              <w:bottom w:val="single" w:sz="4" w:space="0" w:color="auto"/>
              <w:right w:val="nil"/>
            </w:tcBorders>
            <w:shd w:val="clear" w:color="auto" w:fill="auto"/>
            <w:vAlign w:val="center"/>
            <w:hideMark/>
          </w:tcPr>
          <w:p w14:paraId="10082458"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950</w:t>
            </w:r>
          </w:p>
        </w:tc>
      </w:tr>
      <w:tr w:rsidR="004C3312" w:rsidRPr="004B2D70" w14:paraId="481328CA" w14:textId="77777777" w:rsidTr="004C3312">
        <w:trPr>
          <w:trHeight w:val="675"/>
        </w:trPr>
        <w:tc>
          <w:tcPr>
            <w:tcW w:w="1257" w:type="dxa"/>
            <w:tcBorders>
              <w:top w:val="single" w:sz="4" w:space="0" w:color="auto"/>
              <w:left w:val="nil"/>
              <w:right w:val="nil"/>
            </w:tcBorders>
            <w:shd w:val="clear" w:color="auto" w:fill="auto"/>
            <w:vAlign w:val="center"/>
            <w:hideMark/>
          </w:tcPr>
          <w:p w14:paraId="409CDD2C" w14:textId="77777777" w:rsidR="004C3312" w:rsidRPr="004B2D70"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dopravy a výstavby</w:t>
            </w:r>
            <w:r w:rsidRPr="004B2D70">
              <w:rPr>
                <w:rFonts w:eastAsia="Times New Roman" w:cs="Times New Roman"/>
                <w:color w:val="000000"/>
                <w:sz w:val="16"/>
                <w:szCs w:val="16"/>
                <w:lang w:eastAsia="sk-SK"/>
              </w:rPr>
              <w:t xml:space="preserve"> SR</w:t>
            </w:r>
          </w:p>
        </w:tc>
        <w:tc>
          <w:tcPr>
            <w:tcW w:w="5839" w:type="dxa"/>
            <w:tcBorders>
              <w:top w:val="single" w:sz="4" w:space="0" w:color="auto"/>
              <w:left w:val="nil"/>
              <w:right w:val="nil"/>
            </w:tcBorders>
            <w:shd w:val="clear" w:color="auto" w:fill="auto"/>
            <w:vAlign w:val="bottom"/>
            <w:hideMark/>
          </w:tcPr>
          <w:p w14:paraId="5CDDB73A" w14:textId="77777777" w:rsidR="004C3312" w:rsidRPr="004B2D70" w:rsidRDefault="004C3312" w:rsidP="004C3312">
            <w:pPr>
              <w:spacing w:after="0" w:line="240" w:lineRule="auto"/>
              <w:rPr>
                <w:rFonts w:eastAsia="Times New Roman" w:cs="Times New Roman"/>
                <w:sz w:val="16"/>
                <w:szCs w:val="16"/>
                <w:lang w:eastAsia="sk-SK"/>
              </w:rPr>
            </w:pPr>
            <w:r w:rsidRPr="004B2D70">
              <w:rPr>
                <w:rFonts w:eastAsia="Times New Roman" w:cs="Times New Roman"/>
                <w:sz w:val="16"/>
                <w:szCs w:val="16"/>
                <w:lang w:eastAsia="sk-SK"/>
              </w:rPr>
              <w:t>Pre Úrad pre reguláciu elektronických komunikácií a poštových služieb z dôvodu implementácie zákona č. 452/2021 Z. z. o elektronických komunikáciách v znení zákona č. 533/2021 Z. z.</w:t>
            </w:r>
          </w:p>
        </w:tc>
        <w:tc>
          <w:tcPr>
            <w:tcW w:w="1976" w:type="dxa"/>
            <w:tcBorders>
              <w:top w:val="single" w:sz="4" w:space="0" w:color="auto"/>
              <w:left w:val="nil"/>
              <w:right w:val="nil"/>
            </w:tcBorders>
            <w:shd w:val="clear" w:color="auto" w:fill="auto"/>
            <w:vAlign w:val="center"/>
            <w:hideMark/>
          </w:tcPr>
          <w:p w14:paraId="40CB0888" w14:textId="77777777" w:rsidR="004C3312" w:rsidRPr="004B2D70" w:rsidRDefault="004C3312" w:rsidP="004C3312">
            <w:pPr>
              <w:spacing w:after="0" w:line="240" w:lineRule="auto"/>
              <w:jc w:val="right"/>
              <w:rPr>
                <w:rFonts w:eastAsia="Times New Roman" w:cs="Times New Roman"/>
                <w:sz w:val="16"/>
                <w:szCs w:val="16"/>
                <w:lang w:eastAsia="sk-SK"/>
              </w:rPr>
            </w:pPr>
            <w:r w:rsidRPr="004B2D70">
              <w:rPr>
                <w:rFonts w:cs="Times New Roman"/>
                <w:color w:val="000000"/>
                <w:sz w:val="16"/>
                <w:szCs w:val="16"/>
              </w:rPr>
              <w:t>890</w:t>
            </w:r>
          </w:p>
        </w:tc>
      </w:tr>
      <w:tr w:rsidR="004C3312" w:rsidRPr="004B2D70" w14:paraId="271252D6" w14:textId="77777777" w:rsidTr="004C3312">
        <w:trPr>
          <w:trHeight w:val="370"/>
        </w:trPr>
        <w:tc>
          <w:tcPr>
            <w:tcW w:w="7096" w:type="dxa"/>
            <w:gridSpan w:val="2"/>
            <w:tcBorders>
              <w:top w:val="nil"/>
              <w:left w:val="nil"/>
              <w:bottom w:val="single" w:sz="4" w:space="0" w:color="auto"/>
              <w:right w:val="nil"/>
            </w:tcBorders>
            <w:shd w:val="clear" w:color="auto" w:fill="auto"/>
            <w:vAlign w:val="center"/>
            <w:hideMark/>
          </w:tcPr>
          <w:p w14:paraId="2210AFFE"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Spolu</w:t>
            </w:r>
          </w:p>
        </w:tc>
        <w:tc>
          <w:tcPr>
            <w:tcW w:w="1976" w:type="dxa"/>
            <w:tcBorders>
              <w:top w:val="nil"/>
              <w:left w:val="nil"/>
              <w:bottom w:val="single" w:sz="4" w:space="0" w:color="auto"/>
              <w:right w:val="nil"/>
            </w:tcBorders>
            <w:shd w:val="clear" w:color="auto" w:fill="auto"/>
            <w:vAlign w:val="center"/>
            <w:hideMark/>
          </w:tcPr>
          <w:p w14:paraId="753C583F"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890</w:t>
            </w:r>
          </w:p>
        </w:tc>
      </w:tr>
      <w:tr w:rsidR="004C3312" w:rsidRPr="004B2D70" w14:paraId="24AE936F" w14:textId="77777777" w:rsidTr="001D0537">
        <w:trPr>
          <w:trHeight w:val="330"/>
        </w:trPr>
        <w:tc>
          <w:tcPr>
            <w:tcW w:w="1257" w:type="dxa"/>
            <w:vMerge w:val="restart"/>
            <w:tcBorders>
              <w:top w:val="single" w:sz="4" w:space="0" w:color="auto"/>
              <w:left w:val="nil"/>
              <w:right w:val="nil"/>
            </w:tcBorders>
            <w:shd w:val="clear" w:color="auto" w:fill="auto"/>
            <w:vAlign w:val="center"/>
            <w:hideMark/>
          </w:tcPr>
          <w:p w14:paraId="065CF127" w14:textId="77777777" w:rsidR="004C3312" w:rsidRPr="004B2D70"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financií</w:t>
            </w:r>
            <w:r w:rsidRPr="004B2D70">
              <w:rPr>
                <w:rFonts w:eastAsia="Times New Roman" w:cs="Times New Roman"/>
                <w:color w:val="000000"/>
                <w:sz w:val="16"/>
                <w:szCs w:val="16"/>
                <w:lang w:eastAsia="sk-SK"/>
              </w:rPr>
              <w:t xml:space="preserve"> SR </w:t>
            </w:r>
          </w:p>
        </w:tc>
        <w:tc>
          <w:tcPr>
            <w:tcW w:w="5839" w:type="dxa"/>
            <w:tcBorders>
              <w:top w:val="single" w:sz="4" w:space="0" w:color="auto"/>
              <w:left w:val="nil"/>
              <w:bottom w:val="nil"/>
              <w:right w:val="nil"/>
            </w:tcBorders>
            <w:shd w:val="clear" w:color="auto" w:fill="auto"/>
            <w:vAlign w:val="center"/>
            <w:hideMark/>
          </w:tcPr>
          <w:p w14:paraId="7F8DB245" w14:textId="77777777" w:rsidR="001D0537" w:rsidRDefault="001D0537" w:rsidP="004C3312">
            <w:pPr>
              <w:spacing w:after="0" w:line="240" w:lineRule="auto"/>
              <w:rPr>
                <w:rFonts w:eastAsia="Times New Roman" w:cs="Times New Roman"/>
                <w:color w:val="000000"/>
                <w:sz w:val="16"/>
                <w:szCs w:val="16"/>
                <w:lang w:eastAsia="sk-SK"/>
              </w:rPr>
            </w:pPr>
          </w:p>
          <w:p w14:paraId="1B031F4B" w14:textId="267F5FDF"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Na príspevok na činnosť Agentúry štátom podporovaného nájomného bývania podľa UZN č. 464/2022</w:t>
            </w:r>
          </w:p>
        </w:tc>
        <w:tc>
          <w:tcPr>
            <w:tcW w:w="1976" w:type="dxa"/>
            <w:tcBorders>
              <w:top w:val="single" w:sz="4" w:space="0" w:color="auto"/>
              <w:left w:val="nil"/>
              <w:bottom w:val="nil"/>
              <w:right w:val="nil"/>
            </w:tcBorders>
            <w:shd w:val="clear" w:color="auto" w:fill="auto"/>
            <w:vAlign w:val="center"/>
            <w:hideMark/>
          </w:tcPr>
          <w:p w14:paraId="61D432D2"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333</w:t>
            </w:r>
          </w:p>
        </w:tc>
      </w:tr>
      <w:tr w:rsidR="004C3312" w:rsidRPr="004B2D70" w14:paraId="00BE9067" w14:textId="77777777" w:rsidTr="004C3312">
        <w:trPr>
          <w:trHeight w:val="441"/>
        </w:trPr>
        <w:tc>
          <w:tcPr>
            <w:tcW w:w="1257" w:type="dxa"/>
            <w:vMerge/>
            <w:tcBorders>
              <w:left w:val="nil"/>
              <w:right w:val="nil"/>
            </w:tcBorders>
            <w:shd w:val="clear" w:color="auto" w:fill="auto"/>
            <w:vAlign w:val="center"/>
            <w:hideMark/>
          </w:tcPr>
          <w:p w14:paraId="585AC770" w14:textId="77777777" w:rsidR="004C3312" w:rsidRPr="004B2D70" w:rsidRDefault="004C3312" w:rsidP="004C3312">
            <w:pPr>
              <w:spacing w:after="0" w:line="240" w:lineRule="auto"/>
              <w:jc w:val="left"/>
              <w:rPr>
                <w:rFonts w:eastAsia="Times New Roman" w:cs="Times New Roman"/>
                <w:color w:val="000000"/>
                <w:sz w:val="16"/>
                <w:szCs w:val="16"/>
                <w:lang w:eastAsia="sk-SK"/>
              </w:rPr>
            </w:pPr>
          </w:p>
        </w:tc>
        <w:tc>
          <w:tcPr>
            <w:tcW w:w="5839" w:type="dxa"/>
            <w:tcBorders>
              <w:top w:val="nil"/>
              <w:left w:val="nil"/>
              <w:right w:val="nil"/>
            </w:tcBorders>
            <w:shd w:val="clear" w:color="auto" w:fill="auto"/>
            <w:vAlign w:val="bottom"/>
            <w:hideMark/>
          </w:tcPr>
          <w:p w14:paraId="2DA203C8"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Na rozvoj informačného systému finančnej správy - plnenie úloh vyplývajúcich z novely zákona č. 431/2002 Z. z. o účtovníctve</w:t>
            </w:r>
          </w:p>
        </w:tc>
        <w:tc>
          <w:tcPr>
            <w:tcW w:w="1976" w:type="dxa"/>
            <w:tcBorders>
              <w:top w:val="nil"/>
              <w:left w:val="nil"/>
              <w:right w:val="nil"/>
            </w:tcBorders>
            <w:shd w:val="clear" w:color="auto" w:fill="auto"/>
            <w:vAlign w:val="center"/>
            <w:hideMark/>
          </w:tcPr>
          <w:p w14:paraId="3B77DF4E"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158</w:t>
            </w:r>
          </w:p>
        </w:tc>
      </w:tr>
      <w:tr w:rsidR="004C3312" w:rsidRPr="004B2D70" w14:paraId="3E19A9B3" w14:textId="77777777" w:rsidTr="004C3312">
        <w:trPr>
          <w:trHeight w:val="257"/>
        </w:trPr>
        <w:tc>
          <w:tcPr>
            <w:tcW w:w="7096" w:type="dxa"/>
            <w:gridSpan w:val="2"/>
            <w:tcBorders>
              <w:top w:val="nil"/>
              <w:left w:val="nil"/>
              <w:bottom w:val="single" w:sz="4" w:space="0" w:color="auto"/>
              <w:right w:val="nil"/>
            </w:tcBorders>
            <w:shd w:val="clear" w:color="auto" w:fill="auto"/>
            <w:vAlign w:val="center"/>
            <w:hideMark/>
          </w:tcPr>
          <w:p w14:paraId="29B66376"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Spolu</w:t>
            </w:r>
          </w:p>
        </w:tc>
        <w:tc>
          <w:tcPr>
            <w:tcW w:w="1976" w:type="dxa"/>
            <w:tcBorders>
              <w:top w:val="nil"/>
              <w:left w:val="nil"/>
              <w:bottom w:val="single" w:sz="4" w:space="0" w:color="auto"/>
              <w:right w:val="nil"/>
            </w:tcBorders>
            <w:shd w:val="clear" w:color="auto" w:fill="auto"/>
            <w:vAlign w:val="center"/>
            <w:hideMark/>
          </w:tcPr>
          <w:p w14:paraId="55126781"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491</w:t>
            </w:r>
          </w:p>
        </w:tc>
      </w:tr>
      <w:tr w:rsidR="004C3312" w:rsidRPr="004B2D70" w14:paraId="595EDBE7" w14:textId="77777777" w:rsidTr="004C3312">
        <w:trPr>
          <w:trHeight w:val="645"/>
        </w:trPr>
        <w:tc>
          <w:tcPr>
            <w:tcW w:w="1257" w:type="dxa"/>
            <w:tcBorders>
              <w:top w:val="single" w:sz="4" w:space="0" w:color="auto"/>
              <w:left w:val="nil"/>
              <w:right w:val="nil"/>
            </w:tcBorders>
            <w:shd w:val="clear" w:color="auto" w:fill="auto"/>
            <w:vAlign w:val="center"/>
            <w:hideMark/>
          </w:tcPr>
          <w:p w14:paraId="7990147C" w14:textId="77777777" w:rsidR="004C3312" w:rsidRPr="004B2D70" w:rsidRDefault="004C3312" w:rsidP="004C3312">
            <w:pPr>
              <w:spacing w:after="0" w:line="240" w:lineRule="auto"/>
              <w:jc w:val="left"/>
              <w:rPr>
                <w:rFonts w:eastAsia="Times New Roman" w:cs="Times New Roman"/>
                <w:color w:val="000000"/>
                <w:sz w:val="16"/>
                <w:szCs w:val="16"/>
                <w:lang w:eastAsia="sk-SK"/>
              </w:rPr>
            </w:pPr>
            <w:r w:rsidRPr="004B2D70">
              <w:rPr>
                <w:rFonts w:eastAsia="Times New Roman" w:cs="Times New Roman"/>
                <w:color w:val="000000"/>
                <w:sz w:val="16"/>
                <w:szCs w:val="16"/>
                <w:lang w:eastAsia="sk-SK"/>
              </w:rPr>
              <w:t>R</w:t>
            </w:r>
            <w:r>
              <w:rPr>
                <w:rFonts w:eastAsia="Times New Roman" w:cs="Times New Roman"/>
                <w:color w:val="000000"/>
                <w:sz w:val="16"/>
                <w:szCs w:val="16"/>
                <w:lang w:eastAsia="sk-SK"/>
              </w:rPr>
              <w:t>ada pre mediálne služby</w:t>
            </w:r>
          </w:p>
        </w:tc>
        <w:tc>
          <w:tcPr>
            <w:tcW w:w="5839" w:type="dxa"/>
            <w:tcBorders>
              <w:top w:val="single" w:sz="4" w:space="0" w:color="auto"/>
              <w:left w:val="nil"/>
              <w:right w:val="nil"/>
            </w:tcBorders>
            <w:shd w:val="clear" w:color="auto" w:fill="auto"/>
            <w:vAlign w:val="bottom"/>
            <w:hideMark/>
          </w:tcPr>
          <w:p w14:paraId="276EDECC" w14:textId="77777777" w:rsidR="004C3312" w:rsidRPr="004B2D70" w:rsidRDefault="004C3312" w:rsidP="004C3312">
            <w:pPr>
              <w:spacing w:after="0" w:line="240" w:lineRule="auto"/>
              <w:rPr>
                <w:rFonts w:eastAsia="Times New Roman" w:cs="Times New Roman"/>
                <w:color w:val="000000"/>
                <w:sz w:val="16"/>
                <w:szCs w:val="16"/>
                <w:lang w:eastAsia="sk-SK"/>
              </w:rPr>
            </w:pPr>
            <w:r w:rsidRPr="004B2D70">
              <w:rPr>
                <w:rFonts w:eastAsia="Times New Roman" w:cs="Times New Roman"/>
                <w:color w:val="000000"/>
                <w:sz w:val="16"/>
                <w:szCs w:val="16"/>
                <w:lang w:eastAsia="sk-SK"/>
              </w:rPr>
              <w:t>Na nové kompetencie a povinnosti organizácie RMS vyplývajúce zo zákona č. 264/2022 o mediálnych službách a o zmene a doplnení niektorých zákonov (zákon o mediálnych službách)</w:t>
            </w:r>
          </w:p>
        </w:tc>
        <w:tc>
          <w:tcPr>
            <w:tcW w:w="1976" w:type="dxa"/>
            <w:tcBorders>
              <w:top w:val="single" w:sz="4" w:space="0" w:color="auto"/>
              <w:left w:val="nil"/>
              <w:right w:val="nil"/>
            </w:tcBorders>
            <w:shd w:val="clear" w:color="auto" w:fill="auto"/>
            <w:vAlign w:val="center"/>
            <w:hideMark/>
          </w:tcPr>
          <w:p w14:paraId="6365F46D"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eastAsia="Times New Roman" w:cs="Times New Roman"/>
                <w:color w:val="000000"/>
                <w:sz w:val="16"/>
                <w:szCs w:val="16"/>
                <w:lang w:eastAsia="sk-SK"/>
              </w:rPr>
              <w:t>367</w:t>
            </w:r>
          </w:p>
        </w:tc>
      </w:tr>
      <w:tr w:rsidR="004C3312" w:rsidRPr="004B2D70" w14:paraId="243643B4" w14:textId="77777777" w:rsidTr="004C3312">
        <w:trPr>
          <w:trHeight w:val="282"/>
        </w:trPr>
        <w:tc>
          <w:tcPr>
            <w:tcW w:w="7096" w:type="dxa"/>
            <w:gridSpan w:val="2"/>
            <w:tcBorders>
              <w:left w:val="nil"/>
              <w:bottom w:val="nil"/>
              <w:right w:val="nil"/>
            </w:tcBorders>
            <w:shd w:val="clear" w:color="auto" w:fill="auto"/>
            <w:vAlign w:val="center"/>
            <w:hideMark/>
          </w:tcPr>
          <w:p w14:paraId="272712BF"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lastRenderedPageBreak/>
              <w:t xml:space="preserve">Spolu </w:t>
            </w:r>
          </w:p>
        </w:tc>
        <w:tc>
          <w:tcPr>
            <w:tcW w:w="1976" w:type="dxa"/>
            <w:tcBorders>
              <w:left w:val="nil"/>
              <w:bottom w:val="nil"/>
              <w:right w:val="nil"/>
            </w:tcBorders>
            <w:shd w:val="clear" w:color="auto" w:fill="auto"/>
            <w:vAlign w:val="center"/>
            <w:hideMark/>
          </w:tcPr>
          <w:p w14:paraId="2106FD75"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367</w:t>
            </w:r>
          </w:p>
        </w:tc>
      </w:tr>
      <w:tr w:rsidR="004C3312" w:rsidRPr="004B2D70" w14:paraId="3BE269E8" w14:textId="77777777" w:rsidTr="004C3312">
        <w:trPr>
          <w:trHeight w:val="945"/>
        </w:trPr>
        <w:tc>
          <w:tcPr>
            <w:tcW w:w="1257" w:type="dxa"/>
            <w:tcBorders>
              <w:top w:val="single" w:sz="4" w:space="0" w:color="auto"/>
              <w:left w:val="nil"/>
              <w:bottom w:val="nil"/>
              <w:right w:val="nil"/>
            </w:tcBorders>
            <w:shd w:val="clear" w:color="auto" w:fill="auto"/>
            <w:vAlign w:val="center"/>
            <w:hideMark/>
          </w:tcPr>
          <w:p w14:paraId="50D00DD5" w14:textId="77777777" w:rsidR="004C3312" w:rsidRPr="004B2D70"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kultúry</w:t>
            </w:r>
            <w:r w:rsidRPr="004B2D70">
              <w:rPr>
                <w:rFonts w:eastAsia="Times New Roman" w:cs="Times New Roman"/>
                <w:color w:val="000000"/>
                <w:sz w:val="16"/>
                <w:szCs w:val="16"/>
                <w:lang w:eastAsia="sk-SK"/>
              </w:rPr>
              <w:t xml:space="preserve"> SR </w:t>
            </w:r>
          </w:p>
        </w:tc>
        <w:tc>
          <w:tcPr>
            <w:tcW w:w="5839" w:type="dxa"/>
            <w:tcBorders>
              <w:top w:val="single" w:sz="4" w:space="0" w:color="auto"/>
              <w:left w:val="nil"/>
              <w:bottom w:val="nil"/>
              <w:right w:val="nil"/>
            </w:tcBorders>
            <w:shd w:val="clear" w:color="auto" w:fill="auto"/>
            <w:vAlign w:val="bottom"/>
            <w:hideMark/>
          </w:tcPr>
          <w:p w14:paraId="58AF7C1E" w14:textId="77777777" w:rsidR="004C3312" w:rsidRPr="004B2D70" w:rsidRDefault="004C3312" w:rsidP="004C3312">
            <w:pPr>
              <w:spacing w:after="0" w:line="240" w:lineRule="auto"/>
              <w:rPr>
                <w:rFonts w:eastAsia="Times New Roman" w:cs="Times New Roman"/>
                <w:sz w:val="16"/>
                <w:szCs w:val="16"/>
                <w:lang w:eastAsia="sk-SK"/>
              </w:rPr>
            </w:pPr>
            <w:r w:rsidRPr="004B2D70">
              <w:rPr>
                <w:rFonts w:eastAsia="Times New Roman" w:cs="Times New Roman"/>
                <w:sz w:val="16"/>
                <w:szCs w:val="16"/>
                <w:lang w:eastAsia="sk-SK"/>
              </w:rPr>
              <w:t xml:space="preserve">Pre Fond na podporu kultúry národnostných menšín z titulu zvýšenia minimálnej výšky príspevku zo štátneho rozpočtu v roku 2022 v súlade so zákonom č. 138/2017 Z. z. </w:t>
            </w:r>
            <w:r w:rsidRPr="004B2D70">
              <w:rPr>
                <w:rFonts w:eastAsia="Times New Roman" w:cs="Times New Roman"/>
                <w:sz w:val="16"/>
                <w:szCs w:val="16"/>
                <w:lang w:eastAsia="sk-SK"/>
              </w:rPr>
              <w:br/>
              <w:t>o Fonde na podporu kultúry národnostných menšín a o zmene a doplnení niektorých zákonov</w:t>
            </w:r>
          </w:p>
        </w:tc>
        <w:tc>
          <w:tcPr>
            <w:tcW w:w="1976" w:type="dxa"/>
            <w:tcBorders>
              <w:top w:val="single" w:sz="4" w:space="0" w:color="auto"/>
              <w:left w:val="nil"/>
              <w:bottom w:val="nil"/>
              <w:right w:val="nil"/>
            </w:tcBorders>
            <w:shd w:val="clear" w:color="auto" w:fill="auto"/>
            <w:vAlign w:val="center"/>
            <w:hideMark/>
          </w:tcPr>
          <w:p w14:paraId="5F397FA3" w14:textId="77777777" w:rsidR="004C3312" w:rsidRPr="004B2D70" w:rsidRDefault="004C3312" w:rsidP="004C3312">
            <w:pPr>
              <w:spacing w:after="0" w:line="240" w:lineRule="auto"/>
              <w:jc w:val="right"/>
              <w:rPr>
                <w:rFonts w:eastAsia="Times New Roman" w:cs="Times New Roman"/>
                <w:color w:val="000000"/>
                <w:sz w:val="16"/>
                <w:szCs w:val="16"/>
                <w:lang w:eastAsia="sk-SK"/>
              </w:rPr>
            </w:pPr>
            <w:r w:rsidRPr="004B2D70">
              <w:rPr>
                <w:rFonts w:cs="Times New Roman"/>
                <w:color w:val="000000"/>
                <w:sz w:val="16"/>
                <w:szCs w:val="16"/>
              </w:rPr>
              <w:t>300</w:t>
            </w:r>
          </w:p>
        </w:tc>
      </w:tr>
      <w:tr w:rsidR="004C3312" w:rsidRPr="004B2D70" w14:paraId="6F659D8A" w14:textId="77777777" w:rsidTr="004C3312">
        <w:trPr>
          <w:trHeight w:val="284"/>
        </w:trPr>
        <w:tc>
          <w:tcPr>
            <w:tcW w:w="7096" w:type="dxa"/>
            <w:gridSpan w:val="2"/>
            <w:tcBorders>
              <w:top w:val="nil"/>
              <w:left w:val="nil"/>
              <w:bottom w:val="nil"/>
              <w:right w:val="nil"/>
            </w:tcBorders>
            <w:shd w:val="clear" w:color="auto" w:fill="auto"/>
            <w:vAlign w:val="center"/>
            <w:hideMark/>
          </w:tcPr>
          <w:p w14:paraId="7805AD03"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 xml:space="preserve">Spolu </w:t>
            </w:r>
          </w:p>
        </w:tc>
        <w:tc>
          <w:tcPr>
            <w:tcW w:w="1976" w:type="dxa"/>
            <w:tcBorders>
              <w:top w:val="nil"/>
              <w:left w:val="nil"/>
              <w:bottom w:val="nil"/>
              <w:right w:val="nil"/>
            </w:tcBorders>
            <w:shd w:val="clear" w:color="auto" w:fill="auto"/>
            <w:vAlign w:val="center"/>
            <w:hideMark/>
          </w:tcPr>
          <w:p w14:paraId="0CCB5417"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300</w:t>
            </w:r>
          </w:p>
        </w:tc>
      </w:tr>
      <w:tr w:rsidR="004C3312" w:rsidRPr="004B2D70" w14:paraId="344B83DC" w14:textId="77777777" w:rsidTr="004C3312">
        <w:trPr>
          <w:trHeight w:val="675"/>
        </w:trPr>
        <w:tc>
          <w:tcPr>
            <w:tcW w:w="1257" w:type="dxa"/>
            <w:tcBorders>
              <w:top w:val="single" w:sz="4" w:space="0" w:color="auto"/>
              <w:left w:val="nil"/>
              <w:bottom w:val="nil"/>
              <w:right w:val="nil"/>
            </w:tcBorders>
            <w:shd w:val="clear" w:color="auto" w:fill="auto"/>
            <w:vAlign w:val="center"/>
            <w:hideMark/>
          </w:tcPr>
          <w:p w14:paraId="2859B743" w14:textId="77777777" w:rsidR="004C3312" w:rsidRPr="004B2D70"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zdravotníctva</w:t>
            </w:r>
            <w:r w:rsidRPr="004B2D70">
              <w:rPr>
                <w:rFonts w:eastAsia="Times New Roman" w:cs="Times New Roman"/>
                <w:sz w:val="16"/>
                <w:szCs w:val="16"/>
                <w:lang w:eastAsia="sk-SK"/>
              </w:rPr>
              <w:t xml:space="preserve"> SR</w:t>
            </w:r>
          </w:p>
        </w:tc>
        <w:tc>
          <w:tcPr>
            <w:tcW w:w="5839" w:type="dxa"/>
            <w:tcBorders>
              <w:top w:val="single" w:sz="4" w:space="0" w:color="auto"/>
              <w:left w:val="nil"/>
              <w:bottom w:val="nil"/>
              <w:right w:val="nil"/>
            </w:tcBorders>
            <w:shd w:val="clear" w:color="auto" w:fill="auto"/>
            <w:vAlign w:val="bottom"/>
            <w:hideMark/>
          </w:tcPr>
          <w:p w14:paraId="14D85032" w14:textId="77777777" w:rsidR="004C3312" w:rsidRPr="004B2D70" w:rsidRDefault="004C3312" w:rsidP="004C3312">
            <w:pPr>
              <w:spacing w:after="0" w:line="240" w:lineRule="auto"/>
              <w:rPr>
                <w:rFonts w:eastAsia="Times New Roman" w:cs="Times New Roman"/>
                <w:sz w:val="16"/>
                <w:szCs w:val="16"/>
                <w:lang w:eastAsia="sk-SK"/>
              </w:rPr>
            </w:pPr>
            <w:r w:rsidRPr="004B2D70">
              <w:rPr>
                <w:rFonts w:eastAsia="Times New Roman" w:cs="Times New Roman"/>
                <w:sz w:val="16"/>
                <w:szCs w:val="16"/>
                <w:lang w:eastAsia="sk-SK"/>
              </w:rPr>
              <w:t xml:space="preserve">Na financovanie implementácie rozšírenia dátovej štruktúry Portálu kategorizácie liekov v nadväznosti na zákon č. 266/2022 Z. z., ktorým sa mení a dopĺňa zákon </w:t>
            </w:r>
            <w:r w:rsidRPr="004B2D70">
              <w:rPr>
                <w:rFonts w:eastAsia="Times New Roman" w:cs="Times New Roman"/>
                <w:sz w:val="16"/>
                <w:szCs w:val="16"/>
                <w:lang w:eastAsia="sk-SK"/>
              </w:rPr>
              <w:br/>
              <w:t>č. 363/2011 Z. z.</w:t>
            </w:r>
          </w:p>
        </w:tc>
        <w:tc>
          <w:tcPr>
            <w:tcW w:w="1976" w:type="dxa"/>
            <w:tcBorders>
              <w:top w:val="single" w:sz="4" w:space="0" w:color="auto"/>
              <w:left w:val="nil"/>
              <w:bottom w:val="nil"/>
              <w:right w:val="nil"/>
            </w:tcBorders>
            <w:shd w:val="clear" w:color="auto" w:fill="auto"/>
            <w:vAlign w:val="center"/>
            <w:hideMark/>
          </w:tcPr>
          <w:p w14:paraId="4989533F" w14:textId="77777777" w:rsidR="004C3312" w:rsidRPr="004B2D70" w:rsidRDefault="004C3312" w:rsidP="004C3312">
            <w:pPr>
              <w:spacing w:after="0" w:line="240" w:lineRule="auto"/>
              <w:jc w:val="right"/>
              <w:rPr>
                <w:rFonts w:eastAsia="Times New Roman" w:cs="Times New Roman"/>
                <w:sz w:val="16"/>
                <w:szCs w:val="16"/>
                <w:lang w:eastAsia="sk-SK"/>
              </w:rPr>
            </w:pPr>
            <w:r w:rsidRPr="004B2D70">
              <w:rPr>
                <w:rFonts w:cs="Times New Roman"/>
                <w:color w:val="000000"/>
                <w:sz w:val="16"/>
                <w:szCs w:val="16"/>
              </w:rPr>
              <w:t>136</w:t>
            </w:r>
          </w:p>
        </w:tc>
      </w:tr>
      <w:tr w:rsidR="004C3312" w:rsidRPr="004B2D70" w14:paraId="5EF1954D" w14:textId="77777777" w:rsidTr="004C3312">
        <w:trPr>
          <w:trHeight w:val="375"/>
        </w:trPr>
        <w:tc>
          <w:tcPr>
            <w:tcW w:w="7096" w:type="dxa"/>
            <w:gridSpan w:val="2"/>
            <w:tcBorders>
              <w:top w:val="nil"/>
              <w:left w:val="nil"/>
              <w:bottom w:val="nil"/>
              <w:right w:val="nil"/>
            </w:tcBorders>
            <w:shd w:val="clear" w:color="auto" w:fill="auto"/>
            <w:vAlign w:val="center"/>
            <w:hideMark/>
          </w:tcPr>
          <w:p w14:paraId="500E5EF2"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 xml:space="preserve">Spolu </w:t>
            </w:r>
          </w:p>
        </w:tc>
        <w:tc>
          <w:tcPr>
            <w:tcW w:w="1976" w:type="dxa"/>
            <w:tcBorders>
              <w:top w:val="nil"/>
              <w:left w:val="nil"/>
              <w:bottom w:val="nil"/>
              <w:right w:val="nil"/>
            </w:tcBorders>
            <w:shd w:val="clear" w:color="auto" w:fill="auto"/>
            <w:vAlign w:val="center"/>
            <w:hideMark/>
          </w:tcPr>
          <w:p w14:paraId="525D4374"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136</w:t>
            </w:r>
          </w:p>
        </w:tc>
      </w:tr>
      <w:tr w:rsidR="004C3312" w:rsidRPr="004B2D70" w14:paraId="080A5F0F" w14:textId="77777777" w:rsidTr="004C3312">
        <w:trPr>
          <w:trHeight w:val="680"/>
        </w:trPr>
        <w:tc>
          <w:tcPr>
            <w:tcW w:w="1257" w:type="dxa"/>
            <w:tcBorders>
              <w:top w:val="single" w:sz="4" w:space="0" w:color="auto"/>
              <w:left w:val="nil"/>
              <w:bottom w:val="nil"/>
              <w:right w:val="nil"/>
            </w:tcBorders>
            <w:shd w:val="clear" w:color="auto" w:fill="auto"/>
            <w:vAlign w:val="center"/>
            <w:hideMark/>
          </w:tcPr>
          <w:p w14:paraId="74F994D8" w14:textId="77777777" w:rsidR="004C3312" w:rsidRPr="004B2D70" w:rsidRDefault="004C3312" w:rsidP="004C3312">
            <w:pPr>
              <w:spacing w:after="0" w:line="240" w:lineRule="auto"/>
              <w:jc w:val="left"/>
              <w:rPr>
                <w:rFonts w:eastAsia="Times New Roman" w:cs="Times New Roman"/>
                <w:sz w:val="16"/>
                <w:szCs w:val="16"/>
                <w:lang w:eastAsia="sk-SK"/>
              </w:rPr>
            </w:pPr>
            <w:r w:rsidRPr="004B2D70">
              <w:rPr>
                <w:rFonts w:eastAsia="Times New Roman" w:cs="Times New Roman"/>
                <w:sz w:val="16"/>
                <w:szCs w:val="16"/>
                <w:lang w:eastAsia="sk-SK"/>
              </w:rPr>
              <w:t>M</w:t>
            </w:r>
            <w:r>
              <w:rPr>
                <w:rFonts w:eastAsia="Times New Roman" w:cs="Times New Roman"/>
                <w:sz w:val="16"/>
                <w:szCs w:val="16"/>
                <w:lang w:eastAsia="sk-SK"/>
              </w:rPr>
              <w:t>inisterstvo práce, sociálnych vecí a rodiny</w:t>
            </w:r>
            <w:r w:rsidRPr="004B2D70">
              <w:rPr>
                <w:rFonts w:eastAsia="Times New Roman" w:cs="Times New Roman"/>
                <w:sz w:val="16"/>
                <w:szCs w:val="16"/>
                <w:lang w:eastAsia="sk-SK"/>
              </w:rPr>
              <w:t xml:space="preserve"> SR</w:t>
            </w:r>
          </w:p>
        </w:tc>
        <w:tc>
          <w:tcPr>
            <w:tcW w:w="5839" w:type="dxa"/>
            <w:tcBorders>
              <w:top w:val="single" w:sz="4" w:space="0" w:color="auto"/>
              <w:left w:val="nil"/>
              <w:bottom w:val="nil"/>
              <w:right w:val="nil"/>
            </w:tcBorders>
            <w:shd w:val="clear" w:color="auto" w:fill="auto"/>
            <w:vAlign w:val="bottom"/>
            <w:hideMark/>
          </w:tcPr>
          <w:p w14:paraId="25D0158F" w14:textId="77777777" w:rsidR="004C3312" w:rsidRPr="004B2D70" w:rsidRDefault="004C3312" w:rsidP="004C3312">
            <w:pPr>
              <w:spacing w:after="0" w:line="240" w:lineRule="auto"/>
              <w:rPr>
                <w:rFonts w:eastAsia="Times New Roman" w:cs="Times New Roman"/>
                <w:sz w:val="16"/>
                <w:szCs w:val="16"/>
                <w:lang w:eastAsia="sk-SK"/>
              </w:rPr>
            </w:pPr>
            <w:r w:rsidRPr="004B2D70">
              <w:rPr>
                <w:rFonts w:eastAsia="Times New Roman" w:cs="Times New Roman"/>
                <w:sz w:val="16"/>
                <w:szCs w:val="16"/>
                <w:lang w:eastAsia="sk-SK"/>
              </w:rPr>
              <w:t>Na osobné výdavky pre nový útvar inšpekcie v sociálnych veciach MPSVR SR v súlade so zákonom č. 345/2022 Z. z. o inšpekcii v sociálnych veciach a o zmene a doplnení niektorých zákonov</w:t>
            </w:r>
          </w:p>
        </w:tc>
        <w:tc>
          <w:tcPr>
            <w:tcW w:w="1976" w:type="dxa"/>
            <w:tcBorders>
              <w:top w:val="single" w:sz="4" w:space="0" w:color="auto"/>
              <w:left w:val="nil"/>
              <w:bottom w:val="nil"/>
              <w:right w:val="nil"/>
            </w:tcBorders>
            <w:shd w:val="clear" w:color="auto" w:fill="auto"/>
            <w:vAlign w:val="center"/>
            <w:hideMark/>
          </w:tcPr>
          <w:p w14:paraId="3AD7E8CA" w14:textId="77777777" w:rsidR="004C3312" w:rsidRPr="004B2D70" w:rsidRDefault="004C3312" w:rsidP="004C3312">
            <w:pPr>
              <w:spacing w:after="0" w:line="240" w:lineRule="auto"/>
              <w:jc w:val="right"/>
              <w:rPr>
                <w:rFonts w:eastAsia="Times New Roman" w:cs="Times New Roman"/>
                <w:sz w:val="16"/>
                <w:szCs w:val="16"/>
                <w:lang w:eastAsia="sk-SK"/>
              </w:rPr>
            </w:pPr>
            <w:r w:rsidRPr="004B2D70">
              <w:rPr>
                <w:rFonts w:cs="Times New Roman"/>
                <w:color w:val="000000"/>
                <w:sz w:val="16"/>
                <w:szCs w:val="16"/>
              </w:rPr>
              <w:t>86</w:t>
            </w:r>
          </w:p>
        </w:tc>
      </w:tr>
      <w:tr w:rsidR="004C3312" w:rsidRPr="004B2D70" w14:paraId="7782A19C" w14:textId="77777777" w:rsidTr="004C3312">
        <w:trPr>
          <w:trHeight w:val="275"/>
        </w:trPr>
        <w:tc>
          <w:tcPr>
            <w:tcW w:w="7096" w:type="dxa"/>
            <w:gridSpan w:val="2"/>
            <w:tcBorders>
              <w:top w:val="nil"/>
              <w:left w:val="nil"/>
              <w:bottom w:val="nil"/>
              <w:right w:val="nil"/>
            </w:tcBorders>
            <w:shd w:val="clear" w:color="auto" w:fill="auto"/>
            <w:vAlign w:val="center"/>
            <w:hideMark/>
          </w:tcPr>
          <w:p w14:paraId="10ED757B"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 xml:space="preserve">Spolu </w:t>
            </w:r>
          </w:p>
        </w:tc>
        <w:tc>
          <w:tcPr>
            <w:tcW w:w="1976" w:type="dxa"/>
            <w:tcBorders>
              <w:top w:val="nil"/>
              <w:left w:val="nil"/>
              <w:bottom w:val="nil"/>
              <w:right w:val="nil"/>
            </w:tcBorders>
            <w:shd w:val="clear" w:color="auto" w:fill="auto"/>
            <w:vAlign w:val="center"/>
            <w:hideMark/>
          </w:tcPr>
          <w:p w14:paraId="00C0978D"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86</w:t>
            </w:r>
          </w:p>
        </w:tc>
      </w:tr>
      <w:tr w:rsidR="004C3312" w:rsidRPr="004B2D70" w14:paraId="0F374810" w14:textId="77777777" w:rsidTr="004C3312">
        <w:trPr>
          <w:trHeight w:val="375"/>
        </w:trPr>
        <w:tc>
          <w:tcPr>
            <w:tcW w:w="7096" w:type="dxa"/>
            <w:gridSpan w:val="2"/>
            <w:tcBorders>
              <w:top w:val="single" w:sz="4" w:space="0" w:color="auto"/>
              <w:left w:val="nil"/>
              <w:bottom w:val="single" w:sz="4" w:space="0" w:color="auto"/>
              <w:right w:val="nil"/>
            </w:tcBorders>
            <w:shd w:val="clear" w:color="auto" w:fill="auto"/>
            <w:vAlign w:val="center"/>
            <w:hideMark/>
          </w:tcPr>
          <w:p w14:paraId="697ED003"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Spolu celkom</w:t>
            </w:r>
          </w:p>
        </w:tc>
        <w:tc>
          <w:tcPr>
            <w:tcW w:w="1976" w:type="dxa"/>
            <w:tcBorders>
              <w:top w:val="single" w:sz="4" w:space="0" w:color="auto"/>
              <w:left w:val="nil"/>
              <w:bottom w:val="single" w:sz="4" w:space="0" w:color="auto"/>
              <w:right w:val="nil"/>
            </w:tcBorders>
            <w:shd w:val="clear" w:color="auto" w:fill="auto"/>
            <w:vAlign w:val="center"/>
            <w:hideMark/>
          </w:tcPr>
          <w:p w14:paraId="40FEEF83" w14:textId="77777777" w:rsidR="004C3312" w:rsidRPr="004B2D70" w:rsidRDefault="004C3312" w:rsidP="004C3312">
            <w:pPr>
              <w:spacing w:after="0" w:line="240" w:lineRule="auto"/>
              <w:jc w:val="right"/>
              <w:rPr>
                <w:rFonts w:eastAsia="Times New Roman" w:cs="Times New Roman"/>
                <w:b/>
                <w:bCs/>
                <w:color w:val="000000"/>
                <w:sz w:val="16"/>
                <w:szCs w:val="16"/>
                <w:lang w:eastAsia="sk-SK"/>
              </w:rPr>
            </w:pPr>
            <w:r w:rsidRPr="004B2D70">
              <w:rPr>
                <w:rFonts w:eastAsia="Times New Roman" w:cs="Times New Roman"/>
                <w:b/>
                <w:bCs/>
                <w:color w:val="000000"/>
                <w:sz w:val="16"/>
                <w:szCs w:val="16"/>
                <w:lang w:eastAsia="sk-SK"/>
              </w:rPr>
              <w:t>32 947</w:t>
            </w:r>
          </w:p>
        </w:tc>
      </w:tr>
      <w:tr w:rsidR="004C3312" w:rsidRPr="001D0537" w14:paraId="6E621623" w14:textId="77777777" w:rsidTr="004C3312">
        <w:trPr>
          <w:trHeight w:val="255"/>
        </w:trPr>
        <w:tc>
          <w:tcPr>
            <w:tcW w:w="1257" w:type="dxa"/>
            <w:tcBorders>
              <w:top w:val="nil"/>
              <w:left w:val="nil"/>
              <w:bottom w:val="nil"/>
              <w:right w:val="nil"/>
            </w:tcBorders>
            <w:shd w:val="clear" w:color="000000" w:fill="FFFFFF"/>
            <w:noWrap/>
            <w:vAlign w:val="bottom"/>
            <w:hideMark/>
          </w:tcPr>
          <w:p w14:paraId="56D44EA0" w14:textId="77777777" w:rsidR="004C3312" w:rsidRPr="001D0537" w:rsidRDefault="004C3312" w:rsidP="004C3312">
            <w:pPr>
              <w:spacing w:after="0" w:line="240" w:lineRule="auto"/>
              <w:jc w:val="left"/>
              <w:rPr>
                <w:rFonts w:eastAsia="Times New Roman" w:cs="Times New Roman"/>
                <w:color w:val="000000"/>
                <w:sz w:val="20"/>
                <w:szCs w:val="20"/>
                <w:lang w:eastAsia="sk-SK"/>
              </w:rPr>
            </w:pPr>
            <w:r w:rsidRPr="001D0537">
              <w:rPr>
                <w:rFonts w:eastAsia="Times New Roman" w:cs="Times New Roman"/>
                <w:color w:val="000000"/>
                <w:sz w:val="20"/>
                <w:szCs w:val="20"/>
                <w:lang w:eastAsia="sk-SK"/>
              </w:rPr>
              <w:t> </w:t>
            </w:r>
          </w:p>
        </w:tc>
        <w:tc>
          <w:tcPr>
            <w:tcW w:w="5839" w:type="dxa"/>
            <w:tcBorders>
              <w:top w:val="nil"/>
              <w:left w:val="nil"/>
              <w:bottom w:val="nil"/>
              <w:right w:val="nil"/>
            </w:tcBorders>
            <w:shd w:val="clear" w:color="auto" w:fill="auto"/>
            <w:noWrap/>
            <w:vAlign w:val="bottom"/>
            <w:hideMark/>
          </w:tcPr>
          <w:p w14:paraId="29D92E89" w14:textId="77777777" w:rsidR="004C3312" w:rsidRPr="001D0537" w:rsidRDefault="004C3312" w:rsidP="004C3312">
            <w:pPr>
              <w:spacing w:after="0" w:line="240" w:lineRule="auto"/>
              <w:rPr>
                <w:rFonts w:eastAsia="Times New Roman" w:cs="Times New Roman"/>
                <w:color w:val="000000"/>
                <w:sz w:val="20"/>
                <w:szCs w:val="20"/>
                <w:lang w:eastAsia="sk-SK"/>
              </w:rPr>
            </w:pPr>
            <w:r w:rsidRPr="001D0537">
              <w:rPr>
                <w:rFonts w:eastAsia="Times New Roman" w:cs="Times New Roman"/>
                <w:color w:val="000000"/>
                <w:sz w:val="20"/>
                <w:szCs w:val="20"/>
                <w:lang w:eastAsia="sk-SK"/>
              </w:rPr>
              <w:t> </w:t>
            </w:r>
          </w:p>
        </w:tc>
        <w:tc>
          <w:tcPr>
            <w:tcW w:w="1976" w:type="dxa"/>
            <w:tcBorders>
              <w:top w:val="nil"/>
              <w:left w:val="nil"/>
              <w:bottom w:val="nil"/>
              <w:right w:val="nil"/>
            </w:tcBorders>
            <w:shd w:val="clear" w:color="auto" w:fill="auto"/>
            <w:noWrap/>
            <w:vAlign w:val="bottom"/>
            <w:hideMark/>
          </w:tcPr>
          <w:p w14:paraId="0BDB1284" w14:textId="77777777" w:rsidR="004C3312" w:rsidRPr="001D0537" w:rsidRDefault="004C3312" w:rsidP="004C3312">
            <w:pPr>
              <w:spacing w:after="0" w:line="240" w:lineRule="auto"/>
              <w:jc w:val="right"/>
              <w:rPr>
                <w:rFonts w:eastAsia="Times New Roman" w:cs="Times New Roman"/>
                <w:iCs/>
                <w:color w:val="000000"/>
                <w:sz w:val="20"/>
                <w:szCs w:val="20"/>
                <w:lang w:eastAsia="sk-SK"/>
              </w:rPr>
            </w:pPr>
            <w:r w:rsidRPr="001D0537">
              <w:rPr>
                <w:rFonts w:eastAsia="Times New Roman" w:cs="Times New Roman"/>
                <w:iCs/>
                <w:color w:val="000000"/>
                <w:sz w:val="20"/>
                <w:szCs w:val="20"/>
                <w:lang w:eastAsia="sk-SK"/>
              </w:rPr>
              <w:t>Zdroj: MF SR</w:t>
            </w:r>
          </w:p>
        </w:tc>
      </w:tr>
    </w:tbl>
    <w:p w14:paraId="213543F0" w14:textId="09CFE70B" w:rsidR="004C3312" w:rsidRPr="004B2D70" w:rsidRDefault="004C3312" w:rsidP="001D0537">
      <w:pPr>
        <w:spacing w:before="120" w:line="240" w:lineRule="auto"/>
        <w:rPr>
          <w:sz w:val="24"/>
          <w:szCs w:val="24"/>
          <w:highlight w:val="yellow"/>
        </w:rPr>
      </w:pPr>
      <w:r w:rsidRPr="004B2D70">
        <w:rPr>
          <w:sz w:val="24"/>
          <w:szCs w:val="24"/>
        </w:rPr>
        <w:t>Z uvedenej rezervy boli presunuté prostriedky v rámci kapitoly Všeobecná poklad</w:t>
      </w:r>
      <w:r>
        <w:rPr>
          <w:sz w:val="24"/>
          <w:szCs w:val="24"/>
        </w:rPr>
        <w:t>ničná správa v celkovej sume 90</w:t>
      </w:r>
      <w:r w:rsidR="001D0537">
        <w:rPr>
          <w:sz w:val="24"/>
          <w:szCs w:val="24"/>
        </w:rPr>
        <w:t> 000 tis. </w:t>
      </w:r>
      <w:r w:rsidRPr="004B2D70">
        <w:rPr>
          <w:sz w:val="24"/>
          <w:szCs w:val="24"/>
        </w:rPr>
        <w:t xml:space="preserve">eur v prospech výdavkového titulu „Výdavky na realizáciu nerozpočtovaných potrieb“ z dôvodu zabezpečenia finančného krytia vplyvov schválených v </w:t>
      </w:r>
      <w:r>
        <w:rPr>
          <w:sz w:val="24"/>
          <w:szCs w:val="24"/>
        </w:rPr>
        <w:t>uznesení</w:t>
      </w:r>
      <w:r w:rsidRPr="004B2D70">
        <w:rPr>
          <w:sz w:val="24"/>
          <w:szCs w:val="24"/>
        </w:rPr>
        <w:t xml:space="preserve"> č. 762/2022 na stabilizáciu zdravotníckych pracovníkov v rámci ústavnej zdravotnej starostlivosti a ambulancií záchrannej zdravotnej služby prostredníctvom stabilizačného príspevku a opatrení prijímaných na kompenzáciu vysokých cien energií. </w:t>
      </w:r>
    </w:p>
    <w:p w14:paraId="137C03D7" w14:textId="77777777" w:rsidR="004C3312" w:rsidRDefault="004C3312" w:rsidP="004C3312">
      <w:pPr>
        <w:spacing w:line="240" w:lineRule="auto"/>
        <w:rPr>
          <w:sz w:val="24"/>
          <w:szCs w:val="24"/>
        </w:rPr>
      </w:pPr>
      <w:r>
        <w:rPr>
          <w:sz w:val="24"/>
          <w:szCs w:val="24"/>
        </w:rPr>
        <w:t>Nevyčerpaný zostatok v sume 7 </w:t>
      </w:r>
      <w:r w:rsidRPr="004B2D70">
        <w:rPr>
          <w:sz w:val="24"/>
          <w:szCs w:val="24"/>
        </w:rPr>
        <w:t>687 tis. eur bol poskytnutý kapitole MH SR na kompenzáciu zvýšených cien energií.</w:t>
      </w:r>
    </w:p>
    <w:p w14:paraId="17AC04AF" w14:textId="77777777" w:rsidR="004C3312" w:rsidRPr="00CF58A3" w:rsidRDefault="004C3312" w:rsidP="004C3312">
      <w:pPr>
        <w:spacing w:line="240" w:lineRule="auto"/>
        <w:rPr>
          <w:sz w:val="24"/>
          <w:szCs w:val="24"/>
          <w:highlight w:val="yellow"/>
        </w:rPr>
      </w:pPr>
    </w:p>
    <w:p w14:paraId="3D3C5C2E" w14:textId="77777777" w:rsidR="004C3312" w:rsidRPr="006D197B" w:rsidRDefault="004C3312" w:rsidP="004C3312">
      <w:pPr>
        <w:spacing w:line="240" w:lineRule="auto"/>
        <w:rPr>
          <w:b/>
          <w:sz w:val="24"/>
          <w:szCs w:val="24"/>
        </w:rPr>
      </w:pPr>
      <w:r w:rsidRPr="006D197B">
        <w:rPr>
          <w:b/>
          <w:sz w:val="24"/>
          <w:szCs w:val="24"/>
        </w:rPr>
        <w:t xml:space="preserve">Rezerva na riešenie krízových situácií mimo času vojny a vojnového stavu a vykonávanie povodňových prác </w:t>
      </w:r>
    </w:p>
    <w:p w14:paraId="4FA929CD" w14:textId="77777777" w:rsidR="004C3312" w:rsidRDefault="004C3312" w:rsidP="004C3312">
      <w:pPr>
        <w:spacing w:line="240" w:lineRule="auto"/>
        <w:rPr>
          <w:sz w:val="24"/>
          <w:szCs w:val="24"/>
        </w:rPr>
      </w:pPr>
      <w:r w:rsidRPr="009E1E9C">
        <w:rPr>
          <w:sz w:val="24"/>
          <w:szCs w:val="24"/>
        </w:rPr>
        <w:t xml:space="preserve">Z rozpočtovanej rezervy v sume 11 000 tis. eur boli uvoľnené prostriedky v celkovej sume 6 656 tis. eur. </w:t>
      </w:r>
      <w:r>
        <w:rPr>
          <w:sz w:val="24"/>
          <w:szCs w:val="24"/>
        </w:rPr>
        <w:t>Prostriedky v sume 4 344 tis. eur zostali nevyčerpané.</w:t>
      </w:r>
    </w:p>
    <w:tbl>
      <w:tblPr>
        <w:tblW w:w="9072" w:type="dxa"/>
        <w:tblCellMar>
          <w:left w:w="70" w:type="dxa"/>
          <w:right w:w="70" w:type="dxa"/>
        </w:tblCellMar>
        <w:tblLook w:val="04A0" w:firstRow="1" w:lastRow="0" w:firstColumn="1" w:lastColumn="0" w:noHBand="0" w:noVBand="1"/>
      </w:tblPr>
      <w:tblGrid>
        <w:gridCol w:w="1305"/>
        <w:gridCol w:w="6460"/>
        <w:gridCol w:w="1432"/>
      </w:tblGrid>
      <w:tr w:rsidR="004C3312" w:rsidRPr="009E1E9C" w14:paraId="7783EBAC" w14:textId="77777777" w:rsidTr="004C3312">
        <w:trPr>
          <w:trHeight w:val="555"/>
        </w:trPr>
        <w:tc>
          <w:tcPr>
            <w:tcW w:w="9072" w:type="dxa"/>
            <w:gridSpan w:val="3"/>
            <w:tcBorders>
              <w:top w:val="nil"/>
              <w:left w:val="nil"/>
              <w:bottom w:val="single" w:sz="4" w:space="0" w:color="auto"/>
              <w:right w:val="nil"/>
            </w:tcBorders>
            <w:shd w:val="clear" w:color="auto" w:fill="auto"/>
            <w:vAlign w:val="bottom"/>
            <w:hideMark/>
          </w:tcPr>
          <w:p w14:paraId="27B57631" w14:textId="1E00A083" w:rsidR="004C3312" w:rsidRPr="009E1E9C" w:rsidRDefault="004C3312" w:rsidP="00507DFC">
            <w:pPr>
              <w:spacing w:after="0" w:line="240" w:lineRule="auto"/>
              <w:jc w:val="left"/>
              <w:rPr>
                <w:rFonts w:eastAsia="Times New Roman" w:cs="Times New Roman"/>
                <w:b/>
                <w:sz w:val="20"/>
                <w:szCs w:val="20"/>
                <w:lang w:eastAsia="sk-SK"/>
              </w:rPr>
            </w:pPr>
            <w:r w:rsidRPr="009E1E9C">
              <w:rPr>
                <w:rFonts w:eastAsia="Times New Roman" w:cs="Times New Roman"/>
                <w:b/>
                <w:bCs/>
                <w:color w:val="5B9BD5" w:themeColor="accent1"/>
                <w:sz w:val="20"/>
                <w:szCs w:val="20"/>
                <w:lang w:eastAsia="sk-SK"/>
              </w:rPr>
              <w:t>Tabuľka</w:t>
            </w:r>
            <w:r>
              <w:rPr>
                <w:rFonts w:eastAsia="Times New Roman" w:cs="Times New Roman"/>
                <w:b/>
                <w:bCs/>
                <w:color w:val="5B9BD5" w:themeColor="accent1"/>
                <w:sz w:val="20"/>
                <w:szCs w:val="20"/>
                <w:lang w:eastAsia="sk-SK"/>
              </w:rPr>
              <w:t xml:space="preserve"> </w:t>
            </w:r>
            <w:r w:rsidR="001656EA">
              <w:rPr>
                <w:rFonts w:eastAsia="Times New Roman" w:cs="Times New Roman"/>
                <w:b/>
                <w:bCs/>
                <w:color w:val="5B9BD5" w:themeColor="accent1"/>
                <w:sz w:val="20"/>
                <w:szCs w:val="20"/>
                <w:lang w:eastAsia="sk-SK"/>
              </w:rPr>
              <w:t>5</w:t>
            </w:r>
            <w:r w:rsidR="00507DFC">
              <w:rPr>
                <w:rFonts w:eastAsia="Times New Roman" w:cs="Times New Roman"/>
                <w:b/>
                <w:bCs/>
                <w:color w:val="5B9BD5" w:themeColor="accent1"/>
                <w:sz w:val="20"/>
                <w:szCs w:val="20"/>
                <w:lang w:eastAsia="sk-SK"/>
              </w:rPr>
              <w:t>5</w:t>
            </w:r>
            <w:r w:rsidRPr="009E1E9C">
              <w:rPr>
                <w:rFonts w:eastAsia="Times New Roman" w:cs="Times New Roman"/>
                <w:b/>
                <w:bCs/>
                <w:color w:val="5B9BD5" w:themeColor="accent1"/>
                <w:sz w:val="20"/>
                <w:szCs w:val="20"/>
                <w:lang w:eastAsia="sk-SK"/>
              </w:rPr>
              <w:t xml:space="preserve"> - Rezerva na riešenie krízových situácií mimo času vojny a vojnového stavu a vykonávanie povodňových prác</w:t>
            </w:r>
            <w:r w:rsidRPr="009E1E9C">
              <w:rPr>
                <w:rFonts w:eastAsia="Times New Roman" w:cs="Times New Roman"/>
                <w:b/>
                <w:sz w:val="20"/>
                <w:szCs w:val="20"/>
                <w:lang w:eastAsia="sk-SK"/>
              </w:rPr>
              <w:t xml:space="preserve"> </w:t>
            </w:r>
          </w:p>
        </w:tc>
      </w:tr>
      <w:tr w:rsidR="004C3312" w:rsidRPr="009E1E9C" w14:paraId="6AE91240" w14:textId="77777777" w:rsidTr="004C3312">
        <w:trPr>
          <w:trHeight w:val="375"/>
        </w:trPr>
        <w:tc>
          <w:tcPr>
            <w:tcW w:w="1180" w:type="dxa"/>
            <w:tcBorders>
              <w:top w:val="nil"/>
              <w:left w:val="nil"/>
              <w:bottom w:val="single" w:sz="4" w:space="0" w:color="auto"/>
              <w:right w:val="nil"/>
            </w:tcBorders>
            <w:shd w:val="clear" w:color="auto" w:fill="auto"/>
            <w:noWrap/>
            <w:vAlign w:val="center"/>
            <w:hideMark/>
          </w:tcPr>
          <w:p w14:paraId="1AF51654" w14:textId="77777777" w:rsidR="004C3312" w:rsidRPr="009E1E9C" w:rsidRDefault="004C3312" w:rsidP="004C3312">
            <w:pPr>
              <w:spacing w:after="0" w:line="240" w:lineRule="auto"/>
              <w:jc w:val="center"/>
              <w:rPr>
                <w:rFonts w:eastAsia="Times New Roman" w:cs="Times New Roman"/>
                <w:b/>
                <w:bCs/>
                <w:sz w:val="16"/>
                <w:szCs w:val="16"/>
                <w:lang w:eastAsia="sk-SK"/>
              </w:rPr>
            </w:pPr>
            <w:r w:rsidRPr="009E1E9C">
              <w:rPr>
                <w:rFonts w:eastAsia="Times New Roman" w:cs="Times New Roman"/>
                <w:b/>
                <w:bCs/>
                <w:sz w:val="16"/>
                <w:szCs w:val="16"/>
                <w:lang w:eastAsia="sk-SK"/>
              </w:rPr>
              <w:t xml:space="preserve">Kapitola </w:t>
            </w:r>
          </w:p>
        </w:tc>
        <w:tc>
          <w:tcPr>
            <w:tcW w:w="6460" w:type="dxa"/>
            <w:tcBorders>
              <w:top w:val="nil"/>
              <w:left w:val="nil"/>
              <w:bottom w:val="single" w:sz="4" w:space="0" w:color="auto"/>
              <w:right w:val="nil"/>
            </w:tcBorders>
            <w:shd w:val="clear" w:color="auto" w:fill="auto"/>
            <w:noWrap/>
            <w:vAlign w:val="center"/>
            <w:hideMark/>
          </w:tcPr>
          <w:p w14:paraId="47665D45" w14:textId="77777777" w:rsidR="004C3312" w:rsidRPr="009E1E9C" w:rsidRDefault="004C3312" w:rsidP="004C3312">
            <w:pPr>
              <w:spacing w:after="0" w:line="240" w:lineRule="auto"/>
              <w:jc w:val="center"/>
              <w:rPr>
                <w:rFonts w:eastAsia="Times New Roman" w:cs="Times New Roman"/>
                <w:b/>
                <w:bCs/>
                <w:sz w:val="16"/>
                <w:szCs w:val="16"/>
                <w:lang w:eastAsia="sk-SK"/>
              </w:rPr>
            </w:pPr>
            <w:r w:rsidRPr="009E1E9C">
              <w:rPr>
                <w:rFonts w:eastAsia="Times New Roman" w:cs="Times New Roman"/>
                <w:b/>
                <w:bCs/>
                <w:sz w:val="16"/>
                <w:szCs w:val="16"/>
                <w:lang w:eastAsia="sk-SK"/>
              </w:rPr>
              <w:t>Účel</w:t>
            </w:r>
          </w:p>
        </w:tc>
        <w:tc>
          <w:tcPr>
            <w:tcW w:w="1432" w:type="dxa"/>
            <w:tcBorders>
              <w:top w:val="nil"/>
              <w:left w:val="nil"/>
              <w:bottom w:val="single" w:sz="4" w:space="0" w:color="auto"/>
              <w:right w:val="nil"/>
            </w:tcBorders>
            <w:shd w:val="clear" w:color="auto" w:fill="auto"/>
            <w:noWrap/>
            <w:vAlign w:val="center"/>
            <w:hideMark/>
          </w:tcPr>
          <w:p w14:paraId="3D150838" w14:textId="70C4383C" w:rsidR="004C3312" w:rsidRPr="009E1E9C" w:rsidRDefault="004C3312" w:rsidP="001D0537">
            <w:pPr>
              <w:spacing w:after="0" w:line="240" w:lineRule="auto"/>
              <w:jc w:val="right"/>
              <w:rPr>
                <w:rFonts w:eastAsia="Times New Roman" w:cs="Times New Roman"/>
                <w:b/>
                <w:bCs/>
                <w:sz w:val="16"/>
                <w:szCs w:val="16"/>
                <w:lang w:eastAsia="sk-SK"/>
              </w:rPr>
            </w:pPr>
            <w:r w:rsidRPr="009E1E9C">
              <w:rPr>
                <w:rFonts w:eastAsia="Times New Roman" w:cs="Times New Roman"/>
                <w:b/>
                <w:bCs/>
                <w:sz w:val="16"/>
                <w:szCs w:val="16"/>
                <w:lang w:eastAsia="sk-SK"/>
              </w:rPr>
              <w:t>Suma v tis. eur</w:t>
            </w:r>
          </w:p>
        </w:tc>
      </w:tr>
      <w:tr w:rsidR="004C3312" w:rsidRPr="009E1E9C" w14:paraId="37EF4D67" w14:textId="77777777" w:rsidTr="004C3312">
        <w:trPr>
          <w:trHeight w:val="396"/>
        </w:trPr>
        <w:tc>
          <w:tcPr>
            <w:tcW w:w="1180" w:type="dxa"/>
            <w:vMerge w:val="restart"/>
            <w:tcBorders>
              <w:top w:val="nil"/>
              <w:left w:val="nil"/>
              <w:bottom w:val="nil"/>
              <w:right w:val="nil"/>
            </w:tcBorders>
            <w:shd w:val="clear" w:color="000000" w:fill="FFFFFF"/>
            <w:vAlign w:val="center"/>
            <w:hideMark/>
          </w:tcPr>
          <w:p w14:paraId="0A6E0D26" w14:textId="77777777" w:rsidR="004C3312" w:rsidRPr="009E1E9C"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vnútra</w:t>
            </w:r>
            <w:r w:rsidRPr="009E1E9C">
              <w:rPr>
                <w:rFonts w:eastAsia="Times New Roman" w:cs="Times New Roman"/>
                <w:color w:val="000000"/>
                <w:sz w:val="16"/>
                <w:szCs w:val="16"/>
                <w:lang w:eastAsia="sk-SK"/>
              </w:rPr>
              <w:t xml:space="preserve"> SR</w:t>
            </w:r>
          </w:p>
        </w:tc>
        <w:tc>
          <w:tcPr>
            <w:tcW w:w="6460" w:type="dxa"/>
            <w:tcBorders>
              <w:top w:val="nil"/>
              <w:left w:val="nil"/>
              <w:bottom w:val="nil"/>
              <w:right w:val="nil"/>
            </w:tcBorders>
            <w:shd w:val="clear" w:color="auto" w:fill="auto"/>
            <w:vAlign w:val="bottom"/>
            <w:hideMark/>
          </w:tcPr>
          <w:p w14:paraId="3AFB33DC" w14:textId="77777777" w:rsidR="004C3312" w:rsidRPr="009E1E9C" w:rsidRDefault="004C3312" w:rsidP="004C3312">
            <w:pPr>
              <w:spacing w:after="0" w:line="240" w:lineRule="auto"/>
              <w:rPr>
                <w:rFonts w:eastAsia="Times New Roman" w:cs="Times New Roman"/>
                <w:sz w:val="16"/>
                <w:szCs w:val="16"/>
                <w:lang w:eastAsia="sk-SK"/>
              </w:rPr>
            </w:pPr>
          </w:p>
          <w:p w14:paraId="52015C95"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 xml:space="preserve">UZN č. 360/2022 k Správe o priebehu a následkoch povodní na území Slovenskej republiky </w:t>
            </w:r>
            <w:r w:rsidRPr="009E1E9C">
              <w:rPr>
                <w:rFonts w:eastAsia="Times New Roman" w:cs="Times New Roman"/>
                <w:sz w:val="16"/>
                <w:szCs w:val="16"/>
                <w:lang w:eastAsia="sk-SK"/>
              </w:rPr>
              <w:br/>
              <w:t>v období od júla do konca decembra 2021</w:t>
            </w:r>
          </w:p>
        </w:tc>
        <w:tc>
          <w:tcPr>
            <w:tcW w:w="1432" w:type="dxa"/>
            <w:tcBorders>
              <w:top w:val="nil"/>
              <w:left w:val="nil"/>
              <w:bottom w:val="nil"/>
              <w:right w:val="nil"/>
            </w:tcBorders>
            <w:shd w:val="clear" w:color="auto" w:fill="auto"/>
            <w:vAlign w:val="center"/>
            <w:hideMark/>
          </w:tcPr>
          <w:p w14:paraId="19499BEB" w14:textId="77777777" w:rsidR="004C3312" w:rsidRPr="009E1E9C" w:rsidRDefault="004C3312" w:rsidP="004C3312">
            <w:pPr>
              <w:spacing w:after="0" w:line="240" w:lineRule="auto"/>
              <w:jc w:val="right"/>
              <w:rPr>
                <w:rFonts w:eastAsia="Times New Roman" w:cs="Times New Roman"/>
                <w:sz w:val="16"/>
                <w:szCs w:val="16"/>
                <w:lang w:eastAsia="sk-SK"/>
              </w:rPr>
            </w:pPr>
            <w:r w:rsidRPr="009E1E9C">
              <w:rPr>
                <w:rFonts w:cs="Times New Roman"/>
                <w:sz w:val="16"/>
                <w:szCs w:val="16"/>
              </w:rPr>
              <w:t>2 648</w:t>
            </w:r>
          </w:p>
        </w:tc>
      </w:tr>
      <w:tr w:rsidR="004C3312" w:rsidRPr="009E1E9C" w14:paraId="6B9CE942" w14:textId="77777777" w:rsidTr="004C3312">
        <w:trPr>
          <w:trHeight w:val="426"/>
        </w:trPr>
        <w:tc>
          <w:tcPr>
            <w:tcW w:w="1180" w:type="dxa"/>
            <w:vMerge/>
            <w:tcBorders>
              <w:top w:val="nil"/>
              <w:left w:val="nil"/>
              <w:bottom w:val="nil"/>
              <w:right w:val="nil"/>
            </w:tcBorders>
            <w:vAlign w:val="center"/>
            <w:hideMark/>
          </w:tcPr>
          <w:p w14:paraId="727949BF" w14:textId="77777777" w:rsidR="004C3312" w:rsidRPr="009E1E9C" w:rsidRDefault="004C3312" w:rsidP="004C3312">
            <w:pPr>
              <w:spacing w:after="0" w:line="240" w:lineRule="auto"/>
              <w:jc w:val="left"/>
              <w:rPr>
                <w:rFonts w:eastAsia="Times New Roman" w:cs="Times New Roman"/>
                <w:color w:val="000000"/>
                <w:sz w:val="16"/>
                <w:szCs w:val="16"/>
                <w:lang w:eastAsia="sk-SK"/>
              </w:rPr>
            </w:pPr>
          </w:p>
        </w:tc>
        <w:tc>
          <w:tcPr>
            <w:tcW w:w="6460" w:type="dxa"/>
            <w:tcBorders>
              <w:top w:val="nil"/>
              <w:left w:val="nil"/>
              <w:bottom w:val="nil"/>
              <w:right w:val="nil"/>
            </w:tcBorders>
            <w:shd w:val="clear" w:color="auto" w:fill="auto"/>
            <w:vAlign w:val="bottom"/>
            <w:hideMark/>
          </w:tcPr>
          <w:p w14:paraId="320F22B8" w14:textId="77777777" w:rsidR="004C3312" w:rsidRPr="009E1E9C" w:rsidRDefault="004C3312" w:rsidP="004C3312">
            <w:pPr>
              <w:spacing w:after="0" w:line="240" w:lineRule="auto"/>
              <w:rPr>
                <w:rFonts w:eastAsia="Times New Roman" w:cs="Times New Roman"/>
                <w:sz w:val="16"/>
                <w:szCs w:val="16"/>
                <w:lang w:eastAsia="sk-SK"/>
              </w:rPr>
            </w:pPr>
          </w:p>
          <w:p w14:paraId="09B3A9EA"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UZN č. 498/2022 na úhradu výdavkov súvisiacich so záchrannými prácami počas mimoriadnej situácie</w:t>
            </w:r>
          </w:p>
        </w:tc>
        <w:tc>
          <w:tcPr>
            <w:tcW w:w="1432" w:type="dxa"/>
            <w:tcBorders>
              <w:top w:val="nil"/>
              <w:left w:val="nil"/>
              <w:bottom w:val="nil"/>
              <w:right w:val="nil"/>
            </w:tcBorders>
            <w:shd w:val="clear" w:color="auto" w:fill="auto"/>
            <w:vAlign w:val="center"/>
            <w:hideMark/>
          </w:tcPr>
          <w:p w14:paraId="4C8A2AE8" w14:textId="77777777" w:rsidR="004C3312" w:rsidRPr="009E1E9C" w:rsidRDefault="004C3312" w:rsidP="004C3312">
            <w:pPr>
              <w:spacing w:after="0" w:line="240" w:lineRule="auto"/>
              <w:jc w:val="right"/>
              <w:rPr>
                <w:rFonts w:eastAsia="Times New Roman" w:cs="Times New Roman"/>
                <w:sz w:val="16"/>
                <w:szCs w:val="16"/>
                <w:lang w:eastAsia="sk-SK"/>
              </w:rPr>
            </w:pPr>
            <w:r w:rsidRPr="009E1E9C">
              <w:rPr>
                <w:rFonts w:cs="Times New Roman"/>
                <w:sz w:val="16"/>
                <w:szCs w:val="16"/>
              </w:rPr>
              <w:t>1 124</w:t>
            </w:r>
          </w:p>
        </w:tc>
      </w:tr>
      <w:tr w:rsidR="004C3312" w:rsidRPr="009E1E9C" w14:paraId="5542822E" w14:textId="77777777" w:rsidTr="004C3312">
        <w:trPr>
          <w:trHeight w:val="378"/>
        </w:trPr>
        <w:tc>
          <w:tcPr>
            <w:tcW w:w="1180" w:type="dxa"/>
            <w:vMerge/>
            <w:tcBorders>
              <w:top w:val="nil"/>
              <w:left w:val="nil"/>
              <w:bottom w:val="nil"/>
              <w:right w:val="nil"/>
            </w:tcBorders>
            <w:vAlign w:val="center"/>
            <w:hideMark/>
          </w:tcPr>
          <w:p w14:paraId="7DAD8727" w14:textId="77777777" w:rsidR="004C3312" w:rsidRPr="009E1E9C" w:rsidRDefault="004C3312" w:rsidP="004C3312">
            <w:pPr>
              <w:spacing w:after="0" w:line="240" w:lineRule="auto"/>
              <w:jc w:val="left"/>
              <w:rPr>
                <w:rFonts w:eastAsia="Times New Roman" w:cs="Times New Roman"/>
                <w:color w:val="000000"/>
                <w:sz w:val="16"/>
                <w:szCs w:val="16"/>
                <w:lang w:eastAsia="sk-SK"/>
              </w:rPr>
            </w:pPr>
          </w:p>
        </w:tc>
        <w:tc>
          <w:tcPr>
            <w:tcW w:w="6460" w:type="dxa"/>
            <w:tcBorders>
              <w:top w:val="nil"/>
              <w:left w:val="nil"/>
              <w:bottom w:val="nil"/>
              <w:right w:val="nil"/>
            </w:tcBorders>
            <w:shd w:val="clear" w:color="auto" w:fill="auto"/>
            <w:vAlign w:val="bottom"/>
            <w:hideMark/>
          </w:tcPr>
          <w:p w14:paraId="0526DEE1" w14:textId="77777777" w:rsidR="004C3312" w:rsidRPr="009E1E9C" w:rsidRDefault="004C3312" w:rsidP="004C3312">
            <w:pPr>
              <w:spacing w:after="0" w:line="240" w:lineRule="auto"/>
              <w:rPr>
                <w:rFonts w:eastAsia="Times New Roman" w:cs="Times New Roman"/>
                <w:sz w:val="16"/>
                <w:szCs w:val="16"/>
                <w:lang w:eastAsia="sk-SK"/>
              </w:rPr>
            </w:pPr>
          </w:p>
          <w:p w14:paraId="3F410D05"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UZN č. 791/2022 na úhradu výdavkov súvisiacich so záchrannými prácami počas mimoriadnej situácie</w:t>
            </w:r>
          </w:p>
        </w:tc>
        <w:tc>
          <w:tcPr>
            <w:tcW w:w="1432" w:type="dxa"/>
            <w:tcBorders>
              <w:top w:val="nil"/>
              <w:left w:val="nil"/>
              <w:bottom w:val="nil"/>
              <w:right w:val="nil"/>
            </w:tcBorders>
            <w:shd w:val="clear" w:color="auto" w:fill="auto"/>
            <w:vAlign w:val="center"/>
            <w:hideMark/>
          </w:tcPr>
          <w:p w14:paraId="3D9D43E5" w14:textId="77777777" w:rsidR="004C3312" w:rsidRPr="009E1E9C" w:rsidRDefault="004C3312" w:rsidP="004C3312">
            <w:pPr>
              <w:spacing w:after="0" w:line="240" w:lineRule="auto"/>
              <w:jc w:val="right"/>
              <w:rPr>
                <w:rFonts w:eastAsia="Times New Roman" w:cs="Times New Roman"/>
                <w:sz w:val="16"/>
                <w:szCs w:val="16"/>
                <w:lang w:eastAsia="sk-SK"/>
              </w:rPr>
            </w:pPr>
            <w:r w:rsidRPr="009E1E9C">
              <w:rPr>
                <w:rFonts w:cs="Times New Roman"/>
                <w:sz w:val="16"/>
                <w:szCs w:val="16"/>
              </w:rPr>
              <w:t>243</w:t>
            </w:r>
          </w:p>
        </w:tc>
      </w:tr>
      <w:tr w:rsidR="004C3312" w:rsidRPr="009E1E9C" w14:paraId="0BEF261E" w14:textId="77777777" w:rsidTr="004C3312">
        <w:trPr>
          <w:trHeight w:val="426"/>
        </w:trPr>
        <w:tc>
          <w:tcPr>
            <w:tcW w:w="1180" w:type="dxa"/>
            <w:vMerge/>
            <w:tcBorders>
              <w:top w:val="nil"/>
              <w:left w:val="nil"/>
              <w:bottom w:val="nil"/>
              <w:right w:val="nil"/>
            </w:tcBorders>
            <w:vAlign w:val="center"/>
            <w:hideMark/>
          </w:tcPr>
          <w:p w14:paraId="7388FE51" w14:textId="77777777" w:rsidR="004C3312" w:rsidRPr="009E1E9C" w:rsidRDefault="004C3312" w:rsidP="004C3312">
            <w:pPr>
              <w:spacing w:after="0" w:line="240" w:lineRule="auto"/>
              <w:jc w:val="left"/>
              <w:rPr>
                <w:rFonts w:eastAsia="Times New Roman" w:cs="Times New Roman"/>
                <w:color w:val="000000"/>
                <w:sz w:val="16"/>
                <w:szCs w:val="16"/>
                <w:lang w:eastAsia="sk-SK"/>
              </w:rPr>
            </w:pPr>
          </w:p>
        </w:tc>
        <w:tc>
          <w:tcPr>
            <w:tcW w:w="6460" w:type="dxa"/>
            <w:tcBorders>
              <w:top w:val="nil"/>
              <w:left w:val="nil"/>
              <w:bottom w:val="nil"/>
              <w:right w:val="nil"/>
            </w:tcBorders>
            <w:shd w:val="clear" w:color="auto" w:fill="auto"/>
            <w:vAlign w:val="bottom"/>
            <w:hideMark/>
          </w:tcPr>
          <w:p w14:paraId="699160EF" w14:textId="77777777" w:rsidR="004C3312" w:rsidRPr="009E1E9C" w:rsidRDefault="004C3312" w:rsidP="004C3312">
            <w:pPr>
              <w:spacing w:after="0" w:line="240" w:lineRule="auto"/>
              <w:rPr>
                <w:rFonts w:eastAsia="Times New Roman" w:cs="Times New Roman"/>
                <w:sz w:val="16"/>
                <w:szCs w:val="16"/>
                <w:lang w:eastAsia="sk-SK"/>
              </w:rPr>
            </w:pPr>
          </w:p>
          <w:p w14:paraId="0940A63E"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 xml:space="preserve">UZN č. 675/2022 k Správe o priebehu a následkoch povodní na území Slovenskej republiky </w:t>
            </w:r>
            <w:r w:rsidRPr="009E1E9C">
              <w:rPr>
                <w:rFonts w:eastAsia="Times New Roman" w:cs="Times New Roman"/>
                <w:sz w:val="16"/>
                <w:szCs w:val="16"/>
                <w:lang w:eastAsia="sk-SK"/>
              </w:rPr>
              <w:br/>
              <w:t xml:space="preserve">v období od januára do konca júna 2022 </w:t>
            </w:r>
          </w:p>
        </w:tc>
        <w:tc>
          <w:tcPr>
            <w:tcW w:w="1432" w:type="dxa"/>
            <w:tcBorders>
              <w:top w:val="nil"/>
              <w:left w:val="nil"/>
              <w:bottom w:val="nil"/>
              <w:right w:val="nil"/>
            </w:tcBorders>
            <w:shd w:val="clear" w:color="auto" w:fill="auto"/>
            <w:vAlign w:val="center"/>
            <w:hideMark/>
          </w:tcPr>
          <w:p w14:paraId="10363DD7" w14:textId="77777777" w:rsidR="004C3312" w:rsidRPr="009E1E9C" w:rsidRDefault="004C3312" w:rsidP="004C3312">
            <w:pPr>
              <w:spacing w:after="0" w:line="240" w:lineRule="auto"/>
              <w:jc w:val="right"/>
              <w:rPr>
                <w:rFonts w:eastAsia="Times New Roman" w:cs="Times New Roman"/>
                <w:sz w:val="16"/>
                <w:szCs w:val="16"/>
                <w:lang w:eastAsia="sk-SK"/>
              </w:rPr>
            </w:pPr>
            <w:r w:rsidRPr="009E1E9C">
              <w:rPr>
                <w:rFonts w:cs="Times New Roman"/>
                <w:sz w:val="16"/>
                <w:szCs w:val="16"/>
              </w:rPr>
              <w:t>95</w:t>
            </w:r>
          </w:p>
        </w:tc>
      </w:tr>
      <w:tr w:rsidR="004C3312" w:rsidRPr="009E1E9C" w14:paraId="73F3CB8E" w14:textId="77777777" w:rsidTr="004C3312">
        <w:trPr>
          <w:trHeight w:val="590"/>
        </w:trPr>
        <w:tc>
          <w:tcPr>
            <w:tcW w:w="1180" w:type="dxa"/>
            <w:vMerge/>
            <w:tcBorders>
              <w:top w:val="nil"/>
              <w:left w:val="nil"/>
              <w:bottom w:val="nil"/>
              <w:right w:val="nil"/>
            </w:tcBorders>
            <w:vAlign w:val="center"/>
            <w:hideMark/>
          </w:tcPr>
          <w:p w14:paraId="70960B89" w14:textId="77777777" w:rsidR="004C3312" w:rsidRPr="009E1E9C" w:rsidRDefault="004C3312" w:rsidP="004C3312">
            <w:pPr>
              <w:spacing w:after="0" w:line="240" w:lineRule="auto"/>
              <w:jc w:val="left"/>
              <w:rPr>
                <w:rFonts w:eastAsia="Times New Roman" w:cs="Times New Roman"/>
                <w:color w:val="000000"/>
                <w:sz w:val="16"/>
                <w:szCs w:val="16"/>
                <w:lang w:eastAsia="sk-SK"/>
              </w:rPr>
            </w:pPr>
          </w:p>
        </w:tc>
        <w:tc>
          <w:tcPr>
            <w:tcW w:w="6460" w:type="dxa"/>
            <w:tcBorders>
              <w:top w:val="nil"/>
              <w:left w:val="nil"/>
              <w:bottom w:val="nil"/>
              <w:right w:val="nil"/>
            </w:tcBorders>
            <w:shd w:val="clear" w:color="auto" w:fill="auto"/>
            <w:vAlign w:val="bottom"/>
            <w:hideMark/>
          </w:tcPr>
          <w:p w14:paraId="47458147"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 xml:space="preserve">UZN č. 752/2020 na prijatie opatrení na riešenie krízovej situácie v súvislosti s ohrozením verejného zdravia II. stupňa v lokalite </w:t>
            </w:r>
            <w:proofErr w:type="spellStart"/>
            <w:r w:rsidRPr="009E1E9C">
              <w:rPr>
                <w:rFonts w:eastAsia="Times New Roman" w:cs="Times New Roman"/>
                <w:sz w:val="16"/>
                <w:szCs w:val="16"/>
                <w:lang w:eastAsia="sk-SK"/>
              </w:rPr>
              <w:t>Chemko</w:t>
            </w:r>
            <w:proofErr w:type="spellEnd"/>
            <w:r w:rsidRPr="009E1E9C">
              <w:rPr>
                <w:rFonts w:eastAsia="Times New Roman" w:cs="Times New Roman"/>
                <w:sz w:val="16"/>
                <w:szCs w:val="16"/>
                <w:lang w:eastAsia="sk-SK"/>
              </w:rPr>
              <w:t>, a. s. Strážske</w:t>
            </w:r>
          </w:p>
        </w:tc>
        <w:tc>
          <w:tcPr>
            <w:tcW w:w="1432" w:type="dxa"/>
            <w:tcBorders>
              <w:top w:val="nil"/>
              <w:left w:val="nil"/>
              <w:bottom w:val="nil"/>
              <w:right w:val="nil"/>
            </w:tcBorders>
            <w:shd w:val="clear" w:color="auto" w:fill="auto"/>
            <w:vAlign w:val="center"/>
            <w:hideMark/>
          </w:tcPr>
          <w:p w14:paraId="507D5A08" w14:textId="77777777" w:rsidR="004C3312" w:rsidRPr="009E1E9C" w:rsidRDefault="004C3312" w:rsidP="004C3312">
            <w:pPr>
              <w:spacing w:after="0" w:line="240" w:lineRule="auto"/>
              <w:jc w:val="right"/>
              <w:rPr>
                <w:rFonts w:eastAsia="Times New Roman" w:cs="Times New Roman"/>
                <w:sz w:val="16"/>
                <w:szCs w:val="16"/>
                <w:lang w:eastAsia="sk-SK"/>
              </w:rPr>
            </w:pPr>
            <w:r w:rsidRPr="009E1E9C">
              <w:rPr>
                <w:rFonts w:cs="Times New Roman"/>
                <w:color w:val="000000"/>
                <w:sz w:val="16"/>
                <w:szCs w:val="16"/>
              </w:rPr>
              <w:t>81</w:t>
            </w:r>
          </w:p>
        </w:tc>
      </w:tr>
      <w:tr w:rsidR="004C3312" w:rsidRPr="009E1E9C" w14:paraId="665E9FF2" w14:textId="77777777" w:rsidTr="004C3312">
        <w:trPr>
          <w:trHeight w:val="231"/>
        </w:trPr>
        <w:tc>
          <w:tcPr>
            <w:tcW w:w="7640" w:type="dxa"/>
            <w:gridSpan w:val="2"/>
            <w:tcBorders>
              <w:top w:val="nil"/>
              <w:left w:val="nil"/>
              <w:bottom w:val="single" w:sz="4" w:space="0" w:color="auto"/>
              <w:right w:val="nil"/>
            </w:tcBorders>
            <w:shd w:val="clear" w:color="auto" w:fill="auto"/>
            <w:vAlign w:val="center"/>
            <w:hideMark/>
          </w:tcPr>
          <w:p w14:paraId="6AD500F1"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Spolu</w:t>
            </w:r>
          </w:p>
        </w:tc>
        <w:tc>
          <w:tcPr>
            <w:tcW w:w="1432" w:type="dxa"/>
            <w:tcBorders>
              <w:top w:val="nil"/>
              <w:left w:val="nil"/>
              <w:bottom w:val="single" w:sz="4" w:space="0" w:color="auto"/>
              <w:right w:val="nil"/>
            </w:tcBorders>
            <w:shd w:val="clear" w:color="auto" w:fill="auto"/>
            <w:vAlign w:val="center"/>
            <w:hideMark/>
          </w:tcPr>
          <w:p w14:paraId="08920F39"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4 191</w:t>
            </w:r>
          </w:p>
        </w:tc>
      </w:tr>
      <w:tr w:rsidR="004C3312" w:rsidRPr="009E1E9C" w14:paraId="7E366508" w14:textId="77777777" w:rsidTr="004C3312">
        <w:trPr>
          <w:trHeight w:val="705"/>
        </w:trPr>
        <w:tc>
          <w:tcPr>
            <w:tcW w:w="1180" w:type="dxa"/>
            <w:vMerge w:val="restart"/>
            <w:tcBorders>
              <w:top w:val="nil"/>
              <w:left w:val="nil"/>
              <w:bottom w:val="nil"/>
              <w:right w:val="nil"/>
            </w:tcBorders>
            <w:shd w:val="clear" w:color="000000" w:fill="FFFFFF"/>
            <w:vAlign w:val="center"/>
            <w:hideMark/>
          </w:tcPr>
          <w:p w14:paraId="572B077D" w14:textId="77777777" w:rsidR="004C3312" w:rsidRPr="009E1E9C"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životného prostredia</w:t>
            </w:r>
            <w:r w:rsidRPr="009E1E9C">
              <w:rPr>
                <w:rFonts w:eastAsia="Times New Roman" w:cs="Times New Roman"/>
                <w:color w:val="000000"/>
                <w:sz w:val="16"/>
                <w:szCs w:val="16"/>
                <w:lang w:eastAsia="sk-SK"/>
              </w:rPr>
              <w:t xml:space="preserve"> SR </w:t>
            </w:r>
          </w:p>
        </w:tc>
        <w:tc>
          <w:tcPr>
            <w:tcW w:w="6460" w:type="dxa"/>
            <w:tcBorders>
              <w:top w:val="nil"/>
              <w:left w:val="nil"/>
              <w:bottom w:val="nil"/>
              <w:right w:val="nil"/>
            </w:tcBorders>
            <w:shd w:val="clear" w:color="auto" w:fill="auto"/>
            <w:vAlign w:val="bottom"/>
            <w:hideMark/>
          </w:tcPr>
          <w:p w14:paraId="28CB3AED"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 xml:space="preserve">UZN č. 360/2022 k Správe o priebehu a následkoch povodní na území Slovenskej republiky </w:t>
            </w:r>
            <w:r w:rsidRPr="009E1E9C">
              <w:rPr>
                <w:rFonts w:eastAsia="Times New Roman" w:cs="Times New Roman"/>
                <w:sz w:val="16"/>
                <w:szCs w:val="16"/>
                <w:lang w:eastAsia="sk-SK"/>
              </w:rPr>
              <w:br/>
              <w:t>v období od júla do konca decembra 2021</w:t>
            </w:r>
          </w:p>
          <w:p w14:paraId="17A05AE2" w14:textId="77777777" w:rsidR="004C3312" w:rsidRPr="009E1E9C" w:rsidRDefault="004C3312" w:rsidP="004C3312">
            <w:pPr>
              <w:spacing w:after="0" w:line="240" w:lineRule="auto"/>
              <w:rPr>
                <w:rFonts w:eastAsia="Times New Roman" w:cs="Times New Roman"/>
                <w:sz w:val="16"/>
                <w:szCs w:val="16"/>
                <w:lang w:eastAsia="sk-SK"/>
              </w:rPr>
            </w:pPr>
          </w:p>
        </w:tc>
        <w:tc>
          <w:tcPr>
            <w:tcW w:w="1432" w:type="dxa"/>
            <w:tcBorders>
              <w:top w:val="nil"/>
              <w:left w:val="nil"/>
              <w:bottom w:val="nil"/>
              <w:right w:val="nil"/>
            </w:tcBorders>
            <w:shd w:val="clear" w:color="auto" w:fill="auto"/>
            <w:vAlign w:val="center"/>
            <w:hideMark/>
          </w:tcPr>
          <w:p w14:paraId="7DCB6032" w14:textId="77777777" w:rsidR="004C3312" w:rsidRPr="009E1E9C" w:rsidRDefault="004C3312" w:rsidP="004C3312">
            <w:pPr>
              <w:spacing w:after="0" w:line="240" w:lineRule="auto"/>
              <w:jc w:val="right"/>
              <w:rPr>
                <w:rFonts w:eastAsia="Times New Roman" w:cs="Times New Roman"/>
                <w:color w:val="000000"/>
                <w:sz w:val="16"/>
                <w:szCs w:val="16"/>
                <w:lang w:eastAsia="sk-SK"/>
              </w:rPr>
            </w:pPr>
            <w:r w:rsidRPr="009E1E9C">
              <w:rPr>
                <w:rFonts w:cs="Times New Roman"/>
                <w:sz w:val="16"/>
                <w:szCs w:val="16"/>
              </w:rPr>
              <w:t>1 772</w:t>
            </w:r>
          </w:p>
        </w:tc>
      </w:tr>
      <w:tr w:rsidR="004C3312" w:rsidRPr="009E1E9C" w14:paraId="11A0752D" w14:textId="77777777" w:rsidTr="004C3312">
        <w:trPr>
          <w:trHeight w:val="480"/>
        </w:trPr>
        <w:tc>
          <w:tcPr>
            <w:tcW w:w="1180" w:type="dxa"/>
            <w:vMerge/>
            <w:tcBorders>
              <w:top w:val="nil"/>
              <w:left w:val="nil"/>
              <w:bottom w:val="nil"/>
              <w:right w:val="nil"/>
            </w:tcBorders>
            <w:vAlign w:val="center"/>
            <w:hideMark/>
          </w:tcPr>
          <w:p w14:paraId="07CEE250" w14:textId="77777777" w:rsidR="004C3312" w:rsidRPr="009E1E9C" w:rsidRDefault="004C3312" w:rsidP="004C3312">
            <w:pPr>
              <w:spacing w:after="0" w:line="240" w:lineRule="auto"/>
              <w:jc w:val="left"/>
              <w:rPr>
                <w:rFonts w:eastAsia="Times New Roman" w:cs="Times New Roman"/>
                <w:color w:val="000000"/>
                <w:sz w:val="16"/>
                <w:szCs w:val="16"/>
                <w:lang w:eastAsia="sk-SK"/>
              </w:rPr>
            </w:pPr>
          </w:p>
        </w:tc>
        <w:tc>
          <w:tcPr>
            <w:tcW w:w="6460" w:type="dxa"/>
            <w:tcBorders>
              <w:top w:val="nil"/>
              <w:left w:val="nil"/>
              <w:bottom w:val="nil"/>
              <w:right w:val="nil"/>
            </w:tcBorders>
            <w:shd w:val="clear" w:color="auto" w:fill="auto"/>
            <w:vAlign w:val="bottom"/>
            <w:hideMark/>
          </w:tcPr>
          <w:p w14:paraId="26CCDB06"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 xml:space="preserve">UZN č. 675/2022 k Správe o priebehu a následkoch povodní na území Slovenskej republiky </w:t>
            </w:r>
            <w:r w:rsidRPr="009E1E9C">
              <w:rPr>
                <w:rFonts w:eastAsia="Times New Roman" w:cs="Times New Roman"/>
                <w:sz w:val="16"/>
                <w:szCs w:val="16"/>
                <w:lang w:eastAsia="sk-SK"/>
              </w:rPr>
              <w:br/>
              <w:t xml:space="preserve">v období od januára do konca júna 2022 </w:t>
            </w:r>
          </w:p>
        </w:tc>
        <w:tc>
          <w:tcPr>
            <w:tcW w:w="1432" w:type="dxa"/>
            <w:tcBorders>
              <w:top w:val="nil"/>
              <w:left w:val="nil"/>
              <w:bottom w:val="nil"/>
              <w:right w:val="nil"/>
            </w:tcBorders>
            <w:shd w:val="clear" w:color="auto" w:fill="auto"/>
            <w:vAlign w:val="center"/>
            <w:hideMark/>
          </w:tcPr>
          <w:p w14:paraId="1BFB455B" w14:textId="77777777" w:rsidR="004C3312" w:rsidRPr="009E1E9C" w:rsidRDefault="004C3312" w:rsidP="004C3312">
            <w:pPr>
              <w:spacing w:after="0" w:line="240" w:lineRule="auto"/>
              <w:jc w:val="right"/>
              <w:rPr>
                <w:rFonts w:eastAsia="Times New Roman" w:cs="Times New Roman"/>
                <w:sz w:val="16"/>
                <w:szCs w:val="16"/>
                <w:lang w:eastAsia="sk-SK"/>
              </w:rPr>
            </w:pPr>
            <w:r w:rsidRPr="009E1E9C">
              <w:rPr>
                <w:rFonts w:cs="Times New Roman"/>
                <w:sz w:val="16"/>
                <w:szCs w:val="16"/>
              </w:rPr>
              <w:t>215</w:t>
            </w:r>
          </w:p>
        </w:tc>
      </w:tr>
      <w:tr w:rsidR="004C3312" w:rsidRPr="009E1E9C" w14:paraId="195E4E2F" w14:textId="77777777" w:rsidTr="004C3312">
        <w:trPr>
          <w:trHeight w:val="375"/>
        </w:trPr>
        <w:tc>
          <w:tcPr>
            <w:tcW w:w="7640" w:type="dxa"/>
            <w:gridSpan w:val="2"/>
            <w:tcBorders>
              <w:top w:val="nil"/>
              <w:left w:val="nil"/>
              <w:bottom w:val="single" w:sz="4" w:space="0" w:color="auto"/>
              <w:right w:val="nil"/>
            </w:tcBorders>
            <w:shd w:val="clear" w:color="000000" w:fill="FFFFFF"/>
            <w:vAlign w:val="center"/>
            <w:hideMark/>
          </w:tcPr>
          <w:p w14:paraId="53BBECE7"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lastRenderedPageBreak/>
              <w:t>Spolu</w:t>
            </w:r>
          </w:p>
        </w:tc>
        <w:tc>
          <w:tcPr>
            <w:tcW w:w="1432" w:type="dxa"/>
            <w:tcBorders>
              <w:top w:val="nil"/>
              <w:left w:val="nil"/>
              <w:bottom w:val="single" w:sz="4" w:space="0" w:color="auto"/>
              <w:right w:val="nil"/>
            </w:tcBorders>
            <w:shd w:val="clear" w:color="000000" w:fill="FFFFFF"/>
            <w:vAlign w:val="center"/>
            <w:hideMark/>
          </w:tcPr>
          <w:p w14:paraId="6B7C448A"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1 987</w:t>
            </w:r>
          </w:p>
        </w:tc>
      </w:tr>
      <w:tr w:rsidR="004C3312" w:rsidRPr="009E1E9C" w14:paraId="6549830D" w14:textId="77777777" w:rsidTr="004C3312">
        <w:trPr>
          <w:trHeight w:val="557"/>
        </w:trPr>
        <w:tc>
          <w:tcPr>
            <w:tcW w:w="1180" w:type="dxa"/>
            <w:tcBorders>
              <w:top w:val="nil"/>
              <w:left w:val="nil"/>
              <w:bottom w:val="nil"/>
              <w:right w:val="nil"/>
            </w:tcBorders>
            <w:shd w:val="clear" w:color="000000" w:fill="FFFFFF"/>
            <w:vAlign w:val="center"/>
            <w:hideMark/>
          </w:tcPr>
          <w:p w14:paraId="51EA11DA" w14:textId="77777777" w:rsidR="004C3312" w:rsidRPr="009E1E9C"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pôdohospodárstva a rozvoja vidieka</w:t>
            </w:r>
            <w:r w:rsidRPr="009E1E9C">
              <w:rPr>
                <w:rFonts w:eastAsia="Times New Roman" w:cs="Times New Roman"/>
                <w:color w:val="000000"/>
                <w:sz w:val="16"/>
                <w:szCs w:val="16"/>
                <w:lang w:eastAsia="sk-SK"/>
              </w:rPr>
              <w:t xml:space="preserve"> SR </w:t>
            </w:r>
          </w:p>
        </w:tc>
        <w:tc>
          <w:tcPr>
            <w:tcW w:w="6460" w:type="dxa"/>
            <w:tcBorders>
              <w:top w:val="nil"/>
              <w:left w:val="nil"/>
              <w:bottom w:val="nil"/>
              <w:right w:val="nil"/>
            </w:tcBorders>
            <w:shd w:val="clear" w:color="000000" w:fill="FFFFFF"/>
            <w:vAlign w:val="bottom"/>
            <w:hideMark/>
          </w:tcPr>
          <w:p w14:paraId="1BBBBB8E"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 xml:space="preserve">UZN č. 360/2022 k Správe o priebehu a následkoch povodní na území Slovenskej republiky </w:t>
            </w:r>
            <w:r w:rsidRPr="009E1E9C">
              <w:rPr>
                <w:rFonts w:eastAsia="Times New Roman" w:cs="Times New Roman"/>
                <w:sz w:val="16"/>
                <w:szCs w:val="16"/>
                <w:lang w:eastAsia="sk-SK"/>
              </w:rPr>
              <w:br/>
              <w:t>v období od júla do konca decembra 2021</w:t>
            </w:r>
          </w:p>
        </w:tc>
        <w:tc>
          <w:tcPr>
            <w:tcW w:w="1432" w:type="dxa"/>
            <w:tcBorders>
              <w:top w:val="nil"/>
              <w:left w:val="nil"/>
              <w:bottom w:val="nil"/>
              <w:right w:val="nil"/>
            </w:tcBorders>
            <w:shd w:val="clear" w:color="000000" w:fill="FFFFFF"/>
            <w:vAlign w:val="center"/>
            <w:hideMark/>
          </w:tcPr>
          <w:p w14:paraId="0C16E485" w14:textId="77777777" w:rsidR="004C3312" w:rsidRPr="009E1E9C" w:rsidRDefault="004C3312" w:rsidP="004C3312">
            <w:pPr>
              <w:spacing w:after="0" w:line="240" w:lineRule="auto"/>
              <w:jc w:val="right"/>
              <w:rPr>
                <w:rFonts w:eastAsia="Times New Roman" w:cs="Times New Roman"/>
                <w:color w:val="000000"/>
                <w:sz w:val="16"/>
                <w:szCs w:val="16"/>
                <w:lang w:eastAsia="sk-SK"/>
              </w:rPr>
            </w:pPr>
            <w:r w:rsidRPr="009E1E9C">
              <w:rPr>
                <w:rFonts w:cs="Times New Roman"/>
                <w:color w:val="000000"/>
                <w:sz w:val="16"/>
                <w:szCs w:val="16"/>
              </w:rPr>
              <w:t>473</w:t>
            </w:r>
          </w:p>
        </w:tc>
      </w:tr>
      <w:tr w:rsidR="004C3312" w:rsidRPr="009E1E9C" w14:paraId="16B79475" w14:textId="77777777" w:rsidTr="004C3312">
        <w:trPr>
          <w:trHeight w:val="375"/>
        </w:trPr>
        <w:tc>
          <w:tcPr>
            <w:tcW w:w="7640" w:type="dxa"/>
            <w:gridSpan w:val="2"/>
            <w:tcBorders>
              <w:top w:val="nil"/>
              <w:left w:val="nil"/>
              <w:bottom w:val="single" w:sz="4" w:space="0" w:color="auto"/>
              <w:right w:val="nil"/>
            </w:tcBorders>
            <w:shd w:val="clear" w:color="000000" w:fill="FFFFFF"/>
            <w:vAlign w:val="center"/>
            <w:hideMark/>
          </w:tcPr>
          <w:p w14:paraId="50358787"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Spolu</w:t>
            </w:r>
          </w:p>
        </w:tc>
        <w:tc>
          <w:tcPr>
            <w:tcW w:w="1432" w:type="dxa"/>
            <w:tcBorders>
              <w:top w:val="nil"/>
              <w:left w:val="nil"/>
              <w:bottom w:val="single" w:sz="4" w:space="0" w:color="auto"/>
              <w:right w:val="nil"/>
            </w:tcBorders>
            <w:shd w:val="clear" w:color="000000" w:fill="FFFFFF"/>
            <w:vAlign w:val="center"/>
            <w:hideMark/>
          </w:tcPr>
          <w:p w14:paraId="309D1EE9"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473</w:t>
            </w:r>
          </w:p>
        </w:tc>
      </w:tr>
      <w:tr w:rsidR="004C3312" w:rsidRPr="009E1E9C" w14:paraId="22A70B73" w14:textId="77777777" w:rsidTr="004C3312">
        <w:trPr>
          <w:trHeight w:val="600"/>
        </w:trPr>
        <w:tc>
          <w:tcPr>
            <w:tcW w:w="1180" w:type="dxa"/>
            <w:tcBorders>
              <w:top w:val="nil"/>
              <w:left w:val="nil"/>
              <w:bottom w:val="nil"/>
              <w:right w:val="nil"/>
            </w:tcBorders>
            <w:shd w:val="clear" w:color="000000" w:fill="FFFFFF"/>
            <w:vAlign w:val="center"/>
            <w:hideMark/>
          </w:tcPr>
          <w:p w14:paraId="1BC70EBE" w14:textId="77777777" w:rsidR="004C3312" w:rsidRPr="009E1E9C" w:rsidRDefault="004C3312" w:rsidP="004C3312">
            <w:pPr>
              <w:spacing w:after="0" w:line="240" w:lineRule="auto"/>
              <w:jc w:val="left"/>
              <w:rPr>
                <w:rFonts w:eastAsia="Times New Roman" w:cs="Times New Roman"/>
                <w:color w:val="000000"/>
                <w:sz w:val="16"/>
                <w:szCs w:val="16"/>
                <w:lang w:eastAsia="sk-SK"/>
              </w:rPr>
            </w:pPr>
            <w:r w:rsidRPr="009E1E9C">
              <w:rPr>
                <w:rFonts w:eastAsia="Times New Roman" w:cs="Times New Roman"/>
                <w:color w:val="000000"/>
                <w:sz w:val="16"/>
                <w:szCs w:val="16"/>
                <w:lang w:eastAsia="sk-SK"/>
              </w:rPr>
              <w:t>M</w:t>
            </w:r>
            <w:r>
              <w:rPr>
                <w:rFonts w:eastAsia="Times New Roman" w:cs="Times New Roman"/>
                <w:color w:val="000000"/>
                <w:sz w:val="16"/>
                <w:szCs w:val="16"/>
                <w:lang w:eastAsia="sk-SK"/>
              </w:rPr>
              <w:t xml:space="preserve">inisterstvo zdravotníctva </w:t>
            </w:r>
            <w:r w:rsidRPr="009E1E9C">
              <w:rPr>
                <w:rFonts w:eastAsia="Times New Roman" w:cs="Times New Roman"/>
                <w:color w:val="000000"/>
                <w:sz w:val="16"/>
                <w:szCs w:val="16"/>
                <w:lang w:eastAsia="sk-SK"/>
              </w:rPr>
              <w:t xml:space="preserve"> SR</w:t>
            </w:r>
          </w:p>
        </w:tc>
        <w:tc>
          <w:tcPr>
            <w:tcW w:w="6460" w:type="dxa"/>
            <w:tcBorders>
              <w:top w:val="nil"/>
              <w:left w:val="nil"/>
              <w:bottom w:val="nil"/>
              <w:right w:val="nil"/>
            </w:tcBorders>
            <w:shd w:val="clear" w:color="000000" w:fill="FFFFFF"/>
            <w:vAlign w:val="bottom"/>
            <w:hideMark/>
          </w:tcPr>
          <w:p w14:paraId="3E8D5861"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 xml:space="preserve">UZN č. 360/2022 k Správe o priebehu a následkoch povodní na území Slovenskej republiky </w:t>
            </w:r>
            <w:r w:rsidRPr="009E1E9C">
              <w:rPr>
                <w:rFonts w:eastAsia="Times New Roman" w:cs="Times New Roman"/>
                <w:sz w:val="16"/>
                <w:szCs w:val="16"/>
                <w:lang w:eastAsia="sk-SK"/>
              </w:rPr>
              <w:br/>
              <w:t>v období od júla do konca decembra 2021</w:t>
            </w:r>
          </w:p>
        </w:tc>
        <w:tc>
          <w:tcPr>
            <w:tcW w:w="1432" w:type="dxa"/>
            <w:tcBorders>
              <w:top w:val="nil"/>
              <w:left w:val="nil"/>
              <w:bottom w:val="nil"/>
              <w:right w:val="nil"/>
            </w:tcBorders>
            <w:shd w:val="clear" w:color="000000" w:fill="FFFFFF"/>
            <w:vAlign w:val="center"/>
            <w:hideMark/>
          </w:tcPr>
          <w:p w14:paraId="4F845468" w14:textId="77777777" w:rsidR="004C3312" w:rsidRPr="009E1E9C" w:rsidRDefault="004C3312" w:rsidP="004C3312">
            <w:pPr>
              <w:spacing w:after="0" w:line="240" w:lineRule="auto"/>
              <w:jc w:val="right"/>
              <w:rPr>
                <w:rFonts w:eastAsia="Times New Roman" w:cs="Times New Roman"/>
                <w:color w:val="000000"/>
                <w:sz w:val="16"/>
                <w:szCs w:val="16"/>
                <w:lang w:eastAsia="sk-SK"/>
              </w:rPr>
            </w:pPr>
            <w:r w:rsidRPr="009E1E9C">
              <w:rPr>
                <w:rFonts w:eastAsia="Times New Roman" w:cs="Times New Roman"/>
                <w:color w:val="000000"/>
                <w:sz w:val="16"/>
                <w:szCs w:val="16"/>
                <w:lang w:eastAsia="sk-SK"/>
              </w:rPr>
              <w:t>4</w:t>
            </w:r>
          </w:p>
        </w:tc>
      </w:tr>
      <w:tr w:rsidR="004C3312" w:rsidRPr="009E1E9C" w14:paraId="4A9CD643" w14:textId="77777777" w:rsidTr="004C3312">
        <w:trPr>
          <w:trHeight w:val="375"/>
        </w:trPr>
        <w:tc>
          <w:tcPr>
            <w:tcW w:w="7640" w:type="dxa"/>
            <w:gridSpan w:val="2"/>
            <w:tcBorders>
              <w:top w:val="nil"/>
              <w:left w:val="nil"/>
              <w:bottom w:val="single" w:sz="4" w:space="0" w:color="auto"/>
              <w:right w:val="nil"/>
            </w:tcBorders>
            <w:shd w:val="clear" w:color="000000" w:fill="FFFFFF"/>
            <w:vAlign w:val="center"/>
            <w:hideMark/>
          </w:tcPr>
          <w:p w14:paraId="7D6F034E"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Spolu</w:t>
            </w:r>
          </w:p>
        </w:tc>
        <w:tc>
          <w:tcPr>
            <w:tcW w:w="1432" w:type="dxa"/>
            <w:tcBorders>
              <w:top w:val="nil"/>
              <w:left w:val="nil"/>
              <w:bottom w:val="single" w:sz="4" w:space="0" w:color="auto"/>
              <w:right w:val="nil"/>
            </w:tcBorders>
            <w:shd w:val="clear" w:color="000000" w:fill="FFFFFF"/>
            <w:vAlign w:val="center"/>
            <w:hideMark/>
          </w:tcPr>
          <w:p w14:paraId="26DEC0F2"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4</w:t>
            </w:r>
          </w:p>
        </w:tc>
      </w:tr>
      <w:tr w:rsidR="004C3312" w:rsidRPr="009E1E9C" w14:paraId="416CBF3C" w14:textId="77777777" w:rsidTr="004C3312">
        <w:trPr>
          <w:trHeight w:val="614"/>
        </w:trPr>
        <w:tc>
          <w:tcPr>
            <w:tcW w:w="1180" w:type="dxa"/>
            <w:tcBorders>
              <w:top w:val="nil"/>
              <w:left w:val="nil"/>
              <w:bottom w:val="nil"/>
              <w:right w:val="nil"/>
            </w:tcBorders>
            <w:shd w:val="clear" w:color="000000" w:fill="FFFFFF"/>
            <w:vAlign w:val="center"/>
            <w:hideMark/>
          </w:tcPr>
          <w:p w14:paraId="7DD493B7" w14:textId="77777777" w:rsidR="004C3312" w:rsidRPr="009E1E9C"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obrany</w:t>
            </w:r>
            <w:r w:rsidRPr="009E1E9C">
              <w:rPr>
                <w:rFonts w:eastAsia="Times New Roman" w:cs="Times New Roman"/>
                <w:color w:val="000000"/>
                <w:sz w:val="16"/>
                <w:szCs w:val="16"/>
                <w:lang w:eastAsia="sk-SK"/>
              </w:rPr>
              <w:t xml:space="preserve"> SR </w:t>
            </w:r>
          </w:p>
        </w:tc>
        <w:tc>
          <w:tcPr>
            <w:tcW w:w="6460" w:type="dxa"/>
            <w:tcBorders>
              <w:top w:val="nil"/>
              <w:left w:val="nil"/>
              <w:bottom w:val="nil"/>
              <w:right w:val="nil"/>
            </w:tcBorders>
            <w:shd w:val="clear" w:color="000000" w:fill="FFFFFF"/>
            <w:vAlign w:val="bottom"/>
            <w:hideMark/>
          </w:tcPr>
          <w:p w14:paraId="5F33C957" w14:textId="77777777" w:rsidR="004C3312" w:rsidRPr="009E1E9C" w:rsidRDefault="004C3312" w:rsidP="004C3312">
            <w:pPr>
              <w:spacing w:after="0" w:line="240" w:lineRule="auto"/>
              <w:rPr>
                <w:rFonts w:eastAsia="Times New Roman" w:cs="Times New Roman"/>
                <w:sz w:val="16"/>
                <w:szCs w:val="16"/>
                <w:lang w:eastAsia="sk-SK"/>
              </w:rPr>
            </w:pPr>
            <w:r w:rsidRPr="009E1E9C">
              <w:rPr>
                <w:rFonts w:eastAsia="Times New Roman" w:cs="Times New Roman"/>
                <w:sz w:val="16"/>
                <w:szCs w:val="16"/>
                <w:lang w:eastAsia="sk-SK"/>
              </w:rPr>
              <w:t xml:space="preserve">UZN č. 360/2022 k Správe o priebehu a následkoch povodní na území Slovenskej republiky </w:t>
            </w:r>
            <w:r w:rsidRPr="009E1E9C">
              <w:rPr>
                <w:rFonts w:eastAsia="Times New Roman" w:cs="Times New Roman"/>
                <w:sz w:val="16"/>
                <w:szCs w:val="16"/>
                <w:lang w:eastAsia="sk-SK"/>
              </w:rPr>
              <w:br/>
              <w:t>v období od júla do konca decembra 2021</w:t>
            </w:r>
          </w:p>
        </w:tc>
        <w:tc>
          <w:tcPr>
            <w:tcW w:w="1432" w:type="dxa"/>
            <w:tcBorders>
              <w:top w:val="nil"/>
              <w:left w:val="nil"/>
              <w:bottom w:val="nil"/>
              <w:right w:val="nil"/>
            </w:tcBorders>
            <w:shd w:val="clear" w:color="000000" w:fill="FFFFFF"/>
            <w:vAlign w:val="center"/>
            <w:hideMark/>
          </w:tcPr>
          <w:p w14:paraId="60C0042B" w14:textId="77777777" w:rsidR="004C3312" w:rsidRPr="009E1E9C" w:rsidRDefault="004C3312" w:rsidP="004C3312">
            <w:pPr>
              <w:spacing w:after="0" w:line="240" w:lineRule="auto"/>
              <w:jc w:val="right"/>
              <w:rPr>
                <w:rFonts w:eastAsia="Times New Roman" w:cs="Times New Roman"/>
                <w:color w:val="000000"/>
                <w:sz w:val="16"/>
                <w:szCs w:val="16"/>
                <w:lang w:eastAsia="sk-SK"/>
              </w:rPr>
            </w:pPr>
            <w:r w:rsidRPr="009E1E9C">
              <w:rPr>
                <w:rFonts w:eastAsia="Times New Roman" w:cs="Times New Roman"/>
                <w:color w:val="000000"/>
                <w:sz w:val="16"/>
                <w:szCs w:val="16"/>
                <w:lang w:eastAsia="sk-SK"/>
              </w:rPr>
              <w:t>1</w:t>
            </w:r>
          </w:p>
        </w:tc>
      </w:tr>
      <w:tr w:rsidR="004C3312" w:rsidRPr="009E1E9C" w14:paraId="5F3E384C" w14:textId="77777777" w:rsidTr="004C3312">
        <w:trPr>
          <w:trHeight w:val="375"/>
        </w:trPr>
        <w:tc>
          <w:tcPr>
            <w:tcW w:w="7640" w:type="dxa"/>
            <w:gridSpan w:val="2"/>
            <w:tcBorders>
              <w:top w:val="nil"/>
              <w:left w:val="nil"/>
              <w:bottom w:val="single" w:sz="4" w:space="0" w:color="auto"/>
              <w:right w:val="nil"/>
            </w:tcBorders>
            <w:shd w:val="clear" w:color="000000" w:fill="FFFFFF"/>
            <w:vAlign w:val="center"/>
            <w:hideMark/>
          </w:tcPr>
          <w:p w14:paraId="03F143EE"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Spolu</w:t>
            </w:r>
          </w:p>
        </w:tc>
        <w:tc>
          <w:tcPr>
            <w:tcW w:w="1432" w:type="dxa"/>
            <w:tcBorders>
              <w:top w:val="nil"/>
              <w:left w:val="nil"/>
              <w:bottom w:val="single" w:sz="4" w:space="0" w:color="auto"/>
              <w:right w:val="nil"/>
            </w:tcBorders>
            <w:shd w:val="clear" w:color="000000" w:fill="FFFFFF"/>
            <w:vAlign w:val="center"/>
            <w:hideMark/>
          </w:tcPr>
          <w:p w14:paraId="59C7C0D9"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1</w:t>
            </w:r>
          </w:p>
        </w:tc>
      </w:tr>
      <w:tr w:rsidR="004C3312" w:rsidRPr="009E1E9C" w14:paraId="7A115A61" w14:textId="77777777" w:rsidTr="004C3312">
        <w:trPr>
          <w:trHeight w:val="346"/>
        </w:trPr>
        <w:tc>
          <w:tcPr>
            <w:tcW w:w="7640" w:type="dxa"/>
            <w:gridSpan w:val="2"/>
            <w:tcBorders>
              <w:top w:val="single" w:sz="4" w:space="0" w:color="auto"/>
              <w:left w:val="nil"/>
              <w:bottom w:val="single" w:sz="4" w:space="0" w:color="auto"/>
              <w:right w:val="nil"/>
            </w:tcBorders>
            <w:shd w:val="clear" w:color="000000" w:fill="FFFFFF"/>
            <w:vAlign w:val="center"/>
            <w:hideMark/>
          </w:tcPr>
          <w:p w14:paraId="710291ED"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Spolu celkom</w:t>
            </w:r>
          </w:p>
        </w:tc>
        <w:tc>
          <w:tcPr>
            <w:tcW w:w="1432" w:type="dxa"/>
            <w:tcBorders>
              <w:top w:val="nil"/>
              <w:left w:val="nil"/>
              <w:bottom w:val="single" w:sz="4" w:space="0" w:color="auto"/>
              <w:right w:val="nil"/>
            </w:tcBorders>
            <w:shd w:val="clear" w:color="000000" w:fill="FFFFFF"/>
            <w:vAlign w:val="center"/>
            <w:hideMark/>
          </w:tcPr>
          <w:p w14:paraId="0AA51488" w14:textId="77777777" w:rsidR="004C3312" w:rsidRPr="009E1E9C" w:rsidRDefault="004C3312" w:rsidP="004C3312">
            <w:pPr>
              <w:spacing w:after="0" w:line="240" w:lineRule="auto"/>
              <w:jc w:val="right"/>
              <w:rPr>
                <w:rFonts w:eastAsia="Times New Roman" w:cs="Times New Roman"/>
                <w:b/>
                <w:bCs/>
                <w:color w:val="000000"/>
                <w:sz w:val="16"/>
                <w:szCs w:val="16"/>
                <w:lang w:eastAsia="sk-SK"/>
              </w:rPr>
            </w:pPr>
            <w:r w:rsidRPr="009E1E9C">
              <w:rPr>
                <w:rFonts w:eastAsia="Times New Roman" w:cs="Times New Roman"/>
                <w:b/>
                <w:bCs/>
                <w:color w:val="000000"/>
                <w:sz w:val="16"/>
                <w:szCs w:val="16"/>
                <w:lang w:eastAsia="sk-SK"/>
              </w:rPr>
              <w:t>6 656</w:t>
            </w:r>
          </w:p>
        </w:tc>
      </w:tr>
      <w:tr w:rsidR="004C3312" w:rsidRPr="001D0537" w14:paraId="62368BCF" w14:textId="77777777" w:rsidTr="004C3312">
        <w:trPr>
          <w:trHeight w:val="255"/>
        </w:trPr>
        <w:tc>
          <w:tcPr>
            <w:tcW w:w="7640" w:type="dxa"/>
            <w:gridSpan w:val="2"/>
            <w:tcBorders>
              <w:top w:val="single" w:sz="4" w:space="0" w:color="auto"/>
              <w:left w:val="nil"/>
              <w:bottom w:val="nil"/>
              <w:right w:val="nil"/>
            </w:tcBorders>
            <w:shd w:val="clear" w:color="auto" w:fill="auto"/>
            <w:noWrap/>
            <w:vAlign w:val="bottom"/>
            <w:hideMark/>
          </w:tcPr>
          <w:p w14:paraId="06C52531" w14:textId="77777777" w:rsidR="004C3312" w:rsidRPr="009E1E9C" w:rsidRDefault="004C3312" w:rsidP="004C3312">
            <w:pPr>
              <w:spacing w:after="0" w:line="240" w:lineRule="auto"/>
              <w:jc w:val="left"/>
              <w:rPr>
                <w:rFonts w:eastAsia="Times New Roman" w:cs="Times New Roman"/>
                <w:color w:val="000000"/>
                <w:sz w:val="16"/>
                <w:szCs w:val="16"/>
                <w:lang w:eastAsia="sk-SK"/>
              </w:rPr>
            </w:pPr>
            <w:r w:rsidRPr="009E1E9C">
              <w:rPr>
                <w:rFonts w:eastAsia="Times New Roman" w:cs="Times New Roman"/>
                <w:color w:val="000000"/>
                <w:sz w:val="16"/>
                <w:szCs w:val="16"/>
                <w:lang w:eastAsia="sk-SK"/>
              </w:rPr>
              <w:t xml:space="preserve">* v sumách sú premietnuté aj vrátené nevyčerpané prostriedky kapitol </w:t>
            </w:r>
          </w:p>
        </w:tc>
        <w:tc>
          <w:tcPr>
            <w:tcW w:w="1432" w:type="dxa"/>
            <w:tcBorders>
              <w:top w:val="nil"/>
              <w:left w:val="nil"/>
              <w:bottom w:val="nil"/>
              <w:right w:val="nil"/>
            </w:tcBorders>
            <w:shd w:val="clear" w:color="auto" w:fill="auto"/>
            <w:noWrap/>
            <w:vAlign w:val="bottom"/>
            <w:hideMark/>
          </w:tcPr>
          <w:p w14:paraId="54307648" w14:textId="77777777" w:rsidR="004C3312" w:rsidRPr="001D0537" w:rsidRDefault="004C3312" w:rsidP="004C3312">
            <w:pPr>
              <w:spacing w:after="0" w:line="240" w:lineRule="auto"/>
              <w:jc w:val="right"/>
              <w:rPr>
                <w:rFonts w:eastAsia="Times New Roman" w:cs="Times New Roman"/>
                <w:iCs/>
                <w:color w:val="000000"/>
                <w:sz w:val="20"/>
                <w:szCs w:val="20"/>
                <w:lang w:eastAsia="sk-SK"/>
              </w:rPr>
            </w:pPr>
            <w:r w:rsidRPr="001D0537">
              <w:rPr>
                <w:rFonts w:eastAsia="Times New Roman" w:cs="Times New Roman"/>
                <w:iCs/>
                <w:color w:val="000000"/>
                <w:sz w:val="20"/>
                <w:szCs w:val="20"/>
                <w:lang w:eastAsia="sk-SK"/>
              </w:rPr>
              <w:t>Zdroj: MF SR</w:t>
            </w:r>
          </w:p>
        </w:tc>
      </w:tr>
    </w:tbl>
    <w:p w14:paraId="02D4AEE4" w14:textId="77777777" w:rsidR="00043553" w:rsidRDefault="00043553" w:rsidP="00995FFF">
      <w:pPr>
        <w:spacing w:after="160" w:line="259" w:lineRule="auto"/>
        <w:jc w:val="left"/>
        <w:rPr>
          <w:b/>
          <w:sz w:val="24"/>
          <w:szCs w:val="24"/>
        </w:rPr>
      </w:pPr>
    </w:p>
    <w:p w14:paraId="20070825" w14:textId="395812C4" w:rsidR="004C3312" w:rsidRPr="00EF074B" w:rsidRDefault="004C3312" w:rsidP="00995FFF">
      <w:pPr>
        <w:spacing w:after="160" w:line="259" w:lineRule="auto"/>
        <w:jc w:val="left"/>
        <w:rPr>
          <w:b/>
          <w:sz w:val="24"/>
          <w:szCs w:val="24"/>
        </w:rPr>
      </w:pPr>
      <w:r w:rsidRPr="00EF074B">
        <w:rPr>
          <w:b/>
          <w:sz w:val="24"/>
          <w:szCs w:val="24"/>
        </w:rPr>
        <w:t>Rezerva na realizáciu súdnych a exekučných rozhodnutí</w:t>
      </w:r>
    </w:p>
    <w:p w14:paraId="48D03E38" w14:textId="77777777" w:rsidR="004C3312" w:rsidRDefault="004C3312" w:rsidP="004C3312">
      <w:pPr>
        <w:spacing w:line="240" w:lineRule="auto"/>
        <w:rPr>
          <w:sz w:val="24"/>
          <w:szCs w:val="24"/>
        </w:rPr>
      </w:pPr>
      <w:r w:rsidRPr="00EF074B">
        <w:rPr>
          <w:sz w:val="24"/>
          <w:szCs w:val="24"/>
        </w:rPr>
        <w:t xml:space="preserve">Z </w:t>
      </w:r>
      <w:r>
        <w:rPr>
          <w:sz w:val="24"/>
          <w:szCs w:val="24"/>
        </w:rPr>
        <w:t>rozpočtovanej rezervy v sume 10 </w:t>
      </w:r>
      <w:r w:rsidRPr="00EF074B">
        <w:rPr>
          <w:sz w:val="24"/>
          <w:szCs w:val="24"/>
        </w:rPr>
        <w:t>000 tis. eur boli uvoľnené prostriedky v sume 828 tis. eur</w:t>
      </w:r>
      <w:r>
        <w:rPr>
          <w:sz w:val="24"/>
          <w:szCs w:val="24"/>
        </w:rPr>
        <w:t>.</w:t>
      </w:r>
    </w:p>
    <w:tbl>
      <w:tblPr>
        <w:tblW w:w="9214" w:type="dxa"/>
        <w:tblCellMar>
          <w:left w:w="70" w:type="dxa"/>
          <w:right w:w="70" w:type="dxa"/>
        </w:tblCellMar>
        <w:tblLook w:val="04A0" w:firstRow="1" w:lastRow="0" w:firstColumn="1" w:lastColumn="0" w:noHBand="0" w:noVBand="1"/>
      </w:tblPr>
      <w:tblGrid>
        <w:gridCol w:w="1199"/>
        <w:gridCol w:w="6561"/>
        <w:gridCol w:w="1454"/>
      </w:tblGrid>
      <w:tr w:rsidR="004C3312" w:rsidRPr="00C23C36" w14:paraId="3A324550" w14:textId="77777777" w:rsidTr="00CE362A">
        <w:trPr>
          <w:trHeight w:val="204"/>
        </w:trPr>
        <w:tc>
          <w:tcPr>
            <w:tcW w:w="7640" w:type="dxa"/>
            <w:gridSpan w:val="2"/>
            <w:tcBorders>
              <w:top w:val="nil"/>
              <w:left w:val="nil"/>
              <w:bottom w:val="single" w:sz="4" w:space="0" w:color="auto"/>
              <w:right w:val="nil"/>
            </w:tcBorders>
            <w:shd w:val="clear" w:color="auto" w:fill="auto"/>
            <w:noWrap/>
            <w:vAlign w:val="center"/>
            <w:hideMark/>
          </w:tcPr>
          <w:p w14:paraId="45DE3E62" w14:textId="7F8B8881" w:rsidR="004C3312" w:rsidRPr="00C23C36" w:rsidRDefault="004C3312" w:rsidP="00507DFC">
            <w:pPr>
              <w:spacing w:after="0" w:line="240" w:lineRule="auto"/>
              <w:jc w:val="left"/>
              <w:rPr>
                <w:rFonts w:eastAsia="Times New Roman" w:cs="Times New Roman"/>
                <w:b/>
                <w:sz w:val="20"/>
                <w:szCs w:val="20"/>
                <w:lang w:eastAsia="sk-SK"/>
              </w:rPr>
            </w:pPr>
            <w:r>
              <w:rPr>
                <w:rFonts w:eastAsia="Times New Roman" w:cs="Times New Roman"/>
                <w:b/>
                <w:bCs/>
                <w:color w:val="5B9BD5" w:themeColor="accent1"/>
                <w:sz w:val="20"/>
                <w:szCs w:val="20"/>
                <w:lang w:eastAsia="sk-SK"/>
              </w:rPr>
              <w:t xml:space="preserve">Tabuľka </w:t>
            </w:r>
            <w:r w:rsidR="001656EA">
              <w:rPr>
                <w:rFonts w:eastAsia="Times New Roman" w:cs="Times New Roman"/>
                <w:b/>
                <w:bCs/>
                <w:color w:val="5B9BD5" w:themeColor="accent1"/>
                <w:sz w:val="20"/>
                <w:szCs w:val="20"/>
                <w:lang w:eastAsia="sk-SK"/>
              </w:rPr>
              <w:t>5</w:t>
            </w:r>
            <w:r w:rsidR="00507DFC">
              <w:rPr>
                <w:rFonts w:eastAsia="Times New Roman" w:cs="Times New Roman"/>
                <w:b/>
                <w:bCs/>
                <w:color w:val="5B9BD5" w:themeColor="accent1"/>
                <w:sz w:val="20"/>
                <w:szCs w:val="20"/>
                <w:lang w:eastAsia="sk-SK"/>
              </w:rPr>
              <w:t>6</w:t>
            </w:r>
            <w:r w:rsidRPr="00C23C36">
              <w:rPr>
                <w:rFonts w:eastAsia="Times New Roman" w:cs="Times New Roman"/>
                <w:b/>
                <w:bCs/>
                <w:color w:val="5B9BD5" w:themeColor="accent1"/>
                <w:sz w:val="20"/>
                <w:szCs w:val="20"/>
                <w:lang w:eastAsia="sk-SK"/>
              </w:rPr>
              <w:t xml:space="preserve"> - Rezerva na realizáciu súdnych a exekučných rozhodnutí</w:t>
            </w:r>
          </w:p>
        </w:tc>
        <w:tc>
          <w:tcPr>
            <w:tcW w:w="1432" w:type="dxa"/>
            <w:tcBorders>
              <w:top w:val="nil"/>
              <w:left w:val="nil"/>
              <w:bottom w:val="nil"/>
              <w:right w:val="nil"/>
            </w:tcBorders>
            <w:shd w:val="clear" w:color="auto" w:fill="auto"/>
            <w:noWrap/>
            <w:vAlign w:val="center"/>
            <w:hideMark/>
          </w:tcPr>
          <w:p w14:paraId="7A0C053F" w14:textId="77777777" w:rsidR="004C3312" w:rsidRPr="00C23C36" w:rsidRDefault="004C3312" w:rsidP="004C3312">
            <w:pPr>
              <w:spacing w:after="160" w:line="240" w:lineRule="auto"/>
              <w:jc w:val="left"/>
              <w:rPr>
                <w:rFonts w:eastAsia="Times New Roman" w:cs="Times New Roman"/>
                <w:sz w:val="20"/>
                <w:szCs w:val="20"/>
                <w:lang w:eastAsia="sk-SK"/>
              </w:rPr>
            </w:pPr>
          </w:p>
        </w:tc>
      </w:tr>
      <w:tr w:rsidR="004C3312" w:rsidRPr="00C23C36" w14:paraId="75F051BF" w14:textId="77777777" w:rsidTr="00CE362A">
        <w:trPr>
          <w:trHeight w:val="289"/>
        </w:trPr>
        <w:tc>
          <w:tcPr>
            <w:tcW w:w="1180" w:type="dxa"/>
            <w:tcBorders>
              <w:top w:val="nil"/>
              <w:left w:val="nil"/>
              <w:bottom w:val="single" w:sz="4" w:space="0" w:color="auto"/>
              <w:right w:val="nil"/>
            </w:tcBorders>
            <w:shd w:val="clear" w:color="auto" w:fill="auto"/>
            <w:noWrap/>
            <w:vAlign w:val="center"/>
            <w:hideMark/>
          </w:tcPr>
          <w:p w14:paraId="3599D89E" w14:textId="77777777" w:rsidR="004C3312" w:rsidRPr="00C23C36" w:rsidRDefault="004C3312" w:rsidP="004C3312">
            <w:pPr>
              <w:spacing w:after="0" w:line="240" w:lineRule="auto"/>
              <w:jc w:val="center"/>
              <w:rPr>
                <w:rFonts w:eastAsia="Times New Roman" w:cs="Times New Roman"/>
                <w:b/>
                <w:bCs/>
                <w:sz w:val="16"/>
                <w:szCs w:val="16"/>
                <w:lang w:eastAsia="sk-SK"/>
              </w:rPr>
            </w:pPr>
            <w:r w:rsidRPr="00C23C36">
              <w:rPr>
                <w:rFonts w:eastAsia="Times New Roman" w:cs="Times New Roman"/>
                <w:b/>
                <w:bCs/>
                <w:sz w:val="16"/>
                <w:szCs w:val="16"/>
                <w:lang w:eastAsia="sk-SK"/>
              </w:rPr>
              <w:t xml:space="preserve">Kapitola </w:t>
            </w:r>
          </w:p>
        </w:tc>
        <w:tc>
          <w:tcPr>
            <w:tcW w:w="6460" w:type="dxa"/>
            <w:tcBorders>
              <w:top w:val="nil"/>
              <w:left w:val="nil"/>
              <w:bottom w:val="single" w:sz="4" w:space="0" w:color="auto"/>
              <w:right w:val="nil"/>
            </w:tcBorders>
            <w:shd w:val="clear" w:color="auto" w:fill="auto"/>
            <w:noWrap/>
            <w:vAlign w:val="center"/>
            <w:hideMark/>
          </w:tcPr>
          <w:p w14:paraId="6A17F4F8" w14:textId="77777777" w:rsidR="004C3312" w:rsidRPr="00C23C36" w:rsidRDefault="004C3312" w:rsidP="004C3312">
            <w:pPr>
              <w:spacing w:after="0" w:line="240" w:lineRule="auto"/>
              <w:jc w:val="center"/>
              <w:rPr>
                <w:rFonts w:eastAsia="Times New Roman" w:cs="Times New Roman"/>
                <w:b/>
                <w:bCs/>
                <w:sz w:val="16"/>
                <w:szCs w:val="16"/>
                <w:lang w:eastAsia="sk-SK"/>
              </w:rPr>
            </w:pPr>
            <w:r w:rsidRPr="00C23C36">
              <w:rPr>
                <w:rFonts w:eastAsia="Times New Roman" w:cs="Times New Roman"/>
                <w:b/>
                <w:bCs/>
                <w:sz w:val="16"/>
                <w:szCs w:val="16"/>
                <w:lang w:eastAsia="sk-SK"/>
              </w:rPr>
              <w:t>Účel</w:t>
            </w:r>
          </w:p>
        </w:tc>
        <w:tc>
          <w:tcPr>
            <w:tcW w:w="1432" w:type="dxa"/>
            <w:tcBorders>
              <w:top w:val="single" w:sz="4" w:space="0" w:color="auto"/>
              <w:left w:val="nil"/>
              <w:bottom w:val="single" w:sz="4" w:space="0" w:color="auto"/>
              <w:right w:val="nil"/>
            </w:tcBorders>
            <w:shd w:val="clear" w:color="auto" w:fill="auto"/>
            <w:noWrap/>
            <w:vAlign w:val="center"/>
            <w:hideMark/>
          </w:tcPr>
          <w:p w14:paraId="341DCA8D" w14:textId="7D85ECE4" w:rsidR="004C3312" w:rsidRPr="00C23C36" w:rsidRDefault="004C3312" w:rsidP="001D0537">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Suma v tis. eur</w:t>
            </w:r>
          </w:p>
        </w:tc>
      </w:tr>
      <w:tr w:rsidR="004C3312" w:rsidRPr="00C23C36" w14:paraId="3114B639" w14:textId="77777777" w:rsidTr="00CE362A">
        <w:trPr>
          <w:trHeight w:val="289"/>
        </w:trPr>
        <w:tc>
          <w:tcPr>
            <w:tcW w:w="1180" w:type="dxa"/>
            <w:tcBorders>
              <w:top w:val="nil"/>
              <w:left w:val="nil"/>
              <w:bottom w:val="nil"/>
              <w:right w:val="nil"/>
            </w:tcBorders>
            <w:shd w:val="clear" w:color="000000" w:fill="FFFFFF"/>
            <w:vAlign w:val="center"/>
            <w:hideMark/>
          </w:tcPr>
          <w:p w14:paraId="1F7CF404" w14:textId="77777777" w:rsidR="004C3312" w:rsidRPr="00C23C36" w:rsidRDefault="004C3312" w:rsidP="004C3312">
            <w:pPr>
              <w:spacing w:after="0" w:line="240" w:lineRule="auto"/>
              <w:jc w:val="left"/>
              <w:rPr>
                <w:rFonts w:eastAsia="Times New Roman" w:cs="Times New Roman"/>
                <w:color w:val="000000"/>
                <w:sz w:val="16"/>
                <w:szCs w:val="16"/>
                <w:lang w:eastAsia="sk-SK"/>
              </w:rPr>
            </w:pPr>
          </w:p>
          <w:p w14:paraId="17A9F906" w14:textId="77777777" w:rsidR="004C3312" w:rsidRPr="00C23C36"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spravodlivosti</w:t>
            </w:r>
            <w:r w:rsidRPr="00C23C36">
              <w:rPr>
                <w:rFonts w:eastAsia="Times New Roman" w:cs="Times New Roman"/>
                <w:color w:val="000000"/>
                <w:sz w:val="16"/>
                <w:szCs w:val="16"/>
                <w:lang w:eastAsia="sk-SK"/>
              </w:rPr>
              <w:t xml:space="preserve"> SR</w:t>
            </w:r>
          </w:p>
        </w:tc>
        <w:tc>
          <w:tcPr>
            <w:tcW w:w="6460" w:type="dxa"/>
            <w:tcBorders>
              <w:top w:val="nil"/>
              <w:left w:val="nil"/>
              <w:bottom w:val="nil"/>
              <w:right w:val="nil"/>
            </w:tcBorders>
            <w:shd w:val="clear" w:color="auto" w:fill="auto"/>
            <w:vAlign w:val="center"/>
            <w:hideMark/>
          </w:tcPr>
          <w:p w14:paraId="6EC31E2A"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 xml:space="preserve">Na úhradu záväzkov vyplývajúcich z rozhodnutí Európskeho súdu pre ľudské práva </w:t>
            </w:r>
          </w:p>
        </w:tc>
        <w:tc>
          <w:tcPr>
            <w:tcW w:w="1432" w:type="dxa"/>
            <w:tcBorders>
              <w:top w:val="nil"/>
              <w:left w:val="nil"/>
              <w:bottom w:val="nil"/>
              <w:right w:val="nil"/>
            </w:tcBorders>
            <w:shd w:val="clear" w:color="000000" w:fill="FFFFFF"/>
            <w:vAlign w:val="center"/>
            <w:hideMark/>
          </w:tcPr>
          <w:p w14:paraId="4E6919EF"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569</w:t>
            </w:r>
          </w:p>
        </w:tc>
      </w:tr>
      <w:tr w:rsidR="004C3312" w:rsidRPr="00C23C36" w14:paraId="52E05060" w14:textId="77777777" w:rsidTr="00CE362A">
        <w:trPr>
          <w:trHeight w:val="289"/>
        </w:trPr>
        <w:tc>
          <w:tcPr>
            <w:tcW w:w="7640" w:type="dxa"/>
            <w:gridSpan w:val="2"/>
            <w:tcBorders>
              <w:top w:val="nil"/>
              <w:left w:val="nil"/>
              <w:bottom w:val="single" w:sz="4" w:space="0" w:color="auto"/>
              <w:right w:val="nil"/>
            </w:tcBorders>
            <w:shd w:val="clear" w:color="000000" w:fill="FFFFFF"/>
            <w:vAlign w:val="center"/>
            <w:hideMark/>
          </w:tcPr>
          <w:p w14:paraId="029F7EBB"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Spolu</w:t>
            </w:r>
          </w:p>
        </w:tc>
        <w:tc>
          <w:tcPr>
            <w:tcW w:w="1432" w:type="dxa"/>
            <w:tcBorders>
              <w:top w:val="nil"/>
              <w:left w:val="nil"/>
              <w:bottom w:val="single" w:sz="4" w:space="0" w:color="auto"/>
              <w:right w:val="nil"/>
            </w:tcBorders>
            <w:shd w:val="clear" w:color="000000" w:fill="FFFFFF"/>
            <w:vAlign w:val="center"/>
            <w:hideMark/>
          </w:tcPr>
          <w:p w14:paraId="3BCD6D21"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569</w:t>
            </w:r>
          </w:p>
        </w:tc>
      </w:tr>
      <w:tr w:rsidR="004C3312" w:rsidRPr="00C23C36" w14:paraId="5996854B" w14:textId="77777777" w:rsidTr="00CE362A">
        <w:trPr>
          <w:trHeight w:val="289"/>
        </w:trPr>
        <w:tc>
          <w:tcPr>
            <w:tcW w:w="1180" w:type="dxa"/>
            <w:vMerge w:val="restart"/>
            <w:tcBorders>
              <w:top w:val="nil"/>
              <w:left w:val="nil"/>
              <w:bottom w:val="nil"/>
              <w:right w:val="nil"/>
            </w:tcBorders>
            <w:shd w:val="clear" w:color="000000" w:fill="FFFFFF"/>
            <w:vAlign w:val="center"/>
            <w:hideMark/>
          </w:tcPr>
          <w:p w14:paraId="02784500" w14:textId="77777777" w:rsidR="004C3312" w:rsidRPr="00C23C36" w:rsidRDefault="004C3312"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Ministerstvo práce, sociálnych vecí a rodiny</w:t>
            </w:r>
            <w:r w:rsidRPr="00C23C36">
              <w:rPr>
                <w:rFonts w:eastAsia="Times New Roman" w:cs="Times New Roman"/>
                <w:color w:val="000000"/>
                <w:sz w:val="16"/>
                <w:szCs w:val="16"/>
                <w:lang w:eastAsia="sk-SK"/>
              </w:rPr>
              <w:t xml:space="preserve"> SR </w:t>
            </w:r>
          </w:p>
        </w:tc>
        <w:tc>
          <w:tcPr>
            <w:tcW w:w="6460" w:type="dxa"/>
            <w:tcBorders>
              <w:top w:val="nil"/>
              <w:left w:val="nil"/>
              <w:bottom w:val="nil"/>
              <w:right w:val="nil"/>
            </w:tcBorders>
            <w:shd w:val="clear" w:color="auto" w:fill="auto"/>
            <w:vAlign w:val="bottom"/>
            <w:hideMark/>
          </w:tcPr>
          <w:p w14:paraId="5AFBC779"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vrátenie zaplatených pokút v nadväznosti na právoplatné súdne rozhodnutia v odvolacích konaniach pre Štátnu veterinárnu a potravinovú správu SR a Pôdohospodársku platobnú agentúru</w:t>
            </w:r>
          </w:p>
        </w:tc>
        <w:tc>
          <w:tcPr>
            <w:tcW w:w="1432" w:type="dxa"/>
            <w:tcBorders>
              <w:top w:val="nil"/>
              <w:left w:val="nil"/>
              <w:bottom w:val="nil"/>
              <w:right w:val="nil"/>
            </w:tcBorders>
            <w:shd w:val="clear" w:color="auto" w:fill="auto"/>
            <w:vAlign w:val="center"/>
            <w:hideMark/>
          </w:tcPr>
          <w:p w14:paraId="082048D3"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118</w:t>
            </w:r>
          </w:p>
        </w:tc>
      </w:tr>
      <w:tr w:rsidR="004C3312" w:rsidRPr="00C23C36" w14:paraId="1794645D" w14:textId="77777777" w:rsidTr="00CE362A">
        <w:trPr>
          <w:trHeight w:val="289"/>
        </w:trPr>
        <w:tc>
          <w:tcPr>
            <w:tcW w:w="1180" w:type="dxa"/>
            <w:vMerge/>
            <w:tcBorders>
              <w:top w:val="nil"/>
              <w:left w:val="nil"/>
              <w:bottom w:val="nil"/>
              <w:right w:val="nil"/>
            </w:tcBorders>
            <w:vAlign w:val="center"/>
            <w:hideMark/>
          </w:tcPr>
          <w:p w14:paraId="7E846263" w14:textId="77777777" w:rsidR="004C3312" w:rsidRPr="00C23C36" w:rsidRDefault="004C3312" w:rsidP="004C3312">
            <w:pPr>
              <w:spacing w:after="0" w:line="240" w:lineRule="auto"/>
              <w:jc w:val="left"/>
              <w:rPr>
                <w:rFonts w:eastAsia="Times New Roman" w:cs="Times New Roman"/>
                <w:color w:val="000000"/>
                <w:sz w:val="16"/>
                <w:szCs w:val="16"/>
                <w:lang w:eastAsia="sk-SK"/>
              </w:rPr>
            </w:pPr>
          </w:p>
        </w:tc>
        <w:tc>
          <w:tcPr>
            <w:tcW w:w="6460" w:type="dxa"/>
            <w:tcBorders>
              <w:top w:val="nil"/>
              <w:left w:val="nil"/>
              <w:bottom w:val="nil"/>
              <w:right w:val="nil"/>
            </w:tcBorders>
            <w:shd w:val="clear" w:color="auto" w:fill="auto"/>
            <w:vAlign w:val="bottom"/>
            <w:hideMark/>
          </w:tcPr>
          <w:p w14:paraId="37BF6F7E"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 xml:space="preserve">Na regresné vymáhanie od štátneho orgánu pre rozpočtovú organizáciu Štátna veterinárna </w:t>
            </w:r>
            <w:r w:rsidRPr="00C23C36">
              <w:rPr>
                <w:rFonts w:eastAsia="Times New Roman" w:cs="Times New Roman"/>
                <w:sz w:val="16"/>
                <w:szCs w:val="16"/>
                <w:lang w:eastAsia="sk-SK"/>
              </w:rPr>
              <w:br/>
              <w:t>a potravinová správa SR a úrad MPRV SR</w:t>
            </w:r>
          </w:p>
        </w:tc>
        <w:tc>
          <w:tcPr>
            <w:tcW w:w="1432" w:type="dxa"/>
            <w:tcBorders>
              <w:top w:val="nil"/>
              <w:left w:val="nil"/>
              <w:bottom w:val="nil"/>
              <w:right w:val="nil"/>
            </w:tcBorders>
            <w:shd w:val="clear" w:color="auto" w:fill="auto"/>
            <w:vAlign w:val="center"/>
            <w:hideMark/>
          </w:tcPr>
          <w:p w14:paraId="4625149B"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114</w:t>
            </w:r>
          </w:p>
        </w:tc>
      </w:tr>
      <w:tr w:rsidR="004C3312" w:rsidRPr="00C23C36" w14:paraId="39D9B565" w14:textId="77777777" w:rsidTr="00CE362A">
        <w:trPr>
          <w:trHeight w:val="289"/>
        </w:trPr>
        <w:tc>
          <w:tcPr>
            <w:tcW w:w="7640" w:type="dxa"/>
            <w:gridSpan w:val="2"/>
            <w:tcBorders>
              <w:top w:val="nil"/>
              <w:left w:val="nil"/>
              <w:bottom w:val="single" w:sz="4" w:space="0" w:color="auto"/>
              <w:right w:val="nil"/>
            </w:tcBorders>
            <w:shd w:val="clear" w:color="auto" w:fill="auto"/>
            <w:vAlign w:val="center"/>
            <w:hideMark/>
          </w:tcPr>
          <w:p w14:paraId="32DB0666"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 xml:space="preserve">Spolu </w:t>
            </w:r>
          </w:p>
        </w:tc>
        <w:tc>
          <w:tcPr>
            <w:tcW w:w="1432" w:type="dxa"/>
            <w:tcBorders>
              <w:top w:val="nil"/>
              <w:left w:val="nil"/>
              <w:bottom w:val="single" w:sz="4" w:space="0" w:color="auto"/>
              <w:right w:val="nil"/>
            </w:tcBorders>
            <w:shd w:val="clear" w:color="auto" w:fill="auto"/>
            <w:vAlign w:val="center"/>
            <w:hideMark/>
          </w:tcPr>
          <w:p w14:paraId="17913CE4"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231</w:t>
            </w:r>
          </w:p>
        </w:tc>
      </w:tr>
      <w:tr w:rsidR="004C3312" w:rsidRPr="00C23C36" w14:paraId="044D1CDD" w14:textId="77777777" w:rsidTr="00CE362A">
        <w:trPr>
          <w:trHeight w:val="289"/>
        </w:trPr>
        <w:tc>
          <w:tcPr>
            <w:tcW w:w="1180" w:type="dxa"/>
            <w:tcBorders>
              <w:top w:val="nil"/>
              <w:left w:val="nil"/>
              <w:bottom w:val="nil"/>
              <w:right w:val="nil"/>
            </w:tcBorders>
            <w:shd w:val="clear" w:color="auto" w:fill="auto"/>
            <w:vAlign w:val="center"/>
            <w:hideMark/>
          </w:tcPr>
          <w:p w14:paraId="7010B0DD" w14:textId="7AD58A9E" w:rsidR="004C3312" w:rsidRPr="00C23C36" w:rsidRDefault="004C3312" w:rsidP="004C3312">
            <w:pPr>
              <w:spacing w:after="0" w:line="240" w:lineRule="auto"/>
              <w:jc w:val="left"/>
              <w:rPr>
                <w:rFonts w:eastAsia="Times New Roman" w:cs="Times New Roman"/>
                <w:sz w:val="16"/>
                <w:szCs w:val="16"/>
                <w:lang w:eastAsia="sk-SK"/>
              </w:rPr>
            </w:pPr>
            <w:r w:rsidRPr="00C23C36">
              <w:rPr>
                <w:rFonts w:eastAsia="Times New Roman" w:cs="Times New Roman"/>
                <w:sz w:val="16"/>
                <w:szCs w:val="16"/>
                <w:lang w:eastAsia="sk-SK"/>
              </w:rPr>
              <w:t>Ú</w:t>
            </w:r>
            <w:r>
              <w:rPr>
                <w:rFonts w:eastAsia="Times New Roman" w:cs="Times New Roman"/>
                <w:sz w:val="16"/>
                <w:szCs w:val="16"/>
                <w:lang w:eastAsia="sk-SK"/>
              </w:rPr>
              <w:t xml:space="preserve">rad pre normalizáciu, metrológiu a </w:t>
            </w:r>
            <w:r w:rsidR="001D0537">
              <w:rPr>
                <w:rFonts w:eastAsia="Times New Roman" w:cs="Times New Roman"/>
                <w:sz w:val="16"/>
                <w:szCs w:val="16"/>
                <w:lang w:eastAsia="sk-SK"/>
              </w:rPr>
              <w:t>skúšobníctvo</w:t>
            </w:r>
            <w:r w:rsidRPr="00C23C36">
              <w:rPr>
                <w:rFonts w:eastAsia="Times New Roman" w:cs="Times New Roman"/>
                <w:sz w:val="16"/>
                <w:szCs w:val="16"/>
                <w:lang w:eastAsia="sk-SK"/>
              </w:rPr>
              <w:t xml:space="preserve"> SR</w:t>
            </w:r>
          </w:p>
        </w:tc>
        <w:tc>
          <w:tcPr>
            <w:tcW w:w="6460" w:type="dxa"/>
            <w:tcBorders>
              <w:top w:val="nil"/>
              <w:left w:val="nil"/>
              <w:bottom w:val="nil"/>
              <w:right w:val="nil"/>
            </w:tcBorders>
            <w:shd w:val="clear" w:color="auto" w:fill="auto"/>
            <w:vAlign w:val="center"/>
            <w:hideMark/>
          </w:tcPr>
          <w:p w14:paraId="4B5E11EF"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úhradu záväzku v pracovno-právnom spore v nadväznosti na právoplatné rozhodnutie Krajského súdu v Bratislave</w:t>
            </w:r>
          </w:p>
        </w:tc>
        <w:tc>
          <w:tcPr>
            <w:tcW w:w="1432" w:type="dxa"/>
            <w:tcBorders>
              <w:top w:val="nil"/>
              <w:left w:val="nil"/>
              <w:bottom w:val="nil"/>
              <w:right w:val="nil"/>
            </w:tcBorders>
            <w:shd w:val="clear" w:color="auto" w:fill="auto"/>
            <w:vAlign w:val="center"/>
            <w:hideMark/>
          </w:tcPr>
          <w:p w14:paraId="72E2DD35"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21</w:t>
            </w:r>
          </w:p>
        </w:tc>
      </w:tr>
      <w:tr w:rsidR="004C3312" w:rsidRPr="00C23C36" w14:paraId="550A07CB" w14:textId="77777777" w:rsidTr="00CE362A">
        <w:trPr>
          <w:trHeight w:val="289"/>
        </w:trPr>
        <w:tc>
          <w:tcPr>
            <w:tcW w:w="7640" w:type="dxa"/>
            <w:gridSpan w:val="2"/>
            <w:tcBorders>
              <w:top w:val="nil"/>
              <w:left w:val="nil"/>
              <w:bottom w:val="single" w:sz="4" w:space="0" w:color="auto"/>
              <w:right w:val="nil"/>
            </w:tcBorders>
            <w:shd w:val="clear" w:color="000000" w:fill="FFFFFF"/>
            <w:vAlign w:val="center"/>
            <w:hideMark/>
          </w:tcPr>
          <w:p w14:paraId="1D58FF43"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 xml:space="preserve">Spolu </w:t>
            </w:r>
          </w:p>
        </w:tc>
        <w:tc>
          <w:tcPr>
            <w:tcW w:w="1432" w:type="dxa"/>
            <w:tcBorders>
              <w:top w:val="nil"/>
              <w:left w:val="nil"/>
              <w:bottom w:val="single" w:sz="4" w:space="0" w:color="auto"/>
              <w:right w:val="nil"/>
            </w:tcBorders>
            <w:shd w:val="clear" w:color="000000" w:fill="FFFFFF"/>
            <w:vAlign w:val="center"/>
            <w:hideMark/>
          </w:tcPr>
          <w:p w14:paraId="7A4570EC"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21</w:t>
            </w:r>
          </w:p>
        </w:tc>
      </w:tr>
      <w:tr w:rsidR="004C3312" w:rsidRPr="00C23C36" w14:paraId="38E68562" w14:textId="77777777" w:rsidTr="00CE362A">
        <w:trPr>
          <w:trHeight w:val="289"/>
        </w:trPr>
        <w:tc>
          <w:tcPr>
            <w:tcW w:w="1180" w:type="dxa"/>
            <w:tcBorders>
              <w:top w:val="nil"/>
              <w:left w:val="nil"/>
              <w:bottom w:val="nil"/>
              <w:right w:val="nil"/>
            </w:tcBorders>
            <w:shd w:val="clear" w:color="000000" w:fill="FFFFFF"/>
            <w:vAlign w:val="center"/>
            <w:hideMark/>
          </w:tcPr>
          <w:p w14:paraId="7CD9CC89" w14:textId="77777777" w:rsidR="004C3312" w:rsidRPr="00C23C36" w:rsidRDefault="004C3312" w:rsidP="004C3312">
            <w:pPr>
              <w:spacing w:after="0" w:line="240" w:lineRule="auto"/>
              <w:jc w:val="left"/>
              <w:rPr>
                <w:rFonts w:eastAsia="Times New Roman" w:cs="Times New Roman"/>
                <w:color w:val="000000"/>
                <w:sz w:val="16"/>
                <w:szCs w:val="16"/>
                <w:lang w:eastAsia="sk-SK"/>
              </w:rPr>
            </w:pPr>
          </w:p>
          <w:p w14:paraId="4A88A326" w14:textId="3EA2A9A6" w:rsidR="004C3312" w:rsidRPr="00C23C36" w:rsidRDefault="001D0537" w:rsidP="004C3312">
            <w:pPr>
              <w:spacing w:after="0" w:line="240" w:lineRule="auto"/>
              <w:jc w:val="left"/>
              <w:rPr>
                <w:rFonts w:eastAsia="Times New Roman" w:cs="Times New Roman"/>
                <w:color w:val="000000"/>
                <w:sz w:val="16"/>
                <w:szCs w:val="16"/>
                <w:lang w:eastAsia="sk-SK"/>
              </w:rPr>
            </w:pPr>
            <w:r>
              <w:rPr>
                <w:rFonts w:eastAsia="Times New Roman" w:cs="Times New Roman"/>
                <w:color w:val="000000"/>
                <w:sz w:val="16"/>
                <w:szCs w:val="16"/>
                <w:lang w:eastAsia="sk-SK"/>
              </w:rPr>
              <w:t>Úrad na och</w:t>
            </w:r>
            <w:r w:rsidR="004C3312">
              <w:rPr>
                <w:rFonts w:eastAsia="Times New Roman" w:cs="Times New Roman"/>
                <w:color w:val="000000"/>
                <w:sz w:val="16"/>
                <w:szCs w:val="16"/>
                <w:lang w:eastAsia="sk-SK"/>
              </w:rPr>
              <w:t>ranu osobných údajov</w:t>
            </w:r>
            <w:r w:rsidR="004C3312" w:rsidRPr="00C23C36">
              <w:rPr>
                <w:rFonts w:eastAsia="Times New Roman" w:cs="Times New Roman"/>
                <w:color w:val="000000"/>
                <w:sz w:val="16"/>
                <w:szCs w:val="16"/>
                <w:lang w:eastAsia="sk-SK"/>
              </w:rPr>
              <w:t xml:space="preserve"> SR </w:t>
            </w:r>
          </w:p>
        </w:tc>
        <w:tc>
          <w:tcPr>
            <w:tcW w:w="6460" w:type="dxa"/>
            <w:tcBorders>
              <w:top w:val="nil"/>
              <w:left w:val="nil"/>
              <w:bottom w:val="nil"/>
              <w:right w:val="nil"/>
            </w:tcBorders>
            <w:shd w:val="clear" w:color="auto" w:fill="auto"/>
            <w:vAlign w:val="center"/>
            <w:hideMark/>
          </w:tcPr>
          <w:p w14:paraId="76E7BA8C"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vrátenie zaplatenej pokuty v nadväznosti na právoplatné súdne rozhodnutia v odvolacom konaní</w:t>
            </w:r>
          </w:p>
        </w:tc>
        <w:tc>
          <w:tcPr>
            <w:tcW w:w="1432" w:type="dxa"/>
            <w:tcBorders>
              <w:top w:val="nil"/>
              <w:left w:val="nil"/>
              <w:bottom w:val="nil"/>
              <w:right w:val="nil"/>
            </w:tcBorders>
            <w:shd w:val="clear" w:color="000000" w:fill="FFFFFF"/>
            <w:vAlign w:val="center"/>
            <w:hideMark/>
          </w:tcPr>
          <w:p w14:paraId="32EC9395"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7</w:t>
            </w:r>
          </w:p>
        </w:tc>
      </w:tr>
      <w:tr w:rsidR="004C3312" w:rsidRPr="00C23C36" w14:paraId="5176BA58" w14:textId="77777777" w:rsidTr="00CE362A">
        <w:trPr>
          <w:trHeight w:val="289"/>
        </w:trPr>
        <w:tc>
          <w:tcPr>
            <w:tcW w:w="7640" w:type="dxa"/>
            <w:gridSpan w:val="2"/>
            <w:tcBorders>
              <w:top w:val="nil"/>
              <w:left w:val="nil"/>
              <w:bottom w:val="single" w:sz="4" w:space="0" w:color="auto"/>
              <w:right w:val="nil"/>
            </w:tcBorders>
            <w:shd w:val="clear" w:color="000000" w:fill="FFFFFF"/>
            <w:vAlign w:val="center"/>
            <w:hideMark/>
          </w:tcPr>
          <w:p w14:paraId="7E97DAA9"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 xml:space="preserve">Spolu </w:t>
            </w:r>
          </w:p>
        </w:tc>
        <w:tc>
          <w:tcPr>
            <w:tcW w:w="1432" w:type="dxa"/>
            <w:tcBorders>
              <w:top w:val="nil"/>
              <w:left w:val="nil"/>
              <w:bottom w:val="single" w:sz="4" w:space="0" w:color="auto"/>
              <w:right w:val="nil"/>
            </w:tcBorders>
            <w:shd w:val="clear" w:color="000000" w:fill="FFFFFF"/>
            <w:vAlign w:val="center"/>
            <w:hideMark/>
          </w:tcPr>
          <w:p w14:paraId="22AC9256"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7</w:t>
            </w:r>
          </w:p>
        </w:tc>
      </w:tr>
      <w:tr w:rsidR="004C3312" w:rsidRPr="00C23C36" w14:paraId="1AA9448B" w14:textId="77777777" w:rsidTr="00CE362A">
        <w:trPr>
          <w:trHeight w:val="289"/>
        </w:trPr>
        <w:tc>
          <w:tcPr>
            <w:tcW w:w="7640" w:type="dxa"/>
            <w:gridSpan w:val="2"/>
            <w:tcBorders>
              <w:top w:val="single" w:sz="4" w:space="0" w:color="auto"/>
              <w:left w:val="nil"/>
              <w:bottom w:val="single" w:sz="4" w:space="0" w:color="auto"/>
              <w:right w:val="nil"/>
            </w:tcBorders>
            <w:shd w:val="clear" w:color="000000" w:fill="FFFFFF"/>
            <w:vAlign w:val="center"/>
            <w:hideMark/>
          </w:tcPr>
          <w:p w14:paraId="52D79849"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Spolu celkom</w:t>
            </w:r>
          </w:p>
        </w:tc>
        <w:tc>
          <w:tcPr>
            <w:tcW w:w="1432" w:type="dxa"/>
            <w:tcBorders>
              <w:top w:val="single" w:sz="4" w:space="0" w:color="auto"/>
              <w:left w:val="nil"/>
              <w:bottom w:val="single" w:sz="4" w:space="0" w:color="auto"/>
              <w:right w:val="nil"/>
            </w:tcBorders>
            <w:shd w:val="clear" w:color="000000" w:fill="FFFFFF"/>
            <w:vAlign w:val="center"/>
            <w:hideMark/>
          </w:tcPr>
          <w:p w14:paraId="33FA0BF3" w14:textId="77777777" w:rsidR="004C3312" w:rsidRPr="00C23C36" w:rsidRDefault="004C3312" w:rsidP="004C3312">
            <w:pPr>
              <w:spacing w:after="0" w:line="240" w:lineRule="auto"/>
              <w:jc w:val="right"/>
              <w:rPr>
                <w:rFonts w:eastAsia="Times New Roman" w:cs="Times New Roman"/>
                <w:b/>
                <w:bCs/>
                <w:color w:val="000000"/>
                <w:sz w:val="16"/>
                <w:szCs w:val="16"/>
                <w:lang w:eastAsia="sk-SK"/>
              </w:rPr>
            </w:pPr>
            <w:r w:rsidRPr="00C23C36">
              <w:rPr>
                <w:rFonts w:eastAsia="Times New Roman" w:cs="Times New Roman"/>
                <w:b/>
                <w:bCs/>
                <w:color w:val="000000"/>
                <w:sz w:val="16"/>
                <w:szCs w:val="16"/>
                <w:lang w:eastAsia="sk-SK"/>
              </w:rPr>
              <w:t>828</w:t>
            </w:r>
          </w:p>
        </w:tc>
      </w:tr>
      <w:tr w:rsidR="004C3312" w:rsidRPr="001D0537" w14:paraId="3F352834" w14:textId="77777777" w:rsidTr="00CE362A">
        <w:trPr>
          <w:trHeight w:val="255"/>
        </w:trPr>
        <w:tc>
          <w:tcPr>
            <w:tcW w:w="1180" w:type="dxa"/>
            <w:tcBorders>
              <w:top w:val="nil"/>
              <w:left w:val="nil"/>
              <w:bottom w:val="nil"/>
              <w:right w:val="nil"/>
            </w:tcBorders>
            <w:shd w:val="clear" w:color="000000" w:fill="FFFFFF"/>
            <w:noWrap/>
            <w:vAlign w:val="bottom"/>
            <w:hideMark/>
          </w:tcPr>
          <w:p w14:paraId="6AB7451C" w14:textId="77777777" w:rsidR="004C3312" w:rsidRPr="001D0537" w:rsidRDefault="004C3312" w:rsidP="001D0537">
            <w:pPr>
              <w:spacing w:line="240" w:lineRule="auto"/>
              <w:jc w:val="left"/>
              <w:rPr>
                <w:rFonts w:eastAsia="Times New Roman" w:cs="Times New Roman"/>
                <w:color w:val="000000"/>
                <w:sz w:val="20"/>
                <w:szCs w:val="20"/>
                <w:lang w:eastAsia="sk-SK"/>
              </w:rPr>
            </w:pPr>
            <w:r w:rsidRPr="001D0537">
              <w:rPr>
                <w:rFonts w:eastAsia="Times New Roman" w:cs="Times New Roman"/>
                <w:color w:val="000000"/>
                <w:sz w:val="20"/>
                <w:szCs w:val="20"/>
                <w:lang w:eastAsia="sk-SK"/>
              </w:rPr>
              <w:t> </w:t>
            </w:r>
          </w:p>
        </w:tc>
        <w:tc>
          <w:tcPr>
            <w:tcW w:w="6460" w:type="dxa"/>
            <w:tcBorders>
              <w:top w:val="nil"/>
              <w:left w:val="nil"/>
              <w:bottom w:val="nil"/>
              <w:right w:val="nil"/>
            </w:tcBorders>
            <w:shd w:val="clear" w:color="000000" w:fill="FFFFFF"/>
            <w:noWrap/>
            <w:vAlign w:val="bottom"/>
            <w:hideMark/>
          </w:tcPr>
          <w:p w14:paraId="13E3415B" w14:textId="77777777" w:rsidR="004C3312" w:rsidRPr="001D0537" w:rsidRDefault="004C3312" w:rsidP="001D0537">
            <w:pPr>
              <w:spacing w:line="240" w:lineRule="auto"/>
              <w:rPr>
                <w:rFonts w:eastAsia="Times New Roman" w:cs="Times New Roman"/>
                <w:color w:val="000000"/>
                <w:sz w:val="20"/>
                <w:szCs w:val="20"/>
                <w:lang w:eastAsia="sk-SK"/>
              </w:rPr>
            </w:pPr>
            <w:r w:rsidRPr="001D0537">
              <w:rPr>
                <w:rFonts w:eastAsia="Times New Roman" w:cs="Times New Roman"/>
                <w:color w:val="000000"/>
                <w:sz w:val="20"/>
                <w:szCs w:val="20"/>
                <w:lang w:eastAsia="sk-SK"/>
              </w:rPr>
              <w:t> </w:t>
            </w:r>
          </w:p>
        </w:tc>
        <w:tc>
          <w:tcPr>
            <w:tcW w:w="1432" w:type="dxa"/>
            <w:tcBorders>
              <w:top w:val="nil"/>
              <w:left w:val="nil"/>
              <w:bottom w:val="nil"/>
              <w:right w:val="nil"/>
            </w:tcBorders>
            <w:shd w:val="clear" w:color="000000" w:fill="FFFFFF"/>
            <w:noWrap/>
            <w:vAlign w:val="bottom"/>
            <w:hideMark/>
          </w:tcPr>
          <w:p w14:paraId="104EEF0B" w14:textId="77777777" w:rsidR="004C3312" w:rsidRPr="001D0537" w:rsidRDefault="004C3312" w:rsidP="001D0537">
            <w:pPr>
              <w:spacing w:line="240" w:lineRule="auto"/>
              <w:jc w:val="right"/>
              <w:rPr>
                <w:rFonts w:eastAsia="Times New Roman" w:cs="Times New Roman"/>
                <w:iCs/>
                <w:color w:val="000000"/>
                <w:sz w:val="20"/>
                <w:szCs w:val="20"/>
                <w:lang w:eastAsia="sk-SK"/>
              </w:rPr>
            </w:pPr>
            <w:r w:rsidRPr="001D0537">
              <w:rPr>
                <w:rFonts w:eastAsia="Times New Roman" w:cs="Times New Roman"/>
                <w:iCs/>
                <w:color w:val="000000"/>
                <w:sz w:val="20"/>
                <w:szCs w:val="20"/>
                <w:lang w:eastAsia="sk-SK"/>
              </w:rPr>
              <w:t>Zdroj: MF SR</w:t>
            </w:r>
          </w:p>
        </w:tc>
      </w:tr>
    </w:tbl>
    <w:p w14:paraId="755416FF" w14:textId="77777777" w:rsidR="004C3312" w:rsidRDefault="004C3312" w:rsidP="004C3312">
      <w:pPr>
        <w:spacing w:line="240" w:lineRule="auto"/>
        <w:rPr>
          <w:sz w:val="24"/>
          <w:szCs w:val="24"/>
          <w:highlight w:val="yellow"/>
        </w:rPr>
      </w:pPr>
      <w:r>
        <w:rPr>
          <w:sz w:val="24"/>
          <w:szCs w:val="24"/>
        </w:rPr>
        <w:t>Nevyčerpaný zostatok v sume 9 </w:t>
      </w:r>
      <w:r w:rsidRPr="007242AE">
        <w:rPr>
          <w:sz w:val="24"/>
          <w:szCs w:val="24"/>
        </w:rPr>
        <w:t>172 tis. eur bol poskytnutý kapitole M</w:t>
      </w:r>
      <w:r>
        <w:rPr>
          <w:sz w:val="24"/>
          <w:szCs w:val="24"/>
        </w:rPr>
        <w:t>inisterstva hospodárstva</w:t>
      </w:r>
      <w:r w:rsidRPr="007242AE">
        <w:rPr>
          <w:sz w:val="24"/>
          <w:szCs w:val="24"/>
        </w:rPr>
        <w:t xml:space="preserve"> SR na kompenzáciu zvýšených cien energií.</w:t>
      </w:r>
    </w:p>
    <w:p w14:paraId="3AC38C81" w14:textId="77777777" w:rsidR="007C7FB1" w:rsidRDefault="007C7FB1">
      <w:pPr>
        <w:spacing w:after="160" w:line="259" w:lineRule="auto"/>
        <w:jc w:val="left"/>
        <w:rPr>
          <w:b/>
          <w:sz w:val="24"/>
          <w:szCs w:val="24"/>
        </w:rPr>
      </w:pPr>
      <w:r>
        <w:rPr>
          <w:b/>
          <w:sz w:val="24"/>
          <w:szCs w:val="24"/>
        </w:rPr>
        <w:br w:type="page"/>
      </w:r>
    </w:p>
    <w:p w14:paraId="34B2C668" w14:textId="24F73546" w:rsidR="004C3312" w:rsidRPr="006D197B" w:rsidRDefault="004C3312" w:rsidP="004C3312">
      <w:pPr>
        <w:spacing w:line="240" w:lineRule="auto"/>
        <w:rPr>
          <w:b/>
          <w:sz w:val="24"/>
          <w:szCs w:val="24"/>
        </w:rPr>
      </w:pPr>
      <w:r w:rsidRPr="006D197B">
        <w:rPr>
          <w:b/>
          <w:sz w:val="24"/>
          <w:szCs w:val="24"/>
        </w:rPr>
        <w:lastRenderedPageBreak/>
        <w:t>Rezerva na mzdy a poistné</w:t>
      </w:r>
    </w:p>
    <w:p w14:paraId="49725873" w14:textId="77777777" w:rsidR="004C3312" w:rsidRPr="006D197B" w:rsidRDefault="004C3312" w:rsidP="004C3312">
      <w:pPr>
        <w:spacing w:line="240" w:lineRule="auto"/>
        <w:rPr>
          <w:sz w:val="24"/>
          <w:szCs w:val="24"/>
        </w:rPr>
      </w:pPr>
      <w:r w:rsidRPr="006D197B">
        <w:rPr>
          <w:sz w:val="24"/>
          <w:szCs w:val="24"/>
        </w:rPr>
        <w:t xml:space="preserve">Rezerva na mzdy a poistné bola rozpočtovaná v sume 175 029 tis. eur. Na základe predložených žiadostí boli jednotlivým kapitolám uvoľnené prostriedky v sume 245 103 tis. eur a z kapitol boli do tejto rezervy viazané prostriedky v sume 629 tis. eur. </w:t>
      </w:r>
    </w:p>
    <w:p w14:paraId="42B8175B" w14:textId="77777777" w:rsidR="004C3312" w:rsidRDefault="004C3312" w:rsidP="004C3312">
      <w:pPr>
        <w:spacing w:line="240" w:lineRule="auto"/>
        <w:rPr>
          <w:sz w:val="24"/>
          <w:szCs w:val="24"/>
        </w:rPr>
      </w:pPr>
      <w:r w:rsidRPr="006D197B">
        <w:rPr>
          <w:sz w:val="24"/>
          <w:szCs w:val="24"/>
        </w:rPr>
        <w:t>Zároveň z dôvodu plnenia dodatkov č. 1 ku kolektívnym zmluvám vyššieho stupňa na rok 2022 v súvislosti s poskytnutím odmeny štátnym zamestnancom a zamestnancom pri výkone práce vo verejnom záujme bol objem rezervy navýšený o 100 000 tis. eur z výdavkového titulu „Rezerva na prostriedky Európskej únie a odvody Európskej únii“.</w:t>
      </w:r>
    </w:p>
    <w:tbl>
      <w:tblPr>
        <w:tblW w:w="9075" w:type="dxa"/>
        <w:tblCellMar>
          <w:left w:w="70" w:type="dxa"/>
          <w:right w:w="70" w:type="dxa"/>
        </w:tblCellMar>
        <w:tblLook w:val="04A0" w:firstRow="1" w:lastRow="0" w:firstColumn="1" w:lastColumn="0" w:noHBand="0" w:noVBand="1"/>
      </w:tblPr>
      <w:tblGrid>
        <w:gridCol w:w="1305"/>
        <w:gridCol w:w="6353"/>
        <w:gridCol w:w="1417"/>
      </w:tblGrid>
      <w:tr w:rsidR="004C3312" w:rsidRPr="006D197B" w14:paraId="567F5CA9" w14:textId="77777777" w:rsidTr="001D0537">
        <w:trPr>
          <w:trHeight w:val="375"/>
        </w:trPr>
        <w:tc>
          <w:tcPr>
            <w:tcW w:w="7658" w:type="dxa"/>
            <w:gridSpan w:val="2"/>
            <w:tcBorders>
              <w:top w:val="nil"/>
              <w:left w:val="nil"/>
              <w:bottom w:val="single" w:sz="4" w:space="0" w:color="auto"/>
              <w:right w:val="nil"/>
            </w:tcBorders>
            <w:shd w:val="clear" w:color="auto" w:fill="auto"/>
            <w:noWrap/>
            <w:vAlign w:val="center"/>
            <w:hideMark/>
          </w:tcPr>
          <w:p w14:paraId="5908A9B7" w14:textId="71BB7709" w:rsidR="004C3312" w:rsidRPr="006D197B" w:rsidRDefault="004C3312" w:rsidP="00507DFC">
            <w:pPr>
              <w:spacing w:after="0" w:line="240" w:lineRule="auto"/>
              <w:jc w:val="left"/>
              <w:rPr>
                <w:rFonts w:eastAsia="Times New Roman" w:cs="Times New Roman"/>
                <w:b/>
                <w:bCs/>
                <w:sz w:val="20"/>
                <w:szCs w:val="20"/>
                <w:lang w:eastAsia="sk-SK"/>
              </w:rPr>
            </w:pPr>
            <w:r>
              <w:rPr>
                <w:rFonts w:eastAsia="Times New Roman" w:cs="Times New Roman"/>
                <w:b/>
                <w:bCs/>
                <w:color w:val="5B9BD5" w:themeColor="accent1"/>
                <w:sz w:val="20"/>
                <w:szCs w:val="20"/>
                <w:lang w:eastAsia="sk-SK"/>
              </w:rPr>
              <w:t xml:space="preserve">Tabuľka </w:t>
            </w:r>
            <w:r w:rsidR="001656EA">
              <w:rPr>
                <w:rFonts w:eastAsia="Times New Roman" w:cs="Times New Roman"/>
                <w:b/>
                <w:bCs/>
                <w:color w:val="5B9BD5" w:themeColor="accent1"/>
                <w:sz w:val="20"/>
                <w:szCs w:val="20"/>
                <w:lang w:eastAsia="sk-SK"/>
              </w:rPr>
              <w:t>5</w:t>
            </w:r>
            <w:r w:rsidR="00507DFC">
              <w:rPr>
                <w:rFonts w:eastAsia="Times New Roman" w:cs="Times New Roman"/>
                <w:b/>
                <w:bCs/>
                <w:color w:val="5B9BD5" w:themeColor="accent1"/>
                <w:sz w:val="20"/>
                <w:szCs w:val="20"/>
                <w:lang w:eastAsia="sk-SK"/>
              </w:rPr>
              <w:t>7</w:t>
            </w:r>
            <w:r w:rsidRPr="006D197B">
              <w:rPr>
                <w:rFonts w:eastAsia="Times New Roman" w:cs="Times New Roman"/>
                <w:b/>
                <w:bCs/>
                <w:color w:val="5B9BD5" w:themeColor="accent1"/>
                <w:sz w:val="20"/>
                <w:szCs w:val="20"/>
                <w:lang w:eastAsia="sk-SK"/>
              </w:rPr>
              <w:t xml:space="preserve"> - Rezerva na mzdy</w:t>
            </w:r>
            <w:r w:rsidRPr="006D197B">
              <w:rPr>
                <w:rFonts w:eastAsia="Times New Roman" w:cs="Times New Roman"/>
                <w:b/>
                <w:bCs/>
                <w:sz w:val="20"/>
                <w:szCs w:val="20"/>
                <w:lang w:eastAsia="sk-SK"/>
              </w:rPr>
              <w:t xml:space="preserve"> </w:t>
            </w:r>
            <w:r w:rsidRPr="006D197B">
              <w:rPr>
                <w:rFonts w:eastAsia="Times New Roman" w:cs="Times New Roman"/>
                <w:b/>
                <w:bCs/>
                <w:color w:val="5B9BD5" w:themeColor="accent1"/>
                <w:sz w:val="20"/>
                <w:szCs w:val="20"/>
                <w:lang w:eastAsia="sk-SK"/>
              </w:rPr>
              <w:t>a</w:t>
            </w:r>
            <w:r>
              <w:rPr>
                <w:rFonts w:eastAsia="Times New Roman" w:cs="Times New Roman"/>
                <w:b/>
                <w:bCs/>
                <w:color w:val="5B9BD5" w:themeColor="accent1"/>
                <w:sz w:val="20"/>
                <w:szCs w:val="20"/>
                <w:lang w:eastAsia="sk-SK"/>
              </w:rPr>
              <w:t> </w:t>
            </w:r>
            <w:r w:rsidRPr="006D197B">
              <w:rPr>
                <w:rFonts w:eastAsia="Times New Roman" w:cs="Times New Roman"/>
                <w:b/>
                <w:bCs/>
                <w:color w:val="5B9BD5" w:themeColor="accent1"/>
                <w:sz w:val="20"/>
                <w:szCs w:val="20"/>
                <w:lang w:eastAsia="sk-SK"/>
              </w:rPr>
              <w:t>poistné</w:t>
            </w:r>
            <w:r>
              <w:rPr>
                <w:rFonts w:eastAsia="Times New Roman" w:cs="Times New Roman"/>
                <w:b/>
                <w:bCs/>
                <w:color w:val="5B9BD5" w:themeColor="accent1"/>
                <w:sz w:val="20"/>
                <w:szCs w:val="20"/>
                <w:lang w:eastAsia="sk-SK"/>
              </w:rPr>
              <w:t xml:space="preserve"> – uvoľnené kapitolám</w:t>
            </w:r>
          </w:p>
        </w:tc>
        <w:tc>
          <w:tcPr>
            <w:tcW w:w="1417" w:type="dxa"/>
            <w:tcBorders>
              <w:top w:val="nil"/>
              <w:left w:val="nil"/>
              <w:bottom w:val="nil"/>
              <w:right w:val="nil"/>
            </w:tcBorders>
            <w:shd w:val="clear" w:color="auto" w:fill="auto"/>
            <w:noWrap/>
            <w:vAlign w:val="center"/>
            <w:hideMark/>
          </w:tcPr>
          <w:p w14:paraId="3C63AA0C" w14:textId="77777777" w:rsidR="004C3312" w:rsidRPr="006D197B" w:rsidRDefault="004C3312" w:rsidP="004C3312">
            <w:pPr>
              <w:spacing w:after="0" w:line="240" w:lineRule="auto"/>
              <w:jc w:val="left"/>
              <w:rPr>
                <w:rFonts w:eastAsia="Times New Roman" w:cs="Times New Roman"/>
                <w:b/>
                <w:bCs/>
                <w:sz w:val="20"/>
                <w:szCs w:val="20"/>
                <w:lang w:eastAsia="sk-SK"/>
              </w:rPr>
            </w:pPr>
          </w:p>
        </w:tc>
      </w:tr>
      <w:tr w:rsidR="004C3312" w:rsidRPr="006D197B" w14:paraId="6C663661" w14:textId="77777777" w:rsidTr="001D0537">
        <w:trPr>
          <w:trHeight w:val="375"/>
        </w:trPr>
        <w:tc>
          <w:tcPr>
            <w:tcW w:w="1305" w:type="dxa"/>
            <w:tcBorders>
              <w:top w:val="nil"/>
              <w:left w:val="nil"/>
              <w:bottom w:val="single" w:sz="4" w:space="0" w:color="auto"/>
              <w:right w:val="nil"/>
            </w:tcBorders>
            <w:shd w:val="clear" w:color="auto" w:fill="auto"/>
            <w:noWrap/>
            <w:vAlign w:val="center"/>
            <w:hideMark/>
          </w:tcPr>
          <w:p w14:paraId="6F12921D" w14:textId="77777777" w:rsidR="004C3312" w:rsidRPr="006D197B" w:rsidRDefault="004C3312" w:rsidP="004C3312">
            <w:pPr>
              <w:spacing w:after="0" w:line="240" w:lineRule="auto"/>
              <w:jc w:val="center"/>
              <w:rPr>
                <w:rFonts w:eastAsia="Times New Roman" w:cs="Times New Roman"/>
                <w:b/>
                <w:bCs/>
                <w:sz w:val="16"/>
                <w:szCs w:val="16"/>
                <w:lang w:eastAsia="sk-SK"/>
              </w:rPr>
            </w:pPr>
            <w:r w:rsidRPr="006D197B">
              <w:rPr>
                <w:rFonts w:eastAsia="Times New Roman" w:cs="Times New Roman"/>
                <w:b/>
                <w:bCs/>
                <w:sz w:val="16"/>
                <w:szCs w:val="16"/>
                <w:lang w:eastAsia="sk-SK"/>
              </w:rPr>
              <w:t xml:space="preserve">Kapitola </w:t>
            </w:r>
          </w:p>
        </w:tc>
        <w:tc>
          <w:tcPr>
            <w:tcW w:w="6353" w:type="dxa"/>
            <w:tcBorders>
              <w:top w:val="nil"/>
              <w:left w:val="nil"/>
              <w:bottom w:val="single" w:sz="4" w:space="0" w:color="auto"/>
              <w:right w:val="nil"/>
            </w:tcBorders>
            <w:shd w:val="clear" w:color="auto" w:fill="auto"/>
            <w:noWrap/>
            <w:vAlign w:val="center"/>
            <w:hideMark/>
          </w:tcPr>
          <w:p w14:paraId="367C50C1" w14:textId="77777777" w:rsidR="004C3312" w:rsidRPr="006D197B" w:rsidRDefault="004C3312" w:rsidP="004C3312">
            <w:pPr>
              <w:spacing w:after="0" w:line="240" w:lineRule="auto"/>
              <w:jc w:val="center"/>
              <w:rPr>
                <w:rFonts w:eastAsia="Times New Roman" w:cs="Times New Roman"/>
                <w:b/>
                <w:bCs/>
                <w:sz w:val="16"/>
                <w:szCs w:val="16"/>
                <w:lang w:eastAsia="sk-SK"/>
              </w:rPr>
            </w:pPr>
            <w:r w:rsidRPr="006D197B">
              <w:rPr>
                <w:rFonts w:eastAsia="Times New Roman" w:cs="Times New Roman"/>
                <w:b/>
                <w:bCs/>
                <w:sz w:val="16"/>
                <w:szCs w:val="16"/>
                <w:lang w:eastAsia="sk-SK"/>
              </w:rPr>
              <w:t>Účel</w:t>
            </w:r>
          </w:p>
        </w:tc>
        <w:tc>
          <w:tcPr>
            <w:tcW w:w="1417" w:type="dxa"/>
            <w:tcBorders>
              <w:top w:val="single" w:sz="4" w:space="0" w:color="auto"/>
              <w:left w:val="nil"/>
              <w:bottom w:val="single" w:sz="4" w:space="0" w:color="auto"/>
              <w:right w:val="nil"/>
            </w:tcBorders>
            <w:shd w:val="clear" w:color="auto" w:fill="auto"/>
            <w:noWrap/>
            <w:vAlign w:val="center"/>
            <w:hideMark/>
          </w:tcPr>
          <w:p w14:paraId="5A32DD72"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Suma v tis. eur</w:t>
            </w:r>
          </w:p>
        </w:tc>
      </w:tr>
      <w:tr w:rsidR="004C3312" w:rsidRPr="006D197B" w14:paraId="499BC46E" w14:textId="77777777" w:rsidTr="001D0537">
        <w:trPr>
          <w:trHeight w:val="270"/>
        </w:trPr>
        <w:tc>
          <w:tcPr>
            <w:tcW w:w="1305" w:type="dxa"/>
            <w:vMerge w:val="restart"/>
            <w:tcBorders>
              <w:top w:val="nil"/>
              <w:left w:val="nil"/>
              <w:bottom w:val="nil"/>
              <w:right w:val="nil"/>
            </w:tcBorders>
            <w:shd w:val="clear" w:color="auto" w:fill="auto"/>
            <w:vAlign w:val="center"/>
            <w:hideMark/>
          </w:tcPr>
          <w:p w14:paraId="28410A85" w14:textId="77777777"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t>M</w:t>
            </w:r>
            <w:r>
              <w:rPr>
                <w:rFonts w:eastAsia="Times New Roman" w:cs="Times New Roman"/>
                <w:sz w:val="16"/>
                <w:szCs w:val="16"/>
                <w:lang w:eastAsia="sk-SK"/>
              </w:rPr>
              <w:t>inisterstvo školstva, vedy, výskumu a športu</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623D5DB7"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674127AB"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72 069</w:t>
            </w:r>
          </w:p>
        </w:tc>
      </w:tr>
      <w:tr w:rsidR="004C3312" w:rsidRPr="006D197B" w14:paraId="61692C62" w14:textId="77777777" w:rsidTr="001D0537">
        <w:trPr>
          <w:trHeight w:val="330"/>
        </w:trPr>
        <w:tc>
          <w:tcPr>
            <w:tcW w:w="1305" w:type="dxa"/>
            <w:vMerge/>
            <w:tcBorders>
              <w:top w:val="nil"/>
              <w:left w:val="nil"/>
              <w:bottom w:val="nil"/>
              <w:right w:val="nil"/>
            </w:tcBorders>
            <w:vAlign w:val="center"/>
            <w:hideMark/>
          </w:tcPr>
          <w:p w14:paraId="77CB8CB8"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56E26A1A"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valorizáciu platov o 3 % od 1. 7. 2022 (VVŠ, regionálne školstvo)</w:t>
            </w:r>
          </w:p>
        </w:tc>
        <w:tc>
          <w:tcPr>
            <w:tcW w:w="1417" w:type="dxa"/>
            <w:tcBorders>
              <w:top w:val="nil"/>
              <w:left w:val="nil"/>
              <w:bottom w:val="nil"/>
              <w:right w:val="nil"/>
            </w:tcBorders>
            <w:shd w:val="clear" w:color="auto" w:fill="auto"/>
            <w:vAlign w:val="center"/>
            <w:hideMark/>
          </w:tcPr>
          <w:p w14:paraId="470D39A4"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33 017</w:t>
            </w:r>
          </w:p>
        </w:tc>
      </w:tr>
      <w:tr w:rsidR="004C3312" w:rsidRPr="006D197B" w14:paraId="70725934" w14:textId="77777777" w:rsidTr="001D0537">
        <w:trPr>
          <w:trHeight w:val="495"/>
        </w:trPr>
        <w:tc>
          <w:tcPr>
            <w:tcW w:w="1305" w:type="dxa"/>
            <w:vMerge/>
            <w:tcBorders>
              <w:top w:val="nil"/>
              <w:left w:val="nil"/>
              <w:bottom w:val="nil"/>
              <w:right w:val="nil"/>
            </w:tcBorders>
            <w:vAlign w:val="center"/>
            <w:hideMark/>
          </w:tcPr>
          <w:p w14:paraId="1AD88358"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7F339557"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vyplatenie odstupného podľa § 82 ods.7 zákona č. 138/2019 Z. z. a na vyplatenie odchodného podľa § 7 ods. 14 písm. a) zákona č. 597/2003 Z. z.</w:t>
            </w:r>
          </w:p>
        </w:tc>
        <w:tc>
          <w:tcPr>
            <w:tcW w:w="1417" w:type="dxa"/>
            <w:tcBorders>
              <w:top w:val="nil"/>
              <w:left w:val="nil"/>
              <w:bottom w:val="nil"/>
              <w:right w:val="nil"/>
            </w:tcBorders>
            <w:shd w:val="clear" w:color="auto" w:fill="auto"/>
            <w:vAlign w:val="center"/>
            <w:hideMark/>
          </w:tcPr>
          <w:p w14:paraId="78F52AA8"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6 368</w:t>
            </w:r>
          </w:p>
        </w:tc>
      </w:tr>
      <w:tr w:rsidR="004C3312" w:rsidRPr="006D197B" w14:paraId="12697600"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6DD50890"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20B67313"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111 455</w:t>
            </w:r>
          </w:p>
        </w:tc>
      </w:tr>
      <w:tr w:rsidR="004C3312" w:rsidRPr="006D197B" w14:paraId="33C4F43D" w14:textId="77777777" w:rsidTr="001D0537">
        <w:trPr>
          <w:trHeight w:val="285"/>
        </w:trPr>
        <w:tc>
          <w:tcPr>
            <w:tcW w:w="1305" w:type="dxa"/>
            <w:vMerge w:val="restart"/>
            <w:tcBorders>
              <w:top w:val="nil"/>
              <w:left w:val="nil"/>
              <w:bottom w:val="nil"/>
              <w:right w:val="nil"/>
            </w:tcBorders>
            <w:shd w:val="clear" w:color="auto" w:fill="auto"/>
            <w:vAlign w:val="center"/>
            <w:hideMark/>
          </w:tcPr>
          <w:p w14:paraId="72E08629"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vnútra</w:t>
            </w:r>
            <w:r w:rsidRPr="006D197B">
              <w:rPr>
                <w:rFonts w:eastAsia="Times New Roman" w:cs="Times New Roman"/>
                <w:sz w:val="16"/>
                <w:szCs w:val="16"/>
                <w:lang w:eastAsia="sk-SK"/>
              </w:rPr>
              <w:t xml:space="preserve"> SR </w:t>
            </w:r>
          </w:p>
        </w:tc>
        <w:tc>
          <w:tcPr>
            <w:tcW w:w="6353" w:type="dxa"/>
            <w:tcBorders>
              <w:top w:val="nil"/>
              <w:left w:val="nil"/>
              <w:bottom w:val="nil"/>
              <w:right w:val="nil"/>
            </w:tcBorders>
            <w:shd w:val="clear" w:color="auto" w:fill="auto"/>
            <w:vAlign w:val="bottom"/>
            <w:hideMark/>
          </w:tcPr>
          <w:p w14:paraId="2A87BA86"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340B6240"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27 337</w:t>
            </w:r>
          </w:p>
        </w:tc>
      </w:tr>
      <w:tr w:rsidR="004C3312" w:rsidRPr="006D197B" w14:paraId="5C6805EE" w14:textId="77777777" w:rsidTr="001D0537">
        <w:trPr>
          <w:trHeight w:val="270"/>
        </w:trPr>
        <w:tc>
          <w:tcPr>
            <w:tcW w:w="1305" w:type="dxa"/>
            <w:vMerge/>
            <w:tcBorders>
              <w:top w:val="nil"/>
              <w:left w:val="nil"/>
              <w:bottom w:val="nil"/>
              <w:right w:val="nil"/>
            </w:tcBorders>
            <w:vAlign w:val="center"/>
            <w:hideMark/>
          </w:tcPr>
          <w:p w14:paraId="25DA8A79"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4BFF1448"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odchodné pre príslušníkov PZ, HAZZ a HZS</w:t>
            </w:r>
          </w:p>
        </w:tc>
        <w:tc>
          <w:tcPr>
            <w:tcW w:w="1417" w:type="dxa"/>
            <w:tcBorders>
              <w:top w:val="nil"/>
              <w:left w:val="nil"/>
              <w:bottom w:val="nil"/>
              <w:right w:val="nil"/>
            </w:tcBorders>
            <w:shd w:val="clear" w:color="auto" w:fill="auto"/>
            <w:vAlign w:val="center"/>
            <w:hideMark/>
          </w:tcPr>
          <w:p w14:paraId="13B9DD35"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8 912</w:t>
            </w:r>
          </w:p>
        </w:tc>
      </w:tr>
      <w:tr w:rsidR="004C3312" w:rsidRPr="006D197B" w14:paraId="5BA35D8D" w14:textId="77777777" w:rsidTr="001D0537">
        <w:trPr>
          <w:trHeight w:val="480"/>
        </w:trPr>
        <w:tc>
          <w:tcPr>
            <w:tcW w:w="1305" w:type="dxa"/>
            <w:vMerge/>
            <w:tcBorders>
              <w:top w:val="nil"/>
              <w:left w:val="nil"/>
              <w:bottom w:val="nil"/>
              <w:right w:val="nil"/>
            </w:tcBorders>
            <w:vAlign w:val="center"/>
            <w:hideMark/>
          </w:tcPr>
          <w:p w14:paraId="1DB866D6"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464DDE62"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zabezpečenie plnenia úloh MV SR a okresných úradov - osobné výdavky a personálne posilnenie (431 osôb)</w:t>
            </w:r>
          </w:p>
        </w:tc>
        <w:tc>
          <w:tcPr>
            <w:tcW w:w="1417" w:type="dxa"/>
            <w:tcBorders>
              <w:top w:val="nil"/>
              <w:left w:val="nil"/>
              <w:bottom w:val="nil"/>
              <w:right w:val="nil"/>
            </w:tcBorders>
            <w:shd w:val="clear" w:color="auto" w:fill="auto"/>
            <w:vAlign w:val="center"/>
            <w:hideMark/>
          </w:tcPr>
          <w:p w14:paraId="345929BF"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5 921</w:t>
            </w:r>
          </w:p>
        </w:tc>
      </w:tr>
      <w:tr w:rsidR="004C3312" w:rsidRPr="006D197B" w14:paraId="4435FFCE" w14:textId="77777777" w:rsidTr="001D0537">
        <w:trPr>
          <w:trHeight w:val="308"/>
        </w:trPr>
        <w:tc>
          <w:tcPr>
            <w:tcW w:w="1305" w:type="dxa"/>
            <w:vMerge/>
            <w:tcBorders>
              <w:top w:val="nil"/>
              <w:left w:val="nil"/>
              <w:bottom w:val="nil"/>
              <w:right w:val="nil"/>
            </w:tcBorders>
            <w:vAlign w:val="center"/>
            <w:hideMark/>
          </w:tcPr>
          <w:p w14:paraId="2548C9E8"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7476A165"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dofinancovanie osobných výdavkov administratívnych kapacít osobitne sledovaných</w:t>
            </w:r>
          </w:p>
        </w:tc>
        <w:tc>
          <w:tcPr>
            <w:tcW w:w="1417" w:type="dxa"/>
            <w:tcBorders>
              <w:top w:val="nil"/>
              <w:left w:val="nil"/>
              <w:bottom w:val="nil"/>
              <w:right w:val="nil"/>
            </w:tcBorders>
            <w:shd w:val="clear" w:color="auto" w:fill="auto"/>
            <w:vAlign w:val="center"/>
            <w:hideMark/>
          </w:tcPr>
          <w:p w14:paraId="061A90E9"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2 114</w:t>
            </w:r>
          </w:p>
        </w:tc>
      </w:tr>
      <w:tr w:rsidR="004C3312" w:rsidRPr="006D197B" w14:paraId="5AD0BA17" w14:textId="77777777" w:rsidTr="001D0537">
        <w:trPr>
          <w:trHeight w:val="460"/>
        </w:trPr>
        <w:tc>
          <w:tcPr>
            <w:tcW w:w="1305" w:type="dxa"/>
            <w:vMerge/>
            <w:tcBorders>
              <w:top w:val="nil"/>
              <w:left w:val="nil"/>
              <w:bottom w:val="nil"/>
              <w:right w:val="nil"/>
            </w:tcBorders>
            <w:vAlign w:val="center"/>
            <w:hideMark/>
          </w:tcPr>
          <w:p w14:paraId="66A34E69"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2204046A"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úloh Úradu pre ochranu ústavných činiteľov a diplomatických misií MV SR - osobné výdavky a personálne posilnenie (30 osôb)</w:t>
            </w:r>
          </w:p>
        </w:tc>
        <w:tc>
          <w:tcPr>
            <w:tcW w:w="1417" w:type="dxa"/>
            <w:tcBorders>
              <w:top w:val="nil"/>
              <w:left w:val="nil"/>
              <w:bottom w:val="nil"/>
              <w:right w:val="nil"/>
            </w:tcBorders>
            <w:shd w:val="clear" w:color="auto" w:fill="auto"/>
            <w:vAlign w:val="center"/>
            <w:hideMark/>
          </w:tcPr>
          <w:p w14:paraId="0F2A0A10"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439</w:t>
            </w:r>
          </w:p>
        </w:tc>
      </w:tr>
      <w:tr w:rsidR="004C3312" w:rsidRPr="006D197B" w14:paraId="544A8635" w14:textId="77777777" w:rsidTr="001D0537">
        <w:trPr>
          <w:trHeight w:val="495"/>
        </w:trPr>
        <w:tc>
          <w:tcPr>
            <w:tcW w:w="1305" w:type="dxa"/>
            <w:vMerge/>
            <w:tcBorders>
              <w:top w:val="nil"/>
              <w:left w:val="nil"/>
              <w:bottom w:val="nil"/>
              <w:right w:val="nil"/>
            </w:tcBorders>
            <w:vAlign w:val="center"/>
            <w:hideMark/>
          </w:tcPr>
          <w:p w14:paraId="147FD9A0"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07CC9DBB"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 xml:space="preserve">Na zabezpečenie plnenia úloh Úradu hraničnej a cudzineckej polície - osobné výdavky </w:t>
            </w:r>
            <w:r w:rsidRPr="006D197B">
              <w:rPr>
                <w:rFonts w:eastAsia="Times New Roman" w:cs="Times New Roman"/>
                <w:sz w:val="16"/>
                <w:szCs w:val="16"/>
                <w:lang w:eastAsia="sk-SK"/>
              </w:rPr>
              <w:br/>
              <w:t>a personálne posilnenie (21 osôb)</w:t>
            </w:r>
          </w:p>
        </w:tc>
        <w:tc>
          <w:tcPr>
            <w:tcW w:w="1417" w:type="dxa"/>
            <w:tcBorders>
              <w:top w:val="nil"/>
              <w:left w:val="nil"/>
              <w:bottom w:val="nil"/>
              <w:right w:val="nil"/>
            </w:tcBorders>
            <w:shd w:val="clear" w:color="auto" w:fill="auto"/>
            <w:vAlign w:val="center"/>
            <w:hideMark/>
          </w:tcPr>
          <w:p w14:paraId="4FCBB0CD"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199</w:t>
            </w:r>
          </w:p>
        </w:tc>
      </w:tr>
      <w:tr w:rsidR="004C3312" w:rsidRPr="006D197B" w14:paraId="3642A133" w14:textId="77777777" w:rsidTr="001D0537">
        <w:trPr>
          <w:trHeight w:val="450"/>
        </w:trPr>
        <w:tc>
          <w:tcPr>
            <w:tcW w:w="1305" w:type="dxa"/>
            <w:vMerge/>
            <w:tcBorders>
              <w:top w:val="nil"/>
              <w:left w:val="nil"/>
              <w:bottom w:val="nil"/>
              <w:right w:val="nil"/>
            </w:tcBorders>
            <w:vAlign w:val="center"/>
            <w:hideMark/>
          </w:tcPr>
          <w:p w14:paraId="4A0B8202"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36877000"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 xml:space="preserve">Na odmeny pre príslušníkov Úradu pre ochranu ústavných činiteľov a diplomatických misií </w:t>
            </w:r>
            <w:r w:rsidRPr="006D197B">
              <w:rPr>
                <w:rFonts w:eastAsia="Times New Roman" w:cs="Times New Roman"/>
                <w:sz w:val="16"/>
                <w:szCs w:val="16"/>
                <w:lang w:eastAsia="sk-SK"/>
              </w:rPr>
              <w:br/>
              <w:t>MV SR</w:t>
            </w:r>
          </w:p>
        </w:tc>
        <w:tc>
          <w:tcPr>
            <w:tcW w:w="1417" w:type="dxa"/>
            <w:tcBorders>
              <w:top w:val="nil"/>
              <w:left w:val="nil"/>
              <w:bottom w:val="nil"/>
              <w:right w:val="nil"/>
            </w:tcBorders>
            <w:shd w:val="clear" w:color="auto" w:fill="auto"/>
            <w:vAlign w:val="center"/>
            <w:hideMark/>
          </w:tcPr>
          <w:p w14:paraId="04E091B6"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168</w:t>
            </w:r>
          </w:p>
        </w:tc>
      </w:tr>
      <w:tr w:rsidR="004C3312" w:rsidRPr="006D197B" w14:paraId="3F88E639" w14:textId="77777777" w:rsidTr="001D0537">
        <w:trPr>
          <w:trHeight w:val="679"/>
        </w:trPr>
        <w:tc>
          <w:tcPr>
            <w:tcW w:w="1305" w:type="dxa"/>
            <w:vMerge/>
            <w:tcBorders>
              <w:top w:val="nil"/>
              <w:left w:val="nil"/>
              <w:bottom w:val="nil"/>
              <w:right w:val="nil"/>
            </w:tcBorders>
            <w:vAlign w:val="center"/>
            <w:hideMark/>
          </w:tcPr>
          <w:p w14:paraId="352EF034"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64C1CA17"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realizáciu vyvlastňovacích konaní a zapisovanie vkladov do katastra v súvislosti s investičným projektom „Strategické územie Valaliky“ - osobné výdavky a personálne posilnenie Okresného úradu Košice a Okresného úradu Košice - okolie (5 osôb)</w:t>
            </w:r>
          </w:p>
        </w:tc>
        <w:tc>
          <w:tcPr>
            <w:tcW w:w="1417" w:type="dxa"/>
            <w:tcBorders>
              <w:top w:val="nil"/>
              <w:left w:val="nil"/>
              <w:bottom w:val="nil"/>
              <w:right w:val="nil"/>
            </w:tcBorders>
            <w:shd w:val="clear" w:color="auto" w:fill="auto"/>
            <w:vAlign w:val="center"/>
            <w:hideMark/>
          </w:tcPr>
          <w:p w14:paraId="7972ADF7"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142</w:t>
            </w:r>
          </w:p>
        </w:tc>
      </w:tr>
      <w:tr w:rsidR="004C3312" w:rsidRPr="006D197B" w14:paraId="54AE874E"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01F4FE8A"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2ED5A1D7"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45 232</w:t>
            </w:r>
          </w:p>
        </w:tc>
      </w:tr>
      <w:tr w:rsidR="004C3312" w:rsidRPr="006D197B" w14:paraId="5608BEE1" w14:textId="77777777" w:rsidTr="001D0537">
        <w:trPr>
          <w:trHeight w:val="382"/>
        </w:trPr>
        <w:tc>
          <w:tcPr>
            <w:tcW w:w="1305" w:type="dxa"/>
            <w:vMerge w:val="restart"/>
            <w:tcBorders>
              <w:top w:val="nil"/>
              <w:left w:val="nil"/>
              <w:bottom w:val="nil"/>
              <w:right w:val="nil"/>
            </w:tcBorders>
            <w:shd w:val="clear" w:color="auto" w:fill="auto"/>
            <w:vAlign w:val="center"/>
            <w:hideMark/>
          </w:tcPr>
          <w:p w14:paraId="46898FC8"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práce, sociálnych vecí a rodiny</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265DBA55"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osobné výdavky (392 osôb), odchodné a odstupné (285 osôb) zamestnancov ÚPSVR</w:t>
            </w:r>
          </w:p>
        </w:tc>
        <w:tc>
          <w:tcPr>
            <w:tcW w:w="1417" w:type="dxa"/>
            <w:tcBorders>
              <w:top w:val="nil"/>
              <w:left w:val="nil"/>
              <w:bottom w:val="nil"/>
              <w:right w:val="nil"/>
            </w:tcBorders>
            <w:shd w:val="clear" w:color="auto" w:fill="auto"/>
            <w:vAlign w:val="center"/>
            <w:hideMark/>
          </w:tcPr>
          <w:p w14:paraId="74C21E13"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10 698</w:t>
            </w:r>
          </w:p>
        </w:tc>
      </w:tr>
      <w:tr w:rsidR="004C3312" w:rsidRPr="006D197B" w14:paraId="4759AAA2" w14:textId="77777777" w:rsidTr="001D0537">
        <w:trPr>
          <w:trHeight w:val="330"/>
        </w:trPr>
        <w:tc>
          <w:tcPr>
            <w:tcW w:w="1305" w:type="dxa"/>
            <w:vMerge/>
            <w:tcBorders>
              <w:top w:val="nil"/>
              <w:left w:val="nil"/>
              <w:bottom w:val="nil"/>
              <w:right w:val="nil"/>
            </w:tcBorders>
            <w:vAlign w:val="center"/>
            <w:hideMark/>
          </w:tcPr>
          <w:p w14:paraId="288FA0DF"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291B4A67"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17021E86"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9 383</w:t>
            </w:r>
          </w:p>
        </w:tc>
      </w:tr>
      <w:tr w:rsidR="004C3312" w:rsidRPr="006D197B" w14:paraId="57160B03" w14:textId="77777777" w:rsidTr="001D0537">
        <w:trPr>
          <w:trHeight w:val="495"/>
        </w:trPr>
        <w:tc>
          <w:tcPr>
            <w:tcW w:w="1305" w:type="dxa"/>
            <w:vMerge/>
            <w:tcBorders>
              <w:top w:val="nil"/>
              <w:left w:val="nil"/>
              <w:bottom w:val="nil"/>
              <w:right w:val="nil"/>
            </w:tcBorders>
            <w:vAlign w:val="center"/>
            <w:hideMark/>
          </w:tcPr>
          <w:p w14:paraId="55F3EC48"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09BC616C"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osobné výdavky (2 osoby) podľa UZN č. 657/2021 k návrhu Národného programu aktívneho starnutia na roky 2021 - 2030</w:t>
            </w:r>
          </w:p>
        </w:tc>
        <w:tc>
          <w:tcPr>
            <w:tcW w:w="1417" w:type="dxa"/>
            <w:tcBorders>
              <w:top w:val="nil"/>
              <w:left w:val="nil"/>
              <w:bottom w:val="nil"/>
              <w:right w:val="nil"/>
            </w:tcBorders>
            <w:shd w:val="clear" w:color="auto" w:fill="auto"/>
            <w:vAlign w:val="center"/>
            <w:hideMark/>
          </w:tcPr>
          <w:p w14:paraId="1AF228DB"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63</w:t>
            </w:r>
          </w:p>
        </w:tc>
      </w:tr>
      <w:tr w:rsidR="004C3312" w:rsidRPr="006D197B" w14:paraId="15290F4E"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03B14770"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430E42E4"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20 143</w:t>
            </w:r>
          </w:p>
        </w:tc>
      </w:tr>
      <w:tr w:rsidR="004C3312" w:rsidRPr="006D197B" w14:paraId="579DC938" w14:textId="77777777" w:rsidTr="001D0537">
        <w:trPr>
          <w:trHeight w:val="270"/>
        </w:trPr>
        <w:tc>
          <w:tcPr>
            <w:tcW w:w="1305" w:type="dxa"/>
            <w:vMerge w:val="restart"/>
            <w:tcBorders>
              <w:top w:val="nil"/>
              <w:left w:val="nil"/>
              <w:bottom w:val="nil"/>
              <w:right w:val="nil"/>
            </w:tcBorders>
            <w:shd w:val="clear" w:color="auto" w:fill="auto"/>
            <w:vAlign w:val="center"/>
            <w:hideMark/>
          </w:tcPr>
          <w:p w14:paraId="633CDB15"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spravodlivosti</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30AD93DD"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0E0E59F5"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7 206</w:t>
            </w:r>
          </w:p>
        </w:tc>
      </w:tr>
      <w:tr w:rsidR="004C3312" w:rsidRPr="006D197B" w14:paraId="32B57D16" w14:textId="77777777" w:rsidTr="001D0537">
        <w:trPr>
          <w:trHeight w:val="1079"/>
        </w:trPr>
        <w:tc>
          <w:tcPr>
            <w:tcW w:w="1305" w:type="dxa"/>
            <w:vMerge/>
            <w:tcBorders>
              <w:top w:val="nil"/>
              <w:left w:val="nil"/>
              <w:bottom w:val="nil"/>
              <w:right w:val="nil"/>
            </w:tcBorders>
            <w:vAlign w:val="center"/>
            <w:hideMark/>
          </w:tcPr>
          <w:p w14:paraId="5B3D528B"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5A94793C"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 xml:space="preserve">Na zvýšenie platov a paušálnych náhrad ústavného činiteľa, platových náležitostí sudcov                    a štátnych zamestnancov vo verejnej funkcii v súlade so zákonmi č. 120/1993 Z. z. o platových pomeroch niektorých ústavných činiteľov Slovenskej republiky, č. 385/2000 Z. z. o sudcoch              a prísediacich a o zmene a doplnení niektorých zákonov a č. 55/2017 Z. z. o štátnej službe </w:t>
            </w:r>
            <w:r w:rsidRPr="006D197B">
              <w:rPr>
                <w:rFonts w:eastAsia="Times New Roman" w:cs="Times New Roman"/>
                <w:sz w:val="16"/>
                <w:szCs w:val="16"/>
                <w:lang w:eastAsia="sk-SK"/>
              </w:rPr>
              <w:br/>
              <w:t>a o zmene a doplnení niektorých zákonov</w:t>
            </w:r>
          </w:p>
        </w:tc>
        <w:tc>
          <w:tcPr>
            <w:tcW w:w="1417" w:type="dxa"/>
            <w:tcBorders>
              <w:top w:val="nil"/>
              <w:left w:val="nil"/>
              <w:bottom w:val="nil"/>
              <w:right w:val="nil"/>
            </w:tcBorders>
            <w:shd w:val="clear" w:color="auto" w:fill="auto"/>
            <w:vAlign w:val="center"/>
            <w:hideMark/>
          </w:tcPr>
          <w:p w14:paraId="0CFBCB5E"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5 125</w:t>
            </w:r>
          </w:p>
        </w:tc>
      </w:tr>
      <w:tr w:rsidR="004C3312" w:rsidRPr="006D197B" w14:paraId="77C28A5D" w14:textId="77777777" w:rsidTr="001D0537">
        <w:trPr>
          <w:trHeight w:val="345"/>
        </w:trPr>
        <w:tc>
          <w:tcPr>
            <w:tcW w:w="1305" w:type="dxa"/>
            <w:vMerge/>
            <w:tcBorders>
              <w:top w:val="nil"/>
              <w:left w:val="nil"/>
              <w:bottom w:val="nil"/>
              <w:right w:val="nil"/>
            </w:tcBorders>
            <w:vAlign w:val="center"/>
            <w:hideMark/>
          </w:tcPr>
          <w:p w14:paraId="778C87B6"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653F3F56"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odchodné pre príslušníkov ZVJS a na príplatky k dôchodkom sudcov</w:t>
            </w:r>
          </w:p>
        </w:tc>
        <w:tc>
          <w:tcPr>
            <w:tcW w:w="1417" w:type="dxa"/>
            <w:tcBorders>
              <w:top w:val="nil"/>
              <w:left w:val="nil"/>
              <w:bottom w:val="nil"/>
              <w:right w:val="nil"/>
            </w:tcBorders>
            <w:shd w:val="clear" w:color="auto" w:fill="auto"/>
            <w:vAlign w:val="center"/>
            <w:hideMark/>
          </w:tcPr>
          <w:p w14:paraId="466DA793"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3 319</w:t>
            </w:r>
          </w:p>
        </w:tc>
      </w:tr>
      <w:tr w:rsidR="004C3312" w:rsidRPr="006D197B" w14:paraId="573373B0"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7D431B6D"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1280185D"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15 650</w:t>
            </w:r>
          </w:p>
        </w:tc>
      </w:tr>
      <w:tr w:rsidR="004C3312" w:rsidRPr="006D197B" w14:paraId="3DAEE790" w14:textId="77777777" w:rsidTr="001D0537">
        <w:trPr>
          <w:trHeight w:val="330"/>
        </w:trPr>
        <w:tc>
          <w:tcPr>
            <w:tcW w:w="1305" w:type="dxa"/>
            <w:vMerge w:val="restart"/>
            <w:tcBorders>
              <w:top w:val="nil"/>
              <w:left w:val="nil"/>
              <w:bottom w:val="nil"/>
              <w:right w:val="nil"/>
            </w:tcBorders>
            <w:shd w:val="clear" w:color="auto" w:fill="auto"/>
            <w:vAlign w:val="center"/>
            <w:hideMark/>
          </w:tcPr>
          <w:p w14:paraId="6BEA00D9"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financií</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0B2F83D7"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38E17E16"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6 861</w:t>
            </w:r>
          </w:p>
        </w:tc>
      </w:tr>
      <w:tr w:rsidR="004C3312" w:rsidRPr="006D197B" w14:paraId="405596A3" w14:textId="77777777" w:rsidTr="001D0537">
        <w:trPr>
          <w:trHeight w:val="300"/>
        </w:trPr>
        <w:tc>
          <w:tcPr>
            <w:tcW w:w="1305" w:type="dxa"/>
            <w:vMerge/>
            <w:tcBorders>
              <w:top w:val="nil"/>
              <w:left w:val="nil"/>
              <w:bottom w:val="nil"/>
              <w:right w:val="nil"/>
            </w:tcBorders>
            <w:vAlign w:val="center"/>
            <w:hideMark/>
          </w:tcPr>
          <w:p w14:paraId="79F6436B"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77856457"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dofinancovanie osobných výdavkov Úradu vládneho auditu</w:t>
            </w:r>
          </w:p>
        </w:tc>
        <w:tc>
          <w:tcPr>
            <w:tcW w:w="1417" w:type="dxa"/>
            <w:tcBorders>
              <w:top w:val="nil"/>
              <w:left w:val="nil"/>
              <w:bottom w:val="nil"/>
              <w:right w:val="nil"/>
            </w:tcBorders>
            <w:shd w:val="clear" w:color="auto" w:fill="auto"/>
            <w:vAlign w:val="center"/>
            <w:hideMark/>
          </w:tcPr>
          <w:p w14:paraId="53676334"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1 718</w:t>
            </w:r>
          </w:p>
        </w:tc>
      </w:tr>
      <w:tr w:rsidR="004C3312" w:rsidRPr="006D197B" w14:paraId="32077A46" w14:textId="77777777" w:rsidTr="001D0537">
        <w:trPr>
          <w:trHeight w:val="450"/>
        </w:trPr>
        <w:tc>
          <w:tcPr>
            <w:tcW w:w="1305" w:type="dxa"/>
            <w:vMerge/>
            <w:tcBorders>
              <w:top w:val="nil"/>
              <w:left w:val="nil"/>
              <w:bottom w:val="nil"/>
              <w:right w:val="nil"/>
            </w:tcBorders>
            <w:vAlign w:val="center"/>
            <w:hideMark/>
          </w:tcPr>
          <w:p w14:paraId="2E80AF67"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19D5C123"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personálne posilnenie odborných organizačných útvarov MF SR (7 osôb) z dôvodu zabezpečenia plnenia úloh</w:t>
            </w:r>
          </w:p>
        </w:tc>
        <w:tc>
          <w:tcPr>
            <w:tcW w:w="1417" w:type="dxa"/>
            <w:tcBorders>
              <w:top w:val="nil"/>
              <w:left w:val="nil"/>
              <w:bottom w:val="nil"/>
              <w:right w:val="nil"/>
            </w:tcBorders>
            <w:shd w:val="clear" w:color="auto" w:fill="auto"/>
            <w:vAlign w:val="center"/>
            <w:hideMark/>
          </w:tcPr>
          <w:p w14:paraId="385F1077"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257</w:t>
            </w:r>
          </w:p>
        </w:tc>
      </w:tr>
      <w:tr w:rsidR="004C3312" w:rsidRPr="006D197B" w14:paraId="6F9D72C6" w14:textId="77777777" w:rsidTr="001D0537">
        <w:trPr>
          <w:trHeight w:val="495"/>
        </w:trPr>
        <w:tc>
          <w:tcPr>
            <w:tcW w:w="1305" w:type="dxa"/>
            <w:vMerge/>
            <w:tcBorders>
              <w:top w:val="nil"/>
              <w:left w:val="nil"/>
              <w:bottom w:val="nil"/>
              <w:right w:val="nil"/>
            </w:tcBorders>
            <w:vAlign w:val="center"/>
            <w:hideMark/>
          </w:tcPr>
          <w:p w14:paraId="63EAAF7C"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3D5B2301"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personálne posilnenie (16 osôb) a zabezpečenie plnenia úloh vyplývajúcich z implementácie a udržateľnosti projektu Centrálny ekonomický systém</w:t>
            </w:r>
          </w:p>
        </w:tc>
        <w:tc>
          <w:tcPr>
            <w:tcW w:w="1417" w:type="dxa"/>
            <w:tcBorders>
              <w:top w:val="nil"/>
              <w:left w:val="nil"/>
              <w:bottom w:val="nil"/>
              <w:right w:val="nil"/>
            </w:tcBorders>
            <w:shd w:val="clear" w:color="auto" w:fill="auto"/>
            <w:vAlign w:val="center"/>
            <w:hideMark/>
          </w:tcPr>
          <w:p w14:paraId="6C5AB9F9"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221</w:t>
            </w:r>
          </w:p>
        </w:tc>
      </w:tr>
      <w:tr w:rsidR="004C3312" w:rsidRPr="006D197B" w14:paraId="6D9425C6" w14:textId="77777777" w:rsidTr="001D0537">
        <w:trPr>
          <w:trHeight w:val="480"/>
        </w:trPr>
        <w:tc>
          <w:tcPr>
            <w:tcW w:w="1305" w:type="dxa"/>
            <w:vMerge/>
            <w:tcBorders>
              <w:top w:val="nil"/>
              <w:left w:val="nil"/>
              <w:bottom w:val="nil"/>
              <w:right w:val="nil"/>
            </w:tcBorders>
            <w:vAlign w:val="center"/>
            <w:hideMark/>
          </w:tcPr>
          <w:p w14:paraId="064916BC"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3CF9E710"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personálne posilnenie (8 osôb) a plnenie úloh z dôvodu narastajúcej agend v oblasti verejného obstarávania</w:t>
            </w:r>
          </w:p>
        </w:tc>
        <w:tc>
          <w:tcPr>
            <w:tcW w:w="1417" w:type="dxa"/>
            <w:tcBorders>
              <w:top w:val="nil"/>
              <w:left w:val="nil"/>
              <w:bottom w:val="nil"/>
              <w:right w:val="nil"/>
            </w:tcBorders>
            <w:shd w:val="clear" w:color="auto" w:fill="auto"/>
            <w:vAlign w:val="center"/>
            <w:hideMark/>
          </w:tcPr>
          <w:p w14:paraId="5A223690"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203</w:t>
            </w:r>
          </w:p>
        </w:tc>
      </w:tr>
      <w:tr w:rsidR="004C3312" w:rsidRPr="006D197B" w14:paraId="63A815B5" w14:textId="77777777" w:rsidTr="001D0537">
        <w:trPr>
          <w:trHeight w:val="280"/>
        </w:trPr>
        <w:tc>
          <w:tcPr>
            <w:tcW w:w="7658" w:type="dxa"/>
            <w:gridSpan w:val="2"/>
            <w:tcBorders>
              <w:top w:val="nil"/>
              <w:left w:val="nil"/>
              <w:bottom w:val="single" w:sz="4" w:space="0" w:color="auto"/>
              <w:right w:val="nil"/>
            </w:tcBorders>
            <w:shd w:val="clear" w:color="auto" w:fill="auto"/>
            <w:vAlign w:val="center"/>
            <w:hideMark/>
          </w:tcPr>
          <w:p w14:paraId="677A199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5235591A"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9 259</w:t>
            </w:r>
          </w:p>
        </w:tc>
      </w:tr>
      <w:tr w:rsidR="004C3312" w:rsidRPr="006D197B" w14:paraId="2046394F" w14:textId="77777777" w:rsidTr="001D0537">
        <w:trPr>
          <w:trHeight w:val="317"/>
        </w:trPr>
        <w:tc>
          <w:tcPr>
            <w:tcW w:w="1305" w:type="dxa"/>
            <w:vMerge w:val="restart"/>
            <w:tcBorders>
              <w:top w:val="nil"/>
              <w:left w:val="nil"/>
              <w:bottom w:val="nil"/>
              <w:right w:val="nil"/>
            </w:tcBorders>
            <w:shd w:val="clear" w:color="auto" w:fill="auto"/>
            <w:vAlign w:val="center"/>
            <w:hideMark/>
          </w:tcPr>
          <w:p w14:paraId="4255A3BC"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hospodárstva</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6A773B1C"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dofinancovanie osobných výdavkov administratívnych kapacít osobitne sledovaných</w:t>
            </w:r>
          </w:p>
        </w:tc>
        <w:tc>
          <w:tcPr>
            <w:tcW w:w="1417" w:type="dxa"/>
            <w:tcBorders>
              <w:top w:val="nil"/>
              <w:left w:val="nil"/>
              <w:bottom w:val="nil"/>
              <w:right w:val="nil"/>
            </w:tcBorders>
            <w:shd w:val="clear" w:color="auto" w:fill="auto"/>
            <w:vAlign w:val="center"/>
            <w:hideMark/>
          </w:tcPr>
          <w:p w14:paraId="7B239CE0"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5 299</w:t>
            </w:r>
          </w:p>
        </w:tc>
      </w:tr>
      <w:tr w:rsidR="004C3312" w:rsidRPr="006D197B" w14:paraId="25BBCCE7" w14:textId="77777777" w:rsidTr="001D0537">
        <w:trPr>
          <w:trHeight w:val="277"/>
        </w:trPr>
        <w:tc>
          <w:tcPr>
            <w:tcW w:w="1305" w:type="dxa"/>
            <w:vMerge/>
            <w:tcBorders>
              <w:top w:val="nil"/>
              <w:left w:val="nil"/>
              <w:bottom w:val="nil"/>
              <w:right w:val="nil"/>
            </w:tcBorders>
            <w:vAlign w:val="center"/>
            <w:hideMark/>
          </w:tcPr>
          <w:p w14:paraId="41114FF6"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5035560D"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93307B7"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848</w:t>
            </w:r>
          </w:p>
        </w:tc>
      </w:tr>
      <w:tr w:rsidR="004C3312" w:rsidRPr="006D197B" w14:paraId="7C108DF2" w14:textId="77777777" w:rsidTr="001D0537">
        <w:trPr>
          <w:trHeight w:val="294"/>
        </w:trPr>
        <w:tc>
          <w:tcPr>
            <w:tcW w:w="1305" w:type="dxa"/>
            <w:vMerge/>
            <w:tcBorders>
              <w:top w:val="nil"/>
              <w:left w:val="nil"/>
              <w:bottom w:val="nil"/>
              <w:right w:val="nil"/>
            </w:tcBorders>
            <w:vAlign w:val="center"/>
            <w:hideMark/>
          </w:tcPr>
          <w:p w14:paraId="30B07018"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7BC908B4"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personálne zabezpečenie investície financovanej z Plánu obnovy a odolnosti (5 osôb)</w:t>
            </w:r>
          </w:p>
        </w:tc>
        <w:tc>
          <w:tcPr>
            <w:tcW w:w="1417" w:type="dxa"/>
            <w:tcBorders>
              <w:top w:val="nil"/>
              <w:left w:val="nil"/>
              <w:bottom w:val="nil"/>
              <w:right w:val="nil"/>
            </w:tcBorders>
            <w:shd w:val="clear" w:color="auto" w:fill="auto"/>
            <w:vAlign w:val="center"/>
            <w:hideMark/>
          </w:tcPr>
          <w:p w14:paraId="6A5FE63C"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181</w:t>
            </w:r>
          </w:p>
        </w:tc>
      </w:tr>
      <w:tr w:rsidR="004C3312" w:rsidRPr="006D197B" w14:paraId="3E807A4B" w14:textId="77777777" w:rsidTr="001D0537">
        <w:trPr>
          <w:trHeight w:val="296"/>
        </w:trPr>
        <w:tc>
          <w:tcPr>
            <w:tcW w:w="1305" w:type="dxa"/>
            <w:vMerge/>
            <w:tcBorders>
              <w:top w:val="nil"/>
              <w:left w:val="nil"/>
              <w:bottom w:val="nil"/>
              <w:right w:val="nil"/>
            </w:tcBorders>
            <w:vAlign w:val="center"/>
            <w:hideMark/>
          </w:tcPr>
          <w:p w14:paraId="22226A50"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1D553A09"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krytie platových náležitostí analytických kapacít a zabezpečenie ich činnosti (3 osoby)</w:t>
            </w:r>
          </w:p>
        </w:tc>
        <w:tc>
          <w:tcPr>
            <w:tcW w:w="1417" w:type="dxa"/>
            <w:tcBorders>
              <w:top w:val="nil"/>
              <w:left w:val="nil"/>
              <w:bottom w:val="nil"/>
              <w:right w:val="nil"/>
            </w:tcBorders>
            <w:shd w:val="clear" w:color="auto" w:fill="auto"/>
            <w:vAlign w:val="center"/>
            <w:hideMark/>
          </w:tcPr>
          <w:p w14:paraId="69A01CDF"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102</w:t>
            </w:r>
          </w:p>
        </w:tc>
      </w:tr>
      <w:tr w:rsidR="004C3312" w:rsidRPr="006D197B" w14:paraId="42173968"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61E05C92"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774C3842"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6 430</w:t>
            </w:r>
          </w:p>
        </w:tc>
      </w:tr>
      <w:tr w:rsidR="004C3312" w:rsidRPr="006D197B" w14:paraId="6C9C7201" w14:textId="77777777" w:rsidTr="001D0537">
        <w:trPr>
          <w:trHeight w:val="324"/>
        </w:trPr>
        <w:tc>
          <w:tcPr>
            <w:tcW w:w="1305" w:type="dxa"/>
            <w:vMerge w:val="restart"/>
            <w:tcBorders>
              <w:top w:val="nil"/>
              <w:left w:val="nil"/>
              <w:bottom w:val="nil"/>
              <w:right w:val="nil"/>
            </w:tcBorders>
            <w:shd w:val="clear" w:color="auto" w:fill="auto"/>
            <w:noWrap/>
            <w:vAlign w:val="center"/>
            <w:hideMark/>
          </w:tcPr>
          <w:p w14:paraId="10022752"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životného prostredia</w:t>
            </w:r>
            <w:r w:rsidRPr="006D197B">
              <w:rPr>
                <w:rFonts w:eastAsia="Times New Roman" w:cs="Times New Roman"/>
                <w:sz w:val="16"/>
                <w:szCs w:val="16"/>
                <w:lang w:eastAsia="sk-SK"/>
              </w:rPr>
              <w:t xml:space="preserve"> SR </w:t>
            </w:r>
          </w:p>
        </w:tc>
        <w:tc>
          <w:tcPr>
            <w:tcW w:w="6353" w:type="dxa"/>
            <w:tcBorders>
              <w:top w:val="nil"/>
              <w:left w:val="nil"/>
              <w:bottom w:val="nil"/>
              <w:right w:val="nil"/>
            </w:tcBorders>
            <w:shd w:val="clear" w:color="auto" w:fill="auto"/>
            <w:vAlign w:val="bottom"/>
            <w:hideMark/>
          </w:tcPr>
          <w:p w14:paraId="3DAB34C7"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dofinancovanie osobných výdavkov administratívnych kapacít osobitne sledovaných</w:t>
            </w:r>
          </w:p>
        </w:tc>
        <w:tc>
          <w:tcPr>
            <w:tcW w:w="1417" w:type="dxa"/>
            <w:tcBorders>
              <w:top w:val="nil"/>
              <w:left w:val="nil"/>
              <w:bottom w:val="nil"/>
              <w:right w:val="nil"/>
            </w:tcBorders>
            <w:shd w:val="clear" w:color="auto" w:fill="auto"/>
            <w:vAlign w:val="center"/>
            <w:hideMark/>
          </w:tcPr>
          <w:p w14:paraId="6C1494C6"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3 253</w:t>
            </w:r>
          </w:p>
        </w:tc>
      </w:tr>
      <w:tr w:rsidR="004C3312" w:rsidRPr="006D197B" w14:paraId="1664FA93" w14:textId="77777777" w:rsidTr="001D0537">
        <w:trPr>
          <w:trHeight w:val="282"/>
        </w:trPr>
        <w:tc>
          <w:tcPr>
            <w:tcW w:w="1305" w:type="dxa"/>
            <w:vMerge/>
            <w:tcBorders>
              <w:top w:val="nil"/>
              <w:left w:val="nil"/>
              <w:bottom w:val="nil"/>
              <w:right w:val="nil"/>
            </w:tcBorders>
            <w:vAlign w:val="center"/>
            <w:hideMark/>
          </w:tcPr>
          <w:p w14:paraId="48CE76CA"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33B008E9"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0352B135"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2 023</w:t>
            </w:r>
          </w:p>
        </w:tc>
      </w:tr>
      <w:tr w:rsidR="004C3312" w:rsidRPr="006D197B" w14:paraId="6F742757" w14:textId="77777777" w:rsidTr="001D0537">
        <w:trPr>
          <w:trHeight w:val="450"/>
        </w:trPr>
        <w:tc>
          <w:tcPr>
            <w:tcW w:w="1305" w:type="dxa"/>
            <w:vMerge/>
            <w:tcBorders>
              <w:top w:val="nil"/>
              <w:left w:val="nil"/>
              <w:bottom w:val="nil"/>
              <w:right w:val="nil"/>
            </w:tcBorders>
            <w:vAlign w:val="center"/>
            <w:hideMark/>
          </w:tcPr>
          <w:p w14:paraId="3AED9559"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47874DCD"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personálne posilnenie (5 osôb) v súvislosti s posudzovaním vplyvov na životné prostredie (EIA) pri projektoch zahrnutých do komponentov Plánu obnovy a odolnosti</w:t>
            </w:r>
          </w:p>
        </w:tc>
        <w:tc>
          <w:tcPr>
            <w:tcW w:w="1417" w:type="dxa"/>
            <w:tcBorders>
              <w:top w:val="nil"/>
              <w:left w:val="nil"/>
              <w:bottom w:val="nil"/>
              <w:right w:val="nil"/>
            </w:tcBorders>
            <w:shd w:val="clear" w:color="auto" w:fill="auto"/>
            <w:vAlign w:val="center"/>
            <w:hideMark/>
          </w:tcPr>
          <w:p w14:paraId="2CC07C7A"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52</w:t>
            </w:r>
          </w:p>
        </w:tc>
      </w:tr>
      <w:tr w:rsidR="004C3312" w:rsidRPr="006D197B" w14:paraId="132F87D3" w14:textId="77777777" w:rsidTr="001D0537">
        <w:trPr>
          <w:trHeight w:val="375"/>
        </w:trPr>
        <w:tc>
          <w:tcPr>
            <w:tcW w:w="7658" w:type="dxa"/>
            <w:gridSpan w:val="2"/>
            <w:tcBorders>
              <w:top w:val="nil"/>
              <w:left w:val="nil"/>
              <w:bottom w:val="single" w:sz="4" w:space="0" w:color="auto"/>
              <w:right w:val="nil"/>
            </w:tcBorders>
            <w:shd w:val="clear" w:color="auto" w:fill="auto"/>
            <w:noWrap/>
            <w:vAlign w:val="center"/>
            <w:hideMark/>
          </w:tcPr>
          <w:p w14:paraId="56161856"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28B06C17"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5 328</w:t>
            </w:r>
          </w:p>
        </w:tc>
      </w:tr>
      <w:tr w:rsidR="004C3312" w:rsidRPr="006D197B" w14:paraId="180A68C0" w14:textId="77777777" w:rsidTr="001D0537">
        <w:trPr>
          <w:trHeight w:val="216"/>
        </w:trPr>
        <w:tc>
          <w:tcPr>
            <w:tcW w:w="1305" w:type="dxa"/>
            <w:tcBorders>
              <w:top w:val="nil"/>
              <w:left w:val="nil"/>
              <w:bottom w:val="nil"/>
              <w:right w:val="nil"/>
            </w:tcBorders>
            <w:shd w:val="clear" w:color="auto" w:fill="auto"/>
            <w:vAlign w:val="center"/>
            <w:hideMark/>
          </w:tcPr>
          <w:p w14:paraId="217A587C"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Slovenská informačná služba</w:t>
            </w:r>
          </w:p>
        </w:tc>
        <w:tc>
          <w:tcPr>
            <w:tcW w:w="6353" w:type="dxa"/>
            <w:tcBorders>
              <w:top w:val="nil"/>
              <w:left w:val="nil"/>
              <w:bottom w:val="nil"/>
              <w:right w:val="nil"/>
            </w:tcBorders>
            <w:shd w:val="clear" w:color="auto" w:fill="auto"/>
            <w:vAlign w:val="bottom"/>
            <w:hideMark/>
          </w:tcPr>
          <w:p w14:paraId="6DA154AD"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 xml:space="preserve">Na zabezpečenie efektívneho plnenia úloh </w:t>
            </w:r>
          </w:p>
        </w:tc>
        <w:tc>
          <w:tcPr>
            <w:tcW w:w="1417" w:type="dxa"/>
            <w:tcBorders>
              <w:top w:val="nil"/>
              <w:left w:val="nil"/>
              <w:bottom w:val="nil"/>
              <w:right w:val="nil"/>
            </w:tcBorders>
            <w:shd w:val="clear" w:color="auto" w:fill="auto"/>
            <w:vAlign w:val="center"/>
            <w:hideMark/>
          </w:tcPr>
          <w:p w14:paraId="613A6390"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4 645</w:t>
            </w:r>
          </w:p>
        </w:tc>
      </w:tr>
      <w:tr w:rsidR="004C3312" w:rsidRPr="006D197B" w14:paraId="3EDBB718"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626154A1"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4AF89E3F"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4 645</w:t>
            </w:r>
          </w:p>
        </w:tc>
      </w:tr>
      <w:tr w:rsidR="004C3312" w:rsidRPr="006D197B" w14:paraId="6D71EEFD" w14:textId="77777777" w:rsidTr="001D0537">
        <w:trPr>
          <w:trHeight w:val="285"/>
        </w:trPr>
        <w:tc>
          <w:tcPr>
            <w:tcW w:w="1305" w:type="dxa"/>
            <w:vMerge w:val="restart"/>
            <w:tcBorders>
              <w:top w:val="nil"/>
              <w:left w:val="nil"/>
              <w:bottom w:val="nil"/>
              <w:right w:val="nil"/>
            </w:tcBorders>
            <w:shd w:val="clear" w:color="auto" w:fill="auto"/>
            <w:noWrap/>
            <w:vAlign w:val="center"/>
            <w:hideMark/>
          </w:tcPr>
          <w:p w14:paraId="0E0BF641"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zdravotníctva</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7BF2C99E"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C2DA078"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2 923</w:t>
            </w:r>
          </w:p>
        </w:tc>
      </w:tr>
      <w:tr w:rsidR="004C3312" w:rsidRPr="006D197B" w14:paraId="6774FD95" w14:textId="77777777" w:rsidTr="001D0537">
        <w:trPr>
          <w:trHeight w:val="310"/>
        </w:trPr>
        <w:tc>
          <w:tcPr>
            <w:tcW w:w="1305" w:type="dxa"/>
            <w:vMerge/>
            <w:tcBorders>
              <w:top w:val="nil"/>
              <w:left w:val="nil"/>
              <w:bottom w:val="nil"/>
              <w:right w:val="nil"/>
            </w:tcBorders>
            <w:vAlign w:val="center"/>
            <w:hideMark/>
          </w:tcPr>
          <w:p w14:paraId="46EA401E"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23AAA16E"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dofinancovanie osobných výdavkov administratívnych kapacít osobitne sledovaných</w:t>
            </w:r>
          </w:p>
        </w:tc>
        <w:tc>
          <w:tcPr>
            <w:tcW w:w="1417" w:type="dxa"/>
            <w:tcBorders>
              <w:top w:val="nil"/>
              <w:left w:val="nil"/>
              <w:bottom w:val="nil"/>
              <w:right w:val="nil"/>
            </w:tcBorders>
            <w:shd w:val="clear" w:color="auto" w:fill="auto"/>
            <w:vAlign w:val="center"/>
            <w:hideMark/>
          </w:tcPr>
          <w:p w14:paraId="63FFCD54"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890</w:t>
            </w:r>
          </w:p>
        </w:tc>
      </w:tr>
      <w:tr w:rsidR="004C3312" w:rsidRPr="006D197B" w14:paraId="7F2D949E" w14:textId="77777777" w:rsidTr="001D0537">
        <w:trPr>
          <w:trHeight w:val="286"/>
        </w:trPr>
        <w:tc>
          <w:tcPr>
            <w:tcW w:w="1305" w:type="dxa"/>
            <w:vMerge/>
            <w:tcBorders>
              <w:top w:val="nil"/>
              <w:left w:val="nil"/>
              <w:bottom w:val="nil"/>
              <w:right w:val="nil"/>
            </w:tcBorders>
            <w:vAlign w:val="center"/>
            <w:hideMark/>
          </w:tcPr>
          <w:p w14:paraId="0E3136D1"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1110A2CE"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osobné výdavky aparátu ústredného orgánu (29 osôb)</w:t>
            </w:r>
          </w:p>
        </w:tc>
        <w:tc>
          <w:tcPr>
            <w:tcW w:w="1417" w:type="dxa"/>
            <w:tcBorders>
              <w:top w:val="nil"/>
              <w:left w:val="nil"/>
              <w:bottom w:val="nil"/>
              <w:right w:val="nil"/>
            </w:tcBorders>
            <w:shd w:val="clear" w:color="auto" w:fill="auto"/>
            <w:vAlign w:val="center"/>
            <w:hideMark/>
          </w:tcPr>
          <w:p w14:paraId="46427920"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214</w:t>
            </w:r>
          </w:p>
        </w:tc>
      </w:tr>
      <w:tr w:rsidR="004C3312" w:rsidRPr="006D197B" w14:paraId="5592C81C" w14:textId="77777777" w:rsidTr="001D0537">
        <w:trPr>
          <w:trHeight w:val="375"/>
        </w:trPr>
        <w:tc>
          <w:tcPr>
            <w:tcW w:w="7658" w:type="dxa"/>
            <w:gridSpan w:val="2"/>
            <w:tcBorders>
              <w:top w:val="nil"/>
              <w:left w:val="nil"/>
              <w:bottom w:val="single" w:sz="4" w:space="0" w:color="auto"/>
              <w:right w:val="nil"/>
            </w:tcBorders>
            <w:shd w:val="clear" w:color="auto" w:fill="auto"/>
            <w:noWrap/>
            <w:vAlign w:val="center"/>
            <w:hideMark/>
          </w:tcPr>
          <w:p w14:paraId="12AB62FE"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54016BD6"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4 026</w:t>
            </w:r>
          </w:p>
        </w:tc>
      </w:tr>
      <w:tr w:rsidR="004C3312" w:rsidRPr="006D197B" w14:paraId="4711E22A" w14:textId="77777777" w:rsidTr="001D0537">
        <w:trPr>
          <w:trHeight w:val="345"/>
        </w:trPr>
        <w:tc>
          <w:tcPr>
            <w:tcW w:w="1305" w:type="dxa"/>
            <w:vMerge w:val="restart"/>
            <w:tcBorders>
              <w:top w:val="nil"/>
              <w:left w:val="nil"/>
              <w:bottom w:val="nil"/>
              <w:right w:val="nil"/>
            </w:tcBorders>
            <w:shd w:val="clear" w:color="auto" w:fill="auto"/>
            <w:vAlign w:val="center"/>
            <w:hideMark/>
          </w:tcPr>
          <w:p w14:paraId="7B13AC11"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investícií, regionálneho rozvoja a informatizácie</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3CBCF679"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dofinancovanie osobných výdavkov administratívnych kapacít osobitne sledovaných</w:t>
            </w:r>
          </w:p>
        </w:tc>
        <w:tc>
          <w:tcPr>
            <w:tcW w:w="1417" w:type="dxa"/>
            <w:tcBorders>
              <w:top w:val="nil"/>
              <w:left w:val="nil"/>
              <w:bottom w:val="nil"/>
              <w:right w:val="nil"/>
            </w:tcBorders>
            <w:shd w:val="clear" w:color="auto" w:fill="auto"/>
            <w:vAlign w:val="center"/>
            <w:hideMark/>
          </w:tcPr>
          <w:p w14:paraId="384841D2"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3 227</w:t>
            </w:r>
          </w:p>
        </w:tc>
      </w:tr>
      <w:tr w:rsidR="004C3312" w:rsidRPr="006D197B" w14:paraId="6F1D44CD" w14:textId="77777777" w:rsidTr="001D0537">
        <w:trPr>
          <w:trHeight w:val="300"/>
        </w:trPr>
        <w:tc>
          <w:tcPr>
            <w:tcW w:w="1305" w:type="dxa"/>
            <w:vMerge/>
            <w:tcBorders>
              <w:top w:val="nil"/>
              <w:left w:val="nil"/>
              <w:bottom w:val="nil"/>
              <w:right w:val="nil"/>
            </w:tcBorders>
            <w:vAlign w:val="center"/>
            <w:hideMark/>
          </w:tcPr>
          <w:p w14:paraId="141E4D09"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697E1BB2"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5F97C2B"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700</w:t>
            </w:r>
          </w:p>
        </w:tc>
      </w:tr>
      <w:tr w:rsidR="004C3312" w:rsidRPr="006D197B" w14:paraId="571EFE49"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50E55BBE"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09FD57D3"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3 927</w:t>
            </w:r>
          </w:p>
        </w:tc>
      </w:tr>
      <w:tr w:rsidR="004C3312" w:rsidRPr="006D197B" w14:paraId="6C7CD523" w14:textId="77777777" w:rsidTr="001D0537">
        <w:trPr>
          <w:trHeight w:val="285"/>
        </w:trPr>
        <w:tc>
          <w:tcPr>
            <w:tcW w:w="1305" w:type="dxa"/>
            <w:vMerge w:val="restart"/>
            <w:tcBorders>
              <w:top w:val="nil"/>
              <w:left w:val="nil"/>
              <w:bottom w:val="nil"/>
              <w:right w:val="nil"/>
            </w:tcBorders>
            <w:shd w:val="clear" w:color="auto" w:fill="auto"/>
            <w:vAlign w:val="center"/>
            <w:hideMark/>
          </w:tcPr>
          <w:p w14:paraId="5B0E1F0B"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kultúry</w:t>
            </w:r>
            <w:r w:rsidRPr="006D197B">
              <w:rPr>
                <w:rFonts w:eastAsia="Times New Roman" w:cs="Times New Roman"/>
                <w:sz w:val="16"/>
                <w:szCs w:val="16"/>
                <w:lang w:eastAsia="sk-SK"/>
              </w:rPr>
              <w:t xml:space="preserve"> SR </w:t>
            </w:r>
          </w:p>
        </w:tc>
        <w:tc>
          <w:tcPr>
            <w:tcW w:w="6353" w:type="dxa"/>
            <w:tcBorders>
              <w:top w:val="nil"/>
              <w:left w:val="nil"/>
              <w:bottom w:val="nil"/>
              <w:right w:val="nil"/>
            </w:tcBorders>
            <w:shd w:val="clear" w:color="auto" w:fill="auto"/>
            <w:vAlign w:val="bottom"/>
            <w:hideMark/>
          </w:tcPr>
          <w:p w14:paraId="47C9D1BF"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48063AE"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2 367</w:t>
            </w:r>
          </w:p>
        </w:tc>
      </w:tr>
      <w:tr w:rsidR="004C3312" w:rsidRPr="006D197B" w14:paraId="796AB7C5" w14:textId="77777777" w:rsidTr="001D0537">
        <w:trPr>
          <w:trHeight w:val="510"/>
        </w:trPr>
        <w:tc>
          <w:tcPr>
            <w:tcW w:w="1305" w:type="dxa"/>
            <w:vMerge/>
            <w:tcBorders>
              <w:top w:val="nil"/>
              <w:left w:val="nil"/>
              <w:bottom w:val="nil"/>
              <w:right w:val="nil"/>
            </w:tcBorders>
            <w:vAlign w:val="center"/>
            <w:hideMark/>
          </w:tcPr>
          <w:p w14:paraId="0C099222"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6637E3E9"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vyplatenie odmien pre zamestnancov Slovenského národného divadla a Slovenskej filharmónie</w:t>
            </w:r>
          </w:p>
        </w:tc>
        <w:tc>
          <w:tcPr>
            <w:tcW w:w="1417" w:type="dxa"/>
            <w:tcBorders>
              <w:top w:val="nil"/>
              <w:left w:val="nil"/>
              <w:bottom w:val="nil"/>
              <w:right w:val="nil"/>
            </w:tcBorders>
            <w:shd w:val="clear" w:color="auto" w:fill="auto"/>
            <w:vAlign w:val="center"/>
            <w:hideMark/>
          </w:tcPr>
          <w:p w14:paraId="092F5F61"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704</w:t>
            </w:r>
          </w:p>
        </w:tc>
      </w:tr>
      <w:tr w:rsidR="004C3312" w:rsidRPr="006D197B" w14:paraId="6F644722" w14:textId="77777777" w:rsidTr="001D0537">
        <w:trPr>
          <w:trHeight w:val="450"/>
        </w:trPr>
        <w:tc>
          <w:tcPr>
            <w:tcW w:w="1305" w:type="dxa"/>
            <w:vMerge/>
            <w:tcBorders>
              <w:top w:val="nil"/>
              <w:left w:val="nil"/>
              <w:bottom w:val="nil"/>
              <w:right w:val="nil"/>
            </w:tcBorders>
            <w:vAlign w:val="center"/>
            <w:hideMark/>
          </w:tcPr>
          <w:p w14:paraId="0E18EEDD"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6D905625"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dofinancovanie osobných výdavkov pre príspevkové organizácie v súvislosti s medziročným rastom minimálnej mzdy</w:t>
            </w:r>
          </w:p>
        </w:tc>
        <w:tc>
          <w:tcPr>
            <w:tcW w:w="1417" w:type="dxa"/>
            <w:tcBorders>
              <w:top w:val="nil"/>
              <w:left w:val="nil"/>
              <w:bottom w:val="nil"/>
              <w:right w:val="nil"/>
            </w:tcBorders>
            <w:shd w:val="clear" w:color="auto" w:fill="auto"/>
            <w:vAlign w:val="center"/>
            <w:hideMark/>
          </w:tcPr>
          <w:p w14:paraId="5545BCAE"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412</w:t>
            </w:r>
          </w:p>
        </w:tc>
      </w:tr>
      <w:tr w:rsidR="004C3312" w:rsidRPr="006D197B" w14:paraId="5D7C26CA"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7509E114"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170CB4AE"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3 483</w:t>
            </w:r>
          </w:p>
        </w:tc>
      </w:tr>
      <w:tr w:rsidR="004C3312" w:rsidRPr="006D197B" w14:paraId="3D371912" w14:textId="77777777" w:rsidTr="001D0537">
        <w:trPr>
          <w:trHeight w:val="653"/>
        </w:trPr>
        <w:tc>
          <w:tcPr>
            <w:tcW w:w="1305" w:type="dxa"/>
            <w:vMerge w:val="restart"/>
            <w:tcBorders>
              <w:top w:val="nil"/>
              <w:left w:val="nil"/>
              <w:bottom w:val="nil"/>
              <w:right w:val="nil"/>
            </w:tcBorders>
            <w:shd w:val="clear" w:color="auto" w:fill="auto"/>
            <w:vAlign w:val="center"/>
            <w:hideMark/>
          </w:tcPr>
          <w:p w14:paraId="7EE8FA55" w14:textId="77777777"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t>G</w:t>
            </w:r>
            <w:r>
              <w:rPr>
                <w:rFonts w:eastAsia="Times New Roman" w:cs="Times New Roman"/>
                <w:sz w:val="16"/>
                <w:szCs w:val="16"/>
                <w:lang w:eastAsia="sk-SK"/>
              </w:rPr>
              <w:t>enerálna prokuratúra</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4AD87EBF"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zvýšenie platu a paušálnej náhrady ústavného činiteľa a platových náležitostí prokurátorov          v súlade so zákonmi č. 120/1993 Z. z. o platových pomeroch niektorých ústavných činiteľov Slovenskej republiky a č. 154/2001 Z. z. o prokurátoroch a právnych čakateľoch prokuratúry</w:t>
            </w:r>
          </w:p>
        </w:tc>
        <w:tc>
          <w:tcPr>
            <w:tcW w:w="1417" w:type="dxa"/>
            <w:tcBorders>
              <w:top w:val="nil"/>
              <w:left w:val="nil"/>
              <w:bottom w:val="nil"/>
              <w:right w:val="nil"/>
            </w:tcBorders>
            <w:shd w:val="clear" w:color="auto" w:fill="auto"/>
            <w:vAlign w:val="center"/>
            <w:hideMark/>
          </w:tcPr>
          <w:p w14:paraId="6E834691"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2 462</w:t>
            </w:r>
          </w:p>
        </w:tc>
      </w:tr>
      <w:tr w:rsidR="004C3312" w:rsidRPr="006D197B" w14:paraId="79DDB287" w14:textId="77777777" w:rsidTr="001D0537">
        <w:trPr>
          <w:trHeight w:val="315"/>
        </w:trPr>
        <w:tc>
          <w:tcPr>
            <w:tcW w:w="1305" w:type="dxa"/>
            <w:vMerge/>
            <w:tcBorders>
              <w:top w:val="nil"/>
              <w:left w:val="nil"/>
              <w:bottom w:val="nil"/>
              <w:right w:val="nil"/>
            </w:tcBorders>
            <w:vAlign w:val="center"/>
            <w:hideMark/>
          </w:tcPr>
          <w:p w14:paraId="05C98CB4"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20277B9B"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5BDB536"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575</w:t>
            </w:r>
          </w:p>
        </w:tc>
      </w:tr>
      <w:tr w:rsidR="004C3312" w:rsidRPr="006D197B" w14:paraId="4727547A" w14:textId="77777777" w:rsidTr="001D0537">
        <w:trPr>
          <w:trHeight w:val="475"/>
        </w:trPr>
        <w:tc>
          <w:tcPr>
            <w:tcW w:w="1305" w:type="dxa"/>
            <w:vMerge/>
            <w:tcBorders>
              <w:top w:val="nil"/>
              <w:left w:val="nil"/>
              <w:bottom w:val="nil"/>
              <w:right w:val="nil"/>
            </w:tcBorders>
            <w:vAlign w:val="center"/>
            <w:hideMark/>
          </w:tcPr>
          <w:p w14:paraId="4916E40C"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0E3775B5"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úloh Úradu špeciálnej prokuratúry - zvýšenie počtu európskych delegovaných prokurátorov podľa UZN č. 680/2021 (1 osoba)</w:t>
            </w:r>
          </w:p>
        </w:tc>
        <w:tc>
          <w:tcPr>
            <w:tcW w:w="1417" w:type="dxa"/>
            <w:tcBorders>
              <w:top w:val="nil"/>
              <w:left w:val="nil"/>
              <w:bottom w:val="nil"/>
              <w:right w:val="nil"/>
            </w:tcBorders>
            <w:shd w:val="clear" w:color="auto" w:fill="auto"/>
            <w:vAlign w:val="center"/>
            <w:hideMark/>
          </w:tcPr>
          <w:p w14:paraId="00AB4FF7"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41</w:t>
            </w:r>
          </w:p>
        </w:tc>
      </w:tr>
      <w:tr w:rsidR="004C3312" w:rsidRPr="006D197B" w14:paraId="4FDFA80C"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4AE0AA6E"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27F728A9"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3 078</w:t>
            </w:r>
          </w:p>
        </w:tc>
      </w:tr>
      <w:tr w:rsidR="004C3312" w:rsidRPr="006D197B" w14:paraId="2ECE57BE" w14:textId="77777777" w:rsidTr="004D5206">
        <w:trPr>
          <w:trHeight w:val="270"/>
        </w:trPr>
        <w:tc>
          <w:tcPr>
            <w:tcW w:w="1305" w:type="dxa"/>
            <w:tcBorders>
              <w:top w:val="nil"/>
              <w:left w:val="nil"/>
              <w:bottom w:val="nil"/>
              <w:right w:val="nil"/>
            </w:tcBorders>
            <w:shd w:val="clear" w:color="auto" w:fill="auto"/>
            <w:vAlign w:val="center"/>
            <w:hideMark/>
          </w:tcPr>
          <w:p w14:paraId="523EA73B" w14:textId="77777777"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t>M</w:t>
            </w:r>
            <w:r>
              <w:rPr>
                <w:rFonts w:eastAsia="Times New Roman" w:cs="Times New Roman"/>
                <w:sz w:val="16"/>
                <w:szCs w:val="16"/>
                <w:lang w:eastAsia="sk-SK"/>
              </w:rPr>
              <w:t>inisterstvo pôdohospodárstva  a rozvoja vidieka</w:t>
            </w:r>
            <w:r w:rsidRPr="006D197B">
              <w:rPr>
                <w:rFonts w:eastAsia="Times New Roman" w:cs="Times New Roman"/>
                <w:sz w:val="16"/>
                <w:szCs w:val="16"/>
                <w:lang w:eastAsia="sk-SK"/>
              </w:rPr>
              <w:t xml:space="preserve"> SR </w:t>
            </w:r>
          </w:p>
        </w:tc>
        <w:tc>
          <w:tcPr>
            <w:tcW w:w="6353" w:type="dxa"/>
            <w:tcBorders>
              <w:top w:val="nil"/>
              <w:left w:val="nil"/>
              <w:bottom w:val="nil"/>
              <w:right w:val="nil"/>
            </w:tcBorders>
            <w:shd w:val="clear" w:color="auto" w:fill="auto"/>
            <w:vAlign w:val="center"/>
            <w:hideMark/>
          </w:tcPr>
          <w:p w14:paraId="48A2583A"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171F8217"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2 294</w:t>
            </w:r>
          </w:p>
        </w:tc>
      </w:tr>
      <w:tr w:rsidR="004C3312" w:rsidRPr="006D197B" w14:paraId="0F70ACDD"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3D08CE05"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15D45FE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2 294</w:t>
            </w:r>
          </w:p>
        </w:tc>
      </w:tr>
      <w:tr w:rsidR="004C3312" w:rsidRPr="006D197B" w14:paraId="3D599100" w14:textId="77777777" w:rsidTr="001D0537">
        <w:trPr>
          <w:trHeight w:val="315"/>
        </w:trPr>
        <w:tc>
          <w:tcPr>
            <w:tcW w:w="1305" w:type="dxa"/>
            <w:vMerge w:val="restart"/>
            <w:tcBorders>
              <w:top w:val="nil"/>
              <w:left w:val="nil"/>
              <w:bottom w:val="nil"/>
              <w:right w:val="nil"/>
            </w:tcBorders>
            <w:shd w:val="clear" w:color="auto" w:fill="auto"/>
            <w:vAlign w:val="center"/>
            <w:hideMark/>
          </w:tcPr>
          <w:p w14:paraId="70A462BD"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vlády</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6D6CDF4C"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04BF6385"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491</w:t>
            </w:r>
          </w:p>
        </w:tc>
      </w:tr>
      <w:tr w:rsidR="004C3312" w:rsidRPr="006D197B" w14:paraId="187C3B0E" w14:textId="77777777" w:rsidTr="001D0537">
        <w:trPr>
          <w:trHeight w:val="562"/>
        </w:trPr>
        <w:tc>
          <w:tcPr>
            <w:tcW w:w="1305" w:type="dxa"/>
            <w:vMerge/>
            <w:tcBorders>
              <w:top w:val="nil"/>
              <w:left w:val="nil"/>
              <w:bottom w:val="nil"/>
              <w:right w:val="nil"/>
            </w:tcBorders>
            <w:vAlign w:val="center"/>
            <w:hideMark/>
          </w:tcPr>
          <w:p w14:paraId="301C82DE"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50D55EA2" w14:textId="77777777" w:rsidR="004C3312" w:rsidRPr="006D197B" w:rsidRDefault="004C3312" w:rsidP="004C3312">
            <w:pPr>
              <w:spacing w:after="0" w:line="240" w:lineRule="auto"/>
              <w:rPr>
                <w:rFonts w:eastAsia="Times New Roman" w:cs="Times New Roman"/>
                <w:sz w:val="16"/>
                <w:szCs w:val="16"/>
                <w:lang w:eastAsia="sk-SK"/>
              </w:rPr>
            </w:pPr>
            <w:r w:rsidRPr="006D197B">
              <w:rPr>
                <w:rFonts w:cs="Times New Roman"/>
                <w:sz w:val="16"/>
                <w:szCs w:val="16"/>
              </w:rPr>
              <w:t xml:space="preserve">Na dofinancovanie osobných výdavkov pre sekciu legislatívy pre Úrad podpredsedu vlády, </w:t>
            </w:r>
            <w:r w:rsidRPr="006D197B">
              <w:rPr>
                <w:rFonts w:cs="Times New Roman"/>
                <w:sz w:val="16"/>
                <w:szCs w:val="16"/>
              </w:rPr>
              <w:br/>
              <w:t>ktorý neriadi ministerstvo</w:t>
            </w:r>
          </w:p>
        </w:tc>
        <w:tc>
          <w:tcPr>
            <w:tcW w:w="1417" w:type="dxa"/>
            <w:tcBorders>
              <w:top w:val="nil"/>
              <w:left w:val="nil"/>
              <w:bottom w:val="nil"/>
              <w:right w:val="nil"/>
            </w:tcBorders>
            <w:shd w:val="clear" w:color="auto" w:fill="auto"/>
            <w:vAlign w:val="center"/>
            <w:hideMark/>
          </w:tcPr>
          <w:p w14:paraId="249C3A7B"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459</w:t>
            </w:r>
          </w:p>
        </w:tc>
      </w:tr>
      <w:tr w:rsidR="004C3312" w:rsidRPr="006D197B" w14:paraId="6A27A8FD" w14:textId="77777777" w:rsidTr="001D0537">
        <w:trPr>
          <w:trHeight w:val="556"/>
        </w:trPr>
        <w:tc>
          <w:tcPr>
            <w:tcW w:w="1305" w:type="dxa"/>
            <w:vMerge/>
            <w:tcBorders>
              <w:top w:val="nil"/>
              <w:left w:val="nil"/>
              <w:bottom w:val="nil"/>
              <w:right w:val="nil"/>
            </w:tcBorders>
            <w:vAlign w:val="center"/>
            <w:hideMark/>
          </w:tcPr>
          <w:p w14:paraId="70F24EAA"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1AC0D402" w14:textId="77777777" w:rsidR="004C3312" w:rsidRPr="006D197B" w:rsidRDefault="004C3312" w:rsidP="004C3312">
            <w:pPr>
              <w:spacing w:after="0" w:line="240" w:lineRule="auto"/>
              <w:rPr>
                <w:rFonts w:eastAsia="Times New Roman" w:cs="Times New Roman"/>
                <w:sz w:val="16"/>
                <w:szCs w:val="16"/>
                <w:lang w:eastAsia="sk-SK"/>
              </w:rPr>
            </w:pPr>
            <w:r w:rsidRPr="006D197B">
              <w:rPr>
                <w:rFonts w:cs="Times New Roman"/>
                <w:sz w:val="16"/>
                <w:szCs w:val="16"/>
              </w:rPr>
              <w:t xml:space="preserve">Na obligatórne výdavky administratívnych kapacít osobitne sledovaných na obdobie apríl </w:t>
            </w:r>
            <w:r w:rsidRPr="006D197B">
              <w:rPr>
                <w:rFonts w:cs="Times New Roman"/>
                <w:sz w:val="16"/>
                <w:szCs w:val="16"/>
              </w:rPr>
              <w:br/>
              <w:t>až december 2022</w:t>
            </w:r>
          </w:p>
        </w:tc>
        <w:tc>
          <w:tcPr>
            <w:tcW w:w="1417" w:type="dxa"/>
            <w:tcBorders>
              <w:top w:val="nil"/>
              <w:left w:val="nil"/>
              <w:bottom w:val="nil"/>
              <w:right w:val="nil"/>
            </w:tcBorders>
            <w:shd w:val="clear" w:color="auto" w:fill="auto"/>
            <w:vAlign w:val="center"/>
            <w:hideMark/>
          </w:tcPr>
          <w:p w14:paraId="72921B21"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434</w:t>
            </w:r>
          </w:p>
        </w:tc>
      </w:tr>
      <w:tr w:rsidR="004C3312" w:rsidRPr="006D197B" w14:paraId="43340297" w14:textId="77777777" w:rsidTr="001D0537">
        <w:trPr>
          <w:trHeight w:val="265"/>
        </w:trPr>
        <w:tc>
          <w:tcPr>
            <w:tcW w:w="1305" w:type="dxa"/>
            <w:vMerge/>
            <w:tcBorders>
              <w:top w:val="nil"/>
              <w:left w:val="nil"/>
              <w:bottom w:val="nil"/>
              <w:right w:val="nil"/>
            </w:tcBorders>
            <w:vAlign w:val="center"/>
            <w:hideMark/>
          </w:tcPr>
          <w:p w14:paraId="0E8AD040"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7E63CEA9" w14:textId="77777777" w:rsidR="004C3312" w:rsidRPr="006D197B" w:rsidRDefault="004C3312" w:rsidP="004C3312">
            <w:pPr>
              <w:spacing w:after="0" w:line="240" w:lineRule="auto"/>
              <w:rPr>
                <w:rFonts w:eastAsia="Times New Roman" w:cs="Times New Roman"/>
                <w:sz w:val="16"/>
                <w:szCs w:val="16"/>
                <w:lang w:eastAsia="sk-SK"/>
              </w:rPr>
            </w:pPr>
            <w:r w:rsidRPr="006D197B">
              <w:rPr>
                <w:rFonts w:cs="Times New Roman"/>
                <w:sz w:val="16"/>
                <w:szCs w:val="16"/>
              </w:rPr>
              <w:t xml:space="preserve">Na Implementačnú jednotku - vysporiadanie štátnozamestnaneckých miest (10 osôb) </w:t>
            </w:r>
            <w:r w:rsidRPr="006D197B">
              <w:rPr>
                <w:rFonts w:cs="Times New Roman"/>
                <w:sz w:val="16"/>
                <w:szCs w:val="16"/>
              </w:rPr>
              <w:br/>
              <w:t>a ich financovanie v súvislosti s delimitáciou SPO a IJ z MF SR na ÚV SR</w:t>
            </w:r>
          </w:p>
        </w:tc>
        <w:tc>
          <w:tcPr>
            <w:tcW w:w="1417" w:type="dxa"/>
            <w:tcBorders>
              <w:top w:val="nil"/>
              <w:left w:val="nil"/>
              <w:bottom w:val="nil"/>
              <w:right w:val="nil"/>
            </w:tcBorders>
            <w:shd w:val="clear" w:color="auto" w:fill="auto"/>
            <w:vAlign w:val="center"/>
            <w:hideMark/>
          </w:tcPr>
          <w:p w14:paraId="55FC1810"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358</w:t>
            </w:r>
          </w:p>
        </w:tc>
      </w:tr>
      <w:tr w:rsidR="004C3312" w:rsidRPr="006D197B" w14:paraId="1E8082EA" w14:textId="77777777" w:rsidTr="001D0537">
        <w:trPr>
          <w:trHeight w:val="455"/>
        </w:trPr>
        <w:tc>
          <w:tcPr>
            <w:tcW w:w="1305" w:type="dxa"/>
            <w:vMerge/>
            <w:tcBorders>
              <w:top w:val="nil"/>
              <w:left w:val="nil"/>
              <w:bottom w:val="nil"/>
              <w:right w:val="nil"/>
            </w:tcBorders>
            <w:vAlign w:val="center"/>
            <w:hideMark/>
          </w:tcPr>
          <w:p w14:paraId="3D544075"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6439AE08" w14:textId="77777777" w:rsidR="004C3312" w:rsidRPr="006D197B" w:rsidRDefault="004C3312" w:rsidP="004C3312">
            <w:pPr>
              <w:spacing w:after="0" w:line="240" w:lineRule="auto"/>
              <w:rPr>
                <w:rFonts w:eastAsia="Times New Roman" w:cs="Times New Roman"/>
                <w:sz w:val="16"/>
                <w:szCs w:val="16"/>
                <w:lang w:eastAsia="sk-SK"/>
              </w:rPr>
            </w:pPr>
            <w:r w:rsidRPr="006D197B">
              <w:rPr>
                <w:rFonts w:cs="Times New Roman"/>
                <w:sz w:val="16"/>
                <w:szCs w:val="16"/>
              </w:rPr>
              <w:t xml:space="preserve">Pre útvar splnomocnenca vlády SR pre ochranu slobody vierovyznania alebo presvedčenia </w:t>
            </w:r>
            <w:r w:rsidRPr="006D197B">
              <w:rPr>
                <w:rFonts w:cs="Times New Roman"/>
                <w:sz w:val="16"/>
                <w:szCs w:val="16"/>
              </w:rPr>
              <w:br/>
              <w:t>(6 osôb)</w:t>
            </w:r>
          </w:p>
        </w:tc>
        <w:tc>
          <w:tcPr>
            <w:tcW w:w="1417" w:type="dxa"/>
            <w:tcBorders>
              <w:top w:val="nil"/>
              <w:left w:val="nil"/>
              <w:bottom w:val="nil"/>
              <w:right w:val="nil"/>
            </w:tcBorders>
            <w:shd w:val="clear" w:color="auto" w:fill="auto"/>
            <w:vAlign w:val="center"/>
            <w:hideMark/>
          </w:tcPr>
          <w:p w14:paraId="13D64778"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206</w:t>
            </w:r>
          </w:p>
        </w:tc>
      </w:tr>
      <w:tr w:rsidR="004C3312" w:rsidRPr="006D197B" w14:paraId="41B87AEF" w14:textId="77777777" w:rsidTr="001D0537">
        <w:trPr>
          <w:trHeight w:val="450"/>
        </w:trPr>
        <w:tc>
          <w:tcPr>
            <w:tcW w:w="1305" w:type="dxa"/>
            <w:vMerge/>
            <w:tcBorders>
              <w:top w:val="nil"/>
              <w:left w:val="nil"/>
              <w:bottom w:val="nil"/>
              <w:right w:val="nil"/>
            </w:tcBorders>
            <w:vAlign w:val="center"/>
            <w:hideMark/>
          </w:tcPr>
          <w:p w14:paraId="432B06F3"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64B67E1A" w14:textId="77777777" w:rsidR="004C3312" w:rsidRPr="006D197B" w:rsidRDefault="004C3312" w:rsidP="004C3312">
            <w:pPr>
              <w:spacing w:after="0" w:line="240" w:lineRule="auto"/>
              <w:rPr>
                <w:rFonts w:eastAsia="Times New Roman" w:cs="Times New Roman"/>
                <w:sz w:val="16"/>
                <w:szCs w:val="16"/>
                <w:lang w:eastAsia="sk-SK"/>
              </w:rPr>
            </w:pPr>
            <w:r w:rsidRPr="006D197B">
              <w:rPr>
                <w:rFonts w:cs="Times New Roman"/>
                <w:sz w:val="16"/>
                <w:szCs w:val="16"/>
              </w:rPr>
              <w:t xml:space="preserve">Na personálne posilnenie (10 osôb) a osobné výdavky súvisiace s narastajúcou agendou </w:t>
            </w:r>
            <w:r w:rsidRPr="006D197B">
              <w:rPr>
                <w:rFonts w:cs="Times New Roman"/>
                <w:sz w:val="16"/>
                <w:szCs w:val="16"/>
              </w:rPr>
              <w:br/>
              <w:t>a povinnosťami v oblasti legislatívy pre Úrad podpredsedu vlády, ktorý neriadi ministerstvo</w:t>
            </w:r>
          </w:p>
        </w:tc>
        <w:tc>
          <w:tcPr>
            <w:tcW w:w="1417" w:type="dxa"/>
            <w:tcBorders>
              <w:top w:val="nil"/>
              <w:left w:val="nil"/>
              <w:bottom w:val="nil"/>
              <w:right w:val="nil"/>
            </w:tcBorders>
            <w:shd w:val="clear" w:color="auto" w:fill="auto"/>
            <w:vAlign w:val="center"/>
            <w:hideMark/>
          </w:tcPr>
          <w:p w14:paraId="4810A5E1"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175</w:t>
            </w:r>
          </w:p>
        </w:tc>
      </w:tr>
      <w:tr w:rsidR="004C3312" w:rsidRPr="006D197B" w14:paraId="5CEAA5E3" w14:textId="77777777" w:rsidTr="001D0537">
        <w:trPr>
          <w:trHeight w:val="330"/>
        </w:trPr>
        <w:tc>
          <w:tcPr>
            <w:tcW w:w="1305" w:type="dxa"/>
            <w:vMerge/>
            <w:tcBorders>
              <w:top w:val="nil"/>
              <w:left w:val="nil"/>
              <w:bottom w:val="nil"/>
              <w:right w:val="nil"/>
            </w:tcBorders>
            <w:vAlign w:val="center"/>
            <w:hideMark/>
          </w:tcPr>
          <w:p w14:paraId="5D5106A1"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0878263C" w14:textId="77777777" w:rsidR="004C3312" w:rsidRPr="006D197B" w:rsidRDefault="004C3312" w:rsidP="004C3312">
            <w:pPr>
              <w:spacing w:after="0" w:line="240" w:lineRule="auto"/>
              <w:rPr>
                <w:rFonts w:eastAsia="Times New Roman" w:cs="Times New Roman"/>
                <w:sz w:val="16"/>
                <w:szCs w:val="16"/>
                <w:lang w:eastAsia="sk-SK"/>
              </w:rPr>
            </w:pPr>
            <w:r w:rsidRPr="006D197B">
              <w:rPr>
                <w:rFonts w:cs="Times New Roman"/>
                <w:sz w:val="16"/>
                <w:szCs w:val="16"/>
              </w:rPr>
              <w:t>Na zabezpečenie obslužných činností pre nové útvary ÚV SR (5 osôb)</w:t>
            </w:r>
          </w:p>
        </w:tc>
        <w:tc>
          <w:tcPr>
            <w:tcW w:w="1417" w:type="dxa"/>
            <w:tcBorders>
              <w:top w:val="nil"/>
              <w:left w:val="nil"/>
              <w:bottom w:val="nil"/>
              <w:right w:val="nil"/>
            </w:tcBorders>
            <w:shd w:val="clear" w:color="auto" w:fill="auto"/>
            <w:vAlign w:val="center"/>
            <w:hideMark/>
          </w:tcPr>
          <w:p w14:paraId="045F73D0"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146</w:t>
            </w:r>
          </w:p>
        </w:tc>
      </w:tr>
      <w:tr w:rsidR="004C3312" w:rsidRPr="006D197B" w14:paraId="0DB23421" w14:textId="77777777" w:rsidTr="001D0537">
        <w:trPr>
          <w:trHeight w:val="272"/>
        </w:trPr>
        <w:tc>
          <w:tcPr>
            <w:tcW w:w="1305" w:type="dxa"/>
            <w:vMerge/>
            <w:tcBorders>
              <w:top w:val="nil"/>
              <w:left w:val="nil"/>
              <w:bottom w:val="nil"/>
              <w:right w:val="nil"/>
            </w:tcBorders>
            <w:vAlign w:val="center"/>
            <w:hideMark/>
          </w:tcPr>
          <w:p w14:paraId="30EADF91"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3D8F78F2" w14:textId="77777777" w:rsidR="004C3312" w:rsidRPr="006D197B" w:rsidRDefault="004C3312" w:rsidP="004C3312">
            <w:pPr>
              <w:spacing w:after="0" w:line="240" w:lineRule="auto"/>
              <w:rPr>
                <w:rFonts w:eastAsia="Times New Roman" w:cs="Times New Roman"/>
                <w:sz w:val="16"/>
                <w:szCs w:val="16"/>
                <w:lang w:eastAsia="sk-SK"/>
              </w:rPr>
            </w:pPr>
            <w:r w:rsidRPr="006D197B">
              <w:rPr>
                <w:rFonts w:cs="Times New Roman"/>
                <w:sz w:val="16"/>
                <w:szCs w:val="16"/>
              </w:rPr>
              <w:t>Pre útvar splnomocnenca vlády SR pre mládež a šport (1 osoba)</w:t>
            </w:r>
          </w:p>
        </w:tc>
        <w:tc>
          <w:tcPr>
            <w:tcW w:w="1417" w:type="dxa"/>
            <w:tcBorders>
              <w:top w:val="nil"/>
              <w:left w:val="nil"/>
              <w:bottom w:val="nil"/>
              <w:right w:val="nil"/>
            </w:tcBorders>
            <w:shd w:val="clear" w:color="auto" w:fill="auto"/>
            <w:vAlign w:val="center"/>
            <w:hideMark/>
          </w:tcPr>
          <w:p w14:paraId="441FA964"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15</w:t>
            </w:r>
          </w:p>
        </w:tc>
      </w:tr>
      <w:tr w:rsidR="004C3312" w:rsidRPr="006D197B" w14:paraId="1875D51F" w14:textId="77777777" w:rsidTr="001D0537">
        <w:trPr>
          <w:trHeight w:val="429"/>
        </w:trPr>
        <w:tc>
          <w:tcPr>
            <w:tcW w:w="1305" w:type="dxa"/>
            <w:vMerge/>
            <w:tcBorders>
              <w:top w:val="nil"/>
              <w:left w:val="nil"/>
              <w:bottom w:val="nil"/>
              <w:right w:val="nil"/>
            </w:tcBorders>
            <w:vAlign w:val="center"/>
            <w:hideMark/>
          </w:tcPr>
          <w:p w14:paraId="08867E74"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2AADDEEA" w14:textId="77777777" w:rsidR="004C3312" w:rsidRPr="006D197B" w:rsidRDefault="004C3312" w:rsidP="004C3312">
            <w:pPr>
              <w:spacing w:after="0" w:line="240" w:lineRule="auto"/>
              <w:rPr>
                <w:rFonts w:eastAsia="Times New Roman" w:cs="Times New Roman"/>
                <w:sz w:val="16"/>
                <w:szCs w:val="16"/>
                <w:lang w:eastAsia="sk-SK"/>
              </w:rPr>
            </w:pPr>
            <w:r w:rsidRPr="006D197B">
              <w:rPr>
                <w:rFonts w:cs="Times New Roman"/>
                <w:sz w:val="16"/>
                <w:szCs w:val="16"/>
              </w:rPr>
              <w:t>Na personálne posilnenie (1 osoba) a osobné výdavky pre Úrad splnomocnenca vlády pre rómske komunity</w:t>
            </w:r>
          </w:p>
        </w:tc>
        <w:tc>
          <w:tcPr>
            <w:tcW w:w="1417" w:type="dxa"/>
            <w:tcBorders>
              <w:top w:val="nil"/>
              <w:left w:val="nil"/>
              <w:bottom w:val="nil"/>
              <w:right w:val="nil"/>
            </w:tcBorders>
            <w:shd w:val="clear" w:color="auto" w:fill="auto"/>
            <w:vAlign w:val="center"/>
            <w:hideMark/>
          </w:tcPr>
          <w:p w14:paraId="6B4D8861"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4</w:t>
            </w:r>
          </w:p>
        </w:tc>
      </w:tr>
      <w:tr w:rsidR="004C3312" w:rsidRPr="006D197B" w14:paraId="50D6380D"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7B7DBEAE"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220910C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2 288</w:t>
            </w:r>
          </w:p>
        </w:tc>
      </w:tr>
      <w:tr w:rsidR="004C3312" w:rsidRPr="006D197B" w14:paraId="388E45E6" w14:textId="77777777" w:rsidTr="001D0537">
        <w:trPr>
          <w:trHeight w:val="317"/>
        </w:trPr>
        <w:tc>
          <w:tcPr>
            <w:tcW w:w="1305" w:type="dxa"/>
            <w:tcBorders>
              <w:top w:val="nil"/>
              <w:left w:val="nil"/>
              <w:bottom w:val="nil"/>
              <w:right w:val="nil"/>
            </w:tcBorders>
            <w:shd w:val="clear" w:color="auto" w:fill="auto"/>
            <w:vAlign w:val="center"/>
            <w:hideMark/>
          </w:tcPr>
          <w:p w14:paraId="453131AD"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Slovenská akadémia vied</w:t>
            </w:r>
          </w:p>
        </w:tc>
        <w:tc>
          <w:tcPr>
            <w:tcW w:w="6353" w:type="dxa"/>
            <w:tcBorders>
              <w:top w:val="nil"/>
              <w:left w:val="nil"/>
              <w:bottom w:val="nil"/>
              <w:right w:val="nil"/>
            </w:tcBorders>
            <w:shd w:val="clear" w:color="auto" w:fill="auto"/>
            <w:vAlign w:val="bottom"/>
            <w:hideMark/>
          </w:tcPr>
          <w:p w14:paraId="0B4B835B"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6AFAF4CD"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2 059</w:t>
            </w:r>
          </w:p>
        </w:tc>
      </w:tr>
      <w:tr w:rsidR="004C3312" w:rsidRPr="006D197B" w14:paraId="2B9A5F3B"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451C51E9"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6A7F2AD0"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2 059</w:t>
            </w:r>
          </w:p>
        </w:tc>
      </w:tr>
      <w:tr w:rsidR="004C3312" w:rsidRPr="006D197B" w14:paraId="502E9221" w14:textId="77777777" w:rsidTr="001D0537">
        <w:trPr>
          <w:trHeight w:val="330"/>
        </w:trPr>
        <w:tc>
          <w:tcPr>
            <w:tcW w:w="1305" w:type="dxa"/>
            <w:vMerge w:val="restart"/>
            <w:tcBorders>
              <w:top w:val="nil"/>
              <w:left w:val="nil"/>
              <w:bottom w:val="nil"/>
              <w:right w:val="nil"/>
            </w:tcBorders>
            <w:shd w:val="clear" w:color="auto" w:fill="auto"/>
            <w:vAlign w:val="center"/>
            <w:hideMark/>
          </w:tcPr>
          <w:p w14:paraId="5C4422F6"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Najvyššieho súdu</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3CFE30FA"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zriadenie zjednocovacích senátov (18 osôb)</w:t>
            </w:r>
          </w:p>
        </w:tc>
        <w:tc>
          <w:tcPr>
            <w:tcW w:w="1417" w:type="dxa"/>
            <w:tcBorders>
              <w:top w:val="nil"/>
              <w:left w:val="nil"/>
              <w:bottom w:val="nil"/>
              <w:right w:val="nil"/>
            </w:tcBorders>
            <w:shd w:val="clear" w:color="auto" w:fill="auto"/>
            <w:vAlign w:val="center"/>
            <w:hideMark/>
          </w:tcPr>
          <w:p w14:paraId="7EA9B917"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732</w:t>
            </w:r>
          </w:p>
        </w:tc>
      </w:tr>
      <w:tr w:rsidR="004C3312" w:rsidRPr="006D197B" w14:paraId="18D1581E" w14:textId="77777777" w:rsidTr="001D0537">
        <w:trPr>
          <w:trHeight w:val="651"/>
        </w:trPr>
        <w:tc>
          <w:tcPr>
            <w:tcW w:w="1305" w:type="dxa"/>
            <w:vMerge/>
            <w:tcBorders>
              <w:top w:val="nil"/>
              <w:left w:val="nil"/>
              <w:bottom w:val="nil"/>
              <w:right w:val="nil"/>
            </w:tcBorders>
            <w:shd w:val="clear" w:color="auto" w:fill="auto"/>
            <w:vAlign w:val="center"/>
            <w:hideMark/>
          </w:tcPr>
          <w:p w14:paraId="25A8CFAF"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5834424B"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zvýšenie platových náležitostí sudcov v súlade so zákonmi č. 120/1993 Z. z. o platových pomeroch niektorých ústavných činiteľov Slovenskej republiky a č. 385/2000 Z. z. o sudcoch          a prísediacich a o zmene a doplnení niektorých zákonov</w:t>
            </w:r>
          </w:p>
        </w:tc>
        <w:tc>
          <w:tcPr>
            <w:tcW w:w="1417" w:type="dxa"/>
            <w:tcBorders>
              <w:top w:val="nil"/>
              <w:left w:val="nil"/>
              <w:bottom w:val="nil"/>
              <w:right w:val="nil"/>
            </w:tcBorders>
            <w:shd w:val="clear" w:color="auto" w:fill="auto"/>
            <w:vAlign w:val="center"/>
            <w:hideMark/>
          </w:tcPr>
          <w:p w14:paraId="67E0094A"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354</w:t>
            </w:r>
          </w:p>
        </w:tc>
      </w:tr>
      <w:tr w:rsidR="004C3312" w:rsidRPr="006D197B" w14:paraId="5DC0C01A" w14:textId="77777777" w:rsidTr="001D0537">
        <w:trPr>
          <w:trHeight w:val="270"/>
        </w:trPr>
        <w:tc>
          <w:tcPr>
            <w:tcW w:w="1305" w:type="dxa"/>
            <w:vMerge/>
            <w:tcBorders>
              <w:top w:val="nil"/>
              <w:left w:val="nil"/>
              <w:bottom w:val="nil"/>
              <w:right w:val="nil"/>
            </w:tcBorders>
            <w:shd w:val="clear" w:color="auto" w:fill="auto"/>
            <w:vAlign w:val="center"/>
            <w:hideMark/>
          </w:tcPr>
          <w:p w14:paraId="322E3085"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31082BF1"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18A9D49"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cs="Times New Roman"/>
                <w:sz w:val="16"/>
                <w:szCs w:val="16"/>
              </w:rPr>
              <w:t>102</w:t>
            </w:r>
          </w:p>
        </w:tc>
      </w:tr>
      <w:tr w:rsidR="004C3312" w:rsidRPr="006D197B" w14:paraId="0548B84A"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46968355"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 xml:space="preserve">Spolu </w:t>
            </w:r>
          </w:p>
        </w:tc>
        <w:tc>
          <w:tcPr>
            <w:tcW w:w="1417" w:type="dxa"/>
            <w:tcBorders>
              <w:top w:val="nil"/>
              <w:left w:val="nil"/>
              <w:bottom w:val="single" w:sz="4" w:space="0" w:color="auto"/>
              <w:right w:val="nil"/>
            </w:tcBorders>
            <w:shd w:val="clear" w:color="auto" w:fill="auto"/>
            <w:vAlign w:val="center"/>
            <w:hideMark/>
          </w:tcPr>
          <w:p w14:paraId="17391E36"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1 189</w:t>
            </w:r>
          </w:p>
        </w:tc>
      </w:tr>
      <w:tr w:rsidR="004C3312" w:rsidRPr="006D197B" w14:paraId="1B3E4EB8" w14:textId="77777777" w:rsidTr="001D0537">
        <w:trPr>
          <w:trHeight w:val="250"/>
        </w:trPr>
        <w:tc>
          <w:tcPr>
            <w:tcW w:w="1305" w:type="dxa"/>
            <w:tcBorders>
              <w:top w:val="nil"/>
              <w:left w:val="nil"/>
              <w:bottom w:val="nil"/>
              <w:right w:val="nil"/>
            </w:tcBorders>
            <w:shd w:val="clear" w:color="auto" w:fill="auto"/>
            <w:vAlign w:val="center"/>
            <w:hideMark/>
          </w:tcPr>
          <w:p w14:paraId="51D2AAF9"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dopravy a výstavby</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19F60639"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0E59848A"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924</w:t>
            </w:r>
          </w:p>
        </w:tc>
      </w:tr>
      <w:tr w:rsidR="004C3312" w:rsidRPr="006D197B" w14:paraId="416DF4FE"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405E9F3E"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090FE26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924</w:t>
            </w:r>
          </w:p>
        </w:tc>
      </w:tr>
      <w:tr w:rsidR="004C3312" w:rsidRPr="006D197B" w14:paraId="22D63248" w14:textId="77777777" w:rsidTr="001D0537">
        <w:trPr>
          <w:trHeight w:val="330"/>
        </w:trPr>
        <w:tc>
          <w:tcPr>
            <w:tcW w:w="1305" w:type="dxa"/>
            <w:tcBorders>
              <w:top w:val="nil"/>
              <w:left w:val="nil"/>
              <w:bottom w:val="nil"/>
              <w:right w:val="nil"/>
            </w:tcBorders>
            <w:shd w:val="clear" w:color="auto" w:fill="auto"/>
            <w:vAlign w:val="center"/>
            <w:hideMark/>
          </w:tcPr>
          <w:p w14:paraId="325C911C"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 xml:space="preserve">Ministerstvo zahraničných vecí a európskych záležitostí </w:t>
            </w:r>
            <w:r w:rsidRPr="006D197B">
              <w:rPr>
                <w:rFonts w:eastAsia="Times New Roman" w:cs="Times New Roman"/>
                <w:sz w:val="16"/>
                <w:szCs w:val="16"/>
                <w:lang w:eastAsia="sk-SK"/>
              </w:rPr>
              <w:t>SR</w:t>
            </w:r>
          </w:p>
        </w:tc>
        <w:tc>
          <w:tcPr>
            <w:tcW w:w="6353" w:type="dxa"/>
            <w:tcBorders>
              <w:top w:val="nil"/>
              <w:left w:val="nil"/>
              <w:bottom w:val="nil"/>
              <w:right w:val="nil"/>
            </w:tcBorders>
            <w:shd w:val="clear" w:color="auto" w:fill="auto"/>
            <w:vAlign w:val="bottom"/>
            <w:hideMark/>
          </w:tcPr>
          <w:p w14:paraId="2437BB09"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090F1646"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867</w:t>
            </w:r>
          </w:p>
        </w:tc>
      </w:tr>
      <w:tr w:rsidR="004C3312" w:rsidRPr="006D197B" w14:paraId="76A37F41"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0E53A623"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3A19461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867</w:t>
            </w:r>
          </w:p>
        </w:tc>
      </w:tr>
      <w:tr w:rsidR="004C3312" w:rsidRPr="006D197B" w14:paraId="1BBFE3ED" w14:textId="77777777" w:rsidTr="001D0537">
        <w:trPr>
          <w:trHeight w:val="312"/>
        </w:trPr>
        <w:tc>
          <w:tcPr>
            <w:tcW w:w="1305" w:type="dxa"/>
            <w:tcBorders>
              <w:top w:val="nil"/>
              <w:left w:val="nil"/>
              <w:bottom w:val="nil"/>
              <w:right w:val="nil"/>
            </w:tcBorders>
            <w:shd w:val="clear" w:color="auto" w:fill="auto"/>
            <w:vAlign w:val="center"/>
            <w:hideMark/>
          </w:tcPr>
          <w:p w14:paraId="7955CDB5"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Štatistický úrad</w:t>
            </w:r>
            <w:r w:rsidRPr="006D197B">
              <w:rPr>
                <w:rFonts w:eastAsia="Times New Roman" w:cs="Times New Roman"/>
                <w:sz w:val="16"/>
                <w:szCs w:val="16"/>
                <w:lang w:eastAsia="sk-SK"/>
              </w:rPr>
              <w:t xml:space="preserve"> SR </w:t>
            </w:r>
          </w:p>
        </w:tc>
        <w:tc>
          <w:tcPr>
            <w:tcW w:w="6353" w:type="dxa"/>
            <w:tcBorders>
              <w:top w:val="nil"/>
              <w:left w:val="nil"/>
              <w:bottom w:val="nil"/>
              <w:right w:val="nil"/>
            </w:tcBorders>
            <w:shd w:val="clear" w:color="auto" w:fill="auto"/>
            <w:vAlign w:val="bottom"/>
            <w:hideMark/>
          </w:tcPr>
          <w:p w14:paraId="6BC18493"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7A07E3ED"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519</w:t>
            </w:r>
          </w:p>
        </w:tc>
      </w:tr>
      <w:tr w:rsidR="004C3312" w:rsidRPr="006D197B" w14:paraId="02FCF6BC"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2B97B312"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75BD8750"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519</w:t>
            </w:r>
          </w:p>
        </w:tc>
      </w:tr>
      <w:tr w:rsidR="004C3312" w:rsidRPr="006D197B" w14:paraId="6175565E" w14:textId="77777777" w:rsidTr="001D0537">
        <w:trPr>
          <w:trHeight w:val="412"/>
        </w:trPr>
        <w:tc>
          <w:tcPr>
            <w:tcW w:w="1305" w:type="dxa"/>
            <w:vMerge w:val="restart"/>
            <w:tcBorders>
              <w:top w:val="nil"/>
              <w:left w:val="nil"/>
              <w:bottom w:val="nil"/>
              <w:right w:val="nil"/>
            </w:tcBorders>
            <w:shd w:val="clear" w:color="auto" w:fill="auto"/>
            <w:vAlign w:val="center"/>
            <w:hideMark/>
          </w:tcPr>
          <w:p w14:paraId="3D9248B6" w14:textId="77777777"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t>Ú</w:t>
            </w:r>
            <w:r>
              <w:rPr>
                <w:rFonts w:eastAsia="Times New Roman" w:cs="Times New Roman"/>
                <w:sz w:val="16"/>
                <w:szCs w:val="16"/>
                <w:lang w:eastAsia="sk-SK"/>
              </w:rPr>
              <w:t>rad na ochranu oznamovateľov protispoločenskej činnosti</w:t>
            </w:r>
          </w:p>
        </w:tc>
        <w:tc>
          <w:tcPr>
            <w:tcW w:w="6353" w:type="dxa"/>
            <w:tcBorders>
              <w:top w:val="nil"/>
              <w:left w:val="nil"/>
              <w:bottom w:val="nil"/>
              <w:right w:val="nil"/>
            </w:tcBorders>
            <w:shd w:val="clear" w:color="auto" w:fill="auto"/>
            <w:vAlign w:val="bottom"/>
            <w:hideMark/>
          </w:tcPr>
          <w:p w14:paraId="2FFC53B9" w14:textId="26F90EDB" w:rsidR="004C3312" w:rsidRPr="006D197B" w:rsidRDefault="004C3312" w:rsidP="004820B5">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 xml:space="preserve">Na personálne posilnenie (2 osoby) a dofinancovanie osobných výdavkov zamestnancov organizácie </w:t>
            </w:r>
            <w:r w:rsidRPr="006D197B">
              <w:rPr>
                <w:rFonts w:eastAsia="Times New Roman" w:cs="Times New Roman"/>
                <w:sz w:val="16"/>
                <w:szCs w:val="16"/>
                <w:lang w:eastAsia="sk-SK"/>
              </w:rPr>
              <w:br/>
            </w:r>
          </w:p>
        </w:tc>
        <w:tc>
          <w:tcPr>
            <w:tcW w:w="1417" w:type="dxa"/>
            <w:tcBorders>
              <w:top w:val="nil"/>
              <w:left w:val="nil"/>
              <w:bottom w:val="nil"/>
              <w:right w:val="nil"/>
            </w:tcBorders>
            <w:shd w:val="clear" w:color="auto" w:fill="auto"/>
            <w:vAlign w:val="center"/>
            <w:hideMark/>
          </w:tcPr>
          <w:p w14:paraId="7E24B65F"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329</w:t>
            </w:r>
          </w:p>
        </w:tc>
      </w:tr>
      <w:tr w:rsidR="004C3312" w:rsidRPr="006D197B" w14:paraId="45DE83E7" w14:textId="77777777" w:rsidTr="001D0537">
        <w:trPr>
          <w:trHeight w:val="280"/>
        </w:trPr>
        <w:tc>
          <w:tcPr>
            <w:tcW w:w="1305" w:type="dxa"/>
            <w:vMerge/>
            <w:tcBorders>
              <w:top w:val="nil"/>
              <w:left w:val="nil"/>
              <w:bottom w:val="nil"/>
              <w:right w:val="nil"/>
            </w:tcBorders>
            <w:shd w:val="clear" w:color="auto" w:fill="auto"/>
            <w:vAlign w:val="center"/>
            <w:hideMark/>
          </w:tcPr>
          <w:p w14:paraId="6D7F37BA"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4489C3C5"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7428374D"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13</w:t>
            </w:r>
          </w:p>
        </w:tc>
      </w:tr>
      <w:tr w:rsidR="004C3312" w:rsidRPr="006D197B" w14:paraId="10237DD1"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0477035F"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64C90DCE"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342</w:t>
            </w:r>
          </w:p>
        </w:tc>
      </w:tr>
      <w:tr w:rsidR="004C3312" w:rsidRPr="006D197B" w14:paraId="05E901B8" w14:textId="77777777" w:rsidTr="001D0537">
        <w:trPr>
          <w:trHeight w:val="255"/>
        </w:trPr>
        <w:tc>
          <w:tcPr>
            <w:tcW w:w="1305" w:type="dxa"/>
            <w:vMerge w:val="restart"/>
            <w:tcBorders>
              <w:top w:val="nil"/>
              <w:left w:val="nil"/>
              <w:bottom w:val="nil"/>
              <w:right w:val="nil"/>
            </w:tcBorders>
            <w:shd w:val="clear" w:color="auto" w:fill="auto"/>
            <w:vAlign w:val="center"/>
            <w:hideMark/>
          </w:tcPr>
          <w:p w14:paraId="3C9E7692"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Národný bezpečnostný úrad</w:t>
            </w:r>
          </w:p>
        </w:tc>
        <w:tc>
          <w:tcPr>
            <w:tcW w:w="6353" w:type="dxa"/>
            <w:tcBorders>
              <w:top w:val="nil"/>
              <w:left w:val="nil"/>
              <w:bottom w:val="nil"/>
              <w:right w:val="nil"/>
            </w:tcBorders>
            <w:shd w:val="clear" w:color="auto" w:fill="auto"/>
            <w:vAlign w:val="bottom"/>
            <w:hideMark/>
          </w:tcPr>
          <w:p w14:paraId="263788FF"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odchodné príslušníkov úradu</w:t>
            </w:r>
          </w:p>
        </w:tc>
        <w:tc>
          <w:tcPr>
            <w:tcW w:w="1417" w:type="dxa"/>
            <w:tcBorders>
              <w:top w:val="nil"/>
              <w:left w:val="nil"/>
              <w:bottom w:val="nil"/>
              <w:right w:val="nil"/>
            </w:tcBorders>
            <w:shd w:val="clear" w:color="auto" w:fill="auto"/>
            <w:vAlign w:val="center"/>
            <w:hideMark/>
          </w:tcPr>
          <w:p w14:paraId="3B8F5CD4"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193</w:t>
            </w:r>
          </w:p>
        </w:tc>
      </w:tr>
      <w:tr w:rsidR="004C3312" w:rsidRPr="006D197B" w14:paraId="5F2DA579" w14:textId="77777777" w:rsidTr="001D0537">
        <w:trPr>
          <w:trHeight w:val="375"/>
        </w:trPr>
        <w:tc>
          <w:tcPr>
            <w:tcW w:w="1305" w:type="dxa"/>
            <w:vMerge/>
            <w:tcBorders>
              <w:top w:val="nil"/>
              <w:left w:val="nil"/>
              <w:bottom w:val="nil"/>
              <w:right w:val="nil"/>
            </w:tcBorders>
            <w:shd w:val="clear" w:color="auto" w:fill="auto"/>
            <w:vAlign w:val="center"/>
            <w:hideMark/>
          </w:tcPr>
          <w:p w14:paraId="56F39502"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59A84B29"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8585124"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138</w:t>
            </w:r>
          </w:p>
        </w:tc>
      </w:tr>
      <w:tr w:rsidR="004C3312" w:rsidRPr="006D197B" w14:paraId="7B6F3DD3"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7531F329"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184A74CB"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332</w:t>
            </w:r>
          </w:p>
        </w:tc>
      </w:tr>
      <w:tr w:rsidR="004C3312" w:rsidRPr="006D197B" w14:paraId="05294052" w14:textId="77777777" w:rsidTr="001D0537">
        <w:trPr>
          <w:trHeight w:val="294"/>
        </w:trPr>
        <w:tc>
          <w:tcPr>
            <w:tcW w:w="1305" w:type="dxa"/>
            <w:tcBorders>
              <w:top w:val="nil"/>
              <w:left w:val="nil"/>
              <w:bottom w:val="nil"/>
              <w:right w:val="nil"/>
            </w:tcBorders>
            <w:shd w:val="clear" w:color="auto" w:fill="auto"/>
            <w:vAlign w:val="center"/>
            <w:hideMark/>
          </w:tcPr>
          <w:p w14:paraId="75A3BCB0"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národnej rady</w:t>
            </w:r>
            <w:r w:rsidRPr="006D197B">
              <w:rPr>
                <w:rFonts w:eastAsia="Times New Roman" w:cs="Times New Roman"/>
                <w:sz w:val="16"/>
                <w:szCs w:val="16"/>
                <w:lang w:eastAsia="sk-SK"/>
              </w:rPr>
              <w:t xml:space="preserve"> SR </w:t>
            </w:r>
          </w:p>
        </w:tc>
        <w:tc>
          <w:tcPr>
            <w:tcW w:w="6353" w:type="dxa"/>
            <w:tcBorders>
              <w:top w:val="nil"/>
              <w:left w:val="nil"/>
              <w:bottom w:val="nil"/>
              <w:right w:val="nil"/>
            </w:tcBorders>
            <w:shd w:val="clear" w:color="auto" w:fill="auto"/>
            <w:vAlign w:val="bottom"/>
            <w:hideMark/>
          </w:tcPr>
          <w:p w14:paraId="258AA1A7"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526844EE"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247</w:t>
            </w:r>
          </w:p>
        </w:tc>
      </w:tr>
      <w:tr w:rsidR="004C3312" w:rsidRPr="006D197B" w14:paraId="085402CE"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1A9545CF"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6BA3DCA1"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247</w:t>
            </w:r>
          </w:p>
        </w:tc>
      </w:tr>
      <w:tr w:rsidR="004C3312" w:rsidRPr="006D197B" w14:paraId="5D0B25C5" w14:textId="77777777" w:rsidTr="001D0537">
        <w:trPr>
          <w:trHeight w:val="474"/>
        </w:trPr>
        <w:tc>
          <w:tcPr>
            <w:tcW w:w="1305" w:type="dxa"/>
            <w:vMerge w:val="restart"/>
            <w:tcBorders>
              <w:top w:val="nil"/>
              <w:left w:val="nil"/>
              <w:bottom w:val="nil"/>
              <w:right w:val="nil"/>
            </w:tcBorders>
            <w:shd w:val="clear" w:color="auto" w:fill="auto"/>
            <w:vAlign w:val="center"/>
            <w:hideMark/>
          </w:tcPr>
          <w:p w14:paraId="19FC451F"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ústavného súdu</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7DF47725"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 xml:space="preserve">Na zvýšenie platov a paušálnych náhrad sudcov Ústavného súdu v súlade so zákonom </w:t>
            </w:r>
            <w:r w:rsidRPr="006D197B">
              <w:rPr>
                <w:rFonts w:eastAsia="Times New Roman" w:cs="Times New Roman"/>
                <w:sz w:val="16"/>
                <w:szCs w:val="16"/>
                <w:lang w:eastAsia="sk-SK"/>
              </w:rPr>
              <w:br/>
              <w:t>č. 120/1993 Z. z. o platových pomeroch niektorých ústavných činiteľov Slovenskej republiky</w:t>
            </w:r>
          </w:p>
        </w:tc>
        <w:tc>
          <w:tcPr>
            <w:tcW w:w="1417" w:type="dxa"/>
            <w:tcBorders>
              <w:top w:val="nil"/>
              <w:left w:val="nil"/>
              <w:bottom w:val="nil"/>
              <w:right w:val="nil"/>
            </w:tcBorders>
            <w:shd w:val="clear" w:color="auto" w:fill="auto"/>
            <w:vAlign w:val="center"/>
            <w:hideMark/>
          </w:tcPr>
          <w:p w14:paraId="268BD22F"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117</w:t>
            </w:r>
          </w:p>
        </w:tc>
      </w:tr>
      <w:tr w:rsidR="004C3312" w:rsidRPr="006D197B" w14:paraId="2FEF1EB9" w14:textId="77777777" w:rsidTr="001D0537">
        <w:trPr>
          <w:trHeight w:val="300"/>
        </w:trPr>
        <w:tc>
          <w:tcPr>
            <w:tcW w:w="1305" w:type="dxa"/>
            <w:vMerge/>
            <w:tcBorders>
              <w:top w:val="nil"/>
              <w:left w:val="nil"/>
              <w:bottom w:val="nil"/>
              <w:right w:val="nil"/>
            </w:tcBorders>
            <w:shd w:val="clear" w:color="auto" w:fill="auto"/>
            <w:vAlign w:val="center"/>
            <w:hideMark/>
          </w:tcPr>
          <w:p w14:paraId="0FB4E876"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2A46ADF1"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748BBD6E"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75</w:t>
            </w:r>
          </w:p>
        </w:tc>
      </w:tr>
      <w:tr w:rsidR="004C3312" w:rsidRPr="006D197B" w14:paraId="6E098274" w14:textId="77777777" w:rsidTr="001D0537">
        <w:trPr>
          <w:trHeight w:val="642"/>
        </w:trPr>
        <w:tc>
          <w:tcPr>
            <w:tcW w:w="1305" w:type="dxa"/>
            <w:vMerge/>
            <w:tcBorders>
              <w:top w:val="nil"/>
              <w:left w:val="nil"/>
              <w:bottom w:val="nil"/>
              <w:right w:val="nil"/>
            </w:tcBorders>
            <w:shd w:val="clear" w:color="auto" w:fill="auto"/>
            <w:vAlign w:val="center"/>
            <w:hideMark/>
          </w:tcPr>
          <w:p w14:paraId="037A5921"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07BA0A21"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zabezpečenie plnenia úloh vyplývajúcich zo zákona č. 69/2018 Z. z. o kybernetickej bezpečnosti a o zmene a doplnení niektorých zákonov - osobné výdavky a personálne posilnenie (2 osoby)</w:t>
            </w:r>
          </w:p>
        </w:tc>
        <w:tc>
          <w:tcPr>
            <w:tcW w:w="1417" w:type="dxa"/>
            <w:tcBorders>
              <w:top w:val="nil"/>
              <w:left w:val="nil"/>
              <w:bottom w:val="nil"/>
              <w:right w:val="nil"/>
            </w:tcBorders>
            <w:shd w:val="clear" w:color="auto" w:fill="auto"/>
            <w:vAlign w:val="center"/>
            <w:hideMark/>
          </w:tcPr>
          <w:p w14:paraId="07233DE1"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16</w:t>
            </w:r>
          </w:p>
        </w:tc>
      </w:tr>
      <w:tr w:rsidR="004C3312" w:rsidRPr="006D197B" w14:paraId="27D9B891"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7DDE924D"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5E9F7F0B"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208</w:t>
            </w:r>
          </w:p>
        </w:tc>
      </w:tr>
      <w:tr w:rsidR="004C3312" w:rsidRPr="006D197B" w14:paraId="117A526C" w14:textId="77777777" w:rsidTr="001D0537">
        <w:trPr>
          <w:trHeight w:val="184"/>
        </w:trPr>
        <w:tc>
          <w:tcPr>
            <w:tcW w:w="1305" w:type="dxa"/>
            <w:tcBorders>
              <w:top w:val="nil"/>
              <w:left w:val="nil"/>
              <w:bottom w:val="nil"/>
              <w:right w:val="nil"/>
            </w:tcBorders>
            <w:shd w:val="clear" w:color="auto" w:fill="auto"/>
            <w:vAlign w:val="center"/>
            <w:hideMark/>
          </w:tcPr>
          <w:p w14:paraId="668A57E8" w14:textId="77777777"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t>N</w:t>
            </w:r>
            <w:r>
              <w:rPr>
                <w:rFonts w:eastAsia="Times New Roman" w:cs="Times New Roman"/>
                <w:sz w:val="16"/>
                <w:szCs w:val="16"/>
                <w:lang w:eastAsia="sk-SK"/>
              </w:rPr>
              <w:t>árodný kontrolný úrad</w:t>
            </w:r>
            <w:r w:rsidRPr="006D197B">
              <w:rPr>
                <w:rFonts w:eastAsia="Times New Roman" w:cs="Times New Roman"/>
                <w:sz w:val="16"/>
                <w:szCs w:val="16"/>
                <w:lang w:eastAsia="sk-SK"/>
              </w:rPr>
              <w:t xml:space="preserve"> SR </w:t>
            </w:r>
          </w:p>
        </w:tc>
        <w:tc>
          <w:tcPr>
            <w:tcW w:w="6353" w:type="dxa"/>
            <w:tcBorders>
              <w:top w:val="nil"/>
              <w:left w:val="nil"/>
              <w:bottom w:val="nil"/>
              <w:right w:val="nil"/>
            </w:tcBorders>
            <w:shd w:val="clear" w:color="auto" w:fill="auto"/>
            <w:vAlign w:val="bottom"/>
            <w:hideMark/>
          </w:tcPr>
          <w:p w14:paraId="645B5930"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1F797496"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191</w:t>
            </w:r>
          </w:p>
        </w:tc>
      </w:tr>
      <w:tr w:rsidR="004C3312" w:rsidRPr="006D197B" w14:paraId="00CC76AA"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1CB8A7FE"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73117BEF"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191</w:t>
            </w:r>
          </w:p>
        </w:tc>
      </w:tr>
      <w:tr w:rsidR="004C3312" w:rsidRPr="006D197B" w14:paraId="06F2E8E9" w14:textId="77777777" w:rsidTr="001D0537">
        <w:trPr>
          <w:trHeight w:val="178"/>
        </w:trPr>
        <w:tc>
          <w:tcPr>
            <w:tcW w:w="1305" w:type="dxa"/>
            <w:tcBorders>
              <w:top w:val="nil"/>
              <w:left w:val="nil"/>
              <w:bottom w:val="nil"/>
              <w:right w:val="nil"/>
            </w:tcBorders>
            <w:shd w:val="clear" w:color="auto" w:fill="auto"/>
            <w:vAlign w:val="center"/>
            <w:hideMark/>
          </w:tcPr>
          <w:p w14:paraId="3EF10E88"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geodézie, kartografie a katastra</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40C748C8"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383FE9A3"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162</w:t>
            </w:r>
          </w:p>
        </w:tc>
      </w:tr>
      <w:tr w:rsidR="004C3312" w:rsidRPr="006D197B" w14:paraId="6E5B9F5B"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2FDDEC31"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lastRenderedPageBreak/>
              <w:t>Spolu</w:t>
            </w:r>
          </w:p>
        </w:tc>
        <w:tc>
          <w:tcPr>
            <w:tcW w:w="1417" w:type="dxa"/>
            <w:tcBorders>
              <w:top w:val="nil"/>
              <w:left w:val="nil"/>
              <w:bottom w:val="single" w:sz="4" w:space="0" w:color="auto"/>
              <w:right w:val="nil"/>
            </w:tcBorders>
            <w:shd w:val="clear" w:color="auto" w:fill="auto"/>
            <w:vAlign w:val="center"/>
            <w:hideMark/>
          </w:tcPr>
          <w:p w14:paraId="6FBADA75"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162</w:t>
            </w:r>
          </w:p>
        </w:tc>
      </w:tr>
      <w:tr w:rsidR="004C3312" w:rsidRPr="006D197B" w14:paraId="4C028814" w14:textId="77777777" w:rsidTr="001D0537">
        <w:trPr>
          <w:trHeight w:val="172"/>
        </w:trPr>
        <w:tc>
          <w:tcPr>
            <w:tcW w:w="1305" w:type="dxa"/>
            <w:tcBorders>
              <w:top w:val="nil"/>
              <w:left w:val="nil"/>
              <w:bottom w:val="nil"/>
              <w:right w:val="nil"/>
            </w:tcBorders>
            <w:shd w:val="clear" w:color="auto" w:fill="auto"/>
            <w:vAlign w:val="center"/>
            <w:hideMark/>
          </w:tcPr>
          <w:p w14:paraId="4BFD52C7"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pre verejné obstarávanie</w:t>
            </w:r>
          </w:p>
        </w:tc>
        <w:tc>
          <w:tcPr>
            <w:tcW w:w="6353" w:type="dxa"/>
            <w:tcBorders>
              <w:top w:val="nil"/>
              <w:left w:val="nil"/>
              <w:bottom w:val="nil"/>
              <w:right w:val="nil"/>
            </w:tcBorders>
            <w:shd w:val="clear" w:color="auto" w:fill="auto"/>
            <w:vAlign w:val="bottom"/>
            <w:hideMark/>
          </w:tcPr>
          <w:p w14:paraId="505D8BB6"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FC5A2C7"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144</w:t>
            </w:r>
          </w:p>
        </w:tc>
      </w:tr>
      <w:tr w:rsidR="004C3312" w:rsidRPr="006D197B" w14:paraId="46CA8F89"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182B54AA"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515BB8BA"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144</w:t>
            </w:r>
          </w:p>
        </w:tc>
      </w:tr>
      <w:tr w:rsidR="004C3312" w:rsidRPr="006D197B" w14:paraId="00213C33" w14:textId="77777777" w:rsidTr="001D0537">
        <w:trPr>
          <w:trHeight w:val="181"/>
        </w:trPr>
        <w:tc>
          <w:tcPr>
            <w:tcW w:w="1305" w:type="dxa"/>
            <w:tcBorders>
              <w:top w:val="nil"/>
              <w:left w:val="nil"/>
              <w:bottom w:val="nil"/>
              <w:right w:val="nil"/>
            </w:tcBorders>
            <w:shd w:val="clear" w:color="auto" w:fill="auto"/>
            <w:vAlign w:val="center"/>
            <w:hideMark/>
          </w:tcPr>
          <w:p w14:paraId="63F15E0C" w14:textId="34977B45"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t>Ú</w:t>
            </w:r>
            <w:r>
              <w:rPr>
                <w:rFonts w:eastAsia="Times New Roman" w:cs="Times New Roman"/>
                <w:sz w:val="16"/>
                <w:szCs w:val="16"/>
                <w:lang w:eastAsia="sk-SK"/>
              </w:rPr>
              <w:t xml:space="preserve">rad pre </w:t>
            </w:r>
            <w:r w:rsidR="001D0537">
              <w:rPr>
                <w:rFonts w:eastAsia="Times New Roman" w:cs="Times New Roman"/>
                <w:sz w:val="16"/>
                <w:szCs w:val="16"/>
                <w:lang w:eastAsia="sk-SK"/>
              </w:rPr>
              <w:t>normalizáciu</w:t>
            </w:r>
            <w:r>
              <w:rPr>
                <w:rFonts w:eastAsia="Times New Roman" w:cs="Times New Roman"/>
                <w:sz w:val="16"/>
                <w:szCs w:val="16"/>
                <w:lang w:eastAsia="sk-SK"/>
              </w:rPr>
              <w:t xml:space="preserve">, metrológiu a </w:t>
            </w:r>
            <w:r w:rsidR="001D0537">
              <w:rPr>
                <w:rFonts w:eastAsia="Times New Roman" w:cs="Times New Roman"/>
                <w:sz w:val="16"/>
                <w:szCs w:val="16"/>
                <w:lang w:eastAsia="sk-SK"/>
              </w:rPr>
              <w:t>skúšobníctvo</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3DB1E60D"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6CD34594"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126</w:t>
            </w:r>
          </w:p>
        </w:tc>
      </w:tr>
      <w:tr w:rsidR="004C3312" w:rsidRPr="006D197B" w14:paraId="38F28117"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160F26B4"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5E4C8761"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126</w:t>
            </w:r>
          </w:p>
        </w:tc>
      </w:tr>
      <w:tr w:rsidR="004C3312" w:rsidRPr="006D197B" w14:paraId="47CAC6F6" w14:textId="77777777" w:rsidTr="001D0537">
        <w:trPr>
          <w:trHeight w:val="174"/>
        </w:trPr>
        <w:tc>
          <w:tcPr>
            <w:tcW w:w="1305" w:type="dxa"/>
            <w:vMerge w:val="restart"/>
            <w:tcBorders>
              <w:top w:val="nil"/>
              <w:left w:val="nil"/>
              <w:bottom w:val="nil"/>
              <w:right w:val="nil"/>
            </w:tcBorders>
            <w:shd w:val="clear" w:color="auto" w:fill="auto"/>
            <w:vAlign w:val="center"/>
            <w:hideMark/>
          </w:tcPr>
          <w:p w14:paraId="4A4F2E24" w14:textId="77777777"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t>Ú</w:t>
            </w:r>
            <w:r>
              <w:rPr>
                <w:rFonts w:eastAsia="Times New Roman" w:cs="Times New Roman"/>
                <w:sz w:val="16"/>
                <w:szCs w:val="16"/>
                <w:lang w:eastAsia="sk-SK"/>
              </w:rPr>
              <w:t>rad pre reguláciu sieťových odvetví</w:t>
            </w:r>
          </w:p>
        </w:tc>
        <w:tc>
          <w:tcPr>
            <w:tcW w:w="6353" w:type="dxa"/>
            <w:tcBorders>
              <w:top w:val="nil"/>
              <w:left w:val="nil"/>
              <w:bottom w:val="nil"/>
              <w:right w:val="nil"/>
            </w:tcBorders>
            <w:shd w:val="clear" w:color="auto" w:fill="auto"/>
            <w:vAlign w:val="bottom"/>
            <w:hideMark/>
          </w:tcPr>
          <w:p w14:paraId="5AA9EC4D"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43DB1BEA"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68</w:t>
            </w:r>
          </w:p>
        </w:tc>
      </w:tr>
      <w:tr w:rsidR="004C3312" w:rsidRPr="006D197B" w14:paraId="552F916E" w14:textId="77777777" w:rsidTr="001D0537">
        <w:trPr>
          <w:trHeight w:val="367"/>
        </w:trPr>
        <w:tc>
          <w:tcPr>
            <w:tcW w:w="1305" w:type="dxa"/>
            <w:vMerge/>
            <w:tcBorders>
              <w:top w:val="nil"/>
              <w:left w:val="nil"/>
              <w:bottom w:val="nil"/>
              <w:right w:val="nil"/>
            </w:tcBorders>
            <w:shd w:val="clear" w:color="auto" w:fill="auto"/>
            <w:vAlign w:val="center"/>
            <w:hideMark/>
          </w:tcPr>
          <w:p w14:paraId="493F94DF"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273F101F"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úpravu zákonného zvýšenia platov predsedu a podpredsedov úradu</w:t>
            </w:r>
          </w:p>
        </w:tc>
        <w:tc>
          <w:tcPr>
            <w:tcW w:w="1417" w:type="dxa"/>
            <w:tcBorders>
              <w:top w:val="nil"/>
              <w:left w:val="nil"/>
              <w:bottom w:val="nil"/>
              <w:right w:val="nil"/>
            </w:tcBorders>
            <w:shd w:val="clear" w:color="auto" w:fill="auto"/>
            <w:vAlign w:val="center"/>
            <w:hideMark/>
          </w:tcPr>
          <w:p w14:paraId="395A3853"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21</w:t>
            </w:r>
          </w:p>
        </w:tc>
      </w:tr>
      <w:tr w:rsidR="004C3312" w:rsidRPr="006D197B" w14:paraId="4A2298C0"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1CEB1B87"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028BD979"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89</w:t>
            </w:r>
          </w:p>
        </w:tc>
      </w:tr>
      <w:tr w:rsidR="004C3312" w:rsidRPr="006D197B" w14:paraId="28BE8DAC" w14:textId="77777777" w:rsidTr="001D0537">
        <w:trPr>
          <w:trHeight w:val="186"/>
        </w:trPr>
        <w:tc>
          <w:tcPr>
            <w:tcW w:w="1305" w:type="dxa"/>
            <w:tcBorders>
              <w:top w:val="nil"/>
              <w:left w:val="nil"/>
              <w:bottom w:val="nil"/>
              <w:right w:val="nil"/>
            </w:tcBorders>
            <w:shd w:val="clear" w:color="auto" w:fill="auto"/>
            <w:vAlign w:val="center"/>
            <w:hideMark/>
          </w:tcPr>
          <w:p w14:paraId="2C4AD485"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priemyselného vlastníctva</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4DC7C9D5"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0496D037"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79</w:t>
            </w:r>
          </w:p>
        </w:tc>
      </w:tr>
      <w:tr w:rsidR="004C3312" w:rsidRPr="006D197B" w14:paraId="400F3BF0"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314DC219"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0F1BFEEB"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79</w:t>
            </w:r>
          </w:p>
        </w:tc>
      </w:tr>
      <w:tr w:rsidR="004C3312" w:rsidRPr="006D197B" w14:paraId="3DFF0178" w14:textId="77777777" w:rsidTr="001D0537">
        <w:trPr>
          <w:trHeight w:val="255"/>
        </w:trPr>
        <w:tc>
          <w:tcPr>
            <w:tcW w:w="1305" w:type="dxa"/>
            <w:tcBorders>
              <w:top w:val="nil"/>
              <w:left w:val="nil"/>
              <w:bottom w:val="nil"/>
              <w:right w:val="nil"/>
            </w:tcBorders>
            <w:shd w:val="clear" w:color="auto" w:fill="auto"/>
            <w:vAlign w:val="center"/>
            <w:hideMark/>
          </w:tcPr>
          <w:p w14:paraId="237B335E"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jadrového dozoru</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486E5412"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4B9C15D9"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79</w:t>
            </w:r>
          </w:p>
        </w:tc>
      </w:tr>
      <w:tr w:rsidR="004C3312" w:rsidRPr="006D197B" w14:paraId="5DD21EE6"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7AE8380D"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39BB344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79</w:t>
            </w:r>
          </w:p>
        </w:tc>
      </w:tr>
      <w:tr w:rsidR="004C3312" w:rsidRPr="006D197B" w14:paraId="12DA480B" w14:textId="77777777" w:rsidTr="001D0537">
        <w:trPr>
          <w:trHeight w:val="303"/>
        </w:trPr>
        <w:tc>
          <w:tcPr>
            <w:tcW w:w="1305" w:type="dxa"/>
            <w:tcBorders>
              <w:top w:val="nil"/>
              <w:left w:val="nil"/>
              <w:bottom w:val="nil"/>
              <w:right w:val="nil"/>
            </w:tcBorders>
            <w:shd w:val="clear" w:color="auto" w:fill="auto"/>
            <w:vAlign w:val="center"/>
            <w:hideMark/>
          </w:tcPr>
          <w:p w14:paraId="60F84ED8"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prezidenta</w:t>
            </w:r>
            <w:r w:rsidRPr="006D197B">
              <w:rPr>
                <w:rFonts w:eastAsia="Times New Roman" w:cs="Times New Roman"/>
                <w:sz w:val="16"/>
                <w:szCs w:val="16"/>
                <w:lang w:eastAsia="sk-SK"/>
              </w:rPr>
              <w:t xml:space="preserve"> SR </w:t>
            </w:r>
          </w:p>
        </w:tc>
        <w:tc>
          <w:tcPr>
            <w:tcW w:w="6353" w:type="dxa"/>
            <w:tcBorders>
              <w:top w:val="nil"/>
              <w:left w:val="nil"/>
              <w:bottom w:val="nil"/>
              <w:right w:val="nil"/>
            </w:tcBorders>
            <w:shd w:val="clear" w:color="auto" w:fill="auto"/>
            <w:vAlign w:val="bottom"/>
            <w:hideMark/>
          </w:tcPr>
          <w:p w14:paraId="30F5A6E3"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5B1013F3"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60</w:t>
            </w:r>
          </w:p>
        </w:tc>
      </w:tr>
      <w:tr w:rsidR="004C3312" w:rsidRPr="006D197B" w14:paraId="10EA7175"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5B0A7DA6"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3C83373A"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60</w:t>
            </w:r>
          </w:p>
        </w:tc>
      </w:tr>
      <w:tr w:rsidR="004C3312" w:rsidRPr="006D197B" w14:paraId="43C6B52F" w14:textId="77777777" w:rsidTr="001D0537">
        <w:trPr>
          <w:trHeight w:val="185"/>
        </w:trPr>
        <w:tc>
          <w:tcPr>
            <w:tcW w:w="1305" w:type="dxa"/>
            <w:tcBorders>
              <w:top w:val="nil"/>
              <w:left w:val="nil"/>
              <w:bottom w:val="nil"/>
              <w:right w:val="nil"/>
            </w:tcBorders>
            <w:shd w:val="clear" w:color="auto" w:fill="auto"/>
            <w:vAlign w:val="center"/>
            <w:hideMark/>
          </w:tcPr>
          <w:p w14:paraId="0D0F50A0" w14:textId="77777777"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t>S</w:t>
            </w:r>
            <w:r>
              <w:rPr>
                <w:rFonts w:eastAsia="Times New Roman" w:cs="Times New Roman"/>
                <w:sz w:val="16"/>
                <w:szCs w:val="16"/>
                <w:lang w:eastAsia="sk-SK"/>
              </w:rPr>
              <w:t>práva štátnych hmotných rezerv</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1F94C9AB"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A0959CC"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57</w:t>
            </w:r>
          </w:p>
        </w:tc>
      </w:tr>
      <w:tr w:rsidR="004C3312" w:rsidRPr="006D197B" w14:paraId="5648A883"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3921B041"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5C7381D5"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57</w:t>
            </w:r>
          </w:p>
        </w:tc>
      </w:tr>
      <w:tr w:rsidR="004C3312" w:rsidRPr="006D197B" w14:paraId="1AABF16A" w14:textId="77777777" w:rsidTr="001D0537">
        <w:trPr>
          <w:trHeight w:val="178"/>
        </w:trPr>
        <w:tc>
          <w:tcPr>
            <w:tcW w:w="1305" w:type="dxa"/>
            <w:tcBorders>
              <w:top w:val="nil"/>
              <w:left w:val="nil"/>
              <w:bottom w:val="nil"/>
              <w:right w:val="nil"/>
            </w:tcBorders>
            <w:shd w:val="clear" w:color="auto" w:fill="auto"/>
            <w:vAlign w:val="center"/>
            <w:hideMark/>
          </w:tcPr>
          <w:p w14:paraId="3C758527"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Protimonopolný úrad</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038201AA"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2D8677BA"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47</w:t>
            </w:r>
          </w:p>
        </w:tc>
      </w:tr>
      <w:tr w:rsidR="004C3312" w:rsidRPr="006D197B" w14:paraId="0D19818B"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515936FD"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669F6CB0"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47</w:t>
            </w:r>
          </w:p>
        </w:tc>
      </w:tr>
      <w:tr w:rsidR="004C3312" w:rsidRPr="006D197B" w14:paraId="65849C18" w14:textId="77777777" w:rsidTr="001D0537">
        <w:trPr>
          <w:trHeight w:val="375"/>
        </w:trPr>
        <w:tc>
          <w:tcPr>
            <w:tcW w:w="1305" w:type="dxa"/>
            <w:vMerge w:val="restart"/>
            <w:tcBorders>
              <w:top w:val="nil"/>
              <w:left w:val="nil"/>
              <w:bottom w:val="nil"/>
              <w:right w:val="nil"/>
            </w:tcBorders>
            <w:shd w:val="clear" w:color="auto" w:fill="auto"/>
            <w:vAlign w:val="center"/>
            <w:hideMark/>
          </w:tcPr>
          <w:p w14:paraId="268B70AA"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na ochranu osobných údajov</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4E6DE1F4"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68823052"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29</w:t>
            </w:r>
          </w:p>
        </w:tc>
      </w:tr>
      <w:tr w:rsidR="004C3312" w:rsidRPr="006D197B" w14:paraId="2295ACD6" w14:textId="77777777" w:rsidTr="001D0537">
        <w:trPr>
          <w:trHeight w:val="514"/>
        </w:trPr>
        <w:tc>
          <w:tcPr>
            <w:tcW w:w="1305" w:type="dxa"/>
            <w:vMerge/>
            <w:tcBorders>
              <w:top w:val="nil"/>
              <w:left w:val="nil"/>
              <w:bottom w:val="nil"/>
              <w:right w:val="nil"/>
            </w:tcBorders>
            <w:shd w:val="clear" w:color="auto" w:fill="auto"/>
            <w:vAlign w:val="center"/>
            <w:hideMark/>
          </w:tcPr>
          <w:p w14:paraId="2B652A8C"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631E10ED"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zvýšenie platových náležitostí predsedu úradu vo verejnej funkcii na základe zákona                      č. 18/2018 Z. z. o ochrane osobných údajov a o zmene a doplnení niektorých zákonov</w:t>
            </w:r>
          </w:p>
        </w:tc>
        <w:tc>
          <w:tcPr>
            <w:tcW w:w="1417" w:type="dxa"/>
            <w:tcBorders>
              <w:top w:val="nil"/>
              <w:left w:val="nil"/>
              <w:bottom w:val="nil"/>
              <w:right w:val="nil"/>
            </w:tcBorders>
            <w:shd w:val="clear" w:color="auto" w:fill="auto"/>
            <w:vAlign w:val="center"/>
            <w:hideMark/>
          </w:tcPr>
          <w:p w14:paraId="137C4CA9"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5</w:t>
            </w:r>
          </w:p>
        </w:tc>
      </w:tr>
      <w:tr w:rsidR="004C3312" w:rsidRPr="006D197B" w14:paraId="35F5E3D5" w14:textId="77777777" w:rsidTr="001D0537">
        <w:trPr>
          <w:trHeight w:val="270"/>
        </w:trPr>
        <w:tc>
          <w:tcPr>
            <w:tcW w:w="1305" w:type="dxa"/>
            <w:vMerge/>
            <w:tcBorders>
              <w:top w:val="nil"/>
              <w:left w:val="nil"/>
              <w:bottom w:val="nil"/>
              <w:right w:val="nil"/>
            </w:tcBorders>
            <w:shd w:val="clear" w:color="auto" w:fill="auto"/>
            <w:vAlign w:val="center"/>
            <w:hideMark/>
          </w:tcPr>
          <w:p w14:paraId="6314657B"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2086146D"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 xml:space="preserve">Na vyplatenie odchodného (1 osoba)  </w:t>
            </w:r>
          </w:p>
        </w:tc>
        <w:tc>
          <w:tcPr>
            <w:tcW w:w="1417" w:type="dxa"/>
            <w:tcBorders>
              <w:top w:val="nil"/>
              <w:left w:val="nil"/>
              <w:bottom w:val="nil"/>
              <w:right w:val="nil"/>
            </w:tcBorders>
            <w:shd w:val="clear" w:color="auto" w:fill="auto"/>
            <w:vAlign w:val="center"/>
            <w:hideMark/>
          </w:tcPr>
          <w:p w14:paraId="52CA4CEC"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5</w:t>
            </w:r>
          </w:p>
        </w:tc>
      </w:tr>
      <w:tr w:rsidR="004C3312" w:rsidRPr="006D197B" w14:paraId="031E317A"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35324403"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6467F490"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39</w:t>
            </w:r>
          </w:p>
        </w:tc>
      </w:tr>
      <w:tr w:rsidR="004C3312" w:rsidRPr="006D197B" w14:paraId="1BA0F214" w14:textId="77777777" w:rsidTr="001D0537">
        <w:trPr>
          <w:trHeight w:val="315"/>
        </w:trPr>
        <w:tc>
          <w:tcPr>
            <w:tcW w:w="1305" w:type="dxa"/>
            <w:vMerge w:val="restart"/>
            <w:tcBorders>
              <w:top w:val="nil"/>
              <w:left w:val="nil"/>
              <w:bottom w:val="nil"/>
              <w:right w:val="nil"/>
            </w:tcBorders>
            <w:shd w:val="clear" w:color="auto" w:fill="auto"/>
            <w:vAlign w:val="center"/>
            <w:hideMark/>
          </w:tcPr>
          <w:p w14:paraId="385CBDC8" w14:textId="77777777"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t>K</w:t>
            </w:r>
            <w:r>
              <w:rPr>
                <w:rFonts w:eastAsia="Times New Roman" w:cs="Times New Roman"/>
                <w:sz w:val="16"/>
                <w:szCs w:val="16"/>
                <w:lang w:eastAsia="sk-SK"/>
              </w:rPr>
              <w:t>ancelária verejného ochrancu práv</w:t>
            </w:r>
          </w:p>
        </w:tc>
        <w:tc>
          <w:tcPr>
            <w:tcW w:w="6353" w:type="dxa"/>
            <w:tcBorders>
              <w:top w:val="nil"/>
              <w:left w:val="nil"/>
              <w:bottom w:val="nil"/>
              <w:right w:val="nil"/>
            </w:tcBorders>
            <w:shd w:val="clear" w:color="auto" w:fill="auto"/>
            <w:vAlign w:val="bottom"/>
            <w:hideMark/>
          </w:tcPr>
          <w:p w14:paraId="58E97ECB"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10B21A20"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26</w:t>
            </w:r>
          </w:p>
        </w:tc>
      </w:tr>
      <w:tr w:rsidR="004C3312" w:rsidRPr="006D197B" w14:paraId="66258AB8" w14:textId="77777777" w:rsidTr="001D0537">
        <w:trPr>
          <w:trHeight w:val="510"/>
        </w:trPr>
        <w:tc>
          <w:tcPr>
            <w:tcW w:w="1305" w:type="dxa"/>
            <w:vMerge/>
            <w:tcBorders>
              <w:top w:val="nil"/>
              <w:left w:val="nil"/>
              <w:bottom w:val="nil"/>
              <w:right w:val="nil"/>
            </w:tcBorders>
            <w:shd w:val="clear" w:color="auto" w:fill="auto"/>
            <w:vAlign w:val="center"/>
            <w:hideMark/>
          </w:tcPr>
          <w:p w14:paraId="0873A271" w14:textId="77777777" w:rsidR="004C3312" w:rsidRPr="006D197B" w:rsidRDefault="004C3312" w:rsidP="004C3312">
            <w:pPr>
              <w:spacing w:after="0" w:line="240" w:lineRule="auto"/>
              <w:jc w:val="left"/>
              <w:rPr>
                <w:rFonts w:eastAsia="Times New Roman" w:cs="Times New Roman"/>
                <w:sz w:val="16"/>
                <w:szCs w:val="16"/>
                <w:lang w:eastAsia="sk-SK"/>
              </w:rPr>
            </w:pPr>
          </w:p>
        </w:tc>
        <w:tc>
          <w:tcPr>
            <w:tcW w:w="6353" w:type="dxa"/>
            <w:tcBorders>
              <w:top w:val="nil"/>
              <w:left w:val="nil"/>
              <w:bottom w:val="nil"/>
              <w:right w:val="nil"/>
            </w:tcBorders>
            <w:shd w:val="clear" w:color="auto" w:fill="auto"/>
            <w:vAlign w:val="bottom"/>
            <w:hideMark/>
          </w:tcPr>
          <w:p w14:paraId="572B6CDE"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 xml:space="preserve">Na úpravu platových náležitostí predsedu úradu vo verejnej funkcii na základe zákona </w:t>
            </w:r>
            <w:r w:rsidRPr="006D197B">
              <w:rPr>
                <w:rFonts w:eastAsia="Times New Roman" w:cs="Times New Roman"/>
                <w:sz w:val="16"/>
                <w:szCs w:val="16"/>
                <w:lang w:eastAsia="sk-SK"/>
              </w:rPr>
              <w:br/>
              <w:t xml:space="preserve">č. 564/2001 Z. z. o verejnom ochrancovi práv </w:t>
            </w:r>
          </w:p>
        </w:tc>
        <w:tc>
          <w:tcPr>
            <w:tcW w:w="1417" w:type="dxa"/>
            <w:tcBorders>
              <w:top w:val="nil"/>
              <w:left w:val="nil"/>
              <w:bottom w:val="nil"/>
              <w:right w:val="nil"/>
            </w:tcBorders>
            <w:shd w:val="clear" w:color="auto" w:fill="auto"/>
            <w:vAlign w:val="center"/>
            <w:hideMark/>
          </w:tcPr>
          <w:p w14:paraId="37FC53BF"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 xml:space="preserve">   0,4</w:t>
            </w:r>
          </w:p>
        </w:tc>
      </w:tr>
      <w:tr w:rsidR="004C3312" w:rsidRPr="006D197B" w14:paraId="4F56C28A"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4947A7D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5CFF75CB"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27</w:t>
            </w:r>
          </w:p>
        </w:tc>
      </w:tr>
      <w:tr w:rsidR="004C3312" w:rsidRPr="006D197B" w14:paraId="17E55B3C" w14:textId="77777777" w:rsidTr="001D0537">
        <w:trPr>
          <w:trHeight w:val="268"/>
        </w:trPr>
        <w:tc>
          <w:tcPr>
            <w:tcW w:w="1305" w:type="dxa"/>
            <w:tcBorders>
              <w:top w:val="nil"/>
              <w:left w:val="nil"/>
              <w:bottom w:val="nil"/>
              <w:right w:val="nil"/>
            </w:tcBorders>
            <w:shd w:val="clear" w:color="auto" w:fill="auto"/>
            <w:vAlign w:val="center"/>
            <w:hideMark/>
          </w:tcPr>
          <w:p w14:paraId="4E720126"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súdnej rady</w:t>
            </w:r>
            <w:r w:rsidRPr="006D197B">
              <w:rPr>
                <w:rFonts w:eastAsia="Times New Roman" w:cs="Times New Roman"/>
                <w:sz w:val="16"/>
                <w:szCs w:val="16"/>
                <w:lang w:eastAsia="sk-SK"/>
              </w:rPr>
              <w:t xml:space="preserve"> SR </w:t>
            </w:r>
          </w:p>
        </w:tc>
        <w:tc>
          <w:tcPr>
            <w:tcW w:w="6353" w:type="dxa"/>
            <w:tcBorders>
              <w:top w:val="nil"/>
              <w:left w:val="nil"/>
              <w:bottom w:val="nil"/>
              <w:right w:val="nil"/>
            </w:tcBorders>
            <w:shd w:val="clear" w:color="auto" w:fill="auto"/>
            <w:vAlign w:val="bottom"/>
            <w:hideMark/>
          </w:tcPr>
          <w:p w14:paraId="06A2E08E"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318D6195"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26</w:t>
            </w:r>
          </w:p>
        </w:tc>
      </w:tr>
      <w:tr w:rsidR="004C3312" w:rsidRPr="006D197B" w14:paraId="1F0847DE"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54E9D8E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2A33C48E"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26</w:t>
            </w:r>
          </w:p>
        </w:tc>
      </w:tr>
      <w:tr w:rsidR="004C3312" w:rsidRPr="006D197B" w14:paraId="3CE8A1E6" w14:textId="77777777" w:rsidTr="001D0537">
        <w:trPr>
          <w:trHeight w:val="242"/>
        </w:trPr>
        <w:tc>
          <w:tcPr>
            <w:tcW w:w="1305" w:type="dxa"/>
            <w:tcBorders>
              <w:top w:val="nil"/>
              <w:left w:val="nil"/>
              <w:bottom w:val="nil"/>
              <w:right w:val="nil"/>
            </w:tcBorders>
            <w:shd w:val="clear" w:color="auto" w:fill="auto"/>
            <w:vAlign w:val="center"/>
            <w:hideMark/>
          </w:tcPr>
          <w:p w14:paraId="1BB9BFAE"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komisára pre deti</w:t>
            </w:r>
          </w:p>
        </w:tc>
        <w:tc>
          <w:tcPr>
            <w:tcW w:w="6353" w:type="dxa"/>
            <w:tcBorders>
              <w:top w:val="nil"/>
              <w:left w:val="nil"/>
              <w:bottom w:val="nil"/>
              <w:right w:val="nil"/>
            </w:tcBorders>
            <w:shd w:val="clear" w:color="auto" w:fill="auto"/>
            <w:vAlign w:val="bottom"/>
            <w:hideMark/>
          </w:tcPr>
          <w:p w14:paraId="3FFB3A3F"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 xml:space="preserve">Na plnenie dodatkov ku KZVS na rok 2021 a 2022 </w:t>
            </w:r>
          </w:p>
        </w:tc>
        <w:tc>
          <w:tcPr>
            <w:tcW w:w="1417" w:type="dxa"/>
            <w:tcBorders>
              <w:top w:val="nil"/>
              <w:left w:val="nil"/>
              <w:bottom w:val="nil"/>
              <w:right w:val="nil"/>
            </w:tcBorders>
            <w:shd w:val="clear" w:color="auto" w:fill="auto"/>
            <w:vAlign w:val="center"/>
            <w:hideMark/>
          </w:tcPr>
          <w:p w14:paraId="23F65A08"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24</w:t>
            </w:r>
          </w:p>
        </w:tc>
      </w:tr>
      <w:tr w:rsidR="004C3312" w:rsidRPr="006D197B" w14:paraId="11668F45"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4397C8D9"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310113EF"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24</w:t>
            </w:r>
          </w:p>
        </w:tc>
      </w:tr>
      <w:tr w:rsidR="004C3312" w:rsidRPr="006D197B" w14:paraId="3FD1B4AE" w14:textId="77777777" w:rsidTr="001D0537">
        <w:trPr>
          <w:trHeight w:val="166"/>
        </w:trPr>
        <w:tc>
          <w:tcPr>
            <w:tcW w:w="1305" w:type="dxa"/>
            <w:tcBorders>
              <w:top w:val="nil"/>
              <w:left w:val="nil"/>
              <w:bottom w:val="nil"/>
              <w:right w:val="nil"/>
            </w:tcBorders>
            <w:shd w:val="clear" w:color="auto" w:fill="auto"/>
            <w:vAlign w:val="center"/>
            <w:hideMark/>
          </w:tcPr>
          <w:p w14:paraId="2692FC92"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Rada pre mediálne služby</w:t>
            </w:r>
          </w:p>
        </w:tc>
        <w:tc>
          <w:tcPr>
            <w:tcW w:w="6353" w:type="dxa"/>
            <w:tcBorders>
              <w:top w:val="nil"/>
              <w:left w:val="nil"/>
              <w:bottom w:val="nil"/>
              <w:right w:val="nil"/>
            </w:tcBorders>
            <w:shd w:val="clear" w:color="auto" w:fill="auto"/>
            <w:vAlign w:val="bottom"/>
            <w:hideMark/>
          </w:tcPr>
          <w:p w14:paraId="6FF030D9"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6C8EDD6E"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20</w:t>
            </w:r>
          </w:p>
        </w:tc>
      </w:tr>
      <w:tr w:rsidR="004C3312" w:rsidRPr="006D197B" w14:paraId="099E62DB" w14:textId="77777777" w:rsidTr="001D0537">
        <w:trPr>
          <w:trHeight w:val="330"/>
        </w:trPr>
        <w:tc>
          <w:tcPr>
            <w:tcW w:w="7658" w:type="dxa"/>
            <w:gridSpan w:val="2"/>
            <w:tcBorders>
              <w:top w:val="nil"/>
              <w:left w:val="nil"/>
              <w:bottom w:val="single" w:sz="4" w:space="0" w:color="auto"/>
              <w:right w:val="nil"/>
            </w:tcBorders>
            <w:shd w:val="clear" w:color="auto" w:fill="auto"/>
            <w:vAlign w:val="center"/>
            <w:hideMark/>
          </w:tcPr>
          <w:p w14:paraId="6B0D4A74"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77EE3CC6"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20</w:t>
            </w:r>
          </w:p>
        </w:tc>
      </w:tr>
    </w:tbl>
    <w:p w14:paraId="5BB3FFA1" w14:textId="77777777" w:rsidR="007C7FB1" w:rsidRDefault="007C7FB1">
      <w:r>
        <w:br w:type="page"/>
      </w:r>
    </w:p>
    <w:tbl>
      <w:tblPr>
        <w:tblW w:w="9075" w:type="dxa"/>
        <w:tblCellMar>
          <w:left w:w="70" w:type="dxa"/>
          <w:right w:w="70" w:type="dxa"/>
        </w:tblCellMar>
        <w:tblLook w:val="04A0" w:firstRow="1" w:lastRow="0" w:firstColumn="1" w:lastColumn="0" w:noHBand="0" w:noVBand="1"/>
      </w:tblPr>
      <w:tblGrid>
        <w:gridCol w:w="1305"/>
        <w:gridCol w:w="6353"/>
        <w:gridCol w:w="1417"/>
      </w:tblGrid>
      <w:tr w:rsidR="004C3312" w:rsidRPr="006D197B" w14:paraId="2B2773DD" w14:textId="77777777" w:rsidTr="001D0537">
        <w:trPr>
          <w:trHeight w:val="202"/>
        </w:trPr>
        <w:tc>
          <w:tcPr>
            <w:tcW w:w="1305" w:type="dxa"/>
            <w:tcBorders>
              <w:top w:val="nil"/>
              <w:left w:val="nil"/>
              <w:bottom w:val="nil"/>
              <w:right w:val="nil"/>
            </w:tcBorders>
            <w:shd w:val="clear" w:color="auto" w:fill="auto"/>
            <w:vAlign w:val="center"/>
            <w:hideMark/>
          </w:tcPr>
          <w:p w14:paraId="1C4326D4" w14:textId="3F7DE481" w:rsidR="004C3312" w:rsidRPr="006D197B" w:rsidRDefault="004C3312" w:rsidP="004C3312">
            <w:pPr>
              <w:spacing w:after="0" w:line="240" w:lineRule="auto"/>
              <w:jc w:val="left"/>
              <w:rPr>
                <w:rFonts w:eastAsia="Times New Roman" w:cs="Times New Roman"/>
                <w:sz w:val="16"/>
                <w:szCs w:val="16"/>
                <w:lang w:eastAsia="sk-SK"/>
              </w:rPr>
            </w:pPr>
            <w:r w:rsidRPr="006D197B">
              <w:rPr>
                <w:rFonts w:eastAsia="Times New Roman" w:cs="Times New Roman"/>
                <w:sz w:val="16"/>
                <w:szCs w:val="16"/>
                <w:lang w:eastAsia="sk-SK"/>
              </w:rPr>
              <w:lastRenderedPageBreak/>
              <w:t>Ú</w:t>
            </w:r>
            <w:r>
              <w:rPr>
                <w:rFonts w:eastAsia="Times New Roman" w:cs="Times New Roman"/>
                <w:sz w:val="16"/>
                <w:szCs w:val="16"/>
                <w:lang w:eastAsia="sk-SK"/>
              </w:rPr>
              <w:t>rad komisára so zdravotným postihnutím</w:t>
            </w:r>
          </w:p>
        </w:tc>
        <w:tc>
          <w:tcPr>
            <w:tcW w:w="6353" w:type="dxa"/>
            <w:tcBorders>
              <w:top w:val="nil"/>
              <w:left w:val="nil"/>
              <w:bottom w:val="nil"/>
              <w:right w:val="nil"/>
            </w:tcBorders>
            <w:shd w:val="clear" w:color="auto" w:fill="auto"/>
            <w:vAlign w:val="bottom"/>
            <w:hideMark/>
          </w:tcPr>
          <w:p w14:paraId="5735607E"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valorizáciu platu a paušálnych náhrad komisárky pre osoby so zdravotným postihnutím</w:t>
            </w:r>
          </w:p>
        </w:tc>
        <w:tc>
          <w:tcPr>
            <w:tcW w:w="1417" w:type="dxa"/>
            <w:tcBorders>
              <w:top w:val="nil"/>
              <w:left w:val="nil"/>
              <w:bottom w:val="nil"/>
              <w:right w:val="nil"/>
            </w:tcBorders>
            <w:shd w:val="clear" w:color="auto" w:fill="auto"/>
            <w:vAlign w:val="center"/>
            <w:hideMark/>
          </w:tcPr>
          <w:p w14:paraId="35C39492"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5</w:t>
            </w:r>
          </w:p>
        </w:tc>
      </w:tr>
      <w:tr w:rsidR="004C3312" w:rsidRPr="006D197B" w14:paraId="43B37030" w14:textId="77777777" w:rsidTr="001D0537">
        <w:trPr>
          <w:trHeight w:val="330"/>
        </w:trPr>
        <w:tc>
          <w:tcPr>
            <w:tcW w:w="7658" w:type="dxa"/>
            <w:gridSpan w:val="2"/>
            <w:tcBorders>
              <w:top w:val="nil"/>
              <w:left w:val="nil"/>
              <w:bottom w:val="single" w:sz="4" w:space="0" w:color="auto"/>
              <w:right w:val="nil"/>
            </w:tcBorders>
            <w:shd w:val="clear" w:color="auto" w:fill="auto"/>
            <w:vAlign w:val="center"/>
            <w:hideMark/>
          </w:tcPr>
          <w:p w14:paraId="2394C26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1CF37A9C"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5</w:t>
            </w:r>
          </w:p>
        </w:tc>
      </w:tr>
      <w:tr w:rsidR="004C3312" w:rsidRPr="006D197B" w14:paraId="73D4B92A" w14:textId="77777777" w:rsidTr="001D0537">
        <w:trPr>
          <w:trHeight w:val="238"/>
        </w:trPr>
        <w:tc>
          <w:tcPr>
            <w:tcW w:w="1305" w:type="dxa"/>
            <w:tcBorders>
              <w:top w:val="nil"/>
              <w:left w:val="nil"/>
              <w:bottom w:val="nil"/>
              <w:right w:val="nil"/>
            </w:tcBorders>
            <w:shd w:val="clear" w:color="auto" w:fill="auto"/>
            <w:vAlign w:val="center"/>
            <w:hideMark/>
          </w:tcPr>
          <w:p w14:paraId="55E3C025" w14:textId="77777777" w:rsidR="004C3312" w:rsidRPr="006D197B"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pre územné plánovanie a výstavbu</w:t>
            </w:r>
            <w:r w:rsidRPr="006D197B">
              <w:rPr>
                <w:rFonts w:eastAsia="Times New Roman" w:cs="Times New Roman"/>
                <w:sz w:val="16"/>
                <w:szCs w:val="16"/>
                <w:lang w:eastAsia="sk-SK"/>
              </w:rPr>
              <w:t xml:space="preserve"> SR</w:t>
            </w:r>
          </w:p>
        </w:tc>
        <w:tc>
          <w:tcPr>
            <w:tcW w:w="6353" w:type="dxa"/>
            <w:tcBorders>
              <w:top w:val="nil"/>
              <w:left w:val="nil"/>
              <w:bottom w:val="nil"/>
              <w:right w:val="nil"/>
            </w:tcBorders>
            <w:shd w:val="clear" w:color="auto" w:fill="auto"/>
            <w:vAlign w:val="bottom"/>
            <w:hideMark/>
          </w:tcPr>
          <w:p w14:paraId="1D4F3C10" w14:textId="77777777" w:rsidR="004C3312" w:rsidRPr="006D197B" w:rsidRDefault="004C3312" w:rsidP="004C3312">
            <w:pPr>
              <w:spacing w:after="0" w:line="240" w:lineRule="auto"/>
              <w:rPr>
                <w:rFonts w:eastAsia="Times New Roman" w:cs="Times New Roman"/>
                <w:sz w:val="16"/>
                <w:szCs w:val="16"/>
                <w:lang w:eastAsia="sk-SK"/>
              </w:rPr>
            </w:pPr>
            <w:r w:rsidRPr="006D197B">
              <w:rPr>
                <w:rFonts w:eastAsia="Times New Roman" w:cs="Times New Roman"/>
                <w:sz w:val="16"/>
                <w:szCs w:val="16"/>
                <w:lang w:eastAsia="sk-SK"/>
              </w:rPr>
              <w:t>Na plnenie dodatkov č. 1 ku KZVS na rok 2022</w:t>
            </w:r>
          </w:p>
        </w:tc>
        <w:tc>
          <w:tcPr>
            <w:tcW w:w="1417" w:type="dxa"/>
            <w:tcBorders>
              <w:top w:val="nil"/>
              <w:left w:val="nil"/>
              <w:bottom w:val="nil"/>
              <w:right w:val="nil"/>
            </w:tcBorders>
            <w:shd w:val="clear" w:color="auto" w:fill="auto"/>
            <w:vAlign w:val="center"/>
            <w:hideMark/>
          </w:tcPr>
          <w:p w14:paraId="03BFE584" w14:textId="77777777" w:rsidR="004C3312" w:rsidRPr="006D197B" w:rsidRDefault="004C3312" w:rsidP="004C3312">
            <w:pPr>
              <w:spacing w:after="0" w:line="240" w:lineRule="auto"/>
              <w:jc w:val="right"/>
              <w:rPr>
                <w:rFonts w:eastAsia="Times New Roman" w:cs="Times New Roman"/>
                <w:sz w:val="16"/>
                <w:szCs w:val="16"/>
                <w:lang w:eastAsia="sk-SK"/>
              </w:rPr>
            </w:pPr>
            <w:r w:rsidRPr="006D197B">
              <w:rPr>
                <w:rFonts w:eastAsia="Times New Roman" w:cs="Times New Roman"/>
                <w:sz w:val="16"/>
                <w:szCs w:val="16"/>
                <w:lang w:eastAsia="sk-SK"/>
              </w:rPr>
              <w:t>5</w:t>
            </w:r>
          </w:p>
        </w:tc>
      </w:tr>
      <w:tr w:rsidR="004C3312" w:rsidRPr="006D197B" w14:paraId="3761CC38" w14:textId="77777777" w:rsidTr="001D0537">
        <w:trPr>
          <w:trHeight w:val="375"/>
        </w:trPr>
        <w:tc>
          <w:tcPr>
            <w:tcW w:w="7658" w:type="dxa"/>
            <w:gridSpan w:val="2"/>
            <w:tcBorders>
              <w:top w:val="nil"/>
              <w:left w:val="nil"/>
              <w:bottom w:val="single" w:sz="4" w:space="0" w:color="auto"/>
              <w:right w:val="nil"/>
            </w:tcBorders>
            <w:shd w:val="clear" w:color="auto" w:fill="auto"/>
            <w:vAlign w:val="center"/>
            <w:hideMark/>
          </w:tcPr>
          <w:p w14:paraId="42D073A6"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Spolu</w:t>
            </w:r>
          </w:p>
        </w:tc>
        <w:tc>
          <w:tcPr>
            <w:tcW w:w="1417" w:type="dxa"/>
            <w:tcBorders>
              <w:top w:val="nil"/>
              <w:left w:val="nil"/>
              <w:bottom w:val="single" w:sz="4" w:space="0" w:color="auto"/>
              <w:right w:val="nil"/>
            </w:tcBorders>
            <w:shd w:val="clear" w:color="auto" w:fill="auto"/>
            <w:vAlign w:val="center"/>
            <w:hideMark/>
          </w:tcPr>
          <w:p w14:paraId="51F176A7"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5</w:t>
            </w:r>
          </w:p>
        </w:tc>
      </w:tr>
      <w:tr w:rsidR="004C3312" w:rsidRPr="006D197B" w14:paraId="409ED93F" w14:textId="77777777" w:rsidTr="001D0537">
        <w:trPr>
          <w:trHeight w:val="330"/>
        </w:trPr>
        <w:tc>
          <w:tcPr>
            <w:tcW w:w="7658" w:type="dxa"/>
            <w:gridSpan w:val="2"/>
            <w:tcBorders>
              <w:top w:val="single" w:sz="4" w:space="0" w:color="auto"/>
              <w:left w:val="nil"/>
              <w:bottom w:val="single" w:sz="4" w:space="0" w:color="auto"/>
              <w:right w:val="nil"/>
            </w:tcBorders>
            <w:shd w:val="clear" w:color="auto" w:fill="auto"/>
            <w:vAlign w:val="center"/>
            <w:hideMark/>
          </w:tcPr>
          <w:p w14:paraId="3DE45B3B"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 xml:space="preserve">Spolu celkom </w:t>
            </w:r>
          </w:p>
        </w:tc>
        <w:tc>
          <w:tcPr>
            <w:tcW w:w="1417" w:type="dxa"/>
            <w:tcBorders>
              <w:top w:val="nil"/>
              <w:left w:val="nil"/>
              <w:bottom w:val="single" w:sz="4" w:space="0" w:color="auto"/>
              <w:right w:val="nil"/>
            </w:tcBorders>
            <w:shd w:val="clear" w:color="auto" w:fill="auto"/>
            <w:vAlign w:val="center"/>
            <w:hideMark/>
          </w:tcPr>
          <w:p w14:paraId="7C8CCCEF" w14:textId="77777777" w:rsidR="004C3312" w:rsidRPr="006D197B" w:rsidRDefault="004C3312" w:rsidP="004C3312">
            <w:pPr>
              <w:spacing w:after="0" w:line="240" w:lineRule="auto"/>
              <w:jc w:val="right"/>
              <w:rPr>
                <w:rFonts w:eastAsia="Times New Roman" w:cs="Times New Roman"/>
                <w:b/>
                <w:bCs/>
                <w:sz w:val="16"/>
                <w:szCs w:val="16"/>
                <w:lang w:eastAsia="sk-SK"/>
              </w:rPr>
            </w:pPr>
            <w:r w:rsidRPr="006D197B">
              <w:rPr>
                <w:rFonts w:eastAsia="Times New Roman" w:cs="Times New Roman"/>
                <w:b/>
                <w:bCs/>
                <w:sz w:val="16"/>
                <w:szCs w:val="16"/>
                <w:lang w:eastAsia="sk-SK"/>
              </w:rPr>
              <w:t>245 103</w:t>
            </w:r>
          </w:p>
        </w:tc>
      </w:tr>
      <w:tr w:rsidR="004C3312" w:rsidRPr="006D197B" w14:paraId="257C608E" w14:textId="77777777" w:rsidTr="001D0537">
        <w:trPr>
          <w:trHeight w:val="80"/>
        </w:trPr>
        <w:tc>
          <w:tcPr>
            <w:tcW w:w="9075" w:type="dxa"/>
            <w:gridSpan w:val="3"/>
            <w:tcBorders>
              <w:top w:val="nil"/>
              <w:left w:val="nil"/>
              <w:bottom w:val="nil"/>
              <w:right w:val="nil"/>
            </w:tcBorders>
            <w:shd w:val="clear" w:color="auto" w:fill="auto"/>
            <w:noWrap/>
            <w:vAlign w:val="bottom"/>
          </w:tcPr>
          <w:p w14:paraId="25E9605D" w14:textId="44536311" w:rsidR="001D0537" w:rsidRPr="001D0537" w:rsidRDefault="001D0537" w:rsidP="001D0537">
            <w:pPr>
              <w:tabs>
                <w:tab w:val="left" w:pos="0"/>
                <w:tab w:val="left" w:pos="720"/>
                <w:tab w:val="left" w:pos="1440"/>
                <w:tab w:val="left" w:pos="2160"/>
                <w:tab w:val="left" w:pos="2880"/>
                <w:tab w:val="left" w:pos="3600"/>
                <w:tab w:val="left" w:pos="4320"/>
              </w:tabs>
              <w:adjustRightInd w:val="0"/>
              <w:spacing w:after="0" w:line="240" w:lineRule="auto"/>
              <w:jc w:val="right"/>
              <w:rPr>
                <w:rFonts w:eastAsia="Times New Roman" w:cs="Times New Roman"/>
                <w:color w:val="000000"/>
                <w:sz w:val="20"/>
                <w:szCs w:val="20"/>
                <w:lang w:eastAsia="sk-SK"/>
              </w:rPr>
            </w:pPr>
            <w:r>
              <w:rPr>
                <w:rFonts w:eastAsia="Times New Roman" w:cs="Times New Roman"/>
                <w:color w:val="000000"/>
                <w:sz w:val="20"/>
                <w:szCs w:val="20"/>
                <w:lang w:eastAsia="sk-SK"/>
              </w:rPr>
              <w:t>Zdroj: MF SR</w:t>
            </w:r>
          </w:p>
          <w:p w14:paraId="7ACE0918" w14:textId="07FF35A8" w:rsidR="004C3312" w:rsidRDefault="004C3312" w:rsidP="004C3312">
            <w:pPr>
              <w:tabs>
                <w:tab w:val="left" w:pos="0"/>
                <w:tab w:val="left" w:pos="720"/>
                <w:tab w:val="left" w:pos="1440"/>
                <w:tab w:val="left" w:pos="2160"/>
                <w:tab w:val="left" w:pos="2880"/>
                <w:tab w:val="left" w:pos="3600"/>
                <w:tab w:val="left" w:pos="4320"/>
              </w:tabs>
              <w:adjustRightInd w:val="0"/>
              <w:spacing w:after="0" w:line="240" w:lineRule="auto"/>
              <w:rPr>
                <w:rFonts w:eastAsia="Times New Roman" w:cs="Times New Roman"/>
                <w:color w:val="000000"/>
                <w:sz w:val="16"/>
                <w:lang w:eastAsia="sk-SK"/>
              </w:rPr>
            </w:pPr>
            <w:r w:rsidRPr="006D197B">
              <w:rPr>
                <w:rFonts w:eastAsia="Times New Roman" w:cs="Times New Roman"/>
                <w:color w:val="000000"/>
                <w:sz w:val="16"/>
                <w:lang w:eastAsia="sk-SK"/>
              </w:rPr>
              <w:t>* v sumách sú premietnuté aj vrátené nevyčerpané prostriedky kapitol poskytnutých na plnenie dodatkov č. 1 ku KZVS na rok 2022</w:t>
            </w:r>
          </w:p>
          <w:p w14:paraId="4D3FD933" w14:textId="77777777" w:rsidR="004C3312" w:rsidRPr="006D197B" w:rsidRDefault="004C3312" w:rsidP="004C3312">
            <w:pPr>
              <w:tabs>
                <w:tab w:val="left" w:pos="0"/>
                <w:tab w:val="left" w:pos="720"/>
                <w:tab w:val="left" w:pos="1440"/>
                <w:tab w:val="left" w:pos="2160"/>
                <w:tab w:val="left" w:pos="2880"/>
                <w:tab w:val="left" w:pos="3600"/>
                <w:tab w:val="left" w:pos="4320"/>
              </w:tabs>
              <w:adjustRightInd w:val="0"/>
              <w:spacing w:after="0" w:line="240" w:lineRule="auto"/>
              <w:rPr>
                <w:rFonts w:eastAsia="Times New Roman" w:cs="Times New Roman"/>
                <w:color w:val="FF0000"/>
                <w:sz w:val="16"/>
                <w:lang w:eastAsia="sk-SK"/>
              </w:rPr>
            </w:pPr>
          </w:p>
        </w:tc>
      </w:tr>
    </w:tbl>
    <w:p w14:paraId="0FC0EC76" w14:textId="47079FFA" w:rsidR="001D0537" w:rsidRDefault="001D0537" w:rsidP="004C3312">
      <w:pPr>
        <w:spacing w:after="160" w:line="259" w:lineRule="auto"/>
        <w:jc w:val="left"/>
        <w:rPr>
          <w:b/>
          <w:sz w:val="24"/>
          <w:szCs w:val="24"/>
        </w:rPr>
      </w:pPr>
    </w:p>
    <w:tbl>
      <w:tblPr>
        <w:tblpPr w:leftFromText="141" w:rightFromText="141" w:vertAnchor="text" w:tblpY="1"/>
        <w:tblOverlap w:val="never"/>
        <w:tblW w:w="9072" w:type="dxa"/>
        <w:tblCellMar>
          <w:left w:w="70" w:type="dxa"/>
          <w:right w:w="70" w:type="dxa"/>
        </w:tblCellMar>
        <w:tblLook w:val="04A0" w:firstRow="1" w:lastRow="0" w:firstColumn="1" w:lastColumn="0" w:noHBand="0" w:noVBand="1"/>
      </w:tblPr>
      <w:tblGrid>
        <w:gridCol w:w="1305"/>
        <w:gridCol w:w="6492"/>
        <w:gridCol w:w="1275"/>
      </w:tblGrid>
      <w:tr w:rsidR="004C3312" w:rsidRPr="00C23C36" w14:paraId="39B34162" w14:textId="77777777" w:rsidTr="004C3312">
        <w:trPr>
          <w:trHeight w:val="375"/>
        </w:trPr>
        <w:tc>
          <w:tcPr>
            <w:tcW w:w="7797" w:type="dxa"/>
            <w:gridSpan w:val="2"/>
            <w:tcBorders>
              <w:top w:val="nil"/>
              <w:left w:val="nil"/>
              <w:bottom w:val="single" w:sz="4" w:space="0" w:color="auto"/>
              <w:right w:val="nil"/>
            </w:tcBorders>
            <w:shd w:val="clear" w:color="auto" w:fill="auto"/>
            <w:noWrap/>
            <w:vAlign w:val="center"/>
            <w:hideMark/>
          </w:tcPr>
          <w:p w14:paraId="6789346F" w14:textId="159998F5" w:rsidR="004C3312" w:rsidRPr="00C23C36" w:rsidRDefault="004C3312" w:rsidP="00507DFC">
            <w:pPr>
              <w:spacing w:after="0" w:line="240" w:lineRule="auto"/>
              <w:jc w:val="left"/>
              <w:rPr>
                <w:rFonts w:eastAsia="Times New Roman" w:cs="Times New Roman"/>
                <w:b/>
                <w:bCs/>
                <w:color w:val="5B9BD5" w:themeColor="accent1"/>
                <w:sz w:val="20"/>
                <w:szCs w:val="20"/>
                <w:lang w:eastAsia="sk-SK"/>
              </w:rPr>
            </w:pPr>
            <w:r>
              <w:rPr>
                <w:rFonts w:eastAsia="Times New Roman" w:cs="Times New Roman"/>
                <w:b/>
                <w:bCs/>
                <w:color w:val="5B9BD5" w:themeColor="accent1"/>
                <w:sz w:val="20"/>
                <w:szCs w:val="20"/>
                <w:lang w:eastAsia="sk-SK"/>
              </w:rPr>
              <w:t xml:space="preserve">Tabuľka </w:t>
            </w:r>
            <w:r w:rsidR="001656EA">
              <w:rPr>
                <w:rFonts w:eastAsia="Times New Roman" w:cs="Times New Roman"/>
                <w:b/>
                <w:bCs/>
                <w:color w:val="5B9BD5" w:themeColor="accent1"/>
                <w:sz w:val="20"/>
                <w:szCs w:val="20"/>
                <w:lang w:eastAsia="sk-SK"/>
              </w:rPr>
              <w:t>5</w:t>
            </w:r>
            <w:r w:rsidR="00507DFC">
              <w:rPr>
                <w:rFonts w:eastAsia="Times New Roman" w:cs="Times New Roman"/>
                <w:b/>
                <w:bCs/>
                <w:color w:val="5B9BD5" w:themeColor="accent1"/>
                <w:sz w:val="20"/>
                <w:szCs w:val="20"/>
                <w:lang w:eastAsia="sk-SK"/>
              </w:rPr>
              <w:t>8</w:t>
            </w:r>
            <w:r w:rsidRPr="00C23C36">
              <w:rPr>
                <w:rFonts w:eastAsia="Times New Roman" w:cs="Times New Roman"/>
                <w:b/>
                <w:bCs/>
                <w:color w:val="5B9BD5" w:themeColor="accent1"/>
                <w:sz w:val="20"/>
                <w:szCs w:val="20"/>
                <w:lang w:eastAsia="sk-SK"/>
              </w:rPr>
              <w:t xml:space="preserve"> - Rezerva na mzdy a poistné - viazanie v kapitolách</w:t>
            </w:r>
          </w:p>
        </w:tc>
        <w:tc>
          <w:tcPr>
            <w:tcW w:w="1275" w:type="dxa"/>
            <w:tcBorders>
              <w:top w:val="nil"/>
              <w:left w:val="nil"/>
              <w:bottom w:val="nil"/>
              <w:right w:val="nil"/>
            </w:tcBorders>
            <w:shd w:val="clear" w:color="auto" w:fill="auto"/>
            <w:noWrap/>
            <w:vAlign w:val="center"/>
            <w:hideMark/>
          </w:tcPr>
          <w:p w14:paraId="15AD7020" w14:textId="77777777" w:rsidR="004C3312" w:rsidRPr="00C23C36" w:rsidRDefault="004C3312" w:rsidP="004C3312">
            <w:pPr>
              <w:spacing w:after="0" w:line="240" w:lineRule="auto"/>
              <w:jc w:val="left"/>
              <w:rPr>
                <w:rFonts w:eastAsia="Times New Roman" w:cs="Times New Roman"/>
                <w:b/>
                <w:bCs/>
                <w:sz w:val="20"/>
                <w:szCs w:val="20"/>
                <w:lang w:eastAsia="sk-SK"/>
              </w:rPr>
            </w:pPr>
          </w:p>
        </w:tc>
      </w:tr>
      <w:tr w:rsidR="004C3312" w:rsidRPr="00C23C36" w14:paraId="051E7EF7" w14:textId="77777777" w:rsidTr="004C3312">
        <w:trPr>
          <w:trHeight w:val="375"/>
        </w:trPr>
        <w:tc>
          <w:tcPr>
            <w:tcW w:w="1276" w:type="dxa"/>
            <w:tcBorders>
              <w:top w:val="nil"/>
              <w:left w:val="nil"/>
              <w:bottom w:val="single" w:sz="4" w:space="0" w:color="auto"/>
              <w:right w:val="nil"/>
            </w:tcBorders>
            <w:shd w:val="clear" w:color="auto" w:fill="auto"/>
            <w:vAlign w:val="center"/>
            <w:hideMark/>
          </w:tcPr>
          <w:p w14:paraId="2CE02A90" w14:textId="77777777" w:rsidR="004C3312" w:rsidRPr="00C23C36" w:rsidRDefault="004C3312" w:rsidP="004C3312">
            <w:pPr>
              <w:spacing w:after="0" w:line="240" w:lineRule="auto"/>
              <w:jc w:val="left"/>
              <w:rPr>
                <w:rFonts w:eastAsia="Times New Roman" w:cs="Times New Roman"/>
                <w:b/>
                <w:bCs/>
                <w:sz w:val="16"/>
                <w:szCs w:val="16"/>
                <w:lang w:eastAsia="sk-SK"/>
              </w:rPr>
            </w:pPr>
            <w:r w:rsidRPr="00C23C36">
              <w:rPr>
                <w:rFonts w:eastAsia="Times New Roman" w:cs="Times New Roman"/>
                <w:b/>
                <w:bCs/>
                <w:sz w:val="16"/>
                <w:szCs w:val="16"/>
                <w:lang w:eastAsia="sk-SK"/>
              </w:rPr>
              <w:t xml:space="preserve">Kapitola </w:t>
            </w:r>
          </w:p>
        </w:tc>
        <w:tc>
          <w:tcPr>
            <w:tcW w:w="6521" w:type="dxa"/>
            <w:tcBorders>
              <w:top w:val="nil"/>
              <w:left w:val="nil"/>
              <w:bottom w:val="single" w:sz="4" w:space="0" w:color="auto"/>
              <w:right w:val="nil"/>
            </w:tcBorders>
            <w:shd w:val="clear" w:color="auto" w:fill="auto"/>
            <w:vAlign w:val="center"/>
            <w:hideMark/>
          </w:tcPr>
          <w:p w14:paraId="2ECDA79C" w14:textId="77777777" w:rsidR="004C3312" w:rsidRPr="00C23C36" w:rsidRDefault="004C3312" w:rsidP="004C3312">
            <w:pPr>
              <w:spacing w:after="0" w:line="240" w:lineRule="auto"/>
              <w:jc w:val="center"/>
              <w:rPr>
                <w:rFonts w:eastAsia="Times New Roman" w:cs="Times New Roman"/>
                <w:b/>
                <w:bCs/>
                <w:sz w:val="16"/>
                <w:szCs w:val="16"/>
                <w:lang w:eastAsia="sk-SK"/>
              </w:rPr>
            </w:pPr>
            <w:r w:rsidRPr="00C23C36">
              <w:rPr>
                <w:rFonts w:eastAsia="Times New Roman" w:cs="Times New Roman"/>
                <w:b/>
                <w:bCs/>
                <w:sz w:val="16"/>
                <w:szCs w:val="16"/>
                <w:lang w:eastAsia="sk-SK"/>
              </w:rPr>
              <w:t>Účel</w:t>
            </w:r>
          </w:p>
        </w:tc>
        <w:tc>
          <w:tcPr>
            <w:tcW w:w="1275" w:type="dxa"/>
            <w:tcBorders>
              <w:top w:val="single" w:sz="4" w:space="0" w:color="auto"/>
              <w:left w:val="nil"/>
              <w:bottom w:val="single" w:sz="4" w:space="0" w:color="auto"/>
              <w:right w:val="nil"/>
            </w:tcBorders>
            <w:shd w:val="clear" w:color="auto" w:fill="auto"/>
            <w:vAlign w:val="center"/>
            <w:hideMark/>
          </w:tcPr>
          <w:p w14:paraId="22A3E896" w14:textId="444B9356" w:rsidR="004C3312" w:rsidRPr="00C23C36" w:rsidRDefault="004C3312" w:rsidP="00367871">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Suma v tis. eur</w:t>
            </w:r>
          </w:p>
        </w:tc>
      </w:tr>
      <w:tr w:rsidR="004C3312" w:rsidRPr="00C23C36" w14:paraId="26113A52" w14:textId="77777777" w:rsidTr="004C3312">
        <w:trPr>
          <w:trHeight w:val="792"/>
        </w:trPr>
        <w:tc>
          <w:tcPr>
            <w:tcW w:w="1276" w:type="dxa"/>
            <w:vMerge w:val="restart"/>
            <w:tcBorders>
              <w:top w:val="nil"/>
              <w:left w:val="nil"/>
              <w:bottom w:val="nil"/>
              <w:right w:val="nil"/>
            </w:tcBorders>
            <w:shd w:val="clear" w:color="auto" w:fill="auto"/>
            <w:vAlign w:val="center"/>
            <w:hideMark/>
          </w:tcPr>
          <w:p w14:paraId="7DF96D3E"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zdravotníctva</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64E0E778"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 xml:space="preserve">Prechod kompetencií z MZ SR na Národný inštitút pre hodnotu a technológie v súlade so zákonom č. 358/2021 Z. z. o Národnom inštitúte pre hodnotu a technológie v zdravotníctve a o zmene </w:t>
            </w:r>
            <w:r w:rsidRPr="00C23C36">
              <w:rPr>
                <w:rFonts w:eastAsia="Times New Roman" w:cs="Times New Roman"/>
                <w:sz w:val="16"/>
                <w:szCs w:val="16"/>
                <w:lang w:eastAsia="sk-SK"/>
              </w:rPr>
              <w:br/>
              <w:t>a doplnení niektorých zákonov (5 osôb)</w:t>
            </w:r>
          </w:p>
        </w:tc>
        <w:tc>
          <w:tcPr>
            <w:tcW w:w="1275" w:type="dxa"/>
            <w:tcBorders>
              <w:top w:val="nil"/>
              <w:left w:val="nil"/>
              <w:bottom w:val="nil"/>
              <w:right w:val="nil"/>
            </w:tcBorders>
            <w:shd w:val="clear" w:color="auto" w:fill="auto"/>
            <w:vAlign w:val="center"/>
            <w:hideMark/>
          </w:tcPr>
          <w:p w14:paraId="231CE1DA"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267</w:t>
            </w:r>
          </w:p>
        </w:tc>
      </w:tr>
      <w:tr w:rsidR="004C3312" w:rsidRPr="00C23C36" w14:paraId="18EBEFC8" w14:textId="77777777" w:rsidTr="004C3312">
        <w:trPr>
          <w:trHeight w:val="510"/>
        </w:trPr>
        <w:tc>
          <w:tcPr>
            <w:tcW w:w="1276" w:type="dxa"/>
            <w:vMerge/>
            <w:tcBorders>
              <w:top w:val="nil"/>
              <w:left w:val="nil"/>
              <w:bottom w:val="nil"/>
              <w:right w:val="nil"/>
            </w:tcBorders>
            <w:vAlign w:val="center"/>
            <w:hideMark/>
          </w:tcPr>
          <w:p w14:paraId="7DF71242" w14:textId="77777777" w:rsidR="004C3312" w:rsidRPr="00C23C36" w:rsidRDefault="004C3312" w:rsidP="004C3312">
            <w:pPr>
              <w:spacing w:after="0" w:line="240" w:lineRule="auto"/>
              <w:jc w:val="lef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0A847035"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15D1490B"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9</w:t>
            </w:r>
          </w:p>
        </w:tc>
      </w:tr>
      <w:tr w:rsidR="004C3312" w:rsidRPr="00C23C36" w14:paraId="3E29F4B9" w14:textId="77777777" w:rsidTr="004C3312">
        <w:trPr>
          <w:trHeight w:val="339"/>
        </w:trPr>
        <w:tc>
          <w:tcPr>
            <w:tcW w:w="1276" w:type="dxa"/>
            <w:vMerge/>
            <w:tcBorders>
              <w:top w:val="nil"/>
              <w:left w:val="nil"/>
              <w:bottom w:val="nil"/>
              <w:right w:val="nil"/>
            </w:tcBorders>
            <w:vAlign w:val="center"/>
            <w:hideMark/>
          </w:tcPr>
          <w:p w14:paraId="2E5A9BC2" w14:textId="77777777" w:rsidR="004C3312" w:rsidRPr="00C23C36" w:rsidRDefault="004C3312" w:rsidP="004C3312">
            <w:pPr>
              <w:spacing w:after="0" w:line="240" w:lineRule="auto"/>
              <w:jc w:val="lef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65161B9E"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 xml:space="preserve">Na odmeny pre príslušníkov Úradu pre ochranu ústavných činiteľov a diplomatických misií MV SR </w:t>
            </w:r>
          </w:p>
        </w:tc>
        <w:tc>
          <w:tcPr>
            <w:tcW w:w="1275" w:type="dxa"/>
            <w:tcBorders>
              <w:top w:val="nil"/>
              <w:left w:val="nil"/>
              <w:bottom w:val="nil"/>
              <w:right w:val="nil"/>
            </w:tcBorders>
            <w:shd w:val="clear" w:color="auto" w:fill="auto"/>
            <w:vAlign w:val="center"/>
            <w:hideMark/>
          </w:tcPr>
          <w:p w14:paraId="1C2E7ACE"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5</w:t>
            </w:r>
          </w:p>
        </w:tc>
      </w:tr>
      <w:tr w:rsidR="004C3312" w:rsidRPr="00C23C36" w14:paraId="0795CD92"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6A9E2669"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503475BE"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282</w:t>
            </w:r>
          </w:p>
        </w:tc>
      </w:tr>
      <w:tr w:rsidR="004C3312" w:rsidRPr="00C23C36" w14:paraId="464F7089" w14:textId="77777777" w:rsidTr="004C3312">
        <w:trPr>
          <w:trHeight w:val="320"/>
        </w:trPr>
        <w:tc>
          <w:tcPr>
            <w:tcW w:w="1276" w:type="dxa"/>
            <w:vMerge w:val="restart"/>
            <w:tcBorders>
              <w:top w:val="nil"/>
              <w:left w:val="nil"/>
              <w:bottom w:val="nil"/>
              <w:right w:val="nil"/>
            </w:tcBorders>
            <w:shd w:val="clear" w:color="auto" w:fill="auto"/>
            <w:vAlign w:val="center"/>
            <w:hideMark/>
          </w:tcPr>
          <w:p w14:paraId="18FC21D3"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vlády</w:t>
            </w:r>
            <w:r w:rsidRPr="00C23C36">
              <w:rPr>
                <w:rFonts w:eastAsia="Times New Roman" w:cs="Times New Roman"/>
                <w:sz w:val="16"/>
                <w:szCs w:val="16"/>
                <w:lang w:eastAsia="sk-SK"/>
              </w:rPr>
              <w:t xml:space="preserve"> SR </w:t>
            </w:r>
          </w:p>
        </w:tc>
        <w:tc>
          <w:tcPr>
            <w:tcW w:w="6521" w:type="dxa"/>
            <w:tcBorders>
              <w:top w:val="nil"/>
              <w:left w:val="nil"/>
              <w:bottom w:val="nil"/>
              <w:right w:val="nil"/>
            </w:tcBorders>
            <w:shd w:val="clear" w:color="auto" w:fill="auto"/>
            <w:vAlign w:val="bottom"/>
            <w:hideMark/>
          </w:tcPr>
          <w:p w14:paraId="1BAA4F95"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0F3D8622"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33</w:t>
            </w:r>
          </w:p>
        </w:tc>
      </w:tr>
      <w:tr w:rsidR="004C3312" w:rsidRPr="00C23C36" w14:paraId="4FD59EE4" w14:textId="77777777" w:rsidTr="004C3312">
        <w:trPr>
          <w:trHeight w:val="495"/>
        </w:trPr>
        <w:tc>
          <w:tcPr>
            <w:tcW w:w="1276" w:type="dxa"/>
            <w:vMerge/>
            <w:tcBorders>
              <w:top w:val="nil"/>
              <w:left w:val="nil"/>
              <w:bottom w:val="nil"/>
              <w:right w:val="nil"/>
            </w:tcBorders>
            <w:vAlign w:val="center"/>
            <w:hideMark/>
          </w:tcPr>
          <w:p w14:paraId="709D1BB9" w14:textId="77777777" w:rsidR="004C3312" w:rsidRPr="00C23C36" w:rsidRDefault="004C3312" w:rsidP="004C3312">
            <w:pPr>
              <w:spacing w:after="0" w:line="240" w:lineRule="auto"/>
              <w:jc w:val="lef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563D6DE2"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0DAD63AD"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20</w:t>
            </w:r>
          </w:p>
        </w:tc>
      </w:tr>
      <w:tr w:rsidR="004C3312" w:rsidRPr="00C23C36" w14:paraId="2E16ACB4"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513D6FC3"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3CF56B00"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53</w:t>
            </w:r>
          </w:p>
        </w:tc>
      </w:tr>
      <w:tr w:rsidR="004C3312" w:rsidRPr="00C23C36" w14:paraId="61D76D72" w14:textId="77777777" w:rsidTr="004C3312">
        <w:trPr>
          <w:trHeight w:val="270"/>
        </w:trPr>
        <w:tc>
          <w:tcPr>
            <w:tcW w:w="1276" w:type="dxa"/>
            <w:tcBorders>
              <w:top w:val="nil"/>
              <w:left w:val="nil"/>
              <w:bottom w:val="nil"/>
              <w:right w:val="nil"/>
            </w:tcBorders>
            <w:shd w:val="clear" w:color="auto" w:fill="auto"/>
            <w:vAlign w:val="center"/>
            <w:hideMark/>
          </w:tcPr>
          <w:p w14:paraId="36EC36BB"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národnej rady</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1EFC6666"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ústavných činiteľov</w:t>
            </w:r>
          </w:p>
        </w:tc>
        <w:tc>
          <w:tcPr>
            <w:tcW w:w="1275" w:type="dxa"/>
            <w:tcBorders>
              <w:top w:val="nil"/>
              <w:left w:val="nil"/>
              <w:bottom w:val="nil"/>
              <w:right w:val="nil"/>
            </w:tcBorders>
            <w:shd w:val="clear" w:color="auto" w:fill="auto"/>
            <w:vAlign w:val="center"/>
            <w:hideMark/>
          </w:tcPr>
          <w:p w14:paraId="53F10EF3"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33</w:t>
            </w:r>
          </w:p>
        </w:tc>
      </w:tr>
      <w:tr w:rsidR="004C3312" w:rsidRPr="00C23C36" w14:paraId="77400063" w14:textId="77777777" w:rsidTr="004C3312">
        <w:trPr>
          <w:trHeight w:val="270"/>
        </w:trPr>
        <w:tc>
          <w:tcPr>
            <w:tcW w:w="1276" w:type="dxa"/>
            <w:tcBorders>
              <w:top w:val="nil"/>
              <w:left w:val="nil"/>
              <w:bottom w:val="nil"/>
              <w:right w:val="nil"/>
            </w:tcBorders>
            <w:shd w:val="clear" w:color="auto" w:fill="auto"/>
            <w:vAlign w:val="center"/>
            <w:hideMark/>
          </w:tcPr>
          <w:p w14:paraId="208EA135" w14:textId="77777777" w:rsidR="004C3312" w:rsidRPr="00C23C36" w:rsidRDefault="004C3312" w:rsidP="004C3312">
            <w:pPr>
              <w:spacing w:after="0" w:line="240" w:lineRule="auto"/>
              <w:jc w:val="righ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1ACB2C39"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7F6C427F"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16</w:t>
            </w:r>
          </w:p>
        </w:tc>
      </w:tr>
      <w:tr w:rsidR="004C3312" w:rsidRPr="00C23C36" w14:paraId="467F63DD"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6D5BD8B6"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7795BCF8"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49</w:t>
            </w:r>
          </w:p>
        </w:tc>
      </w:tr>
      <w:tr w:rsidR="004C3312" w:rsidRPr="00C23C36" w14:paraId="2B39D22D" w14:textId="77777777" w:rsidTr="004C3312">
        <w:trPr>
          <w:trHeight w:val="325"/>
        </w:trPr>
        <w:tc>
          <w:tcPr>
            <w:tcW w:w="1276" w:type="dxa"/>
            <w:vMerge w:val="restart"/>
            <w:tcBorders>
              <w:top w:val="nil"/>
              <w:left w:val="nil"/>
              <w:bottom w:val="nil"/>
              <w:right w:val="nil"/>
            </w:tcBorders>
            <w:shd w:val="clear" w:color="auto" w:fill="auto"/>
            <w:vAlign w:val="center"/>
            <w:hideMark/>
          </w:tcPr>
          <w:p w14:paraId="2026F32C"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financií</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114BA951"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1EAB4319"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14</w:t>
            </w:r>
          </w:p>
        </w:tc>
      </w:tr>
      <w:tr w:rsidR="004C3312" w:rsidRPr="00C23C36" w14:paraId="063B24E2" w14:textId="77777777" w:rsidTr="004C3312">
        <w:trPr>
          <w:trHeight w:val="450"/>
        </w:trPr>
        <w:tc>
          <w:tcPr>
            <w:tcW w:w="1276" w:type="dxa"/>
            <w:vMerge/>
            <w:tcBorders>
              <w:top w:val="nil"/>
              <w:left w:val="nil"/>
              <w:bottom w:val="nil"/>
              <w:right w:val="nil"/>
            </w:tcBorders>
            <w:vAlign w:val="center"/>
            <w:hideMark/>
          </w:tcPr>
          <w:p w14:paraId="6440D5BF" w14:textId="77777777" w:rsidR="004C3312" w:rsidRPr="00C23C36" w:rsidRDefault="004C3312" w:rsidP="004C3312">
            <w:pPr>
              <w:spacing w:after="0" w:line="240" w:lineRule="auto"/>
              <w:jc w:val="lef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2654F294"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23EAEAB7"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9</w:t>
            </w:r>
          </w:p>
        </w:tc>
      </w:tr>
      <w:tr w:rsidR="004C3312" w:rsidRPr="00C23C36" w14:paraId="216B854C"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2602A0A2"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4DD938F9"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23</w:t>
            </w:r>
          </w:p>
        </w:tc>
      </w:tr>
      <w:tr w:rsidR="004C3312" w:rsidRPr="00C23C36" w14:paraId="4327E981" w14:textId="77777777" w:rsidTr="004C3312">
        <w:trPr>
          <w:trHeight w:val="312"/>
        </w:trPr>
        <w:tc>
          <w:tcPr>
            <w:tcW w:w="1276" w:type="dxa"/>
            <w:vMerge w:val="restart"/>
            <w:tcBorders>
              <w:top w:val="nil"/>
              <w:left w:val="nil"/>
              <w:bottom w:val="nil"/>
              <w:right w:val="nil"/>
            </w:tcBorders>
            <w:shd w:val="clear" w:color="auto" w:fill="auto"/>
            <w:vAlign w:val="center"/>
            <w:hideMark/>
          </w:tcPr>
          <w:p w14:paraId="34E56A1C" w14:textId="77777777" w:rsidR="004C3312" w:rsidRPr="00C23C36" w:rsidRDefault="004C3312" w:rsidP="004C3312">
            <w:pPr>
              <w:spacing w:after="0" w:line="240" w:lineRule="auto"/>
              <w:jc w:val="left"/>
              <w:rPr>
                <w:rFonts w:eastAsia="Times New Roman" w:cs="Times New Roman"/>
                <w:sz w:val="16"/>
                <w:szCs w:val="16"/>
                <w:lang w:eastAsia="sk-SK"/>
              </w:rPr>
            </w:pPr>
            <w:r w:rsidRPr="00C23C36">
              <w:rPr>
                <w:rFonts w:eastAsia="Times New Roman" w:cs="Times New Roman"/>
                <w:sz w:val="16"/>
                <w:szCs w:val="16"/>
                <w:lang w:eastAsia="sk-SK"/>
              </w:rPr>
              <w:t>M</w:t>
            </w:r>
            <w:r>
              <w:rPr>
                <w:rFonts w:eastAsia="Times New Roman" w:cs="Times New Roman"/>
                <w:sz w:val="16"/>
                <w:szCs w:val="16"/>
                <w:lang w:eastAsia="sk-SK"/>
              </w:rPr>
              <w:t>inisterstvo zahraničných vecí a európskych záležitostí</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6024822C"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73A2AF31"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11</w:t>
            </w:r>
          </w:p>
        </w:tc>
      </w:tr>
      <w:tr w:rsidR="004C3312" w:rsidRPr="00C23C36" w14:paraId="7AD9CE13" w14:textId="77777777" w:rsidTr="004C3312">
        <w:trPr>
          <w:trHeight w:val="450"/>
        </w:trPr>
        <w:tc>
          <w:tcPr>
            <w:tcW w:w="1276" w:type="dxa"/>
            <w:vMerge/>
            <w:tcBorders>
              <w:top w:val="nil"/>
              <w:left w:val="nil"/>
              <w:bottom w:val="nil"/>
              <w:right w:val="nil"/>
            </w:tcBorders>
            <w:vAlign w:val="center"/>
            <w:hideMark/>
          </w:tcPr>
          <w:p w14:paraId="6D35D9B2" w14:textId="77777777" w:rsidR="004C3312" w:rsidRPr="00C23C36" w:rsidRDefault="004C3312" w:rsidP="004C3312">
            <w:pPr>
              <w:spacing w:after="0" w:line="240" w:lineRule="auto"/>
              <w:jc w:val="lef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45ED67B7"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3FB0C09B"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9</w:t>
            </w:r>
          </w:p>
        </w:tc>
      </w:tr>
      <w:tr w:rsidR="004C3312" w:rsidRPr="00C23C36" w14:paraId="025B8FCB"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10C3B1F5"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3E8EABA4"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20</w:t>
            </w:r>
          </w:p>
        </w:tc>
      </w:tr>
      <w:tr w:rsidR="004C3312" w:rsidRPr="00C23C36" w14:paraId="5B2952F4" w14:textId="77777777" w:rsidTr="00367871">
        <w:trPr>
          <w:trHeight w:val="450"/>
        </w:trPr>
        <w:tc>
          <w:tcPr>
            <w:tcW w:w="1276" w:type="dxa"/>
            <w:tcBorders>
              <w:top w:val="nil"/>
              <w:left w:val="nil"/>
              <w:bottom w:val="nil"/>
              <w:right w:val="nil"/>
            </w:tcBorders>
            <w:shd w:val="clear" w:color="auto" w:fill="auto"/>
            <w:vAlign w:val="center"/>
            <w:hideMark/>
          </w:tcPr>
          <w:p w14:paraId="0DA810BA" w14:textId="77777777" w:rsidR="004C3312" w:rsidRPr="00C23C36" w:rsidRDefault="004C3312" w:rsidP="004C3312">
            <w:pPr>
              <w:spacing w:after="0" w:line="240" w:lineRule="auto"/>
              <w:jc w:val="left"/>
              <w:rPr>
                <w:rFonts w:eastAsia="Times New Roman" w:cs="Times New Roman"/>
                <w:sz w:val="16"/>
                <w:szCs w:val="16"/>
                <w:lang w:eastAsia="sk-SK"/>
              </w:rPr>
            </w:pPr>
            <w:r w:rsidRPr="00C23C36">
              <w:rPr>
                <w:rFonts w:eastAsia="Times New Roman" w:cs="Times New Roman"/>
                <w:sz w:val="16"/>
                <w:szCs w:val="16"/>
                <w:lang w:eastAsia="sk-SK"/>
              </w:rPr>
              <w:t>M</w:t>
            </w:r>
            <w:r>
              <w:rPr>
                <w:rFonts w:eastAsia="Times New Roman" w:cs="Times New Roman"/>
                <w:sz w:val="16"/>
                <w:szCs w:val="16"/>
                <w:lang w:eastAsia="sk-SK"/>
              </w:rPr>
              <w:t>inisterstvo školstva, vedy, výskumu a športu</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center"/>
            <w:hideMark/>
          </w:tcPr>
          <w:p w14:paraId="039668F9"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3C45C1D1"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13</w:t>
            </w:r>
          </w:p>
        </w:tc>
      </w:tr>
      <w:tr w:rsidR="004C3312" w:rsidRPr="00C23C36" w14:paraId="0941FCE7" w14:textId="77777777" w:rsidTr="00367871">
        <w:trPr>
          <w:trHeight w:val="274"/>
        </w:trPr>
        <w:tc>
          <w:tcPr>
            <w:tcW w:w="1276" w:type="dxa"/>
            <w:tcBorders>
              <w:top w:val="nil"/>
              <w:left w:val="nil"/>
              <w:bottom w:val="nil"/>
              <w:right w:val="nil"/>
            </w:tcBorders>
            <w:shd w:val="clear" w:color="auto" w:fill="auto"/>
            <w:vAlign w:val="center"/>
            <w:hideMark/>
          </w:tcPr>
          <w:p w14:paraId="5B604749" w14:textId="77777777" w:rsidR="004C3312" w:rsidRPr="00C23C36" w:rsidRDefault="004C3312" w:rsidP="004C3312">
            <w:pPr>
              <w:spacing w:after="0" w:line="240" w:lineRule="auto"/>
              <w:jc w:val="right"/>
              <w:rPr>
                <w:rFonts w:eastAsia="Times New Roman" w:cs="Times New Roman"/>
                <w:sz w:val="16"/>
                <w:szCs w:val="16"/>
                <w:lang w:eastAsia="sk-SK"/>
              </w:rPr>
            </w:pPr>
          </w:p>
        </w:tc>
        <w:tc>
          <w:tcPr>
            <w:tcW w:w="6521" w:type="dxa"/>
            <w:tcBorders>
              <w:top w:val="nil"/>
              <w:left w:val="nil"/>
              <w:bottom w:val="nil"/>
              <w:right w:val="nil"/>
            </w:tcBorders>
            <w:shd w:val="clear" w:color="auto" w:fill="auto"/>
            <w:vAlign w:val="center"/>
            <w:hideMark/>
          </w:tcPr>
          <w:p w14:paraId="179BA3E6"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48EB6301"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5</w:t>
            </w:r>
          </w:p>
        </w:tc>
      </w:tr>
      <w:tr w:rsidR="004C3312" w:rsidRPr="00C23C36" w14:paraId="381B7F07"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438FCDBC"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7ED47864"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19</w:t>
            </w:r>
          </w:p>
        </w:tc>
      </w:tr>
      <w:tr w:rsidR="004C3312" w:rsidRPr="00C23C36" w14:paraId="2E49D6D4" w14:textId="77777777" w:rsidTr="00367871">
        <w:trPr>
          <w:trHeight w:val="450"/>
        </w:trPr>
        <w:tc>
          <w:tcPr>
            <w:tcW w:w="1276" w:type="dxa"/>
            <w:tcBorders>
              <w:top w:val="nil"/>
              <w:left w:val="nil"/>
              <w:bottom w:val="nil"/>
              <w:right w:val="nil"/>
            </w:tcBorders>
            <w:shd w:val="clear" w:color="auto" w:fill="auto"/>
            <w:vAlign w:val="center"/>
            <w:hideMark/>
          </w:tcPr>
          <w:p w14:paraId="11E4FC33"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kultúry</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center"/>
            <w:hideMark/>
          </w:tcPr>
          <w:p w14:paraId="18ABDD0A"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144B7811"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9</w:t>
            </w:r>
          </w:p>
        </w:tc>
      </w:tr>
      <w:tr w:rsidR="004C3312" w:rsidRPr="00C23C36" w14:paraId="47D84DFB" w14:textId="77777777" w:rsidTr="004C3312">
        <w:trPr>
          <w:trHeight w:val="290"/>
        </w:trPr>
        <w:tc>
          <w:tcPr>
            <w:tcW w:w="1276" w:type="dxa"/>
            <w:tcBorders>
              <w:top w:val="nil"/>
              <w:left w:val="nil"/>
              <w:bottom w:val="nil"/>
              <w:right w:val="nil"/>
            </w:tcBorders>
            <w:shd w:val="clear" w:color="auto" w:fill="auto"/>
            <w:vAlign w:val="center"/>
            <w:hideMark/>
          </w:tcPr>
          <w:p w14:paraId="61C354C3" w14:textId="77777777" w:rsidR="004C3312" w:rsidRPr="00C23C36" w:rsidRDefault="004C3312" w:rsidP="004C3312">
            <w:pPr>
              <w:spacing w:after="0" w:line="240" w:lineRule="auto"/>
              <w:jc w:val="righ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1D979D33"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5C7677A1"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5</w:t>
            </w:r>
          </w:p>
        </w:tc>
      </w:tr>
      <w:tr w:rsidR="004C3312" w:rsidRPr="00C23C36" w14:paraId="485EF8F3"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50345EA3"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041F85DC"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14</w:t>
            </w:r>
          </w:p>
        </w:tc>
      </w:tr>
      <w:tr w:rsidR="004C3312" w:rsidRPr="00C23C36" w14:paraId="0C4994DF" w14:textId="77777777" w:rsidTr="004C3312">
        <w:trPr>
          <w:trHeight w:val="450"/>
        </w:trPr>
        <w:tc>
          <w:tcPr>
            <w:tcW w:w="1276" w:type="dxa"/>
            <w:tcBorders>
              <w:top w:val="nil"/>
              <w:left w:val="nil"/>
              <w:bottom w:val="nil"/>
              <w:right w:val="nil"/>
            </w:tcBorders>
            <w:shd w:val="clear" w:color="auto" w:fill="auto"/>
            <w:vAlign w:val="center"/>
            <w:hideMark/>
          </w:tcPr>
          <w:p w14:paraId="7E816CAC"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dopravy a výstavby</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4632FFFD"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2D937057"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9</w:t>
            </w:r>
          </w:p>
        </w:tc>
      </w:tr>
      <w:tr w:rsidR="004C3312" w:rsidRPr="00C23C36" w14:paraId="17E888C8" w14:textId="77777777" w:rsidTr="004C3312">
        <w:trPr>
          <w:trHeight w:val="306"/>
        </w:trPr>
        <w:tc>
          <w:tcPr>
            <w:tcW w:w="1276" w:type="dxa"/>
            <w:tcBorders>
              <w:top w:val="nil"/>
              <w:left w:val="nil"/>
              <w:bottom w:val="nil"/>
              <w:right w:val="nil"/>
            </w:tcBorders>
            <w:shd w:val="clear" w:color="auto" w:fill="auto"/>
            <w:vAlign w:val="center"/>
            <w:hideMark/>
          </w:tcPr>
          <w:p w14:paraId="7DE0EBA0" w14:textId="77777777" w:rsidR="004C3312" w:rsidRPr="00C23C36" w:rsidRDefault="004C3312" w:rsidP="004C3312">
            <w:pPr>
              <w:spacing w:after="0" w:line="240" w:lineRule="auto"/>
              <w:jc w:val="righ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38BC574E"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2C6E20AE"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5</w:t>
            </w:r>
          </w:p>
        </w:tc>
      </w:tr>
      <w:tr w:rsidR="004C3312" w:rsidRPr="00C23C36" w14:paraId="1DA3494C"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4ED424C4"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lastRenderedPageBreak/>
              <w:t>Spolu</w:t>
            </w:r>
          </w:p>
        </w:tc>
        <w:tc>
          <w:tcPr>
            <w:tcW w:w="1275" w:type="dxa"/>
            <w:tcBorders>
              <w:top w:val="nil"/>
              <w:left w:val="nil"/>
              <w:bottom w:val="single" w:sz="4" w:space="0" w:color="auto"/>
              <w:right w:val="nil"/>
            </w:tcBorders>
            <w:shd w:val="clear" w:color="auto" w:fill="auto"/>
            <w:vAlign w:val="center"/>
            <w:hideMark/>
          </w:tcPr>
          <w:p w14:paraId="3B935150"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14</w:t>
            </w:r>
          </w:p>
        </w:tc>
      </w:tr>
      <w:tr w:rsidR="004C3312" w:rsidRPr="00C23C36" w14:paraId="788D41DA" w14:textId="77777777" w:rsidTr="00367871">
        <w:trPr>
          <w:trHeight w:val="450"/>
        </w:trPr>
        <w:tc>
          <w:tcPr>
            <w:tcW w:w="1276" w:type="dxa"/>
            <w:tcBorders>
              <w:top w:val="nil"/>
              <w:left w:val="nil"/>
              <w:bottom w:val="nil"/>
              <w:right w:val="nil"/>
            </w:tcBorders>
            <w:shd w:val="clear" w:color="auto" w:fill="auto"/>
            <w:vAlign w:val="center"/>
            <w:hideMark/>
          </w:tcPr>
          <w:p w14:paraId="1C3FBD48"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pôdohospodárstva a rozvoja vidieka</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center"/>
            <w:hideMark/>
          </w:tcPr>
          <w:p w14:paraId="544D305F"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304595B6"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9</w:t>
            </w:r>
          </w:p>
        </w:tc>
      </w:tr>
      <w:tr w:rsidR="004C3312" w:rsidRPr="00C23C36" w14:paraId="1DFFD5EE" w14:textId="77777777" w:rsidTr="004C3312">
        <w:trPr>
          <w:trHeight w:val="293"/>
        </w:trPr>
        <w:tc>
          <w:tcPr>
            <w:tcW w:w="1276" w:type="dxa"/>
            <w:tcBorders>
              <w:top w:val="nil"/>
              <w:left w:val="nil"/>
              <w:bottom w:val="nil"/>
              <w:right w:val="nil"/>
            </w:tcBorders>
            <w:shd w:val="clear" w:color="auto" w:fill="auto"/>
            <w:vAlign w:val="center"/>
            <w:hideMark/>
          </w:tcPr>
          <w:p w14:paraId="5E24471F" w14:textId="77777777" w:rsidR="004C3312" w:rsidRPr="00C23C36" w:rsidRDefault="004C3312" w:rsidP="004C3312">
            <w:pPr>
              <w:spacing w:after="0" w:line="240" w:lineRule="auto"/>
              <w:jc w:val="righ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30C96514"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39376A90"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5</w:t>
            </w:r>
          </w:p>
        </w:tc>
      </w:tr>
      <w:tr w:rsidR="004C3312" w:rsidRPr="00C23C36" w14:paraId="219ABD79"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7ABEC71A"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03E920C4"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14</w:t>
            </w:r>
          </w:p>
        </w:tc>
      </w:tr>
      <w:tr w:rsidR="004C3312" w:rsidRPr="00C23C36" w14:paraId="04BD55E4" w14:textId="77777777" w:rsidTr="004C3312">
        <w:trPr>
          <w:trHeight w:val="450"/>
        </w:trPr>
        <w:tc>
          <w:tcPr>
            <w:tcW w:w="1276" w:type="dxa"/>
            <w:vMerge w:val="restart"/>
            <w:tcBorders>
              <w:top w:val="nil"/>
              <w:left w:val="nil"/>
              <w:bottom w:val="nil"/>
              <w:right w:val="nil"/>
            </w:tcBorders>
            <w:shd w:val="clear" w:color="auto" w:fill="auto"/>
            <w:vAlign w:val="center"/>
            <w:hideMark/>
          </w:tcPr>
          <w:p w14:paraId="48637C42"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práce, sociálnych vecí a rodiny</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2BA2DDC0"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2221C633"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9</w:t>
            </w:r>
          </w:p>
        </w:tc>
      </w:tr>
      <w:tr w:rsidR="004C3312" w:rsidRPr="00C23C36" w14:paraId="7BDA169C" w14:textId="77777777" w:rsidTr="004C3312">
        <w:trPr>
          <w:trHeight w:val="296"/>
        </w:trPr>
        <w:tc>
          <w:tcPr>
            <w:tcW w:w="1276" w:type="dxa"/>
            <w:vMerge/>
            <w:tcBorders>
              <w:top w:val="nil"/>
              <w:left w:val="nil"/>
              <w:bottom w:val="nil"/>
              <w:right w:val="nil"/>
            </w:tcBorders>
            <w:vAlign w:val="center"/>
            <w:hideMark/>
          </w:tcPr>
          <w:p w14:paraId="6E94CA9E" w14:textId="77777777" w:rsidR="004C3312" w:rsidRPr="00C23C36" w:rsidRDefault="004C3312" w:rsidP="004C3312">
            <w:pPr>
              <w:spacing w:after="0" w:line="240" w:lineRule="auto"/>
              <w:jc w:val="lef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5D2DF17A"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4695CCAE"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5</w:t>
            </w:r>
          </w:p>
        </w:tc>
      </w:tr>
      <w:tr w:rsidR="004C3312" w:rsidRPr="00C23C36" w14:paraId="7F30257F"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78A251FC"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06301F5F"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14</w:t>
            </w:r>
          </w:p>
        </w:tc>
      </w:tr>
      <w:tr w:rsidR="004C3312" w:rsidRPr="00C23C36" w14:paraId="24C9FF7C" w14:textId="77777777" w:rsidTr="004C3312">
        <w:trPr>
          <w:trHeight w:val="450"/>
        </w:trPr>
        <w:tc>
          <w:tcPr>
            <w:tcW w:w="1276" w:type="dxa"/>
            <w:vMerge w:val="restart"/>
            <w:tcBorders>
              <w:top w:val="nil"/>
              <w:left w:val="nil"/>
              <w:bottom w:val="nil"/>
              <w:right w:val="nil"/>
            </w:tcBorders>
            <w:shd w:val="clear" w:color="auto" w:fill="auto"/>
            <w:vAlign w:val="center"/>
            <w:hideMark/>
          </w:tcPr>
          <w:p w14:paraId="751B7CDC"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hospodárstva</w:t>
            </w:r>
            <w:r w:rsidRPr="00C23C36">
              <w:rPr>
                <w:rFonts w:eastAsia="Times New Roman" w:cs="Times New Roman"/>
                <w:sz w:val="16"/>
                <w:szCs w:val="16"/>
                <w:lang w:eastAsia="sk-SK"/>
              </w:rPr>
              <w:t xml:space="preserve"> SR </w:t>
            </w:r>
          </w:p>
        </w:tc>
        <w:tc>
          <w:tcPr>
            <w:tcW w:w="6521" w:type="dxa"/>
            <w:tcBorders>
              <w:top w:val="nil"/>
              <w:left w:val="nil"/>
              <w:bottom w:val="nil"/>
              <w:right w:val="nil"/>
            </w:tcBorders>
            <w:shd w:val="clear" w:color="auto" w:fill="auto"/>
            <w:vAlign w:val="bottom"/>
            <w:hideMark/>
          </w:tcPr>
          <w:p w14:paraId="3A91EA59"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0AD83DDD"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9</w:t>
            </w:r>
          </w:p>
        </w:tc>
      </w:tr>
      <w:tr w:rsidR="004C3312" w:rsidRPr="00C23C36" w14:paraId="10937D26" w14:textId="77777777" w:rsidTr="004C3312">
        <w:trPr>
          <w:trHeight w:val="298"/>
        </w:trPr>
        <w:tc>
          <w:tcPr>
            <w:tcW w:w="1276" w:type="dxa"/>
            <w:vMerge/>
            <w:tcBorders>
              <w:top w:val="nil"/>
              <w:left w:val="nil"/>
              <w:bottom w:val="nil"/>
              <w:right w:val="nil"/>
            </w:tcBorders>
            <w:vAlign w:val="center"/>
            <w:hideMark/>
          </w:tcPr>
          <w:p w14:paraId="745AF45C" w14:textId="77777777" w:rsidR="004C3312" w:rsidRPr="00C23C36" w:rsidRDefault="004C3312" w:rsidP="004C3312">
            <w:pPr>
              <w:spacing w:after="0" w:line="240" w:lineRule="auto"/>
              <w:jc w:val="lef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605D7617"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 xml:space="preserve">Na odmeny pre príslušníkov Úradu pre ochranu ústavných činiteľov a diplomatických misií MV SR </w:t>
            </w:r>
          </w:p>
        </w:tc>
        <w:tc>
          <w:tcPr>
            <w:tcW w:w="1275" w:type="dxa"/>
            <w:tcBorders>
              <w:top w:val="nil"/>
              <w:left w:val="nil"/>
              <w:bottom w:val="nil"/>
              <w:right w:val="nil"/>
            </w:tcBorders>
            <w:shd w:val="clear" w:color="auto" w:fill="auto"/>
            <w:vAlign w:val="center"/>
            <w:hideMark/>
          </w:tcPr>
          <w:p w14:paraId="7C88362E"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5</w:t>
            </w:r>
          </w:p>
        </w:tc>
      </w:tr>
      <w:tr w:rsidR="004C3312" w:rsidRPr="00C23C36" w14:paraId="24CC4E57"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0534C6CB"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54BAFEC2"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14</w:t>
            </w:r>
          </w:p>
        </w:tc>
      </w:tr>
      <w:tr w:rsidR="004C3312" w:rsidRPr="00C23C36" w14:paraId="0CE29DD6" w14:textId="77777777" w:rsidTr="004D5206">
        <w:trPr>
          <w:trHeight w:val="450"/>
        </w:trPr>
        <w:tc>
          <w:tcPr>
            <w:tcW w:w="1276" w:type="dxa"/>
            <w:tcBorders>
              <w:top w:val="nil"/>
              <w:left w:val="nil"/>
              <w:bottom w:val="nil"/>
              <w:right w:val="nil"/>
            </w:tcBorders>
            <w:shd w:val="clear" w:color="auto" w:fill="auto"/>
            <w:vAlign w:val="center"/>
            <w:hideMark/>
          </w:tcPr>
          <w:p w14:paraId="4CE62EBB"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 xml:space="preserve">Ministerstvo investícií, regionálneho rozvoja a informatizácie </w:t>
            </w:r>
            <w:r w:rsidRPr="00C23C36">
              <w:rPr>
                <w:rFonts w:eastAsia="Times New Roman" w:cs="Times New Roman"/>
                <w:sz w:val="16"/>
                <w:szCs w:val="16"/>
                <w:lang w:eastAsia="sk-SK"/>
              </w:rPr>
              <w:t>SR</w:t>
            </w:r>
          </w:p>
        </w:tc>
        <w:tc>
          <w:tcPr>
            <w:tcW w:w="6521" w:type="dxa"/>
            <w:tcBorders>
              <w:top w:val="nil"/>
              <w:left w:val="nil"/>
              <w:bottom w:val="nil"/>
              <w:right w:val="nil"/>
            </w:tcBorders>
            <w:shd w:val="clear" w:color="auto" w:fill="auto"/>
            <w:vAlign w:val="center"/>
            <w:hideMark/>
          </w:tcPr>
          <w:p w14:paraId="359B8E95"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2BB9AB05"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9</w:t>
            </w:r>
          </w:p>
        </w:tc>
      </w:tr>
      <w:tr w:rsidR="004C3312" w:rsidRPr="00C23C36" w14:paraId="41CE59A0" w14:textId="77777777" w:rsidTr="004D5206">
        <w:trPr>
          <w:trHeight w:val="299"/>
        </w:trPr>
        <w:tc>
          <w:tcPr>
            <w:tcW w:w="1276" w:type="dxa"/>
            <w:tcBorders>
              <w:top w:val="nil"/>
              <w:left w:val="nil"/>
              <w:bottom w:val="nil"/>
              <w:right w:val="nil"/>
            </w:tcBorders>
            <w:shd w:val="clear" w:color="auto" w:fill="auto"/>
            <w:vAlign w:val="center"/>
            <w:hideMark/>
          </w:tcPr>
          <w:p w14:paraId="6CCDC500" w14:textId="77777777" w:rsidR="004C3312" w:rsidRPr="00C23C36" w:rsidRDefault="004C3312" w:rsidP="004C3312">
            <w:pPr>
              <w:spacing w:after="0" w:line="240" w:lineRule="auto"/>
              <w:jc w:val="right"/>
              <w:rPr>
                <w:rFonts w:eastAsia="Times New Roman" w:cs="Times New Roman"/>
                <w:sz w:val="16"/>
                <w:szCs w:val="16"/>
                <w:lang w:eastAsia="sk-SK"/>
              </w:rPr>
            </w:pPr>
          </w:p>
        </w:tc>
        <w:tc>
          <w:tcPr>
            <w:tcW w:w="6521" w:type="dxa"/>
            <w:tcBorders>
              <w:top w:val="nil"/>
              <w:left w:val="nil"/>
              <w:bottom w:val="nil"/>
              <w:right w:val="nil"/>
            </w:tcBorders>
            <w:shd w:val="clear" w:color="auto" w:fill="auto"/>
            <w:vAlign w:val="center"/>
            <w:hideMark/>
          </w:tcPr>
          <w:p w14:paraId="2D0B7BED"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2C9DEE5E"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5</w:t>
            </w:r>
          </w:p>
        </w:tc>
      </w:tr>
      <w:tr w:rsidR="004C3312" w:rsidRPr="00C23C36" w14:paraId="2A3A3016"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245121EC"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578F298F"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14</w:t>
            </w:r>
          </w:p>
        </w:tc>
      </w:tr>
      <w:tr w:rsidR="004C3312" w:rsidRPr="00C23C36" w14:paraId="13BD29DA" w14:textId="77777777" w:rsidTr="004C3312">
        <w:trPr>
          <w:trHeight w:val="450"/>
        </w:trPr>
        <w:tc>
          <w:tcPr>
            <w:tcW w:w="1276" w:type="dxa"/>
            <w:vMerge w:val="restart"/>
            <w:tcBorders>
              <w:top w:val="nil"/>
              <w:left w:val="nil"/>
              <w:bottom w:val="nil"/>
              <w:right w:val="nil"/>
            </w:tcBorders>
            <w:shd w:val="clear" w:color="auto" w:fill="auto"/>
            <w:vAlign w:val="center"/>
            <w:hideMark/>
          </w:tcPr>
          <w:p w14:paraId="15538D5E"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obrany</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41630CAA"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0FE9B478"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7</w:t>
            </w:r>
          </w:p>
        </w:tc>
      </w:tr>
      <w:tr w:rsidR="004C3312" w:rsidRPr="00C23C36" w14:paraId="4A9CDE91" w14:textId="77777777" w:rsidTr="004C3312">
        <w:trPr>
          <w:trHeight w:val="301"/>
        </w:trPr>
        <w:tc>
          <w:tcPr>
            <w:tcW w:w="1276" w:type="dxa"/>
            <w:vMerge/>
            <w:tcBorders>
              <w:top w:val="nil"/>
              <w:left w:val="nil"/>
              <w:bottom w:val="nil"/>
              <w:right w:val="nil"/>
            </w:tcBorders>
            <w:vAlign w:val="center"/>
            <w:hideMark/>
          </w:tcPr>
          <w:p w14:paraId="5AFB43E5" w14:textId="77777777" w:rsidR="004C3312" w:rsidRPr="00C23C36" w:rsidRDefault="004C3312" w:rsidP="004C3312">
            <w:pPr>
              <w:spacing w:after="0" w:line="240" w:lineRule="auto"/>
              <w:jc w:val="left"/>
              <w:rPr>
                <w:rFonts w:eastAsia="Times New Roman" w:cs="Times New Roman"/>
                <w:sz w:val="16"/>
                <w:szCs w:val="16"/>
                <w:lang w:eastAsia="sk-SK"/>
              </w:rPr>
            </w:pPr>
          </w:p>
        </w:tc>
        <w:tc>
          <w:tcPr>
            <w:tcW w:w="6521" w:type="dxa"/>
            <w:tcBorders>
              <w:top w:val="nil"/>
              <w:left w:val="nil"/>
              <w:bottom w:val="nil"/>
              <w:right w:val="nil"/>
            </w:tcBorders>
            <w:shd w:val="clear" w:color="auto" w:fill="auto"/>
            <w:vAlign w:val="bottom"/>
            <w:hideMark/>
          </w:tcPr>
          <w:p w14:paraId="74688EC4"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6A39E897"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7</w:t>
            </w:r>
          </w:p>
        </w:tc>
      </w:tr>
      <w:tr w:rsidR="004C3312" w:rsidRPr="00C23C36" w14:paraId="5EF2A494" w14:textId="77777777" w:rsidTr="004C3312">
        <w:trPr>
          <w:trHeight w:val="527"/>
        </w:trPr>
        <w:tc>
          <w:tcPr>
            <w:tcW w:w="7797" w:type="dxa"/>
            <w:gridSpan w:val="2"/>
            <w:tcBorders>
              <w:top w:val="nil"/>
              <w:left w:val="nil"/>
              <w:bottom w:val="single" w:sz="4" w:space="0" w:color="auto"/>
              <w:right w:val="nil"/>
            </w:tcBorders>
            <w:shd w:val="clear" w:color="auto" w:fill="auto"/>
            <w:vAlign w:val="center"/>
            <w:hideMark/>
          </w:tcPr>
          <w:p w14:paraId="7F134839"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21C6B3F6"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14</w:t>
            </w:r>
          </w:p>
        </w:tc>
      </w:tr>
      <w:tr w:rsidR="004C3312" w:rsidRPr="00C23C36" w14:paraId="506CB2F1" w14:textId="77777777" w:rsidTr="004C3312">
        <w:trPr>
          <w:trHeight w:val="450"/>
        </w:trPr>
        <w:tc>
          <w:tcPr>
            <w:tcW w:w="1276" w:type="dxa"/>
            <w:tcBorders>
              <w:top w:val="nil"/>
              <w:left w:val="nil"/>
              <w:bottom w:val="nil"/>
              <w:right w:val="nil"/>
            </w:tcBorders>
            <w:shd w:val="clear" w:color="auto" w:fill="auto"/>
            <w:vAlign w:val="center"/>
            <w:hideMark/>
          </w:tcPr>
          <w:p w14:paraId="4D4932C5"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vnútra</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5D1B1F0D"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2C9EB57A" w14:textId="77777777" w:rsidR="004C3312" w:rsidRPr="00C23C36" w:rsidRDefault="004C3312" w:rsidP="004C3312">
            <w:pPr>
              <w:spacing w:after="0" w:line="240" w:lineRule="auto"/>
              <w:jc w:val="right"/>
              <w:rPr>
                <w:rFonts w:cs="Times New Roman"/>
                <w:sz w:val="16"/>
                <w:szCs w:val="16"/>
              </w:rPr>
            </w:pPr>
          </w:p>
          <w:p w14:paraId="5FA4CD81"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13</w:t>
            </w:r>
          </w:p>
        </w:tc>
      </w:tr>
      <w:tr w:rsidR="004C3312" w:rsidRPr="00C23C36" w14:paraId="6364209B" w14:textId="77777777" w:rsidTr="004C3312">
        <w:trPr>
          <w:trHeight w:val="262"/>
        </w:trPr>
        <w:tc>
          <w:tcPr>
            <w:tcW w:w="7797" w:type="dxa"/>
            <w:gridSpan w:val="2"/>
            <w:tcBorders>
              <w:top w:val="nil"/>
              <w:left w:val="nil"/>
              <w:bottom w:val="single" w:sz="4" w:space="0" w:color="auto"/>
              <w:right w:val="nil"/>
            </w:tcBorders>
            <w:shd w:val="clear" w:color="auto" w:fill="auto"/>
            <w:vAlign w:val="center"/>
            <w:hideMark/>
          </w:tcPr>
          <w:p w14:paraId="7519A2A9"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738228CC"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13</w:t>
            </w:r>
          </w:p>
        </w:tc>
      </w:tr>
      <w:tr w:rsidR="004C3312" w:rsidRPr="00C23C36" w14:paraId="797E83A9" w14:textId="77777777" w:rsidTr="004C3312">
        <w:trPr>
          <w:trHeight w:val="510"/>
        </w:trPr>
        <w:tc>
          <w:tcPr>
            <w:tcW w:w="1276" w:type="dxa"/>
            <w:tcBorders>
              <w:top w:val="nil"/>
              <w:left w:val="nil"/>
              <w:bottom w:val="nil"/>
              <w:right w:val="nil"/>
            </w:tcBorders>
            <w:shd w:val="clear" w:color="auto" w:fill="auto"/>
            <w:vAlign w:val="center"/>
            <w:hideMark/>
          </w:tcPr>
          <w:p w14:paraId="27A7E460"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Národný kontrolný úrad</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center"/>
            <w:hideMark/>
          </w:tcPr>
          <w:p w14:paraId="2DB6F536"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predsedu NKÚ SR a podpredsedov NKÚ SR</w:t>
            </w:r>
          </w:p>
        </w:tc>
        <w:tc>
          <w:tcPr>
            <w:tcW w:w="1275" w:type="dxa"/>
            <w:tcBorders>
              <w:top w:val="nil"/>
              <w:left w:val="nil"/>
              <w:bottom w:val="nil"/>
              <w:right w:val="nil"/>
            </w:tcBorders>
            <w:shd w:val="clear" w:color="auto" w:fill="auto"/>
            <w:vAlign w:val="center"/>
            <w:hideMark/>
          </w:tcPr>
          <w:p w14:paraId="4CBFE9F0"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13</w:t>
            </w:r>
          </w:p>
        </w:tc>
      </w:tr>
      <w:tr w:rsidR="004C3312" w:rsidRPr="00C23C36" w14:paraId="75E106A3"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058DE4AE"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2F8AAB79"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13</w:t>
            </w:r>
          </w:p>
        </w:tc>
      </w:tr>
      <w:tr w:rsidR="004C3312" w:rsidRPr="00C23C36" w14:paraId="45A75EE0" w14:textId="77777777" w:rsidTr="004C3312">
        <w:trPr>
          <w:trHeight w:val="495"/>
        </w:trPr>
        <w:tc>
          <w:tcPr>
            <w:tcW w:w="1276" w:type="dxa"/>
            <w:tcBorders>
              <w:top w:val="nil"/>
              <w:left w:val="nil"/>
              <w:bottom w:val="nil"/>
              <w:right w:val="nil"/>
            </w:tcBorders>
            <w:shd w:val="clear" w:color="auto" w:fill="auto"/>
            <w:vAlign w:val="center"/>
            <w:hideMark/>
          </w:tcPr>
          <w:p w14:paraId="54C89892"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životného prostredia</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2E91EE89"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ústavného činiteľa a platových náležitostí štátnych zamestnancov vo verejnej funkcii</w:t>
            </w:r>
          </w:p>
        </w:tc>
        <w:tc>
          <w:tcPr>
            <w:tcW w:w="1275" w:type="dxa"/>
            <w:tcBorders>
              <w:top w:val="nil"/>
              <w:left w:val="nil"/>
              <w:bottom w:val="nil"/>
              <w:right w:val="nil"/>
            </w:tcBorders>
            <w:shd w:val="clear" w:color="auto" w:fill="auto"/>
            <w:vAlign w:val="center"/>
            <w:hideMark/>
          </w:tcPr>
          <w:p w14:paraId="2F78BAEA"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11</w:t>
            </w:r>
          </w:p>
        </w:tc>
      </w:tr>
      <w:tr w:rsidR="004C3312" w:rsidRPr="00C23C36" w14:paraId="7799E2BB"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40EF963C"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426353FD"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11</w:t>
            </w:r>
          </w:p>
        </w:tc>
      </w:tr>
      <w:tr w:rsidR="004C3312" w:rsidRPr="00C23C36" w14:paraId="137C9ADC" w14:textId="77777777" w:rsidTr="004C3312">
        <w:trPr>
          <w:trHeight w:val="273"/>
        </w:trPr>
        <w:tc>
          <w:tcPr>
            <w:tcW w:w="1276" w:type="dxa"/>
            <w:tcBorders>
              <w:top w:val="nil"/>
              <w:left w:val="nil"/>
              <w:bottom w:val="nil"/>
              <w:right w:val="nil"/>
            </w:tcBorders>
            <w:shd w:val="clear" w:color="auto" w:fill="auto"/>
            <w:vAlign w:val="center"/>
            <w:hideMark/>
          </w:tcPr>
          <w:p w14:paraId="659C0742"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spravodlivosti</w:t>
            </w:r>
            <w:r w:rsidRPr="00C23C36">
              <w:rPr>
                <w:rFonts w:eastAsia="Times New Roman" w:cs="Times New Roman"/>
                <w:sz w:val="16"/>
                <w:szCs w:val="16"/>
                <w:lang w:eastAsia="sk-SK"/>
              </w:rPr>
              <w:t xml:space="preserve"> SR </w:t>
            </w:r>
          </w:p>
        </w:tc>
        <w:tc>
          <w:tcPr>
            <w:tcW w:w="6521" w:type="dxa"/>
            <w:tcBorders>
              <w:top w:val="nil"/>
              <w:left w:val="nil"/>
              <w:bottom w:val="nil"/>
              <w:right w:val="nil"/>
            </w:tcBorders>
            <w:shd w:val="clear" w:color="auto" w:fill="auto"/>
            <w:vAlign w:val="bottom"/>
            <w:hideMark/>
          </w:tcPr>
          <w:p w14:paraId="2DCF5B66"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odmeny pre príslušníkov Úradu na ochranu ústavných činiteľov a diplomatických misií MV SR</w:t>
            </w:r>
          </w:p>
        </w:tc>
        <w:tc>
          <w:tcPr>
            <w:tcW w:w="1275" w:type="dxa"/>
            <w:tcBorders>
              <w:top w:val="nil"/>
              <w:left w:val="nil"/>
              <w:bottom w:val="nil"/>
              <w:right w:val="nil"/>
            </w:tcBorders>
            <w:shd w:val="clear" w:color="auto" w:fill="auto"/>
            <w:vAlign w:val="center"/>
            <w:hideMark/>
          </w:tcPr>
          <w:p w14:paraId="06F22B87"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cs="Times New Roman"/>
                <w:sz w:val="16"/>
                <w:szCs w:val="16"/>
              </w:rPr>
              <w:t>11</w:t>
            </w:r>
          </w:p>
        </w:tc>
      </w:tr>
      <w:tr w:rsidR="004C3312" w:rsidRPr="00C23C36" w14:paraId="31DAAB4B"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2E4DA1F8"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734B7BD6"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11</w:t>
            </w:r>
          </w:p>
        </w:tc>
      </w:tr>
      <w:tr w:rsidR="004C3312" w:rsidRPr="00C23C36" w14:paraId="29D2B109" w14:textId="77777777" w:rsidTr="004C3312">
        <w:trPr>
          <w:trHeight w:val="255"/>
        </w:trPr>
        <w:tc>
          <w:tcPr>
            <w:tcW w:w="1276" w:type="dxa"/>
            <w:tcBorders>
              <w:top w:val="nil"/>
              <w:left w:val="nil"/>
              <w:bottom w:val="nil"/>
              <w:right w:val="nil"/>
            </w:tcBorders>
            <w:shd w:val="clear" w:color="auto" w:fill="auto"/>
            <w:vAlign w:val="center"/>
            <w:hideMark/>
          </w:tcPr>
          <w:p w14:paraId="2CEA1B1D"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prezidenta</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2C1EEA39"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prezidentky Slovenskej republiky</w:t>
            </w:r>
          </w:p>
        </w:tc>
        <w:tc>
          <w:tcPr>
            <w:tcW w:w="1275" w:type="dxa"/>
            <w:tcBorders>
              <w:top w:val="nil"/>
              <w:left w:val="nil"/>
              <w:bottom w:val="nil"/>
              <w:right w:val="nil"/>
            </w:tcBorders>
            <w:shd w:val="clear" w:color="auto" w:fill="auto"/>
            <w:vAlign w:val="center"/>
            <w:hideMark/>
          </w:tcPr>
          <w:p w14:paraId="390C5982"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8</w:t>
            </w:r>
          </w:p>
        </w:tc>
      </w:tr>
      <w:tr w:rsidR="004C3312" w:rsidRPr="00C23C36" w14:paraId="66E3F8CA"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12DE73D3"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7B0E190D"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8</w:t>
            </w:r>
          </w:p>
        </w:tc>
      </w:tr>
      <w:tr w:rsidR="004C3312" w:rsidRPr="00C23C36" w14:paraId="543181ED" w14:textId="77777777" w:rsidTr="004C3312">
        <w:trPr>
          <w:trHeight w:val="225"/>
        </w:trPr>
        <w:tc>
          <w:tcPr>
            <w:tcW w:w="1276" w:type="dxa"/>
            <w:tcBorders>
              <w:top w:val="nil"/>
              <w:left w:val="nil"/>
              <w:bottom w:val="nil"/>
              <w:right w:val="nil"/>
            </w:tcBorders>
            <w:shd w:val="clear" w:color="auto" w:fill="auto"/>
            <w:vAlign w:val="center"/>
            <w:hideMark/>
          </w:tcPr>
          <w:p w14:paraId="52CC3AF8"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správnej rady</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7FFF10E9"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ústavných činiteľov</w:t>
            </w:r>
          </w:p>
        </w:tc>
        <w:tc>
          <w:tcPr>
            <w:tcW w:w="1275" w:type="dxa"/>
            <w:tcBorders>
              <w:top w:val="nil"/>
              <w:left w:val="nil"/>
              <w:bottom w:val="nil"/>
              <w:right w:val="nil"/>
            </w:tcBorders>
            <w:shd w:val="clear" w:color="auto" w:fill="auto"/>
            <w:vAlign w:val="center"/>
            <w:hideMark/>
          </w:tcPr>
          <w:p w14:paraId="7738AC28"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4</w:t>
            </w:r>
          </w:p>
        </w:tc>
      </w:tr>
      <w:tr w:rsidR="004C3312" w:rsidRPr="00C23C36" w14:paraId="46DFFEA1"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0A5243A2"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10F94BDC"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4</w:t>
            </w:r>
          </w:p>
        </w:tc>
      </w:tr>
      <w:tr w:rsidR="004C3312" w:rsidRPr="00C23C36" w14:paraId="21D4DBC1" w14:textId="77777777" w:rsidTr="004C3312">
        <w:trPr>
          <w:trHeight w:val="315"/>
        </w:trPr>
        <w:tc>
          <w:tcPr>
            <w:tcW w:w="1276" w:type="dxa"/>
            <w:tcBorders>
              <w:top w:val="nil"/>
              <w:left w:val="nil"/>
              <w:bottom w:val="nil"/>
              <w:right w:val="nil"/>
            </w:tcBorders>
            <w:shd w:val="clear" w:color="auto" w:fill="auto"/>
            <w:vAlign w:val="center"/>
            <w:hideMark/>
          </w:tcPr>
          <w:p w14:paraId="1A3839D0"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Národný bezpečnostný úrad</w:t>
            </w:r>
          </w:p>
        </w:tc>
        <w:tc>
          <w:tcPr>
            <w:tcW w:w="6521" w:type="dxa"/>
            <w:tcBorders>
              <w:top w:val="nil"/>
              <w:left w:val="nil"/>
              <w:bottom w:val="nil"/>
              <w:right w:val="nil"/>
            </w:tcBorders>
            <w:shd w:val="clear" w:color="auto" w:fill="auto"/>
            <w:vAlign w:val="bottom"/>
            <w:hideMark/>
          </w:tcPr>
          <w:p w14:paraId="7A0E9370"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a paušálnej náhrady riaditeľa NBÚ</w:t>
            </w:r>
          </w:p>
        </w:tc>
        <w:tc>
          <w:tcPr>
            <w:tcW w:w="1275" w:type="dxa"/>
            <w:tcBorders>
              <w:top w:val="nil"/>
              <w:left w:val="nil"/>
              <w:bottom w:val="nil"/>
              <w:right w:val="nil"/>
            </w:tcBorders>
            <w:shd w:val="clear" w:color="auto" w:fill="auto"/>
            <w:vAlign w:val="center"/>
            <w:hideMark/>
          </w:tcPr>
          <w:p w14:paraId="1C3B1657"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3</w:t>
            </w:r>
          </w:p>
        </w:tc>
      </w:tr>
      <w:tr w:rsidR="004C3312" w:rsidRPr="00C23C36" w14:paraId="7DC4E37D"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7DFF2DE9"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419149B1"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3</w:t>
            </w:r>
          </w:p>
        </w:tc>
      </w:tr>
      <w:tr w:rsidR="004C3312" w:rsidRPr="00C23C36" w14:paraId="0AF25AF9" w14:textId="77777777" w:rsidTr="004D5206">
        <w:trPr>
          <w:trHeight w:val="225"/>
        </w:trPr>
        <w:tc>
          <w:tcPr>
            <w:tcW w:w="1276" w:type="dxa"/>
            <w:tcBorders>
              <w:top w:val="nil"/>
              <w:left w:val="nil"/>
              <w:bottom w:val="nil"/>
              <w:right w:val="nil"/>
            </w:tcBorders>
            <w:shd w:val="clear" w:color="auto" w:fill="auto"/>
            <w:vAlign w:val="center"/>
            <w:hideMark/>
          </w:tcPr>
          <w:p w14:paraId="05582A99"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na ochranu oznamovateľov protispoločenskej činnosti</w:t>
            </w:r>
            <w:r w:rsidRPr="00C23C36">
              <w:rPr>
                <w:rFonts w:eastAsia="Times New Roman" w:cs="Times New Roman"/>
                <w:sz w:val="16"/>
                <w:szCs w:val="16"/>
                <w:lang w:eastAsia="sk-SK"/>
              </w:rPr>
              <w:t xml:space="preserve"> </w:t>
            </w:r>
          </w:p>
        </w:tc>
        <w:tc>
          <w:tcPr>
            <w:tcW w:w="6521" w:type="dxa"/>
            <w:tcBorders>
              <w:top w:val="nil"/>
              <w:left w:val="nil"/>
              <w:bottom w:val="nil"/>
              <w:right w:val="nil"/>
            </w:tcBorders>
            <w:shd w:val="clear" w:color="auto" w:fill="auto"/>
            <w:vAlign w:val="center"/>
            <w:hideMark/>
          </w:tcPr>
          <w:p w14:paraId="2266F08C"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platu predsedníčky úradu</w:t>
            </w:r>
          </w:p>
        </w:tc>
        <w:tc>
          <w:tcPr>
            <w:tcW w:w="1275" w:type="dxa"/>
            <w:tcBorders>
              <w:top w:val="nil"/>
              <w:left w:val="nil"/>
              <w:bottom w:val="nil"/>
              <w:right w:val="nil"/>
            </w:tcBorders>
            <w:shd w:val="clear" w:color="auto" w:fill="auto"/>
            <w:vAlign w:val="center"/>
            <w:hideMark/>
          </w:tcPr>
          <w:p w14:paraId="6226F0D7"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3</w:t>
            </w:r>
          </w:p>
        </w:tc>
      </w:tr>
      <w:tr w:rsidR="004C3312" w:rsidRPr="00C23C36" w14:paraId="5074390D"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0E98C765"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1626255E"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3</w:t>
            </w:r>
          </w:p>
        </w:tc>
      </w:tr>
      <w:tr w:rsidR="004C3312" w:rsidRPr="00C23C36" w14:paraId="2B9CE093" w14:textId="77777777" w:rsidTr="004C3312">
        <w:trPr>
          <w:trHeight w:val="225"/>
        </w:trPr>
        <w:tc>
          <w:tcPr>
            <w:tcW w:w="1276" w:type="dxa"/>
            <w:tcBorders>
              <w:top w:val="nil"/>
              <w:left w:val="nil"/>
              <w:bottom w:val="nil"/>
              <w:right w:val="nil"/>
            </w:tcBorders>
            <w:shd w:val="clear" w:color="auto" w:fill="auto"/>
            <w:vAlign w:val="center"/>
            <w:hideMark/>
          </w:tcPr>
          <w:p w14:paraId="15BD8084"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lastRenderedPageBreak/>
              <w:t>Protimonopolný úrad</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21F804CC"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platov štátnych zamestnancov vo verejnej funkcii</w:t>
            </w:r>
          </w:p>
        </w:tc>
        <w:tc>
          <w:tcPr>
            <w:tcW w:w="1275" w:type="dxa"/>
            <w:tcBorders>
              <w:top w:val="nil"/>
              <w:left w:val="nil"/>
              <w:bottom w:val="nil"/>
              <w:right w:val="nil"/>
            </w:tcBorders>
            <w:shd w:val="clear" w:color="auto" w:fill="auto"/>
            <w:vAlign w:val="center"/>
            <w:hideMark/>
          </w:tcPr>
          <w:p w14:paraId="42DCCC78"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2</w:t>
            </w:r>
          </w:p>
        </w:tc>
      </w:tr>
      <w:tr w:rsidR="004C3312" w:rsidRPr="00C23C36" w14:paraId="19472D26"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3C603E18"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533AFEA0"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w:t>
            </w:r>
          </w:p>
        </w:tc>
      </w:tr>
      <w:tr w:rsidR="004C3312" w:rsidRPr="00C23C36" w14:paraId="620A40D0" w14:textId="77777777" w:rsidTr="004C3312">
        <w:trPr>
          <w:trHeight w:val="225"/>
        </w:trPr>
        <w:tc>
          <w:tcPr>
            <w:tcW w:w="1276" w:type="dxa"/>
            <w:tcBorders>
              <w:top w:val="nil"/>
              <w:left w:val="nil"/>
              <w:bottom w:val="nil"/>
              <w:right w:val="nil"/>
            </w:tcBorders>
            <w:shd w:val="clear" w:color="auto" w:fill="auto"/>
            <w:vAlign w:val="center"/>
            <w:hideMark/>
          </w:tcPr>
          <w:p w14:paraId="5A9BC94B"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Správa štátnych hmotných rezerv</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25862ED2"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platov štátnych zamestnancov vo verejnej funkcii</w:t>
            </w:r>
          </w:p>
        </w:tc>
        <w:tc>
          <w:tcPr>
            <w:tcW w:w="1275" w:type="dxa"/>
            <w:tcBorders>
              <w:top w:val="nil"/>
              <w:left w:val="nil"/>
              <w:bottom w:val="nil"/>
              <w:right w:val="nil"/>
            </w:tcBorders>
            <w:shd w:val="clear" w:color="auto" w:fill="auto"/>
            <w:vAlign w:val="center"/>
            <w:hideMark/>
          </w:tcPr>
          <w:p w14:paraId="27BEE956"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2</w:t>
            </w:r>
          </w:p>
        </w:tc>
      </w:tr>
      <w:tr w:rsidR="004C3312" w:rsidRPr="00C23C36" w14:paraId="77F573FB"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3E654AB9"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4EF068E8"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w:t>
            </w:r>
          </w:p>
        </w:tc>
      </w:tr>
      <w:tr w:rsidR="004C3312" w:rsidRPr="00C23C36" w14:paraId="3FA53429" w14:textId="77777777" w:rsidTr="004C3312">
        <w:trPr>
          <w:trHeight w:val="225"/>
        </w:trPr>
        <w:tc>
          <w:tcPr>
            <w:tcW w:w="1276" w:type="dxa"/>
            <w:tcBorders>
              <w:top w:val="nil"/>
              <w:left w:val="nil"/>
              <w:bottom w:val="nil"/>
              <w:right w:val="nil"/>
            </w:tcBorders>
            <w:shd w:val="clear" w:color="auto" w:fill="auto"/>
            <w:vAlign w:val="center"/>
            <w:hideMark/>
          </w:tcPr>
          <w:p w14:paraId="1E6F4D03"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Štatistický úrad</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2EEA2410"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platov štátnych zamestnancov vo verejnej funkcii</w:t>
            </w:r>
          </w:p>
        </w:tc>
        <w:tc>
          <w:tcPr>
            <w:tcW w:w="1275" w:type="dxa"/>
            <w:tcBorders>
              <w:top w:val="nil"/>
              <w:left w:val="nil"/>
              <w:bottom w:val="nil"/>
              <w:right w:val="nil"/>
            </w:tcBorders>
            <w:shd w:val="clear" w:color="auto" w:fill="auto"/>
            <w:vAlign w:val="center"/>
            <w:hideMark/>
          </w:tcPr>
          <w:p w14:paraId="67764796"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2</w:t>
            </w:r>
          </w:p>
        </w:tc>
      </w:tr>
      <w:tr w:rsidR="004C3312" w:rsidRPr="00C23C36" w14:paraId="78CF58A0"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3FCEED99"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007DE538"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w:t>
            </w:r>
          </w:p>
        </w:tc>
      </w:tr>
      <w:tr w:rsidR="004C3312" w:rsidRPr="00C23C36" w14:paraId="164EE00F" w14:textId="77777777" w:rsidTr="004C3312">
        <w:trPr>
          <w:trHeight w:val="255"/>
        </w:trPr>
        <w:tc>
          <w:tcPr>
            <w:tcW w:w="1276" w:type="dxa"/>
            <w:tcBorders>
              <w:top w:val="nil"/>
              <w:left w:val="nil"/>
              <w:bottom w:val="nil"/>
              <w:right w:val="nil"/>
            </w:tcBorders>
            <w:shd w:val="clear" w:color="auto" w:fill="auto"/>
            <w:vAlign w:val="center"/>
            <w:hideMark/>
          </w:tcPr>
          <w:p w14:paraId="4587F6AD"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geodézie, kartografie a katastra</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0C0F164E"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platov štátnych zamestnancov vo verejnej funkcii</w:t>
            </w:r>
          </w:p>
        </w:tc>
        <w:tc>
          <w:tcPr>
            <w:tcW w:w="1275" w:type="dxa"/>
            <w:tcBorders>
              <w:top w:val="nil"/>
              <w:left w:val="nil"/>
              <w:bottom w:val="nil"/>
              <w:right w:val="nil"/>
            </w:tcBorders>
            <w:shd w:val="clear" w:color="auto" w:fill="auto"/>
            <w:vAlign w:val="center"/>
            <w:hideMark/>
          </w:tcPr>
          <w:p w14:paraId="39D75E71"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2</w:t>
            </w:r>
          </w:p>
        </w:tc>
      </w:tr>
      <w:tr w:rsidR="004C3312" w:rsidRPr="00C23C36" w14:paraId="793FFDFA"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6AF64C1B"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05D28B8B"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w:t>
            </w:r>
          </w:p>
        </w:tc>
      </w:tr>
      <w:tr w:rsidR="004C3312" w:rsidRPr="00C23C36" w14:paraId="55300E7C" w14:textId="77777777" w:rsidTr="004C3312">
        <w:trPr>
          <w:trHeight w:val="225"/>
        </w:trPr>
        <w:tc>
          <w:tcPr>
            <w:tcW w:w="1276" w:type="dxa"/>
            <w:tcBorders>
              <w:top w:val="nil"/>
              <w:left w:val="nil"/>
              <w:bottom w:val="nil"/>
              <w:right w:val="nil"/>
            </w:tcBorders>
            <w:shd w:val="clear" w:color="auto" w:fill="auto"/>
            <w:vAlign w:val="center"/>
            <w:hideMark/>
          </w:tcPr>
          <w:p w14:paraId="26FF5FA6"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jadrového dozoru</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2E0538A6"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platov štátnych zamestnancov vo verejnej funkcii</w:t>
            </w:r>
          </w:p>
        </w:tc>
        <w:tc>
          <w:tcPr>
            <w:tcW w:w="1275" w:type="dxa"/>
            <w:tcBorders>
              <w:top w:val="nil"/>
              <w:left w:val="nil"/>
              <w:bottom w:val="nil"/>
              <w:right w:val="nil"/>
            </w:tcBorders>
            <w:shd w:val="clear" w:color="auto" w:fill="auto"/>
            <w:vAlign w:val="center"/>
            <w:hideMark/>
          </w:tcPr>
          <w:p w14:paraId="195B0DE0"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2</w:t>
            </w:r>
          </w:p>
        </w:tc>
      </w:tr>
      <w:tr w:rsidR="004C3312" w:rsidRPr="00C23C36" w14:paraId="4D4B0DDF"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2FA88928"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6FA2A2C3"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w:t>
            </w:r>
          </w:p>
        </w:tc>
      </w:tr>
      <w:tr w:rsidR="004C3312" w:rsidRPr="00C23C36" w14:paraId="1B66DBA0" w14:textId="77777777" w:rsidTr="004D5206">
        <w:trPr>
          <w:trHeight w:val="225"/>
        </w:trPr>
        <w:tc>
          <w:tcPr>
            <w:tcW w:w="1276" w:type="dxa"/>
            <w:tcBorders>
              <w:top w:val="nil"/>
              <w:left w:val="nil"/>
              <w:bottom w:val="nil"/>
              <w:right w:val="nil"/>
            </w:tcBorders>
            <w:shd w:val="clear" w:color="auto" w:fill="auto"/>
            <w:vAlign w:val="center"/>
            <w:hideMark/>
          </w:tcPr>
          <w:p w14:paraId="536007BE"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 xml:space="preserve">Úrad pre normalizáciu, metrológiu a skúšobníctvo </w:t>
            </w:r>
            <w:r w:rsidRPr="00C23C36">
              <w:rPr>
                <w:rFonts w:eastAsia="Times New Roman" w:cs="Times New Roman"/>
                <w:sz w:val="16"/>
                <w:szCs w:val="16"/>
                <w:lang w:eastAsia="sk-SK"/>
              </w:rPr>
              <w:t>SR</w:t>
            </w:r>
          </w:p>
        </w:tc>
        <w:tc>
          <w:tcPr>
            <w:tcW w:w="6521" w:type="dxa"/>
            <w:tcBorders>
              <w:top w:val="nil"/>
              <w:left w:val="nil"/>
              <w:bottom w:val="nil"/>
              <w:right w:val="nil"/>
            </w:tcBorders>
            <w:shd w:val="clear" w:color="auto" w:fill="auto"/>
            <w:vAlign w:val="center"/>
            <w:hideMark/>
          </w:tcPr>
          <w:p w14:paraId="2615D4CC"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platov štátnych zamestnancov vo verejnej funkcii</w:t>
            </w:r>
          </w:p>
        </w:tc>
        <w:tc>
          <w:tcPr>
            <w:tcW w:w="1275" w:type="dxa"/>
            <w:tcBorders>
              <w:top w:val="nil"/>
              <w:left w:val="nil"/>
              <w:bottom w:val="nil"/>
              <w:right w:val="nil"/>
            </w:tcBorders>
            <w:shd w:val="clear" w:color="auto" w:fill="auto"/>
            <w:vAlign w:val="center"/>
            <w:hideMark/>
          </w:tcPr>
          <w:p w14:paraId="2E91689B"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2</w:t>
            </w:r>
          </w:p>
        </w:tc>
      </w:tr>
      <w:tr w:rsidR="004C3312" w:rsidRPr="00C23C36" w14:paraId="5F6906EC"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54045062"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448C8F7A"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w:t>
            </w:r>
          </w:p>
        </w:tc>
      </w:tr>
      <w:tr w:rsidR="004C3312" w:rsidRPr="00C23C36" w14:paraId="72E23C0F" w14:textId="77777777" w:rsidTr="004C3312">
        <w:trPr>
          <w:trHeight w:val="225"/>
        </w:trPr>
        <w:tc>
          <w:tcPr>
            <w:tcW w:w="1276" w:type="dxa"/>
            <w:tcBorders>
              <w:top w:val="nil"/>
              <w:left w:val="nil"/>
              <w:bottom w:val="nil"/>
              <w:right w:val="nil"/>
            </w:tcBorders>
            <w:shd w:val="clear" w:color="auto" w:fill="auto"/>
            <w:vAlign w:val="center"/>
            <w:hideMark/>
          </w:tcPr>
          <w:p w14:paraId="5B3B7023"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priemyselného vlastníctva</w:t>
            </w:r>
            <w:r w:rsidRPr="00C23C36">
              <w:rPr>
                <w:rFonts w:eastAsia="Times New Roman" w:cs="Times New Roman"/>
                <w:sz w:val="16"/>
                <w:szCs w:val="16"/>
                <w:lang w:eastAsia="sk-SK"/>
              </w:rPr>
              <w:t xml:space="preserve"> SR</w:t>
            </w:r>
          </w:p>
        </w:tc>
        <w:tc>
          <w:tcPr>
            <w:tcW w:w="6521" w:type="dxa"/>
            <w:tcBorders>
              <w:top w:val="nil"/>
              <w:left w:val="nil"/>
              <w:bottom w:val="nil"/>
              <w:right w:val="nil"/>
            </w:tcBorders>
            <w:shd w:val="clear" w:color="auto" w:fill="auto"/>
            <w:vAlign w:val="bottom"/>
            <w:hideMark/>
          </w:tcPr>
          <w:p w14:paraId="1249D7D8"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platov štátnych zamestnancov vo verejnej funkcii</w:t>
            </w:r>
          </w:p>
        </w:tc>
        <w:tc>
          <w:tcPr>
            <w:tcW w:w="1275" w:type="dxa"/>
            <w:tcBorders>
              <w:top w:val="nil"/>
              <w:left w:val="nil"/>
              <w:bottom w:val="nil"/>
              <w:right w:val="nil"/>
            </w:tcBorders>
            <w:shd w:val="clear" w:color="auto" w:fill="auto"/>
            <w:vAlign w:val="center"/>
            <w:hideMark/>
          </w:tcPr>
          <w:p w14:paraId="35EA26E0"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2</w:t>
            </w:r>
          </w:p>
        </w:tc>
      </w:tr>
      <w:tr w:rsidR="004C3312" w:rsidRPr="00C23C36" w14:paraId="0AF43975"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6C26FFBC"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2F2DCBE7"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w:t>
            </w:r>
          </w:p>
        </w:tc>
      </w:tr>
      <w:tr w:rsidR="004C3312" w:rsidRPr="00C23C36" w14:paraId="2B9B5A5E" w14:textId="77777777" w:rsidTr="004C3312">
        <w:trPr>
          <w:trHeight w:val="225"/>
        </w:trPr>
        <w:tc>
          <w:tcPr>
            <w:tcW w:w="1276" w:type="dxa"/>
            <w:tcBorders>
              <w:top w:val="nil"/>
              <w:left w:val="nil"/>
              <w:bottom w:val="nil"/>
              <w:right w:val="nil"/>
            </w:tcBorders>
            <w:shd w:val="clear" w:color="auto" w:fill="auto"/>
            <w:vAlign w:val="center"/>
            <w:hideMark/>
          </w:tcPr>
          <w:p w14:paraId="564CFD7E"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Úrad pre verejné obstarávanie</w:t>
            </w:r>
          </w:p>
        </w:tc>
        <w:tc>
          <w:tcPr>
            <w:tcW w:w="6521" w:type="dxa"/>
            <w:tcBorders>
              <w:top w:val="nil"/>
              <w:left w:val="nil"/>
              <w:bottom w:val="nil"/>
              <w:right w:val="nil"/>
            </w:tcBorders>
            <w:shd w:val="clear" w:color="auto" w:fill="auto"/>
            <w:vAlign w:val="bottom"/>
            <w:hideMark/>
          </w:tcPr>
          <w:p w14:paraId="62A5A942"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Na úpravu platov štátnych zamestnancov vo verejnej funkcii</w:t>
            </w:r>
          </w:p>
        </w:tc>
        <w:tc>
          <w:tcPr>
            <w:tcW w:w="1275" w:type="dxa"/>
            <w:tcBorders>
              <w:top w:val="nil"/>
              <w:left w:val="nil"/>
              <w:bottom w:val="nil"/>
              <w:right w:val="nil"/>
            </w:tcBorders>
            <w:shd w:val="clear" w:color="auto" w:fill="auto"/>
            <w:vAlign w:val="center"/>
            <w:hideMark/>
          </w:tcPr>
          <w:p w14:paraId="085B24B1"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2</w:t>
            </w:r>
          </w:p>
        </w:tc>
      </w:tr>
      <w:tr w:rsidR="004C3312" w:rsidRPr="00C23C36" w14:paraId="1E12DA8E"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01E6873E"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03DF06C1"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2</w:t>
            </w:r>
          </w:p>
        </w:tc>
      </w:tr>
      <w:tr w:rsidR="004C3312" w:rsidRPr="00C23C36" w14:paraId="11597457" w14:textId="77777777" w:rsidTr="004D5206">
        <w:trPr>
          <w:trHeight w:val="225"/>
        </w:trPr>
        <w:tc>
          <w:tcPr>
            <w:tcW w:w="1276" w:type="dxa"/>
            <w:tcBorders>
              <w:top w:val="nil"/>
              <w:left w:val="nil"/>
              <w:bottom w:val="nil"/>
              <w:right w:val="nil"/>
            </w:tcBorders>
            <w:shd w:val="clear" w:color="auto" w:fill="auto"/>
            <w:vAlign w:val="center"/>
            <w:hideMark/>
          </w:tcPr>
          <w:p w14:paraId="54574C26"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Najvyššieho správneho súdu</w:t>
            </w:r>
            <w:r w:rsidRPr="00C23C36">
              <w:rPr>
                <w:rFonts w:eastAsia="Times New Roman" w:cs="Times New Roman"/>
                <w:sz w:val="16"/>
                <w:szCs w:val="16"/>
                <w:lang w:eastAsia="sk-SK"/>
              </w:rPr>
              <w:t xml:space="preserve"> SR </w:t>
            </w:r>
          </w:p>
        </w:tc>
        <w:tc>
          <w:tcPr>
            <w:tcW w:w="6521" w:type="dxa"/>
            <w:tcBorders>
              <w:top w:val="nil"/>
              <w:left w:val="nil"/>
              <w:bottom w:val="nil"/>
              <w:right w:val="nil"/>
            </w:tcBorders>
            <w:shd w:val="clear" w:color="auto" w:fill="auto"/>
            <w:vAlign w:val="center"/>
            <w:hideMark/>
          </w:tcPr>
          <w:p w14:paraId="34111ED7" w14:textId="77777777" w:rsidR="004C3312" w:rsidRPr="00C23C36" w:rsidRDefault="004C3312" w:rsidP="004820B5">
            <w:pPr>
              <w:spacing w:after="0" w:line="240" w:lineRule="auto"/>
              <w:ind w:left="38"/>
              <w:rPr>
                <w:rFonts w:eastAsia="Times New Roman" w:cs="Times New Roman"/>
                <w:sz w:val="16"/>
                <w:szCs w:val="16"/>
                <w:lang w:eastAsia="sk-SK"/>
              </w:rPr>
            </w:pPr>
            <w:r w:rsidRPr="00C23C36">
              <w:rPr>
                <w:rFonts w:eastAsia="Times New Roman" w:cs="Times New Roman"/>
                <w:sz w:val="16"/>
                <w:szCs w:val="16"/>
                <w:lang w:eastAsia="sk-SK"/>
              </w:rPr>
              <w:t xml:space="preserve">Na úpravu platov sudcov </w:t>
            </w:r>
          </w:p>
        </w:tc>
        <w:tc>
          <w:tcPr>
            <w:tcW w:w="1275" w:type="dxa"/>
            <w:tcBorders>
              <w:top w:val="nil"/>
              <w:left w:val="nil"/>
              <w:bottom w:val="nil"/>
              <w:right w:val="nil"/>
            </w:tcBorders>
            <w:shd w:val="clear" w:color="auto" w:fill="auto"/>
            <w:vAlign w:val="center"/>
            <w:hideMark/>
          </w:tcPr>
          <w:p w14:paraId="0FD8F5C6"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1</w:t>
            </w:r>
          </w:p>
        </w:tc>
      </w:tr>
      <w:tr w:rsidR="004C3312" w:rsidRPr="00C23C36" w14:paraId="4340B391"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2FD0E50E"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7BF00D71"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w:t>
            </w:r>
          </w:p>
        </w:tc>
      </w:tr>
      <w:tr w:rsidR="004C3312" w:rsidRPr="00C23C36" w14:paraId="3BE77BE4" w14:textId="77777777" w:rsidTr="004D5206">
        <w:trPr>
          <w:trHeight w:val="255"/>
        </w:trPr>
        <w:tc>
          <w:tcPr>
            <w:tcW w:w="1276" w:type="dxa"/>
            <w:tcBorders>
              <w:top w:val="nil"/>
              <w:left w:val="nil"/>
              <w:bottom w:val="nil"/>
              <w:right w:val="nil"/>
            </w:tcBorders>
            <w:shd w:val="clear" w:color="auto" w:fill="auto"/>
            <w:vAlign w:val="center"/>
            <w:hideMark/>
          </w:tcPr>
          <w:p w14:paraId="2435A3E9" w14:textId="77777777" w:rsidR="004C3312" w:rsidRPr="00C23C36"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Kancelária verejného ochrancu práv</w:t>
            </w:r>
          </w:p>
        </w:tc>
        <w:tc>
          <w:tcPr>
            <w:tcW w:w="6521" w:type="dxa"/>
            <w:tcBorders>
              <w:top w:val="nil"/>
              <w:left w:val="nil"/>
              <w:bottom w:val="nil"/>
              <w:right w:val="nil"/>
            </w:tcBorders>
            <w:shd w:val="clear" w:color="auto" w:fill="auto"/>
            <w:vAlign w:val="center"/>
            <w:hideMark/>
          </w:tcPr>
          <w:p w14:paraId="38DDDA24" w14:textId="77777777" w:rsidR="004C3312" w:rsidRPr="00C23C36" w:rsidRDefault="004C3312" w:rsidP="004C3312">
            <w:pPr>
              <w:spacing w:after="0" w:line="240" w:lineRule="auto"/>
              <w:rPr>
                <w:rFonts w:eastAsia="Times New Roman" w:cs="Times New Roman"/>
                <w:sz w:val="16"/>
                <w:szCs w:val="16"/>
                <w:lang w:eastAsia="sk-SK"/>
              </w:rPr>
            </w:pPr>
            <w:r w:rsidRPr="00C23C36">
              <w:rPr>
                <w:rFonts w:eastAsia="Times New Roman" w:cs="Times New Roman"/>
                <w:sz w:val="16"/>
                <w:szCs w:val="16"/>
                <w:lang w:eastAsia="sk-SK"/>
              </w:rPr>
              <w:t xml:space="preserve">Na úpravu platu verejnej ochrankyne práv </w:t>
            </w:r>
          </w:p>
        </w:tc>
        <w:tc>
          <w:tcPr>
            <w:tcW w:w="1275" w:type="dxa"/>
            <w:tcBorders>
              <w:top w:val="nil"/>
              <w:left w:val="nil"/>
              <w:bottom w:val="nil"/>
              <w:right w:val="nil"/>
            </w:tcBorders>
            <w:shd w:val="clear" w:color="auto" w:fill="auto"/>
            <w:vAlign w:val="center"/>
            <w:hideMark/>
          </w:tcPr>
          <w:p w14:paraId="32066F45" w14:textId="77777777" w:rsidR="004C3312" w:rsidRPr="00C23C36" w:rsidRDefault="004C3312" w:rsidP="004C3312">
            <w:pPr>
              <w:spacing w:after="0" w:line="240" w:lineRule="auto"/>
              <w:jc w:val="right"/>
              <w:rPr>
                <w:rFonts w:eastAsia="Times New Roman" w:cs="Times New Roman"/>
                <w:sz w:val="16"/>
                <w:szCs w:val="16"/>
                <w:lang w:eastAsia="sk-SK"/>
              </w:rPr>
            </w:pPr>
            <w:r w:rsidRPr="00C23C36">
              <w:rPr>
                <w:rFonts w:eastAsia="Times New Roman" w:cs="Times New Roman"/>
                <w:sz w:val="16"/>
                <w:szCs w:val="16"/>
                <w:lang w:eastAsia="sk-SK"/>
              </w:rPr>
              <w:t>1</w:t>
            </w:r>
          </w:p>
        </w:tc>
      </w:tr>
      <w:tr w:rsidR="004C3312" w:rsidRPr="00C23C36" w14:paraId="18128970" w14:textId="77777777" w:rsidTr="004C3312">
        <w:trPr>
          <w:trHeight w:val="375"/>
        </w:trPr>
        <w:tc>
          <w:tcPr>
            <w:tcW w:w="7797" w:type="dxa"/>
            <w:gridSpan w:val="2"/>
            <w:tcBorders>
              <w:top w:val="nil"/>
              <w:left w:val="nil"/>
              <w:bottom w:val="single" w:sz="4" w:space="0" w:color="auto"/>
              <w:right w:val="nil"/>
            </w:tcBorders>
            <w:shd w:val="clear" w:color="auto" w:fill="auto"/>
            <w:vAlign w:val="center"/>
            <w:hideMark/>
          </w:tcPr>
          <w:p w14:paraId="3A889ACB"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Spolu</w:t>
            </w:r>
          </w:p>
        </w:tc>
        <w:tc>
          <w:tcPr>
            <w:tcW w:w="1275" w:type="dxa"/>
            <w:tcBorders>
              <w:top w:val="nil"/>
              <w:left w:val="nil"/>
              <w:bottom w:val="single" w:sz="4" w:space="0" w:color="auto"/>
              <w:right w:val="nil"/>
            </w:tcBorders>
            <w:shd w:val="clear" w:color="auto" w:fill="auto"/>
            <w:vAlign w:val="center"/>
            <w:hideMark/>
          </w:tcPr>
          <w:p w14:paraId="25A723BB"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1</w:t>
            </w:r>
          </w:p>
        </w:tc>
      </w:tr>
      <w:tr w:rsidR="004C3312" w:rsidRPr="00C23C36" w14:paraId="16771961" w14:textId="77777777" w:rsidTr="004C3312">
        <w:trPr>
          <w:trHeight w:val="375"/>
        </w:trPr>
        <w:tc>
          <w:tcPr>
            <w:tcW w:w="7797" w:type="dxa"/>
            <w:gridSpan w:val="2"/>
            <w:tcBorders>
              <w:top w:val="single" w:sz="4" w:space="0" w:color="auto"/>
              <w:left w:val="nil"/>
              <w:bottom w:val="single" w:sz="4" w:space="0" w:color="auto"/>
              <w:right w:val="nil"/>
            </w:tcBorders>
            <w:shd w:val="clear" w:color="auto" w:fill="auto"/>
            <w:vAlign w:val="center"/>
            <w:hideMark/>
          </w:tcPr>
          <w:p w14:paraId="1A2F52A0"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 xml:space="preserve">Spolu celkom </w:t>
            </w:r>
          </w:p>
        </w:tc>
        <w:tc>
          <w:tcPr>
            <w:tcW w:w="1275" w:type="dxa"/>
            <w:tcBorders>
              <w:top w:val="nil"/>
              <w:left w:val="nil"/>
              <w:bottom w:val="single" w:sz="4" w:space="0" w:color="auto"/>
              <w:right w:val="nil"/>
            </w:tcBorders>
            <w:shd w:val="clear" w:color="auto" w:fill="auto"/>
            <w:vAlign w:val="center"/>
            <w:hideMark/>
          </w:tcPr>
          <w:p w14:paraId="24817BCC" w14:textId="77777777" w:rsidR="004C3312" w:rsidRPr="00C23C36" w:rsidRDefault="004C3312" w:rsidP="004C3312">
            <w:pPr>
              <w:spacing w:after="0" w:line="240" w:lineRule="auto"/>
              <w:jc w:val="right"/>
              <w:rPr>
                <w:rFonts w:eastAsia="Times New Roman" w:cs="Times New Roman"/>
                <w:b/>
                <w:bCs/>
                <w:sz w:val="16"/>
                <w:szCs w:val="16"/>
                <w:lang w:eastAsia="sk-SK"/>
              </w:rPr>
            </w:pPr>
            <w:r w:rsidRPr="00C23C36">
              <w:rPr>
                <w:rFonts w:eastAsia="Times New Roman" w:cs="Times New Roman"/>
                <w:b/>
                <w:bCs/>
                <w:sz w:val="16"/>
                <w:szCs w:val="16"/>
                <w:lang w:eastAsia="sk-SK"/>
              </w:rPr>
              <w:t>629</w:t>
            </w:r>
          </w:p>
        </w:tc>
      </w:tr>
      <w:tr w:rsidR="004C3312" w:rsidRPr="00C23C36" w14:paraId="78176955" w14:textId="77777777" w:rsidTr="004C3312">
        <w:trPr>
          <w:trHeight w:val="284"/>
        </w:trPr>
        <w:tc>
          <w:tcPr>
            <w:tcW w:w="9072" w:type="dxa"/>
            <w:gridSpan w:val="3"/>
            <w:tcBorders>
              <w:top w:val="nil"/>
              <w:left w:val="nil"/>
              <w:bottom w:val="nil"/>
              <w:right w:val="nil"/>
            </w:tcBorders>
            <w:shd w:val="clear" w:color="auto" w:fill="auto"/>
            <w:noWrap/>
            <w:vAlign w:val="bottom"/>
            <w:hideMark/>
          </w:tcPr>
          <w:p w14:paraId="721550AA" w14:textId="77777777" w:rsidR="004C3312" w:rsidRPr="00367871" w:rsidRDefault="004C3312" w:rsidP="004C3312">
            <w:pPr>
              <w:spacing w:after="0" w:line="240" w:lineRule="auto"/>
              <w:jc w:val="right"/>
              <w:rPr>
                <w:rFonts w:eastAsia="Times New Roman" w:cs="Times New Roman"/>
                <w:sz w:val="20"/>
                <w:szCs w:val="20"/>
                <w:lang w:eastAsia="sk-SK"/>
              </w:rPr>
            </w:pPr>
            <w:r w:rsidRPr="00367871">
              <w:rPr>
                <w:rFonts w:eastAsia="Times New Roman" w:cs="Times New Roman"/>
                <w:iCs/>
                <w:sz w:val="20"/>
                <w:szCs w:val="20"/>
                <w:lang w:eastAsia="sk-SK"/>
              </w:rPr>
              <w:t>Zdroj: MF SR</w:t>
            </w:r>
          </w:p>
          <w:p w14:paraId="36C46CF7" w14:textId="77777777" w:rsidR="004C3312" w:rsidRPr="00C23C36" w:rsidRDefault="004C3312" w:rsidP="004C3312">
            <w:pPr>
              <w:spacing w:after="0" w:line="240" w:lineRule="auto"/>
              <w:rPr>
                <w:rFonts w:eastAsia="Times New Roman" w:cs="Times New Roman"/>
                <w:sz w:val="20"/>
                <w:szCs w:val="20"/>
                <w:lang w:eastAsia="sk-SK"/>
              </w:rPr>
            </w:pPr>
            <w:r w:rsidRPr="00C23C36">
              <w:rPr>
                <w:rFonts w:eastAsia="Times New Roman" w:cs="Times New Roman"/>
                <w:sz w:val="16"/>
                <w:szCs w:val="16"/>
                <w:lang w:eastAsia="sk-SK"/>
              </w:rPr>
              <w:t xml:space="preserve">*Rozpočtové opatrenia boli realizované podľa Zákona č. 120/1993 Z. z. o platových pomeroch niektorých ústavných činiteľov Slovenskej republiky, Zákona č. 55/2017 Z. z. o štátnej službe a o zmene a doplnení niektorých zákonov, Zákona č. 385/2000 Z. z. o sudcoch </w:t>
            </w:r>
            <w:r w:rsidRPr="00C23C36">
              <w:rPr>
                <w:rFonts w:eastAsia="Times New Roman" w:cs="Times New Roman"/>
                <w:sz w:val="16"/>
                <w:szCs w:val="16"/>
                <w:lang w:eastAsia="sk-SK"/>
              </w:rPr>
              <w:br/>
              <w:t>a prísediacich a o zmene a doplnení niektorých zákonov, Zákona č. 215/2004 Z. z. o ochrane utajovaných skutočností a o zmene a doplnení niektorých zákonov, Zákona č. 564/2001 Z. z. o verejnom ochrancovi práv, v nadväznosti na zníženie platu poslanca podľa § 2 ods. 2 zákona č. 120/1993 Z. z. na základe dosiahnutého podielu schodku rozpočtu verejnej správy Slovenskej republiky a hrubého domáceho produktu Slovenskej republiky za rok 2021 zverejneného Európskou komisiou v apríli 2022</w:t>
            </w:r>
          </w:p>
          <w:p w14:paraId="28950617" w14:textId="77777777" w:rsidR="004C3312" w:rsidRPr="00C23C36" w:rsidRDefault="004C3312" w:rsidP="004C3312">
            <w:pPr>
              <w:spacing w:after="0" w:line="240" w:lineRule="auto"/>
              <w:jc w:val="right"/>
              <w:rPr>
                <w:rFonts w:eastAsia="Times New Roman" w:cs="Times New Roman"/>
                <w:i/>
                <w:iCs/>
                <w:sz w:val="16"/>
                <w:szCs w:val="16"/>
                <w:lang w:eastAsia="sk-SK"/>
              </w:rPr>
            </w:pPr>
          </w:p>
        </w:tc>
      </w:tr>
    </w:tbl>
    <w:p w14:paraId="6A3C4F8C" w14:textId="54DD32B4" w:rsidR="004C3312" w:rsidRPr="00E30764" w:rsidRDefault="004820B5" w:rsidP="004C3312">
      <w:pPr>
        <w:spacing w:after="160" w:line="259" w:lineRule="auto"/>
        <w:jc w:val="left"/>
        <w:rPr>
          <w:sz w:val="24"/>
          <w:szCs w:val="24"/>
        </w:rPr>
      </w:pPr>
      <w:r w:rsidRPr="00853E25">
        <w:rPr>
          <w:b/>
          <w:sz w:val="24"/>
          <w:szCs w:val="24"/>
        </w:rPr>
        <w:t xml:space="preserve">Rezerva na </w:t>
      </w:r>
      <w:r w:rsidR="004C3312" w:rsidRPr="00853E25">
        <w:rPr>
          <w:b/>
          <w:sz w:val="24"/>
          <w:szCs w:val="24"/>
        </w:rPr>
        <w:t>negatívne vplyvy pandémie ochorenia COVID-19</w:t>
      </w:r>
    </w:p>
    <w:p w14:paraId="26C48BBF" w14:textId="0A61EC63" w:rsidR="007C7FB1" w:rsidRDefault="004C3312" w:rsidP="004C3312">
      <w:pPr>
        <w:spacing w:line="240" w:lineRule="auto"/>
        <w:rPr>
          <w:sz w:val="24"/>
          <w:szCs w:val="24"/>
        </w:rPr>
      </w:pPr>
      <w:r w:rsidRPr="00482C23">
        <w:rPr>
          <w:sz w:val="24"/>
          <w:szCs w:val="24"/>
        </w:rPr>
        <w:t>Rezerva na negatívne vplyvy pandémie ochorenia COVID-19 bola</w:t>
      </w:r>
      <w:r>
        <w:rPr>
          <w:sz w:val="24"/>
          <w:szCs w:val="24"/>
        </w:rPr>
        <w:t xml:space="preserve"> rozpočtovaná v sume 717 </w:t>
      </w:r>
      <w:r w:rsidRPr="00482C23">
        <w:rPr>
          <w:sz w:val="24"/>
          <w:szCs w:val="24"/>
        </w:rPr>
        <w:t>441</w:t>
      </w:r>
      <w:r>
        <w:rPr>
          <w:sz w:val="24"/>
          <w:szCs w:val="24"/>
        </w:rPr>
        <w:t> tis.</w:t>
      </w:r>
      <w:r w:rsidRPr="00482C23">
        <w:rPr>
          <w:sz w:val="24"/>
          <w:szCs w:val="24"/>
        </w:rPr>
        <w:t xml:space="preserve"> eur. Na základe predložených žiadostí boli jednotlivým kapitolám </w:t>
      </w:r>
      <w:r>
        <w:rPr>
          <w:sz w:val="24"/>
          <w:szCs w:val="24"/>
        </w:rPr>
        <w:t>uvoľnené prostriedky v sume 521 159 tis. eur a suma 3 </w:t>
      </w:r>
      <w:r w:rsidRPr="00482C23">
        <w:rPr>
          <w:sz w:val="24"/>
          <w:szCs w:val="24"/>
        </w:rPr>
        <w:t xml:space="preserve">488 tis. eur bola v súlade so zákonom č. 215/2021 Z. z. o podpore v čase skrátenej práce a o zmene a doplnení niektorých zákonov poskytnutá Sociálnej poisťovni.  </w:t>
      </w:r>
    </w:p>
    <w:p w14:paraId="69B63A93" w14:textId="77777777" w:rsidR="007C7FB1" w:rsidRDefault="007C7FB1">
      <w:pPr>
        <w:spacing w:after="160" w:line="259" w:lineRule="auto"/>
        <w:jc w:val="left"/>
        <w:rPr>
          <w:sz w:val="24"/>
          <w:szCs w:val="24"/>
        </w:rPr>
      </w:pPr>
      <w:r>
        <w:rPr>
          <w:sz w:val="24"/>
          <w:szCs w:val="24"/>
        </w:rPr>
        <w:br w:type="page"/>
      </w:r>
    </w:p>
    <w:tbl>
      <w:tblPr>
        <w:tblW w:w="9072" w:type="dxa"/>
        <w:tblCellMar>
          <w:left w:w="70" w:type="dxa"/>
          <w:right w:w="70" w:type="dxa"/>
        </w:tblCellMar>
        <w:tblLook w:val="04A0" w:firstRow="1" w:lastRow="0" w:firstColumn="1" w:lastColumn="0" w:noHBand="0" w:noVBand="1"/>
      </w:tblPr>
      <w:tblGrid>
        <w:gridCol w:w="1276"/>
        <w:gridCol w:w="6560"/>
        <w:gridCol w:w="1236"/>
      </w:tblGrid>
      <w:tr w:rsidR="004C3312" w:rsidRPr="00882EF1" w14:paraId="10A9A50D" w14:textId="77777777" w:rsidTr="004C3312">
        <w:trPr>
          <w:trHeight w:val="375"/>
        </w:trPr>
        <w:tc>
          <w:tcPr>
            <w:tcW w:w="7836" w:type="dxa"/>
            <w:gridSpan w:val="2"/>
            <w:tcBorders>
              <w:top w:val="nil"/>
              <w:left w:val="nil"/>
              <w:bottom w:val="single" w:sz="4" w:space="0" w:color="auto"/>
              <w:right w:val="nil"/>
            </w:tcBorders>
            <w:shd w:val="clear" w:color="auto" w:fill="auto"/>
            <w:noWrap/>
            <w:vAlign w:val="center"/>
            <w:hideMark/>
          </w:tcPr>
          <w:p w14:paraId="5D31E8B7" w14:textId="51403283" w:rsidR="004C3312" w:rsidRPr="00882EF1" w:rsidRDefault="004C3312" w:rsidP="00507DFC">
            <w:pPr>
              <w:spacing w:after="0" w:line="240" w:lineRule="auto"/>
              <w:jc w:val="left"/>
              <w:rPr>
                <w:rFonts w:eastAsia="Times New Roman" w:cs="Times New Roman"/>
                <w:b/>
                <w:bCs/>
                <w:sz w:val="20"/>
                <w:szCs w:val="20"/>
                <w:lang w:eastAsia="sk-SK"/>
              </w:rPr>
            </w:pPr>
            <w:r>
              <w:rPr>
                <w:rFonts w:eastAsia="Times New Roman" w:cs="Times New Roman"/>
                <w:b/>
                <w:bCs/>
                <w:color w:val="5B9BD5" w:themeColor="accent1"/>
                <w:sz w:val="20"/>
                <w:szCs w:val="20"/>
                <w:lang w:eastAsia="sk-SK"/>
              </w:rPr>
              <w:lastRenderedPageBreak/>
              <w:t xml:space="preserve">Tabuľka </w:t>
            </w:r>
            <w:r w:rsidR="001656EA">
              <w:rPr>
                <w:rFonts w:eastAsia="Times New Roman" w:cs="Times New Roman"/>
                <w:b/>
                <w:bCs/>
                <w:color w:val="5B9BD5" w:themeColor="accent1"/>
                <w:sz w:val="20"/>
                <w:szCs w:val="20"/>
                <w:lang w:eastAsia="sk-SK"/>
              </w:rPr>
              <w:t>5</w:t>
            </w:r>
            <w:r w:rsidR="00507DFC">
              <w:rPr>
                <w:rFonts w:eastAsia="Times New Roman" w:cs="Times New Roman"/>
                <w:b/>
                <w:bCs/>
                <w:color w:val="5B9BD5" w:themeColor="accent1"/>
                <w:sz w:val="20"/>
                <w:szCs w:val="20"/>
                <w:lang w:eastAsia="sk-SK"/>
              </w:rPr>
              <w:t>9</w:t>
            </w:r>
            <w:r w:rsidR="0096715B">
              <w:rPr>
                <w:rFonts w:eastAsia="Times New Roman" w:cs="Times New Roman"/>
                <w:b/>
                <w:bCs/>
                <w:color w:val="5B9BD5" w:themeColor="accent1"/>
                <w:sz w:val="20"/>
                <w:szCs w:val="20"/>
                <w:lang w:eastAsia="sk-SK"/>
              </w:rPr>
              <w:t xml:space="preserve"> - r</w:t>
            </w:r>
            <w:r w:rsidRPr="00882EF1">
              <w:rPr>
                <w:rFonts w:eastAsia="Times New Roman" w:cs="Times New Roman"/>
                <w:b/>
                <w:bCs/>
                <w:color w:val="5B9BD5" w:themeColor="accent1"/>
                <w:sz w:val="20"/>
                <w:szCs w:val="20"/>
                <w:lang w:eastAsia="sk-SK"/>
              </w:rPr>
              <w:t>ezerva na negatívne vplyvy pandémie ochorenia COVID - 19*</w:t>
            </w:r>
          </w:p>
        </w:tc>
        <w:tc>
          <w:tcPr>
            <w:tcW w:w="1236" w:type="dxa"/>
            <w:tcBorders>
              <w:top w:val="nil"/>
              <w:left w:val="nil"/>
              <w:bottom w:val="nil"/>
              <w:right w:val="nil"/>
            </w:tcBorders>
            <w:shd w:val="clear" w:color="auto" w:fill="auto"/>
            <w:noWrap/>
            <w:vAlign w:val="center"/>
            <w:hideMark/>
          </w:tcPr>
          <w:p w14:paraId="5EB99583" w14:textId="77777777" w:rsidR="004C3312" w:rsidRPr="00882EF1" w:rsidRDefault="004C3312" w:rsidP="004C3312">
            <w:pPr>
              <w:spacing w:after="0" w:line="240" w:lineRule="auto"/>
              <w:jc w:val="left"/>
              <w:rPr>
                <w:rFonts w:eastAsia="Times New Roman" w:cs="Times New Roman"/>
                <w:b/>
                <w:bCs/>
                <w:sz w:val="20"/>
                <w:szCs w:val="20"/>
                <w:lang w:eastAsia="sk-SK"/>
              </w:rPr>
            </w:pPr>
          </w:p>
        </w:tc>
      </w:tr>
      <w:tr w:rsidR="004C3312" w:rsidRPr="00882EF1" w14:paraId="07BE05F1" w14:textId="77777777" w:rsidTr="004C3312">
        <w:trPr>
          <w:trHeight w:val="375"/>
        </w:trPr>
        <w:tc>
          <w:tcPr>
            <w:tcW w:w="1276" w:type="dxa"/>
            <w:tcBorders>
              <w:top w:val="nil"/>
              <w:left w:val="nil"/>
              <w:bottom w:val="single" w:sz="4" w:space="0" w:color="auto"/>
              <w:right w:val="nil"/>
            </w:tcBorders>
            <w:shd w:val="clear" w:color="auto" w:fill="auto"/>
            <w:vAlign w:val="center"/>
            <w:hideMark/>
          </w:tcPr>
          <w:p w14:paraId="572D8AC2" w14:textId="77777777" w:rsidR="004C3312" w:rsidRPr="00882EF1" w:rsidRDefault="004C3312" w:rsidP="004C3312">
            <w:pPr>
              <w:spacing w:after="0" w:line="240" w:lineRule="auto"/>
              <w:jc w:val="left"/>
              <w:rPr>
                <w:rFonts w:eastAsia="Times New Roman" w:cs="Times New Roman"/>
                <w:b/>
                <w:bCs/>
                <w:sz w:val="16"/>
                <w:szCs w:val="16"/>
                <w:lang w:eastAsia="sk-SK"/>
              </w:rPr>
            </w:pPr>
            <w:r w:rsidRPr="00882EF1">
              <w:rPr>
                <w:rFonts w:eastAsia="Times New Roman" w:cs="Times New Roman"/>
                <w:b/>
                <w:bCs/>
                <w:sz w:val="16"/>
                <w:szCs w:val="16"/>
                <w:lang w:eastAsia="sk-SK"/>
              </w:rPr>
              <w:t xml:space="preserve">Kapitola </w:t>
            </w:r>
          </w:p>
        </w:tc>
        <w:tc>
          <w:tcPr>
            <w:tcW w:w="6560" w:type="dxa"/>
            <w:tcBorders>
              <w:top w:val="nil"/>
              <w:left w:val="nil"/>
              <w:bottom w:val="single" w:sz="4" w:space="0" w:color="auto"/>
              <w:right w:val="nil"/>
            </w:tcBorders>
            <w:shd w:val="clear" w:color="auto" w:fill="auto"/>
            <w:vAlign w:val="center"/>
            <w:hideMark/>
          </w:tcPr>
          <w:p w14:paraId="093126AC" w14:textId="77777777" w:rsidR="004C3312" w:rsidRPr="00882EF1" w:rsidRDefault="004C3312" w:rsidP="004C3312">
            <w:pPr>
              <w:spacing w:after="0" w:line="240" w:lineRule="auto"/>
              <w:jc w:val="center"/>
              <w:rPr>
                <w:rFonts w:eastAsia="Times New Roman" w:cs="Times New Roman"/>
                <w:b/>
                <w:bCs/>
                <w:sz w:val="16"/>
                <w:szCs w:val="16"/>
                <w:lang w:eastAsia="sk-SK"/>
              </w:rPr>
            </w:pPr>
            <w:r w:rsidRPr="00882EF1">
              <w:rPr>
                <w:rFonts w:eastAsia="Times New Roman" w:cs="Times New Roman"/>
                <w:b/>
                <w:bCs/>
                <w:sz w:val="16"/>
                <w:szCs w:val="16"/>
                <w:lang w:eastAsia="sk-SK"/>
              </w:rPr>
              <w:t>Účel</w:t>
            </w:r>
          </w:p>
        </w:tc>
        <w:tc>
          <w:tcPr>
            <w:tcW w:w="1236" w:type="dxa"/>
            <w:tcBorders>
              <w:top w:val="single" w:sz="4" w:space="0" w:color="auto"/>
              <w:left w:val="nil"/>
              <w:bottom w:val="single" w:sz="4" w:space="0" w:color="auto"/>
              <w:right w:val="nil"/>
            </w:tcBorders>
            <w:shd w:val="clear" w:color="auto" w:fill="auto"/>
            <w:vAlign w:val="center"/>
            <w:hideMark/>
          </w:tcPr>
          <w:p w14:paraId="3DA54111" w14:textId="18004421" w:rsidR="004C3312" w:rsidRPr="00882EF1" w:rsidRDefault="004C3312" w:rsidP="00367871">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Suma v tis. eur</w:t>
            </w:r>
          </w:p>
        </w:tc>
      </w:tr>
      <w:tr w:rsidR="004C3312" w:rsidRPr="00882EF1" w14:paraId="2AAC305B" w14:textId="77777777" w:rsidTr="004C3312">
        <w:trPr>
          <w:trHeight w:val="285"/>
        </w:trPr>
        <w:tc>
          <w:tcPr>
            <w:tcW w:w="1276" w:type="dxa"/>
            <w:vMerge w:val="restart"/>
            <w:tcBorders>
              <w:top w:val="nil"/>
              <w:left w:val="nil"/>
              <w:bottom w:val="nil"/>
              <w:right w:val="nil"/>
            </w:tcBorders>
            <w:shd w:val="clear" w:color="000000" w:fill="FFFFFF"/>
            <w:vAlign w:val="center"/>
            <w:hideMark/>
          </w:tcPr>
          <w:p w14:paraId="1FF69D15" w14:textId="77777777" w:rsidR="004C3312" w:rsidRPr="00882EF1" w:rsidRDefault="004C3312" w:rsidP="004C3312">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M</w:t>
            </w:r>
            <w:r>
              <w:rPr>
                <w:rFonts w:eastAsia="Times New Roman" w:cs="Times New Roman"/>
                <w:sz w:val="16"/>
                <w:szCs w:val="16"/>
                <w:lang w:eastAsia="sk-SK"/>
              </w:rPr>
              <w:t xml:space="preserve">inisterstvo zdravotníctva </w:t>
            </w:r>
            <w:r w:rsidRPr="00882EF1">
              <w:rPr>
                <w:rFonts w:eastAsia="Times New Roman" w:cs="Times New Roman"/>
                <w:sz w:val="16"/>
                <w:szCs w:val="16"/>
                <w:lang w:eastAsia="sk-SK"/>
              </w:rPr>
              <w:t>SR</w:t>
            </w:r>
          </w:p>
        </w:tc>
        <w:tc>
          <w:tcPr>
            <w:tcW w:w="6560" w:type="dxa"/>
            <w:tcBorders>
              <w:top w:val="nil"/>
              <w:left w:val="nil"/>
              <w:bottom w:val="nil"/>
              <w:right w:val="nil"/>
            </w:tcBorders>
            <w:shd w:val="clear" w:color="auto" w:fill="auto"/>
            <w:vAlign w:val="bottom"/>
            <w:hideMark/>
          </w:tcPr>
          <w:p w14:paraId="52F500C0"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vakcíny Moderna, Pfizer, Astra </w:t>
            </w:r>
            <w:proofErr w:type="spellStart"/>
            <w:r w:rsidRPr="00882EF1">
              <w:rPr>
                <w:rFonts w:eastAsia="Times New Roman" w:cs="Times New Roman"/>
                <w:sz w:val="16"/>
                <w:szCs w:val="16"/>
                <w:lang w:eastAsia="sk-SK"/>
              </w:rPr>
              <w:t>Zeneca</w:t>
            </w:r>
            <w:proofErr w:type="spellEnd"/>
            <w:r w:rsidRPr="00882EF1">
              <w:rPr>
                <w:rFonts w:eastAsia="Times New Roman" w:cs="Times New Roman"/>
                <w:sz w:val="16"/>
                <w:szCs w:val="16"/>
                <w:lang w:eastAsia="sk-SK"/>
              </w:rPr>
              <w:t xml:space="preserve">, </w:t>
            </w:r>
            <w:proofErr w:type="spellStart"/>
            <w:r w:rsidRPr="00882EF1">
              <w:rPr>
                <w:rFonts w:eastAsia="Times New Roman" w:cs="Times New Roman"/>
                <w:sz w:val="16"/>
                <w:szCs w:val="16"/>
                <w:lang w:eastAsia="sk-SK"/>
              </w:rPr>
              <w:t>Novavax</w:t>
            </w:r>
            <w:proofErr w:type="spellEnd"/>
          </w:p>
        </w:tc>
        <w:tc>
          <w:tcPr>
            <w:tcW w:w="1236" w:type="dxa"/>
            <w:tcBorders>
              <w:top w:val="nil"/>
              <w:left w:val="nil"/>
              <w:bottom w:val="nil"/>
              <w:right w:val="nil"/>
            </w:tcBorders>
            <w:shd w:val="clear" w:color="auto" w:fill="auto"/>
            <w:vAlign w:val="center"/>
            <w:hideMark/>
          </w:tcPr>
          <w:p w14:paraId="1C2AA297"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142 789</w:t>
            </w:r>
          </w:p>
        </w:tc>
      </w:tr>
      <w:tr w:rsidR="004C3312" w:rsidRPr="00882EF1" w14:paraId="5DA10C0E" w14:textId="77777777" w:rsidTr="004C3312">
        <w:trPr>
          <w:trHeight w:val="510"/>
        </w:trPr>
        <w:tc>
          <w:tcPr>
            <w:tcW w:w="1276" w:type="dxa"/>
            <w:vMerge/>
            <w:tcBorders>
              <w:top w:val="nil"/>
              <w:left w:val="nil"/>
              <w:bottom w:val="nil"/>
              <w:right w:val="nil"/>
            </w:tcBorders>
            <w:vAlign w:val="center"/>
            <w:hideMark/>
          </w:tcPr>
          <w:p w14:paraId="2AC7E110"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000000" w:fill="FFFFFF"/>
            <w:vAlign w:val="bottom"/>
            <w:hideMark/>
          </w:tcPr>
          <w:p w14:paraId="5111D9A9"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liek </w:t>
            </w:r>
            <w:proofErr w:type="spellStart"/>
            <w:r w:rsidRPr="00882EF1">
              <w:rPr>
                <w:rFonts w:eastAsia="Times New Roman" w:cs="Times New Roman"/>
                <w:sz w:val="16"/>
                <w:szCs w:val="16"/>
                <w:lang w:eastAsia="sk-SK"/>
              </w:rPr>
              <w:t>Lagevrio</w:t>
            </w:r>
            <w:proofErr w:type="spellEnd"/>
            <w:r w:rsidRPr="00882EF1">
              <w:rPr>
                <w:rFonts w:eastAsia="Times New Roman" w:cs="Times New Roman"/>
                <w:sz w:val="16"/>
                <w:szCs w:val="16"/>
                <w:lang w:eastAsia="sk-SK"/>
              </w:rPr>
              <w:t xml:space="preserve">, </w:t>
            </w:r>
            <w:proofErr w:type="spellStart"/>
            <w:r w:rsidRPr="00882EF1">
              <w:rPr>
                <w:rFonts w:eastAsia="Times New Roman" w:cs="Times New Roman"/>
                <w:sz w:val="16"/>
                <w:szCs w:val="16"/>
                <w:lang w:eastAsia="sk-SK"/>
              </w:rPr>
              <w:t>Veklury</w:t>
            </w:r>
            <w:proofErr w:type="spellEnd"/>
            <w:r w:rsidRPr="00882EF1">
              <w:rPr>
                <w:rFonts w:eastAsia="Times New Roman" w:cs="Times New Roman"/>
                <w:sz w:val="16"/>
                <w:szCs w:val="16"/>
                <w:lang w:eastAsia="sk-SK"/>
              </w:rPr>
              <w:t xml:space="preserve">, </w:t>
            </w:r>
            <w:proofErr w:type="spellStart"/>
            <w:r w:rsidRPr="00882EF1">
              <w:rPr>
                <w:rFonts w:eastAsia="Times New Roman" w:cs="Times New Roman"/>
                <w:sz w:val="16"/>
                <w:szCs w:val="16"/>
                <w:lang w:eastAsia="sk-SK"/>
              </w:rPr>
              <w:t>Ronapreve</w:t>
            </w:r>
            <w:proofErr w:type="spellEnd"/>
            <w:r w:rsidRPr="00882EF1">
              <w:rPr>
                <w:rFonts w:eastAsia="Times New Roman" w:cs="Times New Roman"/>
                <w:sz w:val="16"/>
                <w:szCs w:val="16"/>
                <w:lang w:eastAsia="sk-SK"/>
              </w:rPr>
              <w:t xml:space="preserve">, </w:t>
            </w:r>
            <w:proofErr w:type="spellStart"/>
            <w:r w:rsidRPr="00882EF1">
              <w:rPr>
                <w:rFonts w:eastAsia="Times New Roman" w:cs="Times New Roman"/>
                <w:sz w:val="16"/>
                <w:szCs w:val="16"/>
                <w:lang w:eastAsia="sk-SK"/>
              </w:rPr>
              <w:t>Bamlanivimab</w:t>
            </w:r>
            <w:proofErr w:type="spellEnd"/>
            <w:r w:rsidRPr="00882EF1">
              <w:rPr>
                <w:rFonts w:eastAsia="Times New Roman" w:cs="Times New Roman"/>
                <w:sz w:val="16"/>
                <w:szCs w:val="16"/>
                <w:lang w:eastAsia="sk-SK"/>
              </w:rPr>
              <w:t xml:space="preserve">, </w:t>
            </w:r>
            <w:proofErr w:type="spellStart"/>
            <w:r w:rsidRPr="00882EF1">
              <w:rPr>
                <w:rFonts w:eastAsia="Times New Roman" w:cs="Times New Roman"/>
                <w:sz w:val="16"/>
                <w:szCs w:val="16"/>
                <w:lang w:eastAsia="sk-SK"/>
              </w:rPr>
              <w:t>Etesevimab</w:t>
            </w:r>
            <w:proofErr w:type="spellEnd"/>
            <w:r w:rsidRPr="00882EF1">
              <w:rPr>
                <w:rFonts w:eastAsia="Times New Roman" w:cs="Times New Roman"/>
                <w:sz w:val="16"/>
                <w:szCs w:val="16"/>
                <w:lang w:eastAsia="sk-SK"/>
              </w:rPr>
              <w:t xml:space="preserve">, </w:t>
            </w:r>
            <w:proofErr w:type="spellStart"/>
            <w:r w:rsidRPr="00882EF1">
              <w:rPr>
                <w:rFonts w:eastAsia="Times New Roman" w:cs="Times New Roman"/>
                <w:sz w:val="16"/>
                <w:szCs w:val="16"/>
                <w:lang w:eastAsia="sk-SK"/>
              </w:rPr>
              <w:t>Paxlovid</w:t>
            </w:r>
            <w:proofErr w:type="spellEnd"/>
            <w:r w:rsidRPr="00882EF1">
              <w:rPr>
                <w:rFonts w:eastAsia="Times New Roman" w:cs="Times New Roman"/>
                <w:sz w:val="16"/>
                <w:szCs w:val="16"/>
                <w:lang w:eastAsia="sk-SK"/>
              </w:rPr>
              <w:t xml:space="preserve"> podľa UZN </w:t>
            </w:r>
            <w:r w:rsidRPr="00882EF1">
              <w:rPr>
                <w:rFonts w:eastAsia="Times New Roman" w:cs="Times New Roman"/>
                <w:sz w:val="16"/>
                <w:szCs w:val="16"/>
                <w:lang w:eastAsia="sk-SK"/>
              </w:rPr>
              <w:br/>
              <w:t>č. 694/2021, č. 466/2022, č. 737/2021 a č. 787/2021</w:t>
            </w:r>
          </w:p>
        </w:tc>
        <w:tc>
          <w:tcPr>
            <w:tcW w:w="1236" w:type="dxa"/>
            <w:tcBorders>
              <w:top w:val="nil"/>
              <w:left w:val="nil"/>
              <w:bottom w:val="nil"/>
              <w:right w:val="nil"/>
            </w:tcBorders>
            <w:shd w:val="clear" w:color="auto" w:fill="auto"/>
            <w:vAlign w:val="center"/>
            <w:hideMark/>
          </w:tcPr>
          <w:p w14:paraId="34D800BC"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104 996</w:t>
            </w:r>
          </w:p>
        </w:tc>
      </w:tr>
      <w:tr w:rsidR="004C3312" w:rsidRPr="00882EF1" w14:paraId="03C4DC6D" w14:textId="77777777" w:rsidTr="00367871">
        <w:trPr>
          <w:trHeight w:val="465"/>
        </w:trPr>
        <w:tc>
          <w:tcPr>
            <w:tcW w:w="1276" w:type="dxa"/>
            <w:vMerge/>
            <w:tcBorders>
              <w:top w:val="nil"/>
              <w:left w:val="nil"/>
              <w:bottom w:val="nil"/>
              <w:right w:val="nil"/>
            </w:tcBorders>
            <w:vAlign w:val="center"/>
            <w:hideMark/>
          </w:tcPr>
          <w:p w14:paraId="0658542C"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center"/>
            <w:hideMark/>
          </w:tcPr>
          <w:p w14:paraId="05A1E2B8"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výdavky subjektom hospodárskej mobilizácie a infekčný 7 eur príplatok na COVID oddeleniach </w:t>
            </w:r>
          </w:p>
        </w:tc>
        <w:tc>
          <w:tcPr>
            <w:tcW w:w="1236" w:type="dxa"/>
            <w:tcBorders>
              <w:top w:val="nil"/>
              <w:left w:val="nil"/>
              <w:bottom w:val="nil"/>
              <w:right w:val="nil"/>
            </w:tcBorders>
            <w:shd w:val="clear" w:color="auto" w:fill="auto"/>
            <w:vAlign w:val="center"/>
            <w:hideMark/>
          </w:tcPr>
          <w:p w14:paraId="2E83724E"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79 776</w:t>
            </w:r>
          </w:p>
        </w:tc>
      </w:tr>
      <w:tr w:rsidR="004C3312" w:rsidRPr="00882EF1" w14:paraId="11531278" w14:textId="77777777" w:rsidTr="00367871">
        <w:trPr>
          <w:trHeight w:val="255"/>
        </w:trPr>
        <w:tc>
          <w:tcPr>
            <w:tcW w:w="1276" w:type="dxa"/>
            <w:vMerge/>
            <w:tcBorders>
              <w:top w:val="nil"/>
              <w:left w:val="nil"/>
              <w:bottom w:val="nil"/>
              <w:right w:val="nil"/>
            </w:tcBorders>
            <w:vAlign w:val="center"/>
            <w:hideMark/>
          </w:tcPr>
          <w:p w14:paraId="3248FD04"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000000" w:fill="FFFFFF"/>
            <w:vAlign w:val="center"/>
            <w:hideMark/>
          </w:tcPr>
          <w:p w14:paraId="351F5DDE"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antigénové testy podľa UZN č. 576/2021, č. 687/2021 a č. 73/2022</w:t>
            </w:r>
          </w:p>
        </w:tc>
        <w:tc>
          <w:tcPr>
            <w:tcW w:w="1236" w:type="dxa"/>
            <w:tcBorders>
              <w:top w:val="nil"/>
              <w:left w:val="nil"/>
              <w:bottom w:val="nil"/>
              <w:right w:val="nil"/>
            </w:tcBorders>
            <w:shd w:val="clear" w:color="auto" w:fill="auto"/>
            <w:vAlign w:val="center"/>
            <w:hideMark/>
          </w:tcPr>
          <w:p w14:paraId="0F60D835"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74 800</w:t>
            </w:r>
          </w:p>
        </w:tc>
      </w:tr>
      <w:tr w:rsidR="004C3312" w:rsidRPr="00882EF1" w14:paraId="268ABED1" w14:textId="77777777" w:rsidTr="004C3312">
        <w:trPr>
          <w:trHeight w:val="285"/>
        </w:trPr>
        <w:tc>
          <w:tcPr>
            <w:tcW w:w="1276" w:type="dxa"/>
            <w:vMerge/>
            <w:tcBorders>
              <w:top w:val="nil"/>
              <w:left w:val="nil"/>
              <w:bottom w:val="nil"/>
              <w:right w:val="nil"/>
            </w:tcBorders>
            <w:vAlign w:val="center"/>
            <w:hideMark/>
          </w:tcPr>
          <w:p w14:paraId="3AF83553"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000000" w:fill="FFFFFF"/>
            <w:vAlign w:val="bottom"/>
            <w:hideMark/>
          </w:tcPr>
          <w:p w14:paraId="5F227FAD"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infekčný COVID príplatok a OOPP pre Záchrannú zdravotnú službu</w:t>
            </w:r>
          </w:p>
        </w:tc>
        <w:tc>
          <w:tcPr>
            <w:tcW w:w="1236" w:type="dxa"/>
            <w:tcBorders>
              <w:top w:val="nil"/>
              <w:left w:val="nil"/>
              <w:bottom w:val="nil"/>
              <w:right w:val="nil"/>
            </w:tcBorders>
            <w:shd w:val="clear" w:color="auto" w:fill="auto"/>
            <w:vAlign w:val="center"/>
            <w:hideMark/>
          </w:tcPr>
          <w:p w14:paraId="4988F779"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8 572</w:t>
            </w:r>
          </w:p>
        </w:tc>
      </w:tr>
      <w:tr w:rsidR="004C3312" w:rsidRPr="00882EF1" w14:paraId="0BD9A3CE" w14:textId="77777777" w:rsidTr="004C3312">
        <w:trPr>
          <w:trHeight w:val="300"/>
        </w:trPr>
        <w:tc>
          <w:tcPr>
            <w:tcW w:w="1276" w:type="dxa"/>
            <w:vMerge/>
            <w:tcBorders>
              <w:top w:val="nil"/>
              <w:left w:val="nil"/>
              <w:bottom w:val="nil"/>
              <w:right w:val="nil"/>
            </w:tcBorders>
            <w:vAlign w:val="center"/>
            <w:hideMark/>
          </w:tcPr>
          <w:p w14:paraId="33C713F2"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000000" w:fill="FFFFFF"/>
            <w:vAlign w:val="bottom"/>
            <w:hideMark/>
          </w:tcPr>
          <w:p w14:paraId="7754F158"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výdavky veľkokapacitných očkovacích centier a výjazdových očkovacích skupín </w:t>
            </w:r>
          </w:p>
        </w:tc>
        <w:tc>
          <w:tcPr>
            <w:tcW w:w="1236" w:type="dxa"/>
            <w:tcBorders>
              <w:top w:val="nil"/>
              <w:left w:val="nil"/>
              <w:bottom w:val="nil"/>
              <w:right w:val="nil"/>
            </w:tcBorders>
            <w:shd w:val="clear" w:color="auto" w:fill="auto"/>
            <w:vAlign w:val="center"/>
            <w:hideMark/>
          </w:tcPr>
          <w:p w14:paraId="10BBB349"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2 545</w:t>
            </w:r>
          </w:p>
        </w:tc>
      </w:tr>
      <w:tr w:rsidR="004C3312" w:rsidRPr="00882EF1" w14:paraId="2BE4BE76" w14:textId="77777777" w:rsidTr="004C3312">
        <w:trPr>
          <w:trHeight w:val="705"/>
        </w:trPr>
        <w:tc>
          <w:tcPr>
            <w:tcW w:w="1276" w:type="dxa"/>
            <w:vMerge/>
            <w:tcBorders>
              <w:top w:val="nil"/>
              <w:left w:val="nil"/>
              <w:bottom w:val="nil"/>
              <w:right w:val="nil"/>
            </w:tcBorders>
            <w:vAlign w:val="center"/>
            <w:hideMark/>
          </w:tcPr>
          <w:p w14:paraId="376DD6BA"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0BD35C97"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distribúciu a skladovanie liekov, vakcín a zdravotníckych pomôcok subjektov hospodárskej mobilizácie - UNIPHARMA, </w:t>
            </w:r>
            <w:proofErr w:type="spellStart"/>
            <w:r w:rsidRPr="00882EF1">
              <w:rPr>
                <w:rFonts w:eastAsia="Times New Roman" w:cs="Times New Roman"/>
                <w:sz w:val="16"/>
                <w:szCs w:val="16"/>
                <w:lang w:eastAsia="sk-SK"/>
              </w:rPr>
              <w:t>Imuna</w:t>
            </w:r>
            <w:proofErr w:type="spellEnd"/>
            <w:r w:rsidRPr="00882EF1">
              <w:rPr>
                <w:rFonts w:eastAsia="Times New Roman" w:cs="Times New Roman"/>
                <w:sz w:val="16"/>
                <w:szCs w:val="16"/>
                <w:lang w:eastAsia="sk-SK"/>
              </w:rPr>
              <w:t xml:space="preserve"> </w:t>
            </w:r>
            <w:proofErr w:type="spellStart"/>
            <w:r w:rsidRPr="00882EF1">
              <w:rPr>
                <w:rFonts w:eastAsia="Times New Roman" w:cs="Times New Roman"/>
                <w:sz w:val="16"/>
                <w:szCs w:val="16"/>
                <w:lang w:eastAsia="sk-SK"/>
              </w:rPr>
              <w:t>Pharm</w:t>
            </w:r>
            <w:proofErr w:type="spellEnd"/>
            <w:r w:rsidRPr="00882EF1">
              <w:rPr>
                <w:rFonts w:eastAsia="Times New Roman" w:cs="Times New Roman"/>
                <w:sz w:val="16"/>
                <w:szCs w:val="16"/>
                <w:lang w:eastAsia="sk-SK"/>
              </w:rPr>
              <w:t xml:space="preserve">, a. s., BIONT, a. s. </w:t>
            </w:r>
            <w:r w:rsidRPr="00882EF1">
              <w:rPr>
                <w:rFonts w:eastAsia="Times New Roman" w:cs="Times New Roman"/>
                <w:bCs/>
                <w:sz w:val="16"/>
                <w:szCs w:val="16"/>
                <w:lang w:eastAsia="sk-SK"/>
              </w:rPr>
              <w:t xml:space="preserve">a </w:t>
            </w:r>
            <w:proofErr w:type="spellStart"/>
            <w:r w:rsidRPr="00882EF1">
              <w:rPr>
                <w:rFonts w:eastAsia="Times New Roman" w:cs="Times New Roman"/>
                <w:bCs/>
                <w:sz w:val="16"/>
                <w:szCs w:val="16"/>
                <w:lang w:eastAsia="sk-SK"/>
              </w:rPr>
              <w:t>Mediform</w:t>
            </w:r>
            <w:proofErr w:type="spellEnd"/>
            <w:r w:rsidRPr="00882EF1">
              <w:rPr>
                <w:rFonts w:eastAsia="Times New Roman" w:cs="Times New Roman"/>
                <w:bCs/>
                <w:sz w:val="16"/>
                <w:szCs w:val="16"/>
                <w:lang w:eastAsia="sk-SK"/>
              </w:rPr>
              <w:t xml:space="preserve">, s. r. o., </w:t>
            </w:r>
            <w:proofErr w:type="spellStart"/>
            <w:r w:rsidRPr="00882EF1">
              <w:rPr>
                <w:rFonts w:eastAsia="Times New Roman" w:cs="Times New Roman"/>
                <w:bCs/>
                <w:sz w:val="16"/>
                <w:szCs w:val="16"/>
                <w:lang w:eastAsia="sk-SK"/>
              </w:rPr>
              <w:t>FNsP</w:t>
            </w:r>
            <w:proofErr w:type="spellEnd"/>
            <w:r w:rsidRPr="00882EF1">
              <w:rPr>
                <w:rFonts w:eastAsia="Times New Roman" w:cs="Times New Roman"/>
                <w:bCs/>
                <w:sz w:val="16"/>
                <w:szCs w:val="16"/>
                <w:lang w:eastAsia="sk-SK"/>
              </w:rPr>
              <w:t xml:space="preserve"> F.D. Roosevelta, Váš lekár</w:t>
            </w:r>
          </w:p>
        </w:tc>
        <w:tc>
          <w:tcPr>
            <w:tcW w:w="1236" w:type="dxa"/>
            <w:tcBorders>
              <w:top w:val="nil"/>
              <w:left w:val="nil"/>
              <w:bottom w:val="nil"/>
              <w:right w:val="nil"/>
            </w:tcBorders>
            <w:shd w:val="clear" w:color="auto" w:fill="auto"/>
            <w:vAlign w:val="center"/>
            <w:hideMark/>
          </w:tcPr>
          <w:p w14:paraId="4693B71D"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2 303</w:t>
            </w:r>
          </w:p>
        </w:tc>
      </w:tr>
      <w:tr w:rsidR="004C3312" w:rsidRPr="00882EF1" w14:paraId="3B0755B5" w14:textId="77777777" w:rsidTr="004C3312">
        <w:trPr>
          <w:trHeight w:val="450"/>
        </w:trPr>
        <w:tc>
          <w:tcPr>
            <w:tcW w:w="1276" w:type="dxa"/>
            <w:vMerge/>
            <w:tcBorders>
              <w:top w:val="nil"/>
              <w:left w:val="nil"/>
              <w:bottom w:val="nil"/>
              <w:right w:val="nil"/>
            </w:tcBorders>
            <w:vAlign w:val="center"/>
            <w:hideMark/>
          </w:tcPr>
          <w:p w14:paraId="016B7011"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000000" w:fill="FFFFFF"/>
            <w:vAlign w:val="bottom"/>
            <w:hideMark/>
          </w:tcPr>
          <w:p w14:paraId="11B6DC53"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úhradu zdravotnej starostlivosti v súvislosti s ochorením COVID-19 za osoby, ktoré nie sú verejne zdravotne poistené</w:t>
            </w:r>
          </w:p>
        </w:tc>
        <w:tc>
          <w:tcPr>
            <w:tcW w:w="1236" w:type="dxa"/>
            <w:tcBorders>
              <w:top w:val="nil"/>
              <w:left w:val="nil"/>
              <w:bottom w:val="nil"/>
              <w:right w:val="nil"/>
            </w:tcBorders>
            <w:shd w:val="clear" w:color="auto" w:fill="auto"/>
            <w:vAlign w:val="center"/>
            <w:hideMark/>
          </w:tcPr>
          <w:p w14:paraId="2F2F0CB5"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775</w:t>
            </w:r>
          </w:p>
        </w:tc>
      </w:tr>
      <w:tr w:rsidR="004C3312" w:rsidRPr="00882EF1" w14:paraId="568F65E6" w14:textId="77777777" w:rsidTr="004C3312">
        <w:trPr>
          <w:trHeight w:val="294"/>
        </w:trPr>
        <w:tc>
          <w:tcPr>
            <w:tcW w:w="1276" w:type="dxa"/>
            <w:vMerge/>
            <w:tcBorders>
              <w:top w:val="nil"/>
              <w:left w:val="nil"/>
              <w:bottom w:val="nil"/>
              <w:right w:val="nil"/>
            </w:tcBorders>
            <w:vAlign w:val="center"/>
            <w:hideMark/>
          </w:tcPr>
          <w:p w14:paraId="236FC9B3"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000000" w:fill="FFFFFF"/>
            <w:vAlign w:val="bottom"/>
            <w:hideMark/>
          </w:tcPr>
          <w:p w14:paraId="12999805"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mediálnu a komunikačnú kampaň súvisiacu s očkovaním proti COVID-19 a riadením pandémie</w:t>
            </w:r>
          </w:p>
        </w:tc>
        <w:tc>
          <w:tcPr>
            <w:tcW w:w="1236" w:type="dxa"/>
            <w:tcBorders>
              <w:top w:val="nil"/>
              <w:left w:val="nil"/>
              <w:bottom w:val="nil"/>
              <w:right w:val="nil"/>
            </w:tcBorders>
            <w:shd w:val="clear" w:color="auto" w:fill="auto"/>
            <w:vAlign w:val="center"/>
            <w:hideMark/>
          </w:tcPr>
          <w:p w14:paraId="2969AFF0"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400</w:t>
            </w:r>
          </w:p>
        </w:tc>
      </w:tr>
      <w:tr w:rsidR="004C3312" w:rsidRPr="00882EF1" w14:paraId="4EB8D1A3" w14:textId="77777777" w:rsidTr="004C3312">
        <w:trPr>
          <w:trHeight w:val="272"/>
        </w:trPr>
        <w:tc>
          <w:tcPr>
            <w:tcW w:w="1276" w:type="dxa"/>
            <w:vMerge/>
            <w:tcBorders>
              <w:top w:val="nil"/>
              <w:left w:val="nil"/>
              <w:bottom w:val="nil"/>
              <w:right w:val="nil"/>
            </w:tcBorders>
            <w:vAlign w:val="center"/>
            <w:hideMark/>
          </w:tcPr>
          <w:p w14:paraId="56450EFB"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325C98A3" w14:textId="77777777" w:rsidR="004C3312" w:rsidRPr="00882EF1" w:rsidRDefault="004C3312" w:rsidP="004C3312">
            <w:pPr>
              <w:spacing w:after="0" w:line="240" w:lineRule="auto"/>
              <w:rPr>
                <w:rFonts w:eastAsia="Times New Roman" w:cs="Times New Roman"/>
                <w:sz w:val="16"/>
                <w:szCs w:val="16"/>
                <w:lang w:eastAsia="sk-SK"/>
              </w:rPr>
            </w:pPr>
            <w:proofErr w:type="spellStart"/>
            <w:r w:rsidRPr="00882EF1">
              <w:rPr>
                <w:rFonts w:eastAsia="Times New Roman" w:cs="Times New Roman"/>
                <w:sz w:val="16"/>
                <w:szCs w:val="16"/>
                <w:lang w:eastAsia="sk-SK"/>
              </w:rPr>
              <w:t>Surveilance</w:t>
            </w:r>
            <w:proofErr w:type="spellEnd"/>
            <w:r w:rsidRPr="00882EF1">
              <w:rPr>
                <w:rFonts w:eastAsia="Times New Roman" w:cs="Times New Roman"/>
                <w:sz w:val="16"/>
                <w:szCs w:val="16"/>
                <w:lang w:eastAsia="sk-SK"/>
              </w:rPr>
              <w:t xml:space="preserve"> ochorenia COVID-19, ktorý vykonávajú ÚVZ SR a RÚVZ</w:t>
            </w:r>
          </w:p>
        </w:tc>
        <w:tc>
          <w:tcPr>
            <w:tcW w:w="1236" w:type="dxa"/>
            <w:tcBorders>
              <w:top w:val="nil"/>
              <w:left w:val="nil"/>
              <w:bottom w:val="nil"/>
              <w:right w:val="nil"/>
            </w:tcBorders>
            <w:shd w:val="clear" w:color="auto" w:fill="auto"/>
            <w:vAlign w:val="center"/>
            <w:hideMark/>
          </w:tcPr>
          <w:p w14:paraId="25587CCF"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338</w:t>
            </w:r>
          </w:p>
        </w:tc>
      </w:tr>
      <w:tr w:rsidR="004C3312" w:rsidRPr="00882EF1" w14:paraId="5B2005C5" w14:textId="77777777" w:rsidTr="004C3312">
        <w:trPr>
          <w:trHeight w:val="474"/>
        </w:trPr>
        <w:tc>
          <w:tcPr>
            <w:tcW w:w="1276" w:type="dxa"/>
            <w:vMerge/>
            <w:tcBorders>
              <w:top w:val="nil"/>
              <w:left w:val="nil"/>
              <w:bottom w:val="nil"/>
              <w:right w:val="nil"/>
            </w:tcBorders>
            <w:vAlign w:val="center"/>
            <w:hideMark/>
          </w:tcPr>
          <w:p w14:paraId="234F3C26"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31C340CB"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výdavky subjektom hospodárskej mobilizácie pre Záchrannú zdravotnú službu na príplatky              z dôvodu preradenia zamestnancov do 3. rizikovej skupiny za obdobie marec - apríl 2022</w:t>
            </w:r>
          </w:p>
        </w:tc>
        <w:tc>
          <w:tcPr>
            <w:tcW w:w="1236" w:type="dxa"/>
            <w:tcBorders>
              <w:top w:val="nil"/>
              <w:left w:val="nil"/>
              <w:bottom w:val="nil"/>
              <w:right w:val="nil"/>
            </w:tcBorders>
            <w:shd w:val="clear" w:color="auto" w:fill="auto"/>
            <w:vAlign w:val="center"/>
            <w:hideMark/>
          </w:tcPr>
          <w:p w14:paraId="2A996E0F"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290</w:t>
            </w:r>
          </w:p>
        </w:tc>
      </w:tr>
      <w:tr w:rsidR="004C3312" w:rsidRPr="00882EF1" w14:paraId="202277FE" w14:textId="77777777" w:rsidTr="004C3312">
        <w:trPr>
          <w:trHeight w:val="285"/>
        </w:trPr>
        <w:tc>
          <w:tcPr>
            <w:tcW w:w="1276" w:type="dxa"/>
            <w:vMerge/>
            <w:tcBorders>
              <w:top w:val="nil"/>
              <w:left w:val="nil"/>
              <w:bottom w:val="nil"/>
              <w:right w:val="nil"/>
            </w:tcBorders>
            <w:vAlign w:val="center"/>
            <w:hideMark/>
          </w:tcPr>
          <w:p w14:paraId="768A4BFA"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3291A7DD" w14:textId="0F7FCA0E" w:rsidR="004C3312" w:rsidRPr="00882EF1" w:rsidRDefault="004C3312" w:rsidP="004820B5">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úhradu refundácie COVID výdavkov RÚVZ za obdobie 01.01.2022 - 12.08.2022</w:t>
            </w:r>
          </w:p>
        </w:tc>
        <w:tc>
          <w:tcPr>
            <w:tcW w:w="1236" w:type="dxa"/>
            <w:tcBorders>
              <w:top w:val="nil"/>
              <w:left w:val="nil"/>
              <w:bottom w:val="nil"/>
              <w:right w:val="nil"/>
            </w:tcBorders>
            <w:shd w:val="clear" w:color="auto" w:fill="auto"/>
            <w:vAlign w:val="center"/>
            <w:hideMark/>
          </w:tcPr>
          <w:p w14:paraId="18E18E72"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232</w:t>
            </w:r>
          </w:p>
        </w:tc>
      </w:tr>
      <w:tr w:rsidR="004C3312" w:rsidRPr="00882EF1" w14:paraId="0B8B5788" w14:textId="77777777" w:rsidTr="004C3312">
        <w:trPr>
          <w:trHeight w:val="285"/>
        </w:trPr>
        <w:tc>
          <w:tcPr>
            <w:tcW w:w="1276" w:type="dxa"/>
            <w:vMerge/>
            <w:tcBorders>
              <w:top w:val="nil"/>
              <w:left w:val="nil"/>
              <w:bottom w:val="nil"/>
              <w:right w:val="nil"/>
            </w:tcBorders>
            <w:vAlign w:val="center"/>
            <w:hideMark/>
          </w:tcPr>
          <w:p w14:paraId="6562172D"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7F1FF342"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úhradu nákladov pre mobilné odberové miesta </w:t>
            </w:r>
          </w:p>
        </w:tc>
        <w:tc>
          <w:tcPr>
            <w:tcW w:w="1236" w:type="dxa"/>
            <w:tcBorders>
              <w:top w:val="nil"/>
              <w:left w:val="nil"/>
              <w:bottom w:val="nil"/>
              <w:right w:val="nil"/>
            </w:tcBorders>
            <w:shd w:val="clear" w:color="auto" w:fill="auto"/>
            <w:vAlign w:val="center"/>
            <w:hideMark/>
          </w:tcPr>
          <w:p w14:paraId="07C429FC"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174</w:t>
            </w:r>
          </w:p>
        </w:tc>
      </w:tr>
      <w:tr w:rsidR="004C3312" w:rsidRPr="00882EF1" w14:paraId="25313F54" w14:textId="77777777" w:rsidTr="004C3312">
        <w:trPr>
          <w:trHeight w:val="276"/>
        </w:trPr>
        <w:tc>
          <w:tcPr>
            <w:tcW w:w="1276" w:type="dxa"/>
            <w:vMerge/>
            <w:tcBorders>
              <w:top w:val="nil"/>
              <w:left w:val="nil"/>
              <w:bottom w:val="nil"/>
              <w:right w:val="nil"/>
            </w:tcBorders>
            <w:vAlign w:val="center"/>
            <w:hideMark/>
          </w:tcPr>
          <w:p w14:paraId="7BA9AB9C"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37296A25"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štatistický a analytický softvér – </w:t>
            </w:r>
            <w:proofErr w:type="spellStart"/>
            <w:r w:rsidRPr="00882EF1">
              <w:rPr>
                <w:rFonts w:eastAsia="Times New Roman" w:cs="Times New Roman"/>
                <w:sz w:val="16"/>
                <w:szCs w:val="16"/>
                <w:lang w:eastAsia="sk-SK"/>
              </w:rPr>
              <w:t>Covid</w:t>
            </w:r>
            <w:proofErr w:type="spellEnd"/>
            <w:r w:rsidRPr="00882EF1">
              <w:rPr>
                <w:rFonts w:eastAsia="Times New Roman" w:cs="Times New Roman"/>
                <w:sz w:val="16"/>
                <w:szCs w:val="16"/>
                <w:lang w:eastAsia="sk-SK"/>
              </w:rPr>
              <w:t xml:space="preserve"> </w:t>
            </w:r>
            <w:proofErr w:type="spellStart"/>
            <w:r w:rsidRPr="00882EF1">
              <w:rPr>
                <w:rFonts w:eastAsia="Times New Roman" w:cs="Times New Roman"/>
                <w:sz w:val="16"/>
                <w:szCs w:val="16"/>
                <w:lang w:eastAsia="sk-SK"/>
              </w:rPr>
              <w:t>reporting</w:t>
            </w:r>
            <w:proofErr w:type="spellEnd"/>
            <w:r w:rsidRPr="00882EF1">
              <w:rPr>
                <w:rFonts w:eastAsia="Times New Roman" w:cs="Times New Roman"/>
                <w:sz w:val="16"/>
                <w:szCs w:val="16"/>
                <w:lang w:eastAsia="sk-SK"/>
              </w:rPr>
              <w:t xml:space="preserve"> pre Inštitút zdravotných analýz MZ SR</w:t>
            </w:r>
          </w:p>
        </w:tc>
        <w:tc>
          <w:tcPr>
            <w:tcW w:w="1236" w:type="dxa"/>
            <w:tcBorders>
              <w:top w:val="nil"/>
              <w:left w:val="nil"/>
              <w:bottom w:val="nil"/>
              <w:right w:val="nil"/>
            </w:tcBorders>
            <w:shd w:val="clear" w:color="auto" w:fill="auto"/>
            <w:vAlign w:val="center"/>
            <w:hideMark/>
          </w:tcPr>
          <w:p w14:paraId="4AD9EBA0"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82</w:t>
            </w:r>
          </w:p>
        </w:tc>
      </w:tr>
      <w:tr w:rsidR="004C3312" w:rsidRPr="00882EF1" w14:paraId="35B8E408" w14:textId="77777777" w:rsidTr="004C3312">
        <w:trPr>
          <w:trHeight w:val="375"/>
        </w:trPr>
        <w:tc>
          <w:tcPr>
            <w:tcW w:w="7836" w:type="dxa"/>
            <w:gridSpan w:val="2"/>
            <w:tcBorders>
              <w:top w:val="nil"/>
              <w:left w:val="nil"/>
              <w:bottom w:val="single" w:sz="4" w:space="0" w:color="auto"/>
              <w:right w:val="nil"/>
            </w:tcBorders>
            <w:shd w:val="clear" w:color="auto" w:fill="auto"/>
            <w:vAlign w:val="center"/>
            <w:hideMark/>
          </w:tcPr>
          <w:p w14:paraId="6D574A10"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auto" w:fill="auto"/>
            <w:vAlign w:val="center"/>
            <w:hideMark/>
          </w:tcPr>
          <w:p w14:paraId="48C12BC4"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418 073</w:t>
            </w:r>
          </w:p>
        </w:tc>
      </w:tr>
      <w:tr w:rsidR="004C3312" w:rsidRPr="00882EF1" w14:paraId="0E8FB7B9" w14:textId="77777777" w:rsidTr="004C3312">
        <w:trPr>
          <w:trHeight w:val="360"/>
        </w:trPr>
        <w:tc>
          <w:tcPr>
            <w:tcW w:w="1276" w:type="dxa"/>
            <w:vMerge w:val="restart"/>
            <w:tcBorders>
              <w:top w:val="nil"/>
              <w:left w:val="nil"/>
              <w:bottom w:val="nil"/>
              <w:right w:val="nil"/>
            </w:tcBorders>
            <w:shd w:val="clear" w:color="000000" w:fill="FFFFFF"/>
            <w:vAlign w:val="center"/>
            <w:hideMark/>
          </w:tcPr>
          <w:p w14:paraId="1110DAFB" w14:textId="77777777" w:rsidR="004C3312" w:rsidRPr="00882EF1" w:rsidRDefault="004C3312" w:rsidP="004C3312">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M</w:t>
            </w:r>
            <w:r>
              <w:rPr>
                <w:rFonts w:eastAsia="Times New Roman" w:cs="Times New Roman"/>
                <w:sz w:val="16"/>
                <w:szCs w:val="16"/>
                <w:lang w:eastAsia="sk-SK"/>
              </w:rPr>
              <w:t>inisterstvo práce, sociálnych vecí a rodiny</w:t>
            </w:r>
            <w:r w:rsidRPr="00882EF1">
              <w:rPr>
                <w:rFonts w:eastAsia="Times New Roman" w:cs="Times New Roman"/>
                <w:sz w:val="16"/>
                <w:szCs w:val="16"/>
                <w:lang w:eastAsia="sk-SK"/>
              </w:rPr>
              <w:t xml:space="preserve"> SR</w:t>
            </w:r>
          </w:p>
        </w:tc>
        <w:tc>
          <w:tcPr>
            <w:tcW w:w="6560" w:type="dxa"/>
            <w:tcBorders>
              <w:top w:val="nil"/>
              <w:left w:val="nil"/>
              <w:bottom w:val="nil"/>
              <w:right w:val="nil"/>
            </w:tcBorders>
            <w:shd w:val="clear" w:color="auto" w:fill="auto"/>
            <w:vAlign w:val="bottom"/>
            <w:hideMark/>
          </w:tcPr>
          <w:p w14:paraId="4EAD7B04"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Prvá pomoc - financovanie projektu na podporu udržania zamestnanosti podľa UZN č. 56/2022</w:t>
            </w:r>
          </w:p>
        </w:tc>
        <w:tc>
          <w:tcPr>
            <w:tcW w:w="1236" w:type="dxa"/>
            <w:tcBorders>
              <w:top w:val="nil"/>
              <w:left w:val="nil"/>
              <w:bottom w:val="nil"/>
              <w:right w:val="nil"/>
            </w:tcBorders>
            <w:shd w:val="clear" w:color="auto" w:fill="auto"/>
            <w:vAlign w:val="center"/>
            <w:hideMark/>
          </w:tcPr>
          <w:p w14:paraId="70552C41"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64 762</w:t>
            </w:r>
          </w:p>
        </w:tc>
      </w:tr>
      <w:tr w:rsidR="004C3312" w:rsidRPr="00882EF1" w14:paraId="5BC2DB32" w14:textId="77777777" w:rsidTr="004C3312">
        <w:trPr>
          <w:trHeight w:val="276"/>
        </w:trPr>
        <w:tc>
          <w:tcPr>
            <w:tcW w:w="1276" w:type="dxa"/>
            <w:vMerge/>
            <w:tcBorders>
              <w:top w:val="nil"/>
              <w:left w:val="nil"/>
              <w:bottom w:val="nil"/>
              <w:right w:val="nil"/>
            </w:tcBorders>
            <w:vAlign w:val="center"/>
            <w:hideMark/>
          </w:tcPr>
          <w:p w14:paraId="3A87DC4B"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091B09E8"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Projekt na podporu udržania pracovných miest – SZČO podľa UZN č. 104/2022 a č. 116/2022</w:t>
            </w:r>
          </w:p>
        </w:tc>
        <w:tc>
          <w:tcPr>
            <w:tcW w:w="1236" w:type="dxa"/>
            <w:tcBorders>
              <w:top w:val="nil"/>
              <w:left w:val="nil"/>
              <w:bottom w:val="nil"/>
              <w:right w:val="nil"/>
            </w:tcBorders>
            <w:shd w:val="clear" w:color="auto" w:fill="auto"/>
            <w:vAlign w:val="center"/>
            <w:hideMark/>
          </w:tcPr>
          <w:p w14:paraId="6D57C8E5"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2 950</w:t>
            </w:r>
          </w:p>
        </w:tc>
      </w:tr>
      <w:tr w:rsidR="004C3312" w:rsidRPr="00882EF1" w14:paraId="64C68373" w14:textId="77777777" w:rsidTr="004C3312">
        <w:trPr>
          <w:trHeight w:val="294"/>
        </w:trPr>
        <w:tc>
          <w:tcPr>
            <w:tcW w:w="1276" w:type="dxa"/>
            <w:vMerge/>
            <w:tcBorders>
              <w:top w:val="nil"/>
              <w:left w:val="nil"/>
              <w:bottom w:val="nil"/>
              <w:right w:val="nil"/>
            </w:tcBorders>
            <w:vAlign w:val="center"/>
            <w:hideMark/>
          </w:tcPr>
          <w:p w14:paraId="5D5FFD7B"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468C3C3D"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podporu humanitárnej pomoci na poskytnutie infekčného príplatku podľa UZN č. 580/2021</w:t>
            </w:r>
          </w:p>
        </w:tc>
        <w:tc>
          <w:tcPr>
            <w:tcW w:w="1236" w:type="dxa"/>
            <w:tcBorders>
              <w:top w:val="nil"/>
              <w:left w:val="nil"/>
              <w:bottom w:val="nil"/>
              <w:right w:val="nil"/>
            </w:tcBorders>
            <w:shd w:val="clear" w:color="auto" w:fill="auto"/>
            <w:vAlign w:val="center"/>
            <w:hideMark/>
          </w:tcPr>
          <w:p w14:paraId="0CEFC0DD"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1 500</w:t>
            </w:r>
          </w:p>
        </w:tc>
      </w:tr>
      <w:tr w:rsidR="004C3312" w:rsidRPr="00882EF1" w14:paraId="3AF6146B" w14:textId="77777777" w:rsidTr="004C3312">
        <w:trPr>
          <w:trHeight w:val="450"/>
        </w:trPr>
        <w:tc>
          <w:tcPr>
            <w:tcW w:w="1276" w:type="dxa"/>
            <w:vMerge/>
            <w:tcBorders>
              <w:top w:val="nil"/>
              <w:left w:val="nil"/>
              <w:bottom w:val="nil"/>
              <w:right w:val="nil"/>
            </w:tcBorders>
            <w:vAlign w:val="center"/>
            <w:hideMark/>
          </w:tcPr>
          <w:p w14:paraId="2EADB037"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584DF4DD"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OOPP a dezinfekciu pre zamestnancov a klientov v zariadeniach soc. služieb - subjekty hospodárskej mobilizácie</w:t>
            </w:r>
          </w:p>
        </w:tc>
        <w:tc>
          <w:tcPr>
            <w:tcW w:w="1236" w:type="dxa"/>
            <w:tcBorders>
              <w:top w:val="nil"/>
              <w:left w:val="nil"/>
              <w:bottom w:val="nil"/>
              <w:right w:val="nil"/>
            </w:tcBorders>
            <w:shd w:val="clear" w:color="auto" w:fill="auto"/>
            <w:vAlign w:val="center"/>
            <w:hideMark/>
          </w:tcPr>
          <w:p w14:paraId="41B795AE"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1 250</w:t>
            </w:r>
          </w:p>
        </w:tc>
      </w:tr>
      <w:tr w:rsidR="004C3312" w:rsidRPr="00882EF1" w14:paraId="01034B18" w14:textId="77777777" w:rsidTr="004C3312">
        <w:trPr>
          <w:trHeight w:val="375"/>
        </w:trPr>
        <w:tc>
          <w:tcPr>
            <w:tcW w:w="7836" w:type="dxa"/>
            <w:gridSpan w:val="2"/>
            <w:tcBorders>
              <w:top w:val="nil"/>
              <w:left w:val="nil"/>
              <w:bottom w:val="single" w:sz="4" w:space="0" w:color="auto"/>
              <w:right w:val="nil"/>
            </w:tcBorders>
            <w:shd w:val="clear" w:color="auto" w:fill="auto"/>
            <w:vAlign w:val="center"/>
            <w:hideMark/>
          </w:tcPr>
          <w:p w14:paraId="0D7A2F68"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auto" w:fill="auto"/>
            <w:vAlign w:val="center"/>
            <w:hideMark/>
          </w:tcPr>
          <w:p w14:paraId="237956CA"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70 462</w:t>
            </w:r>
          </w:p>
        </w:tc>
      </w:tr>
      <w:tr w:rsidR="004C3312" w:rsidRPr="00882EF1" w14:paraId="6FA3FC77" w14:textId="77777777" w:rsidTr="004C3312">
        <w:trPr>
          <w:trHeight w:val="428"/>
        </w:trPr>
        <w:tc>
          <w:tcPr>
            <w:tcW w:w="1276" w:type="dxa"/>
            <w:tcBorders>
              <w:top w:val="nil"/>
              <w:left w:val="nil"/>
              <w:bottom w:val="nil"/>
              <w:right w:val="nil"/>
            </w:tcBorders>
            <w:shd w:val="clear" w:color="auto" w:fill="auto"/>
            <w:vAlign w:val="center"/>
            <w:hideMark/>
          </w:tcPr>
          <w:p w14:paraId="766484AC" w14:textId="77777777" w:rsidR="004C3312" w:rsidRPr="00882EF1" w:rsidRDefault="004C3312" w:rsidP="004C3312">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M</w:t>
            </w:r>
            <w:r>
              <w:rPr>
                <w:rFonts w:eastAsia="Times New Roman" w:cs="Times New Roman"/>
                <w:sz w:val="16"/>
                <w:szCs w:val="16"/>
                <w:lang w:eastAsia="sk-SK"/>
              </w:rPr>
              <w:t>inisterstvo dopravy a výstavby</w:t>
            </w:r>
            <w:r w:rsidRPr="00882EF1">
              <w:rPr>
                <w:rFonts w:eastAsia="Times New Roman" w:cs="Times New Roman"/>
                <w:sz w:val="16"/>
                <w:szCs w:val="16"/>
                <w:lang w:eastAsia="sk-SK"/>
              </w:rPr>
              <w:t xml:space="preserve"> SR </w:t>
            </w:r>
          </w:p>
        </w:tc>
        <w:tc>
          <w:tcPr>
            <w:tcW w:w="6560" w:type="dxa"/>
            <w:tcBorders>
              <w:top w:val="nil"/>
              <w:left w:val="nil"/>
              <w:bottom w:val="nil"/>
              <w:right w:val="nil"/>
            </w:tcBorders>
            <w:shd w:val="clear" w:color="auto" w:fill="auto"/>
            <w:vAlign w:val="bottom"/>
            <w:hideMark/>
          </w:tcPr>
          <w:p w14:paraId="5FE9D042"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kompenzáciu výpadku príjmov spôsobená ochorením COVID-19 a na </w:t>
            </w:r>
            <w:proofErr w:type="spellStart"/>
            <w:r w:rsidRPr="00882EF1">
              <w:rPr>
                <w:rFonts w:eastAsia="Times New Roman" w:cs="Times New Roman"/>
                <w:sz w:val="16"/>
                <w:szCs w:val="16"/>
                <w:lang w:eastAsia="sk-SK"/>
              </w:rPr>
              <w:t>anticovidové</w:t>
            </w:r>
            <w:proofErr w:type="spellEnd"/>
            <w:r w:rsidRPr="00882EF1">
              <w:rPr>
                <w:rFonts w:eastAsia="Times New Roman" w:cs="Times New Roman"/>
                <w:sz w:val="16"/>
                <w:szCs w:val="16"/>
                <w:lang w:eastAsia="sk-SK"/>
              </w:rPr>
              <w:t xml:space="preserve"> opatrenia </w:t>
            </w:r>
            <w:r w:rsidRPr="00882EF1">
              <w:rPr>
                <w:rFonts w:eastAsia="Times New Roman" w:cs="Times New Roman"/>
                <w:sz w:val="16"/>
                <w:szCs w:val="16"/>
                <w:lang w:eastAsia="sk-SK"/>
              </w:rPr>
              <w:br/>
              <w:t xml:space="preserve">pre ZSSK </w:t>
            </w:r>
          </w:p>
        </w:tc>
        <w:tc>
          <w:tcPr>
            <w:tcW w:w="1236" w:type="dxa"/>
            <w:tcBorders>
              <w:top w:val="nil"/>
              <w:left w:val="nil"/>
              <w:bottom w:val="nil"/>
              <w:right w:val="nil"/>
            </w:tcBorders>
            <w:shd w:val="clear" w:color="auto" w:fill="auto"/>
            <w:vAlign w:val="center"/>
            <w:hideMark/>
          </w:tcPr>
          <w:p w14:paraId="27E74DE4"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eastAsia="Times New Roman" w:cs="Times New Roman"/>
                <w:sz w:val="16"/>
                <w:szCs w:val="16"/>
                <w:lang w:eastAsia="sk-SK"/>
              </w:rPr>
              <w:t>10 440</w:t>
            </w:r>
          </w:p>
        </w:tc>
      </w:tr>
      <w:tr w:rsidR="004C3312" w:rsidRPr="00882EF1" w14:paraId="05C08471" w14:textId="77777777" w:rsidTr="004C3312">
        <w:trPr>
          <w:trHeight w:val="375"/>
        </w:trPr>
        <w:tc>
          <w:tcPr>
            <w:tcW w:w="7836" w:type="dxa"/>
            <w:gridSpan w:val="2"/>
            <w:tcBorders>
              <w:top w:val="nil"/>
              <w:left w:val="nil"/>
              <w:bottom w:val="single" w:sz="4" w:space="0" w:color="auto"/>
              <w:right w:val="nil"/>
            </w:tcBorders>
            <w:shd w:val="clear" w:color="auto" w:fill="auto"/>
            <w:vAlign w:val="center"/>
            <w:hideMark/>
          </w:tcPr>
          <w:p w14:paraId="01195CDE"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auto" w:fill="auto"/>
            <w:vAlign w:val="center"/>
            <w:hideMark/>
          </w:tcPr>
          <w:p w14:paraId="450C5909"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10 440</w:t>
            </w:r>
          </w:p>
        </w:tc>
      </w:tr>
      <w:tr w:rsidR="004C3312" w:rsidRPr="00882EF1" w14:paraId="2E996780" w14:textId="77777777" w:rsidTr="004C3312">
        <w:trPr>
          <w:trHeight w:val="308"/>
        </w:trPr>
        <w:tc>
          <w:tcPr>
            <w:tcW w:w="1276" w:type="dxa"/>
            <w:vMerge w:val="restart"/>
            <w:tcBorders>
              <w:top w:val="nil"/>
              <w:left w:val="nil"/>
              <w:bottom w:val="nil"/>
              <w:right w:val="nil"/>
            </w:tcBorders>
            <w:shd w:val="clear" w:color="auto" w:fill="auto"/>
            <w:vAlign w:val="center"/>
            <w:hideMark/>
          </w:tcPr>
          <w:p w14:paraId="45A59DA5" w14:textId="77777777" w:rsidR="004C3312" w:rsidRPr="00882EF1" w:rsidRDefault="004C3312" w:rsidP="004C3312">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M</w:t>
            </w:r>
            <w:r>
              <w:rPr>
                <w:rFonts w:eastAsia="Times New Roman" w:cs="Times New Roman"/>
                <w:sz w:val="16"/>
                <w:szCs w:val="16"/>
                <w:lang w:eastAsia="sk-SK"/>
              </w:rPr>
              <w:t>inisterstvo hospodárstva</w:t>
            </w:r>
            <w:r w:rsidRPr="00882EF1">
              <w:rPr>
                <w:rFonts w:eastAsia="Times New Roman" w:cs="Times New Roman"/>
                <w:sz w:val="16"/>
                <w:szCs w:val="16"/>
                <w:lang w:eastAsia="sk-SK"/>
              </w:rPr>
              <w:t xml:space="preserve"> SR </w:t>
            </w:r>
          </w:p>
        </w:tc>
        <w:tc>
          <w:tcPr>
            <w:tcW w:w="6560" w:type="dxa"/>
            <w:tcBorders>
              <w:top w:val="nil"/>
              <w:left w:val="nil"/>
              <w:bottom w:val="nil"/>
              <w:right w:val="nil"/>
            </w:tcBorders>
            <w:shd w:val="clear" w:color="auto" w:fill="auto"/>
            <w:vAlign w:val="bottom"/>
            <w:hideMark/>
          </w:tcPr>
          <w:p w14:paraId="7D9D9E6D"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úhradu nákladov zamestnávateľom spojených s testovaním podľa UZN č. 794/2021 a č. 688/2021</w:t>
            </w:r>
          </w:p>
        </w:tc>
        <w:tc>
          <w:tcPr>
            <w:tcW w:w="1236" w:type="dxa"/>
            <w:tcBorders>
              <w:top w:val="nil"/>
              <w:left w:val="nil"/>
              <w:bottom w:val="nil"/>
              <w:right w:val="nil"/>
            </w:tcBorders>
            <w:shd w:val="clear" w:color="auto" w:fill="auto"/>
            <w:vAlign w:val="center"/>
            <w:hideMark/>
          </w:tcPr>
          <w:p w14:paraId="22D3B37C"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eastAsia="Times New Roman" w:cs="Times New Roman"/>
                <w:sz w:val="16"/>
                <w:szCs w:val="16"/>
                <w:lang w:eastAsia="sk-SK"/>
              </w:rPr>
              <w:t>8 879</w:t>
            </w:r>
          </w:p>
        </w:tc>
      </w:tr>
      <w:tr w:rsidR="004C3312" w:rsidRPr="00882EF1" w14:paraId="674A5B2C" w14:textId="77777777" w:rsidTr="004C3312">
        <w:trPr>
          <w:trHeight w:val="450"/>
        </w:trPr>
        <w:tc>
          <w:tcPr>
            <w:tcW w:w="1276" w:type="dxa"/>
            <w:vMerge/>
            <w:tcBorders>
              <w:top w:val="nil"/>
              <w:left w:val="nil"/>
              <w:bottom w:val="nil"/>
              <w:right w:val="nil"/>
            </w:tcBorders>
            <w:shd w:val="clear" w:color="auto" w:fill="auto"/>
            <w:vAlign w:val="center"/>
            <w:hideMark/>
          </w:tcPr>
          <w:p w14:paraId="4E246FF7"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66E84818"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injekčné ihly pre potreby očkovania detí vo veku 5-11 rokov vakcínou </w:t>
            </w:r>
            <w:proofErr w:type="spellStart"/>
            <w:r w:rsidRPr="00882EF1">
              <w:rPr>
                <w:rFonts w:eastAsia="Times New Roman" w:cs="Times New Roman"/>
                <w:sz w:val="16"/>
                <w:szCs w:val="16"/>
                <w:lang w:eastAsia="sk-SK"/>
              </w:rPr>
              <w:t>Comirnaty</w:t>
            </w:r>
            <w:proofErr w:type="spellEnd"/>
            <w:r w:rsidRPr="00882EF1">
              <w:rPr>
                <w:rFonts w:eastAsia="Times New Roman" w:cs="Times New Roman"/>
                <w:sz w:val="16"/>
                <w:szCs w:val="16"/>
                <w:lang w:eastAsia="sk-SK"/>
              </w:rPr>
              <w:t xml:space="preserve"> v súlade s NV č. 183/2021</w:t>
            </w:r>
          </w:p>
        </w:tc>
        <w:tc>
          <w:tcPr>
            <w:tcW w:w="1236" w:type="dxa"/>
            <w:tcBorders>
              <w:top w:val="nil"/>
              <w:left w:val="nil"/>
              <w:bottom w:val="nil"/>
              <w:right w:val="nil"/>
            </w:tcBorders>
            <w:shd w:val="clear" w:color="auto" w:fill="auto"/>
            <w:vAlign w:val="center"/>
            <w:hideMark/>
          </w:tcPr>
          <w:p w14:paraId="7822BA19"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eastAsia="Times New Roman" w:cs="Times New Roman"/>
                <w:sz w:val="16"/>
                <w:szCs w:val="16"/>
                <w:lang w:eastAsia="sk-SK"/>
              </w:rPr>
              <w:t>18</w:t>
            </w:r>
          </w:p>
        </w:tc>
      </w:tr>
      <w:tr w:rsidR="004C3312" w:rsidRPr="00882EF1" w14:paraId="76EC9EAE" w14:textId="77777777" w:rsidTr="004C3312">
        <w:trPr>
          <w:trHeight w:val="375"/>
        </w:trPr>
        <w:tc>
          <w:tcPr>
            <w:tcW w:w="7836" w:type="dxa"/>
            <w:gridSpan w:val="2"/>
            <w:tcBorders>
              <w:top w:val="nil"/>
              <w:left w:val="nil"/>
              <w:bottom w:val="single" w:sz="4" w:space="0" w:color="auto"/>
              <w:right w:val="nil"/>
            </w:tcBorders>
            <w:shd w:val="clear" w:color="auto" w:fill="auto"/>
            <w:vAlign w:val="center"/>
            <w:hideMark/>
          </w:tcPr>
          <w:p w14:paraId="2A989E32"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auto" w:fill="auto"/>
            <w:vAlign w:val="center"/>
            <w:hideMark/>
          </w:tcPr>
          <w:p w14:paraId="3BF9BDA1"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8 897</w:t>
            </w:r>
          </w:p>
        </w:tc>
      </w:tr>
      <w:tr w:rsidR="004C3312" w:rsidRPr="00882EF1" w14:paraId="46CB2945" w14:textId="77777777" w:rsidTr="004C3312">
        <w:trPr>
          <w:trHeight w:val="465"/>
        </w:trPr>
        <w:tc>
          <w:tcPr>
            <w:tcW w:w="1276" w:type="dxa"/>
            <w:vMerge w:val="restart"/>
            <w:tcBorders>
              <w:top w:val="nil"/>
              <w:left w:val="nil"/>
              <w:bottom w:val="nil"/>
              <w:right w:val="nil"/>
            </w:tcBorders>
            <w:shd w:val="clear" w:color="000000" w:fill="FFFFFF"/>
            <w:vAlign w:val="center"/>
            <w:hideMark/>
          </w:tcPr>
          <w:p w14:paraId="6E906734" w14:textId="7FE3D580" w:rsidR="004C3312" w:rsidRPr="00882EF1" w:rsidRDefault="004C3312" w:rsidP="004820B5">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M</w:t>
            </w:r>
            <w:r>
              <w:rPr>
                <w:rFonts w:eastAsia="Times New Roman" w:cs="Times New Roman"/>
                <w:sz w:val="16"/>
                <w:szCs w:val="16"/>
                <w:lang w:eastAsia="sk-SK"/>
              </w:rPr>
              <w:t>inisterstvo vnútra</w:t>
            </w:r>
            <w:r w:rsidRPr="00882EF1">
              <w:rPr>
                <w:rFonts w:eastAsia="Times New Roman" w:cs="Times New Roman"/>
                <w:sz w:val="16"/>
                <w:szCs w:val="16"/>
                <w:lang w:eastAsia="sk-SK"/>
              </w:rPr>
              <w:t xml:space="preserve"> SR </w:t>
            </w:r>
          </w:p>
        </w:tc>
        <w:tc>
          <w:tcPr>
            <w:tcW w:w="6560" w:type="dxa"/>
            <w:tcBorders>
              <w:top w:val="nil"/>
              <w:left w:val="nil"/>
              <w:bottom w:val="nil"/>
              <w:right w:val="nil"/>
            </w:tcBorders>
            <w:shd w:val="clear" w:color="auto" w:fill="auto"/>
            <w:vAlign w:val="bottom"/>
            <w:hideMark/>
          </w:tcPr>
          <w:p w14:paraId="34D4289B"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poskytnutie finančnej náhrady obciam za výdavky súvisiace s opatreniami na ochranu zdravia počas vyhlásenej mimoriadnej situácie COVID-19 podľa UZN č. 84/2022</w:t>
            </w:r>
          </w:p>
        </w:tc>
        <w:tc>
          <w:tcPr>
            <w:tcW w:w="1236" w:type="dxa"/>
            <w:tcBorders>
              <w:top w:val="nil"/>
              <w:left w:val="nil"/>
              <w:bottom w:val="nil"/>
              <w:right w:val="nil"/>
            </w:tcBorders>
            <w:shd w:val="clear" w:color="auto" w:fill="auto"/>
            <w:vAlign w:val="center"/>
            <w:hideMark/>
          </w:tcPr>
          <w:p w14:paraId="4A269FBE"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2 492</w:t>
            </w:r>
          </w:p>
        </w:tc>
      </w:tr>
      <w:tr w:rsidR="004C3312" w:rsidRPr="00882EF1" w14:paraId="38C6F7B2" w14:textId="77777777" w:rsidTr="004C3312">
        <w:trPr>
          <w:trHeight w:val="480"/>
        </w:trPr>
        <w:tc>
          <w:tcPr>
            <w:tcW w:w="1276" w:type="dxa"/>
            <w:vMerge/>
            <w:tcBorders>
              <w:top w:val="nil"/>
              <w:left w:val="nil"/>
              <w:bottom w:val="nil"/>
              <w:right w:val="nil"/>
            </w:tcBorders>
            <w:vAlign w:val="center"/>
            <w:hideMark/>
          </w:tcPr>
          <w:p w14:paraId="7AFB0F75"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0C8D0214"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výdavky subjektu hospodárskej mobilizácie Nemocnica sv. Michala a infekčný 7 eur príplatok </w:t>
            </w:r>
            <w:r w:rsidRPr="00882EF1">
              <w:rPr>
                <w:rFonts w:eastAsia="Times New Roman" w:cs="Times New Roman"/>
                <w:sz w:val="16"/>
                <w:szCs w:val="16"/>
                <w:lang w:eastAsia="sk-SK"/>
              </w:rPr>
              <w:br/>
              <w:t xml:space="preserve">na COVID oddeleniach </w:t>
            </w:r>
          </w:p>
        </w:tc>
        <w:tc>
          <w:tcPr>
            <w:tcW w:w="1236" w:type="dxa"/>
            <w:tcBorders>
              <w:top w:val="nil"/>
              <w:left w:val="nil"/>
              <w:bottom w:val="nil"/>
              <w:right w:val="nil"/>
            </w:tcBorders>
            <w:shd w:val="clear" w:color="auto" w:fill="auto"/>
            <w:vAlign w:val="center"/>
            <w:hideMark/>
          </w:tcPr>
          <w:p w14:paraId="18957570"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1 494</w:t>
            </w:r>
          </w:p>
        </w:tc>
      </w:tr>
      <w:tr w:rsidR="004C3312" w:rsidRPr="00882EF1" w14:paraId="51077A0D" w14:textId="77777777" w:rsidTr="004C3312">
        <w:trPr>
          <w:trHeight w:val="595"/>
        </w:trPr>
        <w:tc>
          <w:tcPr>
            <w:tcW w:w="1276" w:type="dxa"/>
            <w:vMerge/>
            <w:tcBorders>
              <w:top w:val="nil"/>
              <w:left w:val="nil"/>
              <w:bottom w:val="nil"/>
              <w:right w:val="nil"/>
            </w:tcBorders>
            <w:vAlign w:val="center"/>
            <w:hideMark/>
          </w:tcPr>
          <w:p w14:paraId="44192F5F"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153B22D6"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úhradu výdavkov súvisiacich s testovaním obyvateľstva dotknutým miestnym samosprávam                   podľa UZN č. 409/2022</w:t>
            </w:r>
          </w:p>
        </w:tc>
        <w:tc>
          <w:tcPr>
            <w:tcW w:w="1236" w:type="dxa"/>
            <w:tcBorders>
              <w:top w:val="nil"/>
              <w:left w:val="nil"/>
              <w:bottom w:val="nil"/>
              <w:right w:val="nil"/>
            </w:tcBorders>
            <w:shd w:val="clear" w:color="auto" w:fill="auto"/>
            <w:vAlign w:val="center"/>
            <w:hideMark/>
          </w:tcPr>
          <w:p w14:paraId="18B41E9F"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1 112</w:t>
            </w:r>
          </w:p>
        </w:tc>
      </w:tr>
      <w:tr w:rsidR="004C3312" w:rsidRPr="00882EF1" w14:paraId="2FE7E499" w14:textId="77777777" w:rsidTr="004C3312">
        <w:trPr>
          <w:trHeight w:val="225"/>
        </w:trPr>
        <w:tc>
          <w:tcPr>
            <w:tcW w:w="1276" w:type="dxa"/>
            <w:vMerge/>
            <w:tcBorders>
              <w:top w:val="nil"/>
              <w:left w:val="nil"/>
              <w:bottom w:val="nil"/>
              <w:right w:val="nil"/>
            </w:tcBorders>
            <w:vAlign w:val="center"/>
            <w:hideMark/>
          </w:tcPr>
          <w:p w14:paraId="26E218B8" w14:textId="77777777" w:rsidR="004C3312" w:rsidRPr="00882EF1" w:rsidRDefault="004C3312" w:rsidP="004C3312">
            <w:pPr>
              <w:spacing w:after="0" w:line="240" w:lineRule="auto"/>
              <w:jc w:val="left"/>
              <w:rPr>
                <w:rFonts w:eastAsia="Times New Roman" w:cs="Times New Roman"/>
                <w:sz w:val="16"/>
                <w:szCs w:val="16"/>
                <w:lang w:eastAsia="sk-SK"/>
              </w:rPr>
            </w:pPr>
          </w:p>
        </w:tc>
        <w:tc>
          <w:tcPr>
            <w:tcW w:w="6560" w:type="dxa"/>
            <w:tcBorders>
              <w:top w:val="nil"/>
              <w:left w:val="nil"/>
              <w:bottom w:val="nil"/>
              <w:right w:val="nil"/>
            </w:tcBorders>
            <w:shd w:val="clear" w:color="auto" w:fill="auto"/>
            <w:vAlign w:val="bottom"/>
            <w:hideMark/>
          </w:tcPr>
          <w:p w14:paraId="4ADB1612"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výstavbu a prevádzku </w:t>
            </w:r>
            <w:proofErr w:type="spellStart"/>
            <w:r w:rsidRPr="00882EF1">
              <w:rPr>
                <w:rFonts w:eastAsia="Times New Roman" w:cs="Times New Roman"/>
                <w:sz w:val="16"/>
                <w:szCs w:val="16"/>
                <w:lang w:eastAsia="sk-SK"/>
              </w:rPr>
              <w:t>triážnych</w:t>
            </w:r>
            <w:proofErr w:type="spellEnd"/>
            <w:r w:rsidRPr="00882EF1">
              <w:rPr>
                <w:rFonts w:eastAsia="Times New Roman" w:cs="Times New Roman"/>
                <w:sz w:val="16"/>
                <w:szCs w:val="16"/>
                <w:lang w:eastAsia="sk-SK"/>
              </w:rPr>
              <w:t xml:space="preserve"> stanov podľa UZN č. 78/2022</w:t>
            </w:r>
          </w:p>
        </w:tc>
        <w:tc>
          <w:tcPr>
            <w:tcW w:w="1236" w:type="dxa"/>
            <w:tcBorders>
              <w:top w:val="nil"/>
              <w:left w:val="nil"/>
              <w:bottom w:val="nil"/>
              <w:right w:val="nil"/>
            </w:tcBorders>
            <w:shd w:val="clear" w:color="auto" w:fill="auto"/>
            <w:vAlign w:val="center"/>
            <w:hideMark/>
          </w:tcPr>
          <w:p w14:paraId="51EA9877"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cs="Times New Roman"/>
                <w:sz w:val="16"/>
                <w:szCs w:val="16"/>
              </w:rPr>
              <w:t>15</w:t>
            </w:r>
          </w:p>
        </w:tc>
      </w:tr>
      <w:tr w:rsidR="004C3312" w:rsidRPr="00882EF1" w14:paraId="513A7842" w14:textId="77777777" w:rsidTr="004C3312">
        <w:trPr>
          <w:trHeight w:val="375"/>
        </w:trPr>
        <w:tc>
          <w:tcPr>
            <w:tcW w:w="7836" w:type="dxa"/>
            <w:gridSpan w:val="2"/>
            <w:tcBorders>
              <w:top w:val="nil"/>
              <w:left w:val="nil"/>
              <w:bottom w:val="single" w:sz="4" w:space="0" w:color="auto"/>
              <w:right w:val="nil"/>
            </w:tcBorders>
            <w:shd w:val="clear" w:color="auto" w:fill="auto"/>
            <w:vAlign w:val="center"/>
            <w:hideMark/>
          </w:tcPr>
          <w:p w14:paraId="6E39937A"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auto" w:fill="auto"/>
            <w:vAlign w:val="center"/>
            <w:hideMark/>
          </w:tcPr>
          <w:p w14:paraId="31DB9D9E"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5 114</w:t>
            </w:r>
          </w:p>
        </w:tc>
      </w:tr>
      <w:tr w:rsidR="004C3312" w:rsidRPr="00882EF1" w14:paraId="163F656C" w14:textId="77777777" w:rsidTr="004C3312">
        <w:trPr>
          <w:trHeight w:val="587"/>
        </w:trPr>
        <w:tc>
          <w:tcPr>
            <w:tcW w:w="1276" w:type="dxa"/>
            <w:tcBorders>
              <w:top w:val="nil"/>
              <w:left w:val="nil"/>
              <w:bottom w:val="nil"/>
              <w:right w:val="nil"/>
            </w:tcBorders>
            <w:shd w:val="clear" w:color="000000" w:fill="FFFFFF"/>
            <w:vAlign w:val="center"/>
            <w:hideMark/>
          </w:tcPr>
          <w:p w14:paraId="4B246F37" w14:textId="77777777" w:rsidR="004C3312" w:rsidRPr="00882EF1" w:rsidRDefault="004C3312" w:rsidP="004C3312">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 xml:space="preserve">Sociálna poisťovňa </w:t>
            </w:r>
          </w:p>
        </w:tc>
        <w:tc>
          <w:tcPr>
            <w:tcW w:w="6560" w:type="dxa"/>
            <w:tcBorders>
              <w:top w:val="nil"/>
              <w:left w:val="nil"/>
              <w:bottom w:val="nil"/>
              <w:right w:val="nil"/>
            </w:tcBorders>
            <w:shd w:val="clear" w:color="auto" w:fill="auto"/>
            <w:vAlign w:val="bottom"/>
            <w:hideMark/>
          </w:tcPr>
          <w:p w14:paraId="4FCB78C1"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úhradu prostriedkov do základného fondu poistenia v nezamestnanosti Sociálnej poisťovne                     na náhradu mzdy zamestnanca v čase trvania vonkajšieho faktora v súlade so zákonom č. 215/2021 Z. z. o podpore v čase skrátenej práce a o zmene a doplnení niektorých zákonov</w:t>
            </w:r>
          </w:p>
        </w:tc>
        <w:tc>
          <w:tcPr>
            <w:tcW w:w="1236" w:type="dxa"/>
            <w:tcBorders>
              <w:top w:val="nil"/>
              <w:left w:val="nil"/>
              <w:bottom w:val="nil"/>
              <w:right w:val="nil"/>
            </w:tcBorders>
            <w:shd w:val="clear" w:color="auto" w:fill="auto"/>
            <w:vAlign w:val="center"/>
            <w:hideMark/>
          </w:tcPr>
          <w:p w14:paraId="4BE473E8"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eastAsia="Times New Roman" w:cs="Times New Roman"/>
                <w:sz w:val="16"/>
                <w:szCs w:val="16"/>
                <w:lang w:eastAsia="sk-SK"/>
              </w:rPr>
              <w:t>3 488</w:t>
            </w:r>
          </w:p>
        </w:tc>
      </w:tr>
      <w:tr w:rsidR="004C3312" w:rsidRPr="00882EF1" w14:paraId="2628AE05" w14:textId="77777777" w:rsidTr="004C3312">
        <w:trPr>
          <w:trHeight w:val="375"/>
        </w:trPr>
        <w:tc>
          <w:tcPr>
            <w:tcW w:w="7836" w:type="dxa"/>
            <w:gridSpan w:val="2"/>
            <w:tcBorders>
              <w:top w:val="nil"/>
              <w:left w:val="nil"/>
              <w:bottom w:val="single" w:sz="4" w:space="0" w:color="auto"/>
              <w:right w:val="nil"/>
            </w:tcBorders>
            <w:shd w:val="clear" w:color="auto" w:fill="auto"/>
            <w:vAlign w:val="center"/>
            <w:hideMark/>
          </w:tcPr>
          <w:p w14:paraId="1922A76B"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auto" w:fill="auto"/>
            <w:vAlign w:val="center"/>
            <w:hideMark/>
          </w:tcPr>
          <w:p w14:paraId="617D7CC6"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3 488</w:t>
            </w:r>
          </w:p>
        </w:tc>
      </w:tr>
      <w:tr w:rsidR="004C3312" w:rsidRPr="00882EF1" w14:paraId="7016C91A" w14:textId="77777777" w:rsidTr="004C3312">
        <w:trPr>
          <w:trHeight w:val="495"/>
        </w:trPr>
        <w:tc>
          <w:tcPr>
            <w:tcW w:w="1276" w:type="dxa"/>
            <w:tcBorders>
              <w:top w:val="nil"/>
              <w:left w:val="nil"/>
              <w:bottom w:val="nil"/>
              <w:right w:val="nil"/>
            </w:tcBorders>
            <w:shd w:val="clear" w:color="000000" w:fill="FFFFFF"/>
            <w:vAlign w:val="center"/>
            <w:hideMark/>
          </w:tcPr>
          <w:p w14:paraId="01A8B37D" w14:textId="77777777" w:rsidR="004C3312" w:rsidRPr="00882EF1" w:rsidRDefault="004C3312" w:rsidP="004C3312">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M</w:t>
            </w:r>
            <w:r>
              <w:rPr>
                <w:rFonts w:eastAsia="Times New Roman" w:cs="Times New Roman"/>
                <w:sz w:val="16"/>
                <w:szCs w:val="16"/>
                <w:lang w:eastAsia="sk-SK"/>
              </w:rPr>
              <w:t>inisterstvo kultúry</w:t>
            </w:r>
            <w:r w:rsidRPr="00882EF1">
              <w:rPr>
                <w:rFonts w:eastAsia="Times New Roman" w:cs="Times New Roman"/>
                <w:sz w:val="16"/>
                <w:szCs w:val="16"/>
                <w:lang w:eastAsia="sk-SK"/>
              </w:rPr>
              <w:t xml:space="preserve"> SR </w:t>
            </w:r>
          </w:p>
        </w:tc>
        <w:tc>
          <w:tcPr>
            <w:tcW w:w="6560" w:type="dxa"/>
            <w:tcBorders>
              <w:top w:val="nil"/>
              <w:left w:val="nil"/>
              <w:bottom w:val="nil"/>
              <w:right w:val="nil"/>
            </w:tcBorders>
            <w:shd w:val="clear" w:color="auto" w:fill="auto"/>
            <w:vAlign w:val="bottom"/>
            <w:hideMark/>
          </w:tcPr>
          <w:p w14:paraId="3FFA6254"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kompenzáciu výdavkov z dôvodu výpadku príjmov príspevkových organizácií v dôsledku pandémie ochorenia COVID-19 za obdobie január až jún 2022</w:t>
            </w:r>
          </w:p>
        </w:tc>
        <w:tc>
          <w:tcPr>
            <w:tcW w:w="1236" w:type="dxa"/>
            <w:tcBorders>
              <w:top w:val="nil"/>
              <w:left w:val="nil"/>
              <w:bottom w:val="nil"/>
              <w:right w:val="nil"/>
            </w:tcBorders>
            <w:shd w:val="clear" w:color="auto" w:fill="auto"/>
            <w:vAlign w:val="center"/>
            <w:hideMark/>
          </w:tcPr>
          <w:p w14:paraId="039B18E5"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eastAsia="Times New Roman" w:cs="Times New Roman"/>
                <w:sz w:val="16"/>
                <w:szCs w:val="16"/>
                <w:lang w:eastAsia="sk-SK"/>
              </w:rPr>
              <w:t>2 574</w:t>
            </w:r>
          </w:p>
        </w:tc>
      </w:tr>
      <w:tr w:rsidR="004C3312" w:rsidRPr="00882EF1" w14:paraId="72718499" w14:textId="77777777" w:rsidTr="004C3312">
        <w:trPr>
          <w:trHeight w:val="375"/>
        </w:trPr>
        <w:tc>
          <w:tcPr>
            <w:tcW w:w="7836" w:type="dxa"/>
            <w:gridSpan w:val="2"/>
            <w:tcBorders>
              <w:top w:val="nil"/>
              <w:left w:val="nil"/>
              <w:bottom w:val="single" w:sz="4" w:space="0" w:color="auto"/>
              <w:right w:val="nil"/>
            </w:tcBorders>
            <w:shd w:val="clear" w:color="auto" w:fill="auto"/>
            <w:vAlign w:val="center"/>
            <w:hideMark/>
          </w:tcPr>
          <w:p w14:paraId="352DE853"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lastRenderedPageBreak/>
              <w:t>Spolu</w:t>
            </w:r>
          </w:p>
        </w:tc>
        <w:tc>
          <w:tcPr>
            <w:tcW w:w="1236" w:type="dxa"/>
            <w:tcBorders>
              <w:top w:val="nil"/>
              <w:left w:val="nil"/>
              <w:bottom w:val="single" w:sz="4" w:space="0" w:color="auto"/>
              <w:right w:val="nil"/>
            </w:tcBorders>
            <w:shd w:val="clear" w:color="auto" w:fill="auto"/>
            <w:vAlign w:val="center"/>
            <w:hideMark/>
          </w:tcPr>
          <w:p w14:paraId="3D3697FC"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2 574</w:t>
            </w:r>
          </w:p>
        </w:tc>
      </w:tr>
      <w:tr w:rsidR="004C3312" w:rsidRPr="00882EF1" w14:paraId="62F6F78F" w14:textId="77777777" w:rsidTr="004C3312">
        <w:trPr>
          <w:trHeight w:val="442"/>
        </w:trPr>
        <w:tc>
          <w:tcPr>
            <w:tcW w:w="1276" w:type="dxa"/>
            <w:tcBorders>
              <w:top w:val="nil"/>
              <w:left w:val="nil"/>
              <w:bottom w:val="nil"/>
              <w:right w:val="nil"/>
            </w:tcBorders>
            <w:shd w:val="clear" w:color="000000" w:fill="FFFFFF"/>
            <w:vAlign w:val="center"/>
            <w:hideMark/>
          </w:tcPr>
          <w:p w14:paraId="07F8CA8F" w14:textId="77777777" w:rsidR="004C3312" w:rsidRPr="00882EF1" w:rsidRDefault="004C3312" w:rsidP="004C3312">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M</w:t>
            </w:r>
            <w:r>
              <w:rPr>
                <w:rFonts w:eastAsia="Times New Roman" w:cs="Times New Roman"/>
                <w:sz w:val="16"/>
                <w:szCs w:val="16"/>
                <w:lang w:eastAsia="sk-SK"/>
              </w:rPr>
              <w:t>inisterstvo školstva, vedy, výskumu a športu</w:t>
            </w:r>
            <w:r w:rsidRPr="00882EF1">
              <w:rPr>
                <w:rFonts w:eastAsia="Times New Roman" w:cs="Times New Roman"/>
                <w:sz w:val="16"/>
                <w:szCs w:val="16"/>
                <w:lang w:eastAsia="sk-SK"/>
              </w:rPr>
              <w:t xml:space="preserve"> SR</w:t>
            </w:r>
          </w:p>
        </w:tc>
        <w:tc>
          <w:tcPr>
            <w:tcW w:w="6560" w:type="dxa"/>
            <w:tcBorders>
              <w:top w:val="nil"/>
              <w:left w:val="nil"/>
              <w:bottom w:val="nil"/>
              <w:right w:val="nil"/>
            </w:tcBorders>
            <w:shd w:val="clear" w:color="auto" w:fill="auto"/>
            <w:vAlign w:val="bottom"/>
            <w:hideMark/>
          </w:tcPr>
          <w:p w14:paraId="6E7F95DB"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výdavky pracovísk v pôsobnosti MŠVVaŠ SR v súvislosti s realizáciou aktivít "</w:t>
            </w:r>
            <w:proofErr w:type="spellStart"/>
            <w:r w:rsidRPr="00882EF1">
              <w:rPr>
                <w:rFonts w:eastAsia="Times New Roman" w:cs="Times New Roman"/>
                <w:sz w:val="16"/>
                <w:szCs w:val="16"/>
                <w:lang w:eastAsia="sk-SK"/>
              </w:rPr>
              <w:t>Sekvenácia</w:t>
            </w:r>
            <w:proofErr w:type="spellEnd"/>
            <w:r w:rsidRPr="00882EF1">
              <w:rPr>
                <w:rFonts w:eastAsia="Times New Roman" w:cs="Times New Roman"/>
                <w:sz w:val="16"/>
                <w:szCs w:val="16"/>
                <w:lang w:eastAsia="sk-SK"/>
              </w:rPr>
              <w:t xml:space="preserve"> celého genómu SARS-CoV-2 pozitívnych vzoriek na identifikáciu variantu danej vzorky"</w:t>
            </w:r>
          </w:p>
        </w:tc>
        <w:tc>
          <w:tcPr>
            <w:tcW w:w="1236" w:type="dxa"/>
            <w:tcBorders>
              <w:top w:val="nil"/>
              <w:left w:val="nil"/>
              <w:bottom w:val="nil"/>
              <w:right w:val="nil"/>
            </w:tcBorders>
            <w:shd w:val="clear" w:color="auto" w:fill="auto"/>
            <w:vAlign w:val="center"/>
            <w:hideMark/>
          </w:tcPr>
          <w:p w14:paraId="2FA4DE75"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eastAsia="Times New Roman" w:cs="Times New Roman"/>
                <w:sz w:val="16"/>
                <w:szCs w:val="16"/>
                <w:lang w:eastAsia="sk-SK"/>
              </w:rPr>
              <w:t>2 370</w:t>
            </w:r>
          </w:p>
        </w:tc>
      </w:tr>
      <w:tr w:rsidR="004C3312" w:rsidRPr="00882EF1" w14:paraId="6146F7E6" w14:textId="77777777" w:rsidTr="004C3312">
        <w:trPr>
          <w:trHeight w:val="375"/>
        </w:trPr>
        <w:tc>
          <w:tcPr>
            <w:tcW w:w="7836" w:type="dxa"/>
            <w:gridSpan w:val="2"/>
            <w:tcBorders>
              <w:top w:val="nil"/>
              <w:left w:val="nil"/>
              <w:bottom w:val="single" w:sz="4" w:space="0" w:color="auto"/>
              <w:right w:val="nil"/>
            </w:tcBorders>
            <w:shd w:val="clear" w:color="auto" w:fill="auto"/>
            <w:vAlign w:val="center"/>
            <w:hideMark/>
          </w:tcPr>
          <w:p w14:paraId="3784069C"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auto" w:fill="auto"/>
            <w:vAlign w:val="center"/>
            <w:hideMark/>
          </w:tcPr>
          <w:p w14:paraId="5EFE6A75"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2 370</w:t>
            </w:r>
          </w:p>
        </w:tc>
      </w:tr>
      <w:tr w:rsidR="004C3312" w:rsidRPr="00882EF1" w14:paraId="4A157597" w14:textId="77777777" w:rsidTr="004C3312">
        <w:trPr>
          <w:trHeight w:val="312"/>
        </w:trPr>
        <w:tc>
          <w:tcPr>
            <w:tcW w:w="1276" w:type="dxa"/>
            <w:tcBorders>
              <w:top w:val="nil"/>
              <w:left w:val="nil"/>
              <w:bottom w:val="nil"/>
              <w:right w:val="nil"/>
            </w:tcBorders>
            <w:shd w:val="clear" w:color="000000" w:fill="FFFFFF"/>
            <w:vAlign w:val="center"/>
            <w:hideMark/>
          </w:tcPr>
          <w:p w14:paraId="7AA113E2" w14:textId="77777777" w:rsidR="004C3312" w:rsidRPr="00882EF1" w:rsidRDefault="004C3312" w:rsidP="004C3312">
            <w:pPr>
              <w:spacing w:after="0" w:line="240" w:lineRule="auto"/>
              <w:jc w:val="left"/>
              <w:rPr>
                <w:rFonts w:eastAsia="Times New Roman" w:cs="Times New Roman"/>
                <w:sz w:val="16"/>
                <w:szCs w:val="16"/>
                <w:lang w:eastAsia="sk-SK"/>
              </w:rPr>
            </w:pPr>
            <w:r>
              <w:rPr>
                <w:rFonts w:eastAsia="Times New Roman" w:cs="Times New Roman"/>
                <w:sz w:val="16"/>
                <w:szCs w:val="16"/>
                <w:lang w:eastAsia="sk-SK"/>
              </w:rPr>
              <w:t>Ministerstvo financií</w:t>
            </w:r>
            <w:r w:rsidRPr="00882EF1">
              <w:rPr>
                <w:rFonts w:eastAsia="Times New Roman" w:cs="Times New Roman"/>
                <w:sz w:val="16"/>
                <w:szCs w:val="16"/>
                <w:lang w:eastAsia="sk-SK"/>
              </w:rPr>
              <w:t xml:space="preserve"> SR</w:t>
            </w:r>
          </w:p>
        </w:tc>
        <w:tc>
          <w:tcPr>
            <w:tcW w:w="6560" w:type="dxa"/>
            <w:tcBorders>
              <w:top w:val="nil"/>
              <w:left w:val="nil"/>
              <w:bottom w:val="nil"/>
              <w:right w:val="nil"/>
            </w:tcBorders>
            <w:shd w:val="clear" w:color="000000" w:fill="FFFFFF"/>
            <w:vAlign w:val="bottom"/>
            <w:hideMark/>
          </w:tcPr>
          <w:p w14:paraId="1084C36F"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Na výdavky spojené s vyplácaním finančnej pomoci pre seniorov</w:t>
            </w:r>
          </w:p>
        </w:tc>
        <w:tc>
          <w:tcPr>
            <w:tcW w:w="1236" w:type="dxa"/>
            <w:tcBorders>
              <w:top w:val="nil"/>
              <w:left w:val="nil"/>
              <w:bottom w:val="nil"/>
              <w:right w:val="nil"/>
            </w:tcBorders>
            <w:shd w:val="clear" w:color="000000" w:fill="FFFFFF"/>
            <w:vAlign w:val="center"/>
            <w:hideMark/>
          </w:tcPr>
          <w:p w14:paraId="504A3664"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eastAsia="Times New Roman" w:cs="Times New Roman"/>
                <w:sz w:val="16"/>
                <w:szCs w:val="16"/>
                <w:lang w:eastAsia="sk-SK"/>
              </w:rPr>
              <w:t>2 113</w:t>
            </w:r>
          </w:p>
        </w:tc>
      </w:tr>
      <w:tr w:rsidR="004C3312" w:rsidRPr="00882EF1" w14:paraId="0D750C4C" w14:textId="77777777" w:rsidTr="004C3312">
        <w:trPr>
          <w:trHeight w:val="375"/>
        </w:trPr>
        <w:tc>
          <w:tcPr>
            <w:tcW w:w="7836" w:type="dxa"/>
            <w:gridSpan w:val="2"/>
            <w:tcBorders>
              <w:top w:val="nil"/>
              <w:left w:val="nil"/>
              <w:bottom w:val="single" w:sz="4" w:space="0" w:color="auto"/>
              <w:right w:val="nil"/>
            </w:tcBorders>
            <w:shd w:val="clear" w:color="000000" w:fill="FFFFFF"/>
            <w:vAlign w:val="center"/>
            <w:hideMark/>
          </w:tcPr>
          <w:p w14:paraId="344D04D6"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000000" w:fill="FFFFFF"/>
            <w:vAlign w:val="center"/>
            <w:hideMark/>
          </w:tcPr>
          <w:p w14:paraId="09BF5D90"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2 113</w:t>
            </w:r>
          </w:p>
        </w:tc>
      </w:tr>
      <w:tr w:rsidR="004C3312" w:rsidRPr="00882EF1" w14:paraId="1735CF7A" w14:textId="77777777" w:rsidTr="004C3312">
        <w:trPr>
          <w:trHeight w:val="495"/>
        </w:trPr>
        <w:tc>
          <w:tcPr>
            <w:tcW w:w="1276" w:type="dxa"/>
            <w:tcBorders>
              <w:top w:val="nil"/>
              <w:left w:val="nil"/>
              <w:bottom w:val="nil"/>
              <w:right w:val="nil"/>
            </w:tcBorders>
            <w:shd w:val="clear" w:color="000000" w:fill="FFFFFF"/>
            <w:vAlign w:val="center"/>
            <w:hideMark/>
          </w:tcPr>
          <w:p w14:paraId="5E656ED0" w14:textId="77777777" w:rsidR="004C3312" w:rsidRPr="00882EF1" w:rsidRDefault="004C3312" w:rsidP="004C3312">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M</w:t>
            </w:r>
            <w:r>
              <w:rPr>
                <w:rFonts w:eastAsia="Times New Roman" w:cs="Times New Roman"/>
                <w:sz w:val="16"/>
                <w:szCs w:val="16"/>
                <w:lang w:eastAsia="sk-SK"/>
              </w:rPr>
              <w:t>inisterstvo obrany</w:t>
            </w:r>
            <w:r w:rsidRPr="00882EF1">
              <w:rPr>
                <w:rFonts w:eastAsia="Times New Roman" w:cs="Times New Roman"/>
                <w:sz w:val="16"/>
                <w:szCs w:val="16"/>
                <w:lang w:eastAsia="sk-SK"/>
              </w:rPr>
              <w:t xml:space="preserve"> SR </w:t>
            </w:r>
          </w:p>
        </w:tc>
        <w:tc>
          <w:tcPr>
            <w:tcW w:w="6560" w:type="dxa"/>
            <w:tcBorders>
              <w:top w:val="nil"/>
              <w:left w:val="nil"/>
              <w:bottom w:val="nil"/>
              <w:right w:val="nil"/>
            </w:tcBorders>
            <w:shd w:val="clear" w:color="auto" w:fill="auto"/>
            <w:vAlign w:val="bottom"/>
            <w:hideMark/>
          </w:tcPr>
          <w:p w14:paraId="74590C08"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výdavky subjektu hospodárskej mobilizácie Ústredná vojenská nemocnica SNP Ružomberok - FN a infekčný 7 eur príplatok na COVID oddeleniach </w:t>
            </w:r>
          </w:p>
        </w:tc>
        <w:tc>
          <w:tcPr>
            <w:tcW w:w="1236" w:type="dxa"/>
            <w:tcBorders>
              <w:top w:val="nil"/>
              <w:left w:val="nil"/>
              <w:bottom w:val="nil"/>
              <w:right w:val="nil"/>
            </w:tcBorders>
            <w:shd w:val="clear" w:color="000000" w:fill="FFFFFF"/>
            <w:vAlign w:val="center"/>
            <w:hideMark/>
          </w:tcPr>
          <w:p w14:paraId="172F9362"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eastAsia="Times New Roman" w:cs="Times New Roman"/>
                <w:sz w:val="16"/>
                <w:szCs w:val="16"/>
                <w:lang w:eastAsia="sk-SK"/>
              </w:rPr>
              <w:t>1 026</w:t>
            </w:r>
          </w:p>
        </w:tc>
      </w:tr>
      <w:tr w:rsidR="004C3312" w:rsidRPr="00882EF1" w14:paraId="3C0C5C97" w14:textId="77777777" w:rsidTr="004C3312">
        <w:trPr>
          <w:trHeight w:val="375"/>
        </w:trPr>
        <w:tc>
          <w:tcPr>
            <w:tcW w:w="7836" w:type="dxa"/>
            <w:gridSpan w:val="2"/>
            <w:tcBorders>
              <w:top w:val="nil"/>
              <w:left w:val="nil"/>
              <w:bottom w:val="single" w:sz="4" w:space="0" w:color="auto"/>
              <w:right w:val="nil"/>
            </w:tcBorders>
            <w:shd w:val="clear" w:color="000000" w:fill="FFFFFF"/>
            <w:vAlign w:val="center"/>
            <w:hideMark/>
          </w:tcPr>
          <w:p w14:paraId="066529A1"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000000" w:fill="FFFFFF"/>
            <w:vAlign w:val="center"/>
            <w:hideMark/>
          </w:tcPr>
          <w:p w14:paraId="71FAC2B4"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1 026</w:t>
            </w:r>
          </w:p>
        </w:tc>
      </w:tr>
      <w:tr w:rsidR="004C3312" w:rsidRPr="00882EF1" w14:paraId="351E8F83" w14:textId="77777777" w:rsidTr="004C3312">
        <w:trPr>
          <w:trHeight w:val="292"/>
        </w:trPr>
        <w:tc>
          <w:tcPr>
            <w:tcW w:w="1276" w:type="dxa"/>
            <w:tcBorders>
              <w:top w:val="nil"/>
              <w:left w:val="nil"/>
              <w:bottom w:val="nil"/>
              <w:right w:val="nil"/>
            </w:tcBorders>
            <w:shd w:val="clear" w:color="000000" w:fill="FFFFFF"/>
            <w:vAlign w:val="center"/>
            <w:hideMark/>
          </w:tcPr>
          <w:p w14:paraId="4148E798" w14:textId="77777777" w:rsidR="004C3312" w:rsidRPr="00882EF1" w:rsidRDefault="004C3312" w:rsidP="004C3312">
            <w:pPr>
              <w:spacing w:after="0" w:line="240" w:lineRule="auto"/>
              <w:jc w:val="left"/>
              <w:rPr>
                <w:rFonts w:eastAsia="Times New Roman" w:cs="Times New Roman"/>
                <w:sz w:val="16"/>
                <w:szCs w:val="16"/>
                <w:lang w:eastAsia="sk-SK"/>
              </w:rPr>
            </w:pPr>
            <w:r w:rsidRPr="00882EF1">
              <w:rPr>
                <w:rFonts w:eastAsia="Times New Roman" w:cs="Times New Roman"/>
                <w:sz w:val="16"/>
                <w:szCs w:val="16"/>
                <w:lang w:eastAsia="sk-SK"/>
              </w:rPr>
              <w:t>S</w:t>
            </w:r>
            <w:r>
              <w:rPr>
                <w:rFonts w:eastAsia="Times New Roman" w:cs="Times New Roman"/>
                <w:sz w:val="16"/>
                <w:szCs w:val="16"/>
                <w:lang w:eastAsia="sk-SK"/>
              </w:rPr>
              <w:t>lovenská akadémia vied</w:t>
            </w:r>
          </w:p>
        </w:tc>
        <w:tc>
          <w:tcPr>
            <w:tcW w:w="6560" w:type="dxa"/>
            <w:tcBorders>
              <w:top w:val="nil"/>
              <w:left w:val="nil"/>
              <w:bottom w:val="nil"/>
              <w:right w:val="nil"/>
            </w:tcBorders>
            <w:shd w:val="clear" w:color="000000" w:fill="FFFFFF"/>
            <w:vAlign w:val="bottom"/>
            <w:hideMark/>
          </w:tcPr>
          <w:p w14:paraId="24E98AC9" w14:textId="77777777" w:rsidR="004C3312" w:rsidRPr="00882EF1" w:rsidRDefault="004C3312" w:rsidP="004C3312">
            <w:pPr>
              <w:spacing w:after="0" w:line="240" w:lineRule="auto"/>
              <w:rPr>
                <w:rFonts w:eastAsia="Times New Roman" w:cs="Times New Roman"/>
                <w:sz w:val="16"/>
                <w:szCs w:val="16"/>
                <w:lang w:eastAsia="sk-SK"/>
              </w:rPr>
            </w:pPr>
            <w:r w:rsidRPr="00882EF1">
              <w:rPr>
                <w:rFonts w:eastAsia="Times New Roman" w:cs="Times New Roman"/>
                <w:sz w:val="16"/>
                <w:szCs w:val="16"/>
                <w:lang w:eastAsia="sk-SK"/>
              </w:rPr>
              <w:t xml:space="preserve">Na </w:t>
            </w:r>
            <w:proofErr w:type="spellStart"/>
            <w:r w:rsidRPr="00882EF1">
              <w:rPr>
                <w:rFonts w:eastAsia="Times New Roman" w:cs="Times New Roman"/>
                <w:sz w:val="16"/>
                <w:szCs w:val="16"/>
                <w:lang w:eastAsia="sk-SK"/>
              </w:rPr>
              <w:t>sekvenovanie</w:t>
            </w:r>
            <w:proofErr w:type="spellEnd"/>
            <w:r w:rsidRPr="00882EF1">
              <w:rPr>
                <w:rFonts w:eastAsia="Times New Roman" w:cs="Times New Roman"/>
                <w:sz w:val="16"/>
                <w:szCs w:val="16"/>
                <w:lang w:eastAsia="sk-SK"/>
              </w:rPr>
              <w:t xml:space="preserve"> genómu SARS-CoV-2 pre Biomedicínske centrum (960 vzoriek za mesiac 01/2022)</w:t>
            </w:r>
          </w:p>
        </w:tc>
        <w:tc>
          <w:tcPr>
            <w:tcW w:w="1236" w:type="dxa"/>
            <w:tcBorders>
              <w:top w:val="nil"/>
              <w:left w:val="nil"/>
              <w:bottom w:val="nil"/>
              <w:right w:val="nil"/>
            </w:tcBorders>
            <w:shd w:val="clear" w:color="000000" w:fill="FFFFFF"/>
            <w:vAlign w:val="center"/>
            <w:hideMark/>
          </w:tcPr>
          <w:p w14:paraId="2E7E0F52" w14:textId="77777777" w:rsidR="004C3312" w:rsidRPr="00882EF1" w:rsidRDefault="004C3312" w:rsidP="004C3312">
            <w:pPr>
              <w:spacing w:after="0" w:line="240" w:lineRule="auto"/>
              <w:jc w:val="right"/>
              <w:rPr>
                <w:rFonts w:eastAsia="Times New Roman" w:cs="Times New Roman"/>
                <w:sz w:val="16"/>
                <w:szCs w:val="16"/>
                <w:lang w:eastAsia="sk-SK"/>
              </w:rPr>
            </w:pPr>
            <w:r w:rsidRPr="00882EF1">
              <w:rPr>
                <w:rFonts w:eastAsia="Times New Roman" w:cs="Times New Roman"/>
                <w:sz w:val="16"/>
                <w:szCs w:val="16"/>
                <w:lang w:eastAsia="sk-SK"/>
              </w:rPr>
              <w:t>91</w:t>
            </w:r>
          </w:p>
        </w:tc>
      </w:tr>
      <w:tr w:rsidR="004C3312" w:rsidRPr="00882EF1" w14:paraId="3ED531A2" w14:textId="77777777" w:rsidTr="0083210E">
        <w:trPr>
          <w:trHeight w:val="375"/>
        </w:trPr>
        <w:tc>
          <w:tcPr>
            <w:tcW w:w="7836" w:type="dxa"/>
            <w:gridSpan w:val="2"/>
            <w:tcBorders>
              <w:top w:val="nil"/>
              <w:left w:val="nil"/>
              <w:bottom w:val="single" w:sz="4" w:space="0" w:color="auto"/>
              <w:right w:val="nil"/>
            </w:tcBorders>
            <w:shd w:val="clear" w:color="000000" w:fill="FFFFFF"/>
            <w:vAlign w:val="center"/>
            <w:hideMark/>
          </w:tcPr>
          <w:p w14:paraId="70745C72"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Spolu</w:t>
            </w:r>
          </w:p>
        </w:tc>
        <w:tc>
          <w:tcPr>
            <w:tcW w:w="1236" w:type="dxa"/>
            <w:tcBorders>
              <w:top w:val="nil"/>
              <w:left w:val="nil"/>
              <w:bottom w:val="single" w:sz="4" w:space="0" w:color="auto"/>
              <w:right w:val="nil"/>
            </w:tcBorders>
            <w:shd w:val="clear" w:color="000000" w:fill="FFFFFF"/>
            <w:vAlign w:val="center"/>
            <w:hideMark/>
          </w:tcPr>
          <w:p w14:paraId="3B0B62AC"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91</w:t>
            </w:r>
          </w:p>
        </w:tc>
      </w:tr>
      <w:tr w:rsidR="004C3312" w:rsidRPr="00882EF1" w14:paraId="1DBCDFB4" w14:textId="77777777" w:rsidTr="0083210E">
        <w:trPr>
          <w:trHeight w:val="375"/>
        </w:trPr>
        <w:tc>
          <w:tcPr>
            <w:tcW w:w="7836" w:type="dxa"/>
            <w:gridSpan w:val="2"/>
            <w:tcBorders>
              <w:top w:val="single" w:sz="4" w:space="0" w:color="auto"/>
              <w:left w:val="nil"/>
              <w:bottom w:val="single" w:sz="4" w:space="0" w:color="auto"/>
              <w:right w:val="nil"/>
            </w:tcBorders>
            <w:shd w:val="clear" w:color="000000" w:fill="FFFFFF"/>
            <w:vAlign w:val="center"/>
            <w:hideMark/>
          </w:tcPr>
          <w:p w14:paraId="13DDE2D4"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 xml:space="preserve">Spolu celkom </w:t>
            </w:r>
          </w:p>
        </w:tc>
        <w:tc>
          <w:tcPr>
            <w:tcW w:w="1236" w:type="dxa"/>
            <w:tcBorders>
              <w:top w:val="single" w:sz="4" w:space="0" w:color="auto"/>
              <w:left w:val="nil"/>
              <w:bottom w:val="single" w:sz="4" w:space="0" w:color="auto"/>
              <w:right w:val="nil"/>
            </w:tcBorders>
            <w:shd w:val="clear" w:color="000000" w:fill="FFFFFF"/>
            <w:vAlign w:val="center"/>
            <w:hideMark/>
          </w:tcPr>
          <w:p w14:paraId="4253A3BA" w14:textId="77777777" w:rsidR="004C3312" w:rsidRPr="00882EF1" w:rsidRDefault="004C3312" w:rsidP="004C3312">
            <w:pPr>
              <w:spacing w:after="0" w:line="240" w:lineRule="auto"/>
              <w:jc w:val="right"/>
              <w:rPr>
                <w:rFonts w:eastAsia="Times New Roman" w:cs="Times New Roman"/>
                <w:b/>
                <w:bCs/>
                <w:sz w:val="16"/>
                <w:szCs w:val="16"/>
                <w:lang w:eastAsia="sk-SK"/>
              </w:rPr>
            </w:pPr>
            <w:r w:rsidRPr="00882EF1">
              <w:rPr>
                <w:rFonts w:eastAsia="Times New Roman" w:cs="Times New Roman"/>
                <w:b/>
                <w:bCs/>
                <w:sz w:val="16"/>
                <w:szCs w:val="16"/>
                <w:lang w:eastAsia="sk-SK"/>
              </w:rPr>
              <w:t>524 647</w:t>
            </w:r>
          </w:p>
        </w:tc>
      </w:tr>
    </w:tbl>
    <w:p w14:paraId="3FD8F7E0" w14:textId="79EDB7A6" w:rsidR="004C3312" w:rsidRPr="00D63B64" w:rsidRDefault="0083210E" w:rsidP="0083210E">
      <w:pPr>
        <w:spacing w:line="240" w:lineRule="auto"/>
        <w:jc w:val="right"/>
        <w:rPr>
          <w:sz w:val="16"/>
          <w:szCs w:val="16"/>
        </w:rPr>
      </w:pPr>
      <w:r w:rsidRPr="00D63B64">
        <w:rPr>
          <w:sz w:val="16"/>
          <w:szCs w:val="16"/>
        </w:rPr>
        <w:t>Zdroj: MF SR</w:t>
      </w:r>
    </w:p>
    <w:p w14:paraId="01AA2DDC" w14:textId="52B23384" w:rsidR="004C3312" w:rsidRDefault="0083210E" w:rsidP="004C3312">
      <w:pPr>
        <w:spacing w:line="240" w:lineRule="auto"/>
        <w:rPr>
          <w:sz w:val="24"/>
          <w:szCs w:val="24"/>
        </w:rPr>
      </w:pPr>
      <w:r w:rsidRPr="00882EF1">
        <w:rPr>
          <w:rFonts w:eastAsia="Times New Roman" w:cs="Times New Roman"/>
          <w:color w:val="000000"/>
          <w:sz w:val="16"/>
          <w:szCs w:val="16"/>
          <w:lang w:eastAsia="sk-SK"/>
        </w:rPr>
        <w:t>* v sumách sú premietnuté aj vrátené nevyčerpané prostriedky kapito</w:t>
      </w:r>
      <w:r w:rsidR="0096715B">
        <w:rPr>
          <w:rFonts w:eastAsia="Times New Roman" w:cs="Times New Roman"/>
          <w:color w:val="000000"/>
          <w:sz w:val="16"/>
          <w:szCs w:val="16"/>
          <w:lang w:eastAsia="sk-SK"/>
        </w:rPr>
        <w:t>l</w:t>
      </w:r>
    </w:p>
    <w:p w14:paraId="78AE1075" w14:textId="77777777" w:rsidR="004C3312" w:rsidRPr="004A00A6" w:rsidRDefault="004C3312" w:rsidP="004C3312">
      <w:pPr>
        <w:rPr>
          <w:rFonts w:cs="Times New Roman"/>
          <w:b/>
          <w:iCs/>
          <w:sz w:val="24"/>
          <w:szCs w:val="24"/>
        </w:rPr>
      </w:pPr>
      <w:r w:rsidRPr="004A00A6">
        <w:rPr>
          <w:rFonts w:cs="Times New Roman"/>
          <w:b/>
          <w:iCs/>
          <w:sz w:val="24"/>
          <w:szCs w:val="24"/>
        </w:rPr>
        <w:t xml:space="preserve">Rezerva na výdavky v zdravotníctve </w:t>
      </w:r>
    </w:p>
    <w:p w14:paraId="48BA59E8" w14:textId="78F7ED0A" w:rsidR="004C3312" w:rsidRPr="00853E25" w:rsidRDefault="004C3312" w:rsidP="004C3312">
      <w:pPr>
        <w:spacing w:line="240" w:lineRule="auto"/>
        <w:rPr>
          <w:sz w:val="24"/>
          <w:szCs w:val="24"/>
        </w:rPr>
      </w:pPr>
      <w:r w:rsidRPr="00853E25">
        <w:rPr>
          <w:sz w:val="24"/>
          <w:szCs w:val="24"/>
        </w:rPr>
        <w:t xml:space="preserve">Rezerva na výdavky v zdravotníctve sa rozpočtovala v sume 220 000 tis. eur. Z uvedenej rezervy boli uvoľnené prostriedky pre kapitolu Ministerstva zdravotníctva SR v sume 100 000 tis. eur na poistné za poistencov štátu podľa </w:t>
      </w:r>
      <w:r>
        <w:rPr>
          <w:sz w:val="24"/>
          <w:szCs w:val="24"/>
        </w:rPr>
        <w:t>uznesenia</w:t>
      </w:r>
      <w:r w:rsidRPr="00853E25">
        <w:rPr>
          <w:sz w:val="24"/>
          <w:szCs w:val="24"/>
        </w:rPr>
        <w:t xml:space="preserve"> č. 209/2022 a v sume 86 000 tis. eur na dofinancovanie poistného plateného štátom a zároveň na stabilizáciu finančnej situácie Všeobecnej zdravotnej poisťovne, a. s. pre rok 2022. </w:t>
      </w:r>
    </w:p>
    <w:p w14:paraId="3017F2F9" w14:textId="2A84D0E4" w:rsidR="004C3312" w:rsidRDefault="004C3312" w:rsidP="004C3312">
      <w:pPr>
        <w:spacing w:line="240" w:lineRule="auto"/>
        <w:rPr>
          <w:sz w:val="24"/>
          <w:szCs w:val="24"/>
        </w:rPr>
      </w:pPr>
      <w:r w:rsidRPr="00853E25">
        <w:rPr>
          <w:sz w:val="24"/>
          <w:szCs w:val="24"/>
        </w:rPr>
        <w:t>Z rezervy boli presunuté prostriedky v rámci kapitoly Všeobecná pokladničná správa v celkovej sume 34 000 tis. eur v prospech výdavkového titulu „Výdavky na realizáciu nerozpočtovaných potrieb“ z dôvodu zabezpečenia finančného krytia vplyvov schválených v</w:t>
      </w:r>
      <w:r>
        <w:rPr>
          <w:sz w:val="24"/>
          <w:szCs w:val="24"/>
        </w:rPr>
        <w:t xml:space="preserve"> uznesení </w:t>
      </w:r>
      <w:r w:rsidRPr="00853E25">
        <w:rPr>
          <w:sz w:val="24"/>
          <w:szCs w:val="24"/>
        </w:rPr>
        <w:t>č. 762/2022 na stabilizáciu zdravotníckych pracovníkov v rámci ústavnej zdravotnej starostlivosti a ambulancií záchrannej zdravotnej služby prostredníctvom stabilizačného príspevku a opatrení prijímaných na kompenzáciu vysokých cien energií.</w:t>
      </w:r>
    </w:p>
    <w:p w14:paraId="444E7D24" w14:textId="77777777" w:rsidR="00043553" w:rsidRPr="00853E25" w:rsidRDefault="00043553" w:rsidP="004C3312">
      <w:pPr>
        <w:spacing w:line="240" w:lineRule="auto"/>
        <w:rPr>
          <w:sz w:val="24"/>
          <w:szCs w:val="24"/>
        </w:rPr>
      </w:pPr>
    </w:p>
    <w:p w14:paraId="5687E788" w14:textId="77777777" w:rsidR="007C7FB1" w:rsidRDefault="007C7FB1">
      <w:pPr>
        <w:spacing w:after="160" w:line="259" w:lineRule="auto"/>
        <w:jc w:val="left"/>
        <w:rPr>
          <w:rFonts w:eastAsiaTheme="majorEastAsia" w:cstheme="majorBidi"/>
          <w:b/>
          <w:sz w:val="24"/>
          <w:szCs w:val="26"/>
        </w:rPr>
      </w:pPr>
      <w:bookmarkStart w:id="55" w:name="_Toc6415651"/>
      <w:bookmarkStart w:id="56" w:name="_Toc132929097"/>
      <w:r>
        <w:br w:type="page"/>
      </w:r>
    </w:p>
    <w:p w14:paraId="1A0A2DAB" w14:textId="50CCA94E" w:rsidR="008254BE" w:rsidRPr="00D63B64" w:rsidRDefault="008254BE" w:rsidP="00642B82">
      <w:pPr>
        <w:pStyle w:val="Nadpis2"/>
      </w:pPr>
      <w:r w:rsidRPr="00D63B64">
        <w:lastRenderedPageBreak/>
        <w:t>Štátne finančné aktíva</w:t>
      </w:r>
      <w:bookmarkEnd w:id="55"/>
      <w:bookmarkEnd w:id="56"/>
    </w:p>
    <w:p w14:paraId="01DCFADC" w14:textId="77777777" w:rsidR="00436461" w:rsidRPr="00D715AF" w:rsidRDefault="00436461" w:rsidP="00436461">
      <w:pPr>
        <w:spacing w:line="240" w:lineRule="auto"/>
        <w:contextualSpacing/>
        <w:rPr>
          <w:sz w:val="24"/>
          <w:szCs w:val="24"/>
        </w:rPr>
      </w:pPr>
      <w:r w:rsidRPr="00D715AF">
        <w:rPr>
          <w:sz w:val="24"/>
          <w:szCs w:val="24"/>
        </w:rPr>
        <w:t>Štátne finančné aktíva (ŠFA) rovnako ako aj štátne finančné pasíva</w:t>
      </w:r>
      <w:r w:rsidRPr="00D715AF">
        <w:rPr>
          <w:rStyle w:val="Odkaznapoznmkupodiarou"/>
          <w:sz w:val="24"/>
          <w:szCs w:val="24"/>
        </w:rPr>
        <w:footnoteReference w:id="34"/>
      </w:r>
      <w:r w:rsidRPr="00D715AF">
        <w:rPr>
          <w:sz w:val="24"/>
          <w:szCs w:val="24"/>
        </w:rPr>
        <w:t xml:space="preserve"> sú súčasťou návrhu štátneho rozpočtu verejnej správy na príslušný rok. Finančné operácie so štátnymi finančnými aktívami a iné operácie, ktoré ovplyvňujú stav štátnych finančných aktív, nie sú súčasťou príjmov štátneho rozpočtu a výdavkov štátneho rozpočtu. Správu štátnych finančných aktív vykonáva Ministerstvo financií SR, v rozsahu zákona o rozpočtových pravidlách, pričom na niektoré transakcie sa vyžaduje súhlas vlády a na niektoré aj súhlas národnej rady SR</w:t>
      </w:r>
      <w:r w:rsidRPr="00D715AF">
        <w:rPr>
          <w:rStyle w:val="Odkaznapoznmkupodiarou"/>
          <w:sz w:val="24"/>
          <w:szCs w:val="24"/>
        </w:rPr>
        <w:footnoteReference w:id="35"/>
      </w:r>
      <w:r w:rsidRPr="00D715AF">
        <w:rPr>
          <w:sz w:val="24"/>
          <w:szCs w:val="24"/>
        </w:rPr>
        <w:t>.</w:t>
      </w:r>
    </w:p>
    <w:p w14:paraId="15907F80" w14:textId="77777777" w:rsidR="00436461" w:rsidRDefault="00436461" w:rsidP="00436461">
      <w:pPr>
        <w:spacing w:after="0" w:line="240" w:lineRule="auto"/>
        <w:contextualSpacing/>
        <w:rPr>
          <w:sz w:val="24"/>
          <w:szCs w:val="24"/>
        </w:rPr>
      </w:pPr>
    </w:p>
    <w:p w14:paraId="6378001B" w14:textId="77777777" w:rsidR="00436461" w:rsidRPr="00D715AF" w:rsidRDefault="00436461" w:rsidP="00436461">
      <w:pPr>
        <w:spacing w:after="0" w:line="240" w:lineRule="auto"/>
        <w:contextualSpacing/>
        <w:rPr>
          <w:sz w:val="24"/>
          <w:szCs w:val="24"/>
        </w:rPr>
      </w:pPr>
      <w:r w:rsidRPr="00D715AF">
        <w:rPr>
          <w:sz w:val="24"/>
          <w:szCs w:val="24"/>
        </w:rPr>
        <w:t>Podľa zákona o rozpočtových pravidlách sú štátnymi finančnými aktívami:</w:t>
      </w:r>
    </w:p>
    <w:p w14:paraId="0DA8FBE8" w14:textId="77777777" w:rsidR="00436461" w:rsidRPr="00D715AF" w:rsidRDefault="00436461" w:rsidP="00547C43">
      <w:pPr>
        <w:pStyle w:val="Odsekzoznamu"/>
        <w:numPr>
          <w:ilvl w:val="0"/>
          <w:numId w:val="3"/>
        </w:numPr>
        <w:tabs>
          <w:tab w:val="left" w:pos="284"/>
        </w:tabs>
        <w:spacing w:after="120"/>
        <w:ind w:left="284" w:hanging="284"/>
        <w:jc w:val="both"/>
        <w:rPr>
          <w:rFonts w:ascii="Times New Roman" w:hAnsi="Times New Roman"/>
          <w:sz w:val="24"/>
          <w:szCs w:val="24"/>
        </w:rPr>
      </w:pPr>
      <w:r w:rsidRPr="00D715AF">
        <w:rPr>
          <w:rFonts w:ascii="Times New Roman" w:hAnsi="Times New Roman"/>
          <w:sz w:val="24"/>
          <w:szCs w:val="24"/>
        </w:rPr>
        <w:t>peňažné prostriedky štátu vytvorené z výsledkov rozpočtového hospodárenia štátneho rozpočtu z minulých rokov,</w:t>
      </w:r>
    </w:p>
    <w:p w14:paraId="26D49C92" w14:textId="77777777" w:rsidR="00436461" w:rsidRPr="00D715AF" w:rsidRDefault="00436461" w:rsidP="00547C43">
      <w:pPr>
        <w:pStyle w:val="Odsekzoznamu"/>
        <w:numPr>
          <w:ilvl w:val="0"/>
          <w:numId w:val="3"/>
        </w:numPr>
        <w:tabs>
          <w:tab w:val="left" w:pos="284"/>
        </w:tabs>
        <w:spacing w:after="120"/>
        <w:ind w:left="284" w:hanging="284"/>
        <w:jc w:val="both"/>
        <w:rPr>
          <w:rFonts w:ascii="Times New Roman" w:hAnsi="Times New Roman"/>
          <w:sz w:val="24"/>
          <w:szCs w:val="24"/>
        </w:rPr>
      </w:pPr>
      <w:r w:rsidRPr="00D715AF">
        <w:rPr>
          <w:rFonts w:ascii="Times New Roman" w:hAnsi="Times New Roman"/>
          <w:sz w:val="24"/>
          <w:szCs w:val="24"/>
        </w:rPr>
        <w:t>peňažné prostriedky štátu zo splácania istín poskytnutých návratných výpomocí, úverov a pôžičiek,</w:t>
      </w:r>
    </w:p>
    <w:p w14:paraId="458743BD" w14:textId="77777777" w:rsidR="00436461" w:rsidRPr="00D715AF" w:rsidRDefault="00436461" w:rsidP="00547C43">
      <w:pPr>
        <w:pStyle w:val="Odsekzoznamu"/>
        <w:numPr>
          <w:ilvl w:val="0"/>
          <w:numId w:val="3"/>
        </w:numPr>
        <w:tabs>
          <w:tab w:val="left" w:pos="284"/>
        </w:tabs>
        <w:spacing w:after="120"/>
        <w:ind w:left="284" w:hanging="284"/>
        <w:jc w:val="both"/>
        <w:rPr>
          <w:rFonts w:ascii="Times New Roman" w:hAnsi="Times New Roman"/>
          <w:sz w:val="24"/>
          <w:szCs w:val="24"/>
        </w:rPr>
      </w:pPr>
      <w:r w:rsidRPr="00D715AF">
        <w:rPr>
          <w:rFonts w:ascii="Times New Roman" w:hAnsi="Times New Roman"/>
          <w:sz w:val="24"/>
          <w:szCs w:val="24"/>
        </w:rPr>
        <w:t>peňažné prostriedky v pokladnici a na bežných účtoch štátnych rozpočtových organizácií a štátnych príspevkových organizácií a odvod za porušenie finančnej disciplíny pri nakladaní so štátnymi finančnými aktívami,</w:t>
      </w:r>
    </w:p>
    <w:p w14:paraId="713E7410" w14:textId="77777777" w:rsidR="00436461" w:rsidRPr="00D715AF" w:rsidRDefault="00436461" w:rsidP="00547C43">
      <w:pPr>
        <w:pStyle w:val="Odsekzoznamu"/>
        <w:numPr>
          <w:ilvl w:val="0"/>
          <w:numId w:val="3"/>
        </w:numPr>
        <w:tabs>
          <w:tab w:val="left" w:pos="284"/>
        </w:tabs>
        <w:spacing w:after="120"/>
        <w:ind w:left="0" w:firstLine="0"/>
        <w:jc w:val="both"/>
        <w:rPr>
          <w:rFonts w:ascii="Times New Roman" w:hAnsi="Times New Roman"/>
          <w:sz w:val="24"/>
          <w:szCs w:val="24"/>
        </w:rPr>
      </w:pPr>
      <w:r w:rsidRPr="00D715AF">
        <w:rPr>
          <w:rFonts w:ascii="Times New Roman" w:hAnsi="Times New Roman"/>
          <w:sz w:val="24"/>
          <w:szCs w:val="24"/>
        </w:rPr>
        <w:t>pohľadávky štátu z poskytnutých návratných finančných výpomocí, úverov a pôžičiek,</w:t>
      </w:r>
    </w:p>
    <w:p w14:paraId="03F771D1" w14:textId="77777777" w:rsidR="00436461" w:rsidRPr="00D715AF" w:rsidRDefault="00436461" w:rsidP="00547C43">
      <w:pPr>
        <w:pStyle w:val="Odsekzoznamu"/>
        <w:numPr>
          <w:ilvl w:val="0"/>
          <w:numId w:val="3"/>
        </w:numPr>
        <w:tabs>
          <w:tab w:val="left" w:pos="284"/>
        </w:tabs>
        <w:spacing w:after="120"/>
        <w:ind w:left="0" w:firstLine="0"/>
        <w:jc w:val="both"/>
        <w:rPr>
          <w:rFonts w:ascii="Times New Roman" w:hAnsi="Times New Roman"/>
          <w:sz w:val="24"/>
          <w:szCs w:val="24"/>
        </w:rPr>
      </w:pPr>
      <w:r w:rsidRPr="00D715AF">
        <w:rPr>
          <w:rFonts w:ascii="Times New Roman" w:hAnsi="Times New Roman"/>
          <w:sz w:val="24"/>
          <w:szCs w:val="24"/>
        </w:rPr>
        <w:t>cenné papiere vo vlastníctve štátu,</w:t>
      </w:r>
    </w:p>
    <w:p w14:paraId="46D616E6" w14:textId="77777777" w:rsidR="00436461" w:rsidRPr="00D715AF" w:rsidRDefault="00436461" w:rsidP="00547C43">
      <w:pPr>
        <w:pStyle w:val="Odsekzoznamu"/>
        <w:numPr>
          <w:ilvl w:val="0"/>
          <w:numId w:val="3"/>
        </w:numPr>
        <w:tabs>
          <w:tab w:val="left" w:pos="284"/>
        </w:tabs>
        <w:spacing w:after="120"/>
        <w:ind w:left="0" w:firstLine="0"/>
        <w:jc w:val="both"/>
        <w:rPr>
          <w:rFonts w:ascii="Times New Roman" w:hAnsi="Times New Roman"/>
          <w:sz w:val="24"/>
          <w:szCs w:val="24"/>
        </w:rPr>
      </w:pPr>
      <w:r w:rsidRPr="00D715AF">
        <w:rPr>
          <w:rFonts w:ascii="Times New Roman" w:hAnsi="Times New Roman"/>
          <w:sz w:val="24"/>
          <w:szCs w:val="24"/>
        </w:rPr>
        <w:t>majetkové účasti štátu,</w:t>
      </w:r>
    </w:p>
    <w:p w14:paraId="1E394355" w14:textId="77777777" w:rsidR="00436461" w:rsidRPr="00D715AF" w:rsidRDefault="00436461" w:rsidP="00547C43">
      <w:pPr>
        <w:pStyle w:val="Odsekzoznamu"/>
        <w:numPr>
          <w:ilvl w:val="0"/>
          <w:numId w:val="3"/>
        </w:numPr>
        <w:tabs>
          <w:tab w:val="left" w:pos="284"/>
        </w:tabs>
        <w:spacing w:after="120"/>
        <w:ind w:left="0" w:firstLine="0"/>
        <w:jc w:val="both"/>
        <w:rPr>
          <w:rFonts w:ascii="Times New Roman" w:hAnsi="Times New Roman"/>
          <w:sz w:val="24"/>
          <w:szCs w:val="24"/>
        </w:rPr>
      </w:pPr>
      <w:r w:rsidRPr="00D715AF">
        <w:rPr>
          <w:rFonts w:ascii="Times New Roman" w:hAnsi="Times New Roman"/>
          <w:sz w:val="24"/>
          <w:szCs w:val="24"/>
        </w:rPr>
        <w:t>ďalšie peňažné prostriedky na základe rozhodnutia vlády alebo národnej rady.</w:t>
      </w:r>
    </w:p>
    <w:p w14:paraId="15D8DC30" w14:textId="77777777" w:rsidR="00436461" w:rsidRDefault="00436461" w:rsidP="0043646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sz w:val="24"/>
          <w:szCs w:val="24"/>
        </w:rPr>
        <w:t xml:space="preserve">Prostriedky ŠFA sú vedené na samostatných (bežných) účtoch v Štátnej pokladnici a ich zostatok prechádza vždy do nasledujúceho rozpočtového roka. Na účtoch ŠFA sa klasifikujú príjmy, výdavky </w:t>
      </w:r>
      <w:r w:rsidRPr="00CC1476">
        <w:rPr>
          <w:sz w:val="24"/>
          <w:szCs w:val="24"/>
        </w:rPr>
        <w:t>a fina</w:t>
      </w:r>
      <w:r>
        <w:rPr>
          <w:sz w:val="24"/>
          <w:szCs w:val="24"/>
        </w:rPr>
        <w:t>nčné operácie.</w:t>
      </w:r>
    </w:p>
    <w:p w14:paraId="3B83DBC7" w14:textId="77777777" w:rsidR="00436461" w:rsidRDefault="00436461" w:rsidP="0043646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CC1476">
        <w:rPr>
          <w:i/>
          <w:sz w:val="24"/>
          <w:szCs w:val="24"/>
        </w:rPr>
        <w:t>Do príjmov ŠFA patria</w:t>
      </w:r>
      <w:r w:rsidRPr="00CC1476">
        <w:rPr>
          <w:sz w:val="24"/>
          <w:szCs w:val="24"/>
        </w:rPr>
        <w:t xml:space="preserve"> napr. dividendy, osobitný odvod vybraných finančných inštitúcií</w:t>
      </w:r>
      <w:r w:rsidRPr="00CC1476">
        <w:rPr>
          <w:rStyle w:val="Odkaznapoznmkupodiarou"/>
          <w:sz w:val="24"/>
          <w:szCs w:val="24"/>
        </w:rPr>
        <w:footnoteReference w:id="36"/>
      </w:r>
      <w:r w:rsidRPr="00CC1476">
        <w:rPr>
          <w:sz w:val="24"/>
          <w:szCs w:val="24"/>
        </w:rPr>
        <w:t xml:space="preserve"> a osobitný odvod z podnikania v regulovaných odvetviach</w:t>
      </w:r>
      <w:r w:rsidRPr="00D715AF">
        <w:rPr>
          <w:rStyle w:val="Odkaznapoznmkupodiarou"/>
          <w:sz w:val="24"/>
          <w:szCs w:val="24"/>
        </w:rPr>
        <w:footnoteReference w:id="37"/>
      </w:r>
      <w:r>
        <w:rPr>
          <w:sz w:val="24"/>
          <w:szCs w:val="24"/>
        </w:rPr>
        <w:t>.</w:t>
      </w:r>
    </w:p>
    <w:p w14:paraId="4C933FED" w14:textId="77777777" w:rsidR="00436461" w:rsidRDefault="00436461" w:rsidP="0043646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i/>
          <w:sz w:val="24"/>
          <w:szCs w:val="24"/>
        </w:rPr>
        <w:t>Ako výdavky sa klasifikujú</w:t>
      </w:r>
      <w:r w:rsidRPr="00D715AF">
        <w:rPr>
          <w:sz w:val="24"/>
          <w:szCs w:val="24"/>
        </w:rPr>
        <w:t xml:space="preserve"> napríklad kapitálové trans</w:t>
      </w:r>
      <w:r>
        <w:rPr>
          <w:sz w:val="24"/>
          <w:szCs w:val="24"/>
        </w:rPr>
        <w:t>fery do obchodných spoločností.</w:t>
      </w:r>
    </w:p>
    <w:p w14:paraId="480850BF" w14:textId="77777777" w:rsidR="00436461" w:rsidRPr="00D715AF" w:rsidRDefault="00436461" w:rsidP="0043646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sz w:val="24"/>
          <w:szCs w:val="24"/>
        </w:rPr>
        <w:t xml:space="preserve">Medzi </w:t>
      </w:r>
      <w:r w:rsidRPr="00D715AF">
        <w:rPr>
          <w:i/>
          <w:sz w:val="24"/>
          <w:szCs w:val="24"/>
        </w:rPr>
        <w:t>finančné operácie na strane výdavkov</w:t>
      </w:r>
      <w:r w:rsidRPr="00D715AF">
        <w:rPr>
          <w:sz w:val="24"/>
          <w:szCs w:val="24"/>
        </w:rPr>
        <w:t xml:space="preserve"> patrí poskytovanie návratných finančných výpomocí, úhrada podielov na základnom imaní zahraničných finančných inštitúcií (napríklad Európskej investičnej banky) a ďalšie transakcie. </w:t>
      </w:r>
      <w:r w:rsidRPr="00D715AF">
        <w:rPr>
          <w:i/>
          <w:sz w:val="24"/>
          <w:szCs w:val="24"/>
        </w:rPr>
        <w:t>Príjmové finančné operácie</w:t>
      </w:r>
      <w:r w:rsidRPr="00D715AF">
        <w:rPr>
          <w:sz w:val="24"/>
          <w:szCs w:val="24"/>
        </w:rPr>
        <w:t xml:space="preserve"> predstavujú najmä splátky istín poskytnutých návratných finančných výpomocí, úverov a pôžičiek.</w:t>
      </w:r>
    </w:p>
    <w:p w14:paraId="7848AC5F" w14:textId="77777777" w:rsidR="007C7FB1" w:rsidRDefault="00436461" w:rsidP="00043553">
      <w:pPr>
        <w:spacing w:before="120" w:after="360" w:line="240" w:lineRule="auto"/>
        <w:contextualSpacing/>
        <w:rPr>
          <w:sz w:val="24"/>
          <w:szCs w:val="24"/>
        </w:rPr>
      </w:pPr>
      <w:r w:rsidRPr="00D715AF">
        <w:rPr>
          <w:sz w:val="24"/>
          <w:szCs w:val="24"/>
        </w:rPr>
        <w:t>Nasledovný prehľad ŠFA abstrahuje od účtov, ktoré slúžia na operácie so štátnym dlhom. Odpočet plnenia ŠFA pod tabuľkou reflektuje na návrh rozpočtu verejnej správy na rok 202</w:t>
      </w:r>
      <w:r>
        <w:rPr>
          <w:sz w:val="24"/>
          <w:szCs w:val="24"/>
        </w:rPr>
        <w:t>2</w:t>
      </w:r>
      <w:r w:rsidRPr="00D715AF">
        <w:rPr>
          <w:sz w:val="24"/>
          <w:szCs w:val="24"/>
        </w:rPr>
        <w:t>.</w:t>
      </w:r>
    </w:p>
    <w:p w14:paraId="6A1FE050" w14:textId="77777777" w:rsidR="007C7FB1" w:rsidRDefault="007C7FB1">
      <w:pPr>
        <w:spacing w:after="160" w:line="259" w:lineRule="auto"/>
        <w:jc w:val="left"/>
        <w:rPr>
          <w:sz w:val="24"/>
          <w:szCs w:val="24"/>
        </w:rPr>
      </w:pPr>
      <w:r>
        <w:rPr>
          <w:sz w:val="24"/>
          <w:szCs w:val="24"/>
        </w:rPr>
        <w:br w:type="page"/>
      </w:r>
    </w:p>
    <w:p w14:paraId="199B8A5E" w14:textId="1709B2DF" w:rsidR="00D63B64" w:rsidRDefault="00436461" w:rsidP="00043553">
      <w:pPr>
        <w:spacing w:before="120" w:after="360" w:line="240" w:lineRule="auto"/>
        <w:contextualSpacing/>
        <w:rPr>
          <w:sz w:val="24"/>
          <w:szCs w:val="24"/>
        </w:rPr>
      </w:pPr>
      <w:r w:rsidRPr="00D715AF">
        <w:rPr>
          <w:sz w:val="24"/>
          <w:szCs w:val="24"/>
        </w:rPr>
        <w:lastRenderedPageBreak/>
        <w:t xml:space="preserve"> </w:t>
      </w:r>
    </w:p>
    <w:tbl>
      <w:tblPr>
        <w:tblpPr w:leftFromText="141" w:rightFromText="141" w:vertAnchor="text" w:horzAnchor="margin" w:tblpXSpec="center" w:tblpY="59"/>
        <w:tblW w:w="8852" w:type="dxa"/>
        <w:tblCellMar>
          <w:left w:w="70" w:type="dxa"/>
          <w:right w:w="70" w:type="dxa"/>
        </w:tblCellMar>
        <w:tblLook w:val="04A0" w:firstRow="1" w:lastRow="0" w:firstColumn="1" w:lastColumn="0" w:noHBand="0" w:noVBand="1"/>
      </w:tblPr>
      <w:tblGrid>
        <w:gridCol w:w="5032"/>
        <w:gridCol w:w="1276"/>
        <w:gridCol w:w="1271"/>
        <w:gridCol w:w="1273"/>
      </w:tblGrid>
      <w:tr w:rsidR="00436461" w:rsidRPr="007D12A6" w14:paraId="5F8B94C6" w14:textId="77777777" w:rsidTr="00AB0350">
        <w:trPr>
          <w:trHeight w:hRule="exact" w:val="284"/>
        </w:trPr>
        <w:tc>
          <w:tcPr>
            <w:tcW w:w="8852" w:type="dxa"/>
            <w:gridSpan w:val="4"/>
            <w:tcBorders>
              <w:top w:val="nil"/>
              <w:left w:val="nil"/>
              <w:right w:val="nil"/>
            </w:tcBorders>
            <w:shd w:val="clear" w:color="auto" w:fill="auto"/>
            <w:noWrap/>
            <w:vAlign w:val="center"/>
          </w:tcPr>
          <w:p w14:paraId="4DC37C7D" w14:textId="0D81CEB1" w:rsidR="00436461" w:rsidRPr="00244D68" w:rsidRDefault="00436461" w:rsidP="00507DFC">
            <w:pPr>
              <w:spacing w:after="0" w:line="240" w:lineRule="auto"/>
              <w:rPr>
                <w:b/>
                <w:bCs/>
                <w:sz w:val="20"/>
                <w:szCs w:val="20"/>
              </w:rPr>
            </w:pPr>
            <w:r w:rsidRPr="00244D68">
              <w:rPr>
                <w:rFonts w:eastAsia="Times New Roman" w:cs="Times New Roman"/>
                <w:b/>
                <w:bCs/>
                <w:color w:val="5B9BD5" w:themeColor="accent1"/>
                <w:sz w:val="20"/>
                <w:szCs w:val="20"/>
                <w:lang w:eastAsia="sk-SK"/>
              </w:rPr>
              <w:t xml:space="preserve">Tabuľka </w:t>
            </w:r>
            <w:r w:rsidR="00507DFC">
              <w:rPr>
                <w:rFonts w:eastAsia="Times New Roman" w:cs="Times New Roman"/>
                <w:b/>
                <w:bCs/>
                <w:color w:val="5B9BD5" w:themeColor="accent1"/>
                <w:sz w:val="20"/>
                <w:szCs w:val="20"/>
                <w:lang w:eastAsia="sk-SK"/>
              </w:rPr>
              <w:t>60</w:t>
            </w:r>
            <w:r w:rsidRPr="00244D68">
              <w:rPr>
                <w:rFonts w:eastAsia="Times New Roman" w:cs="Times New Roman"/>
                <w:b/>
                <w:bCs/>
                <w:color w:val="5B9BD5" w:themeColor="accent1"/>
                <w:sz w:val="20"/>
                <w:szCs w:val="20"/>
                <w:lang w:eastAsia="sk-SK"/>
              </w:rPr>
              <w:t xml:space="preserve"> -  </w:t>
            </w:r>
            <w:r>
              <w:rPr>
                <w:rFonts w:eastAsia="Times New Roman" w:cs="Times New Roman"/>
                <w:b/>
                <w:bCs/>
                <w:color w:val="5B9BD5" w:themeColor="accent1"/>
                <w:sz w:val="20"/>
                <w:szCs w:val="20"/>
                <w:lang w:eastAsia="sk-SK"/>
              </w:rPr>
              <w:t>Pohyb na v</w:t>
            </w:r>
            <w:r w:rsidRPr="00244D68">
              <w:rPr>
                <w:rFonts w:eastAsia="Times New Roman" w:cs="Times New Roman"/>
                <w:b/>
                <w:bCs/>
                <w:color w:val="5B9BD5" w:themeColor="accent1"/>
                <w:sz w:val="20"/>
                <w:szCs w:val="20"/>
                <w:lang w:eastAsia="sk-SK"/>
              </w:rPr>
              <w:t>ybran</w:t>
            </w:r>
            <w:r>
              <w:rPr>
                <w:rFonts w:eastAsia="Times New Roman" w:cs="Times New Roman"/>
                <w:b/>
                <w:bCs/>
                <w:color w:val="5B9BD5" w:themeColor="accent1"/>
                <w:sz w:val="20"/>
                <w:szCs w:val="20"/>
                <w:lang w:eastAsia="sk-SK"/>
              </w:rPr>
              <w:t>ých</w:t>
            </w:r>
            <w:r w:rsidRPr="00244D68">
              <w:rPr>
                <w:rFonts w:eastAsia="Times New Roman" w:cs="Times New Roman"/>
                <w:b/>
                <w:bCs/>
                <w:color w:val="5B9BD5" w:themeColor="accent1"/>
                <w:sz w:val="20"/>
                <w:szCs w:val="20"/>
                <w:lang w:eastAsia="sk-SK"/>
              </w:rPr>
              <w:t xml:space="preserve"> účt</w:t>
            </w:r>
            <w:r>
              <w:rPr>
                <w:rFonts w:eastAsia="Times New Roman" w:cs="Times New Roman"/>
                <w:b/>
                <w:bCs/>
                <w:color w:val="5B9BD5" w:themeColor="accent1"/>
                <w:sz w:val="20"/>
                <w:szCs w:val="20"/>
                <w:lang w:eastAsia="sk-SK"/>
              </w:rPr>
              <w:t>och</w:t>
            </w:r>
            <w:r w:rsidRPr="00244D68">
              <w:rPr>
                <w:rFonts w:eastAsia="Times New Roman" w:cs="Times New Roman"/>
                <w:b/>
                <w:bCs/>
                <w:color w:val="5B9BD5" w:themeColor="accent1"/>
                <w:sz w:val="20"/>
                <w:szCs w:val="20"/>
                <w:lang w:eastAsia="sk-SK"/>
              </w:rPr>
              <w:t xml:space="preserve"> štátnych finančných aktív                                                                                      </w:t>
            </w:r>
          </w:p>
        </w:tc>
      </w:tr>
      <w:tr w:rsidR="00436461" w:rsidRPr="007D12A6" w14:paraId="22592505" w14:textId="77777777" w:rsidTr="00AB0350">
        <w:trPr>
          <w:trHeight w:hRule="exact" w:val="284"/>
        </w:trPr>
        <w:tc>
          <w:tcPr>
            <w:tcW w:w="5032" w:type="dxa"/>
            <w:tcBorders>
              <w:top w:val="nil"/>
              <w:left w:val="nil"/>
              <w:bottom w:val="single" w:sz="4" w:space="0" w:color="auto"/>
              <w:right w:val="nil"/>
            </w:tcBorders>
            <w:shd w:val="clear" w:color="auto" w:fill="auto"/>
            <w:noWrap/>
            <w:vAlign w:val="center"/>
          </w:tcPr>
          <w:p w14:paraId="08D74B7F" w14:textId="77777777" w:rsidR="00436461" w:rsidRPr="00AF18DB" w:rsidRDefault="00436461" w:rsidP="00AB0350">
            <w:pPr>
              <w:spacing w:after="0" w:line="240" w:lineRule="auto"/>
              <w:rPr>
                <w:b/>
                <w:sz w:val="18"/>
                <w:szCs w:val="18"/>
              </w:rPr>
            </w:pPr>
            <w:r w:rsidRPr="00BE6F66">
              <w:rPr>
                <w:sz w:val="18"/>
                <w:szCs w:val="18"/>
              </w:rPr>
              <w:t> </w:t>
            </w:r>
            <w:r w:rsidRPr="00AF18DB">
              <w:rPr>
                <w:b/>
                <w:sz w:val="18"/>
                <w:szCs w:val="18"/>
              </w:rPr>
              <w:t>v tis. eur</w:t>
            </w:r>
          </w:p>
        </w:tc>
        <w:tc>
          <w:tcPr>
            <w:tcW w:w="1276" w:type="dxa"/>
            <w:tcBorders>
              <w:top w:val="nil"/>
              <w:left w:val="nil"/>
              <w:bottom w:val="single" w:sz="4" w:space="0" w:color="auto"/>
              <w:right w:val="nil"/>
            </w:tcBorders>
            <w:shd w:val="clear" w:color="auto" w:fill="auto"/>
            <w:noWrap/>
            <w:vAlign w:val="center"/>
          </w:tcPr>
          <w:p w14:paraId="4677F944" w14:textId="77777777" w:rsidR="00436461" w:rsidRPr="00BE6F66" w:rsidRDefault="00436461" w:rsidP="00AB0350">
            <w:pPr>
              <w:spacing w:after="0" w:line="240" w:lineRule="auto"/>
              <w:jc w:val="right"/>
              <w:rPr>
                <w:b/>
                <w:bCs/>
                <w:sz w:val="18"/>
                <w:szCs w:val="18"/>
              </w:rPr>
            </w:pPr>
            <w:r w:rsidRPr="00BE6F66">
              <w:rPr>
                <w:b/>
                <w:bCs/>
                <w:sz w:val="18"/>
                <w:szCs w:val="18"/>
              </w:rPr>
              <w:t>20</w:t>
            </w:r>
            <w:r>
              <w:rPr>
                <w:b/>
                <w:bCs/>
                <w:sz w:val="18"/>
                <w:szCs w:val="18"/>
              </w:rPr>
              <w:t>20 S</w:t>
            </w:r>
          </w:p>
        </w:tc>
        <w:tc>
          <w:tcPr>
            <w:tcW w:w="1271" w:type="dxa"/>
            <w:tcBorders>
              <w:top w:val="nil"/>
              <w:left w:val="nil"/>
              <w:bottom w:val="single" w:sz="4" w:space="0" w:color="auto"/>
              <w:right w:val="nil"/>
            </w:tcBorders>
            <w:shd w:val="clear" w:color="auto" w:fill="auto"/>
            <w:noWrap/>
            <w:vAlign w:val="center"/>
          </w:tcPr>
          <w:p w14:paraId="03A26D0A" w14:textId="77777777" w:rsidR="00436461" w:rsidRPr="00BE6F66" w:rsidRDefault="00436461" w:rsidP="00AB0350">
            <w:pPr>
              <w:spacing w:after="0" w:line="240" w:lineRule="auto"/>
              <w:jc w:val="right"/>
              <w:rPr>
                <w:b/>
                <w:bCs/>
                <w:sz w:val="18"/>
                <w:szCs w:val="18"/>
              </w:rPr>
            </w:pPr>
            <w:r w:rsidRPr="00BE6F66">
              <w:rPr>
                <w:b/>
                <w:bCs/>
                <w:sz w:val="18"/>
                <w:szCs w:val="18"/>
              </w:rPr>
              <w:t>202</w:t>
            </w:r>
            <w:r>
              <w:rPr>
                <w:b/>
                <w:bCs/>
                <w:sz w:val="18"/>
                <w:szCs w:val="18"/>
              </w:rPr>
              <w:t>1 S</w:t>
            </w:r>
          </w:p>
        </w:tc>
        <w:tc>
          <w:tcPr>
            <w:tcW w:w="1273" w:type="dxa"/>
            <w:tcBorders>
              <w:top w:val="nil"/>
              <w:left w:val="nil"/>
              <w:bottom w:val="single" w:sz="4" w:space="0" w:color="auto"/>
              <w:right w:val="nil"/>
            </w:tcBorders>
            <w:shd w:val="clear" w:color="auto" w:fill="auto"/>
            <w:noWrap/>
            <w:vAlign w:val="center"/>
          </w:tcPr>
          <w:p w14:paraId="093DC91D" w14:textId="77777777" w:rsidR="00436461" w:rsidRPr="00BE6F66" w:rsidRDefault="00436461" w:rsidP="00AB0350">
            <w:pPr>
              <w:spacing w:after="0" w:line="240" w:lineRule="auto"/>
              <w:jc w:val="right"/>
              <w:rPr>
                <w:b/>
                <w:bCs/>
                <w:sz w:val="18"/>
                <w:szCs w:val="18"/>
              </w:rPr>
            </w:pPr>
            <w:r w:rsidRPr="00BE6F66">
              <w:rPr>
                <w:b/>
                <w:bCs/>
                <w:sz w:val="18"/>
                <w:szCs w:val="18"/>
              </w:rPr>
              <w:t>202</w:t>
            </w:r>
            <w:r>
              <w:rPr>
                <w:b/>
                <w:bCs/>
                <w:sz w:val="18"/>
                <w:szCs w:val="18"/>
              </w:rPr>
              <w:t>2 S</w:t>
            </w:r>
          </w:p>
        </w:tc>
      </w:tr>
      <w:tr w:rsidR="00436461" w:rsidRPr="007D12A6" w14:paraId="6800B0CD" w14:textId="77777777" w:rsidTr="00AB0350">
        <w:trPr>
          <w:trHeight w:hRule="exact" w:val="284"/>
        </w:trPr>
        <w:tc>
          <w:tcPr>
            <w:tcW w:w="5032" w:type="dxa"/>
            <w:tcBorders>
              <w:top w:val="single" w:sz="4" w:space="0" w:color="auto"/>
              <w:left w:val="nil"/>
              <w:right w:val="nil"/>
            </w:tcBorders>
            <w:noWrap/>
            <w:vAlign w:val="center"/>
          </w:tcPr>
          <w:p w14:paraId="50EDEF3B" w14:textId="77777777" w:rsidR="00436461" w:rsidRPr="007D12A6" w:rsidRDefault="00436461" w:rsidP="00AB0350">
            <w:pPr>
              <w:spacing w:after="0" w:line="240" w:lineRule="auto"/>
              <w:rPr>
                <w:b/>
                <w:color w:val="000000"/>
                <w:sz w:val="18"/>
                <w:szCs w:val="18"/>
              </w:rPr>
            </w:pPr>
            <w:r w:rsidRPr="007D12A6">
              <w:rPr>
                <w:b/>
                <w:color w:val="000000"/>
                <w:sz w:val="18"/>
                <w:szCs w:val="18"/>
              </w:rPr>
              <w:t>Stav k 1.1.</w:t>
            </w:r>
          </w:p>
        </w:tc>
        <w:tc>
          <w:tcPr>
            <w:tcW w:w="1276" w:type="dxa"/>
            <w:tcBorders>
              <w:top w:val="single" w:sz="4" w:space="0" w:color="auto"/>
              <w:left w:val="nil"/>
              <w:right w:val="nil"/>
            </w:tcBorders>
            <w:noWrap/>
            <w:vAlign w:val="center"/>
          </w:tcPr>
          <w:p w14:paraId="52FF9009" w14:textId="77777777" w:rsidR="00436461" w:rsidRPr="007D12A6" w:rsidRDefault="00436461" w:rsidP="00AB0350">
            <w:pPr>
              <w:spacing w:after="0" w:line="240" w:lineRule="auto"/>
              <w:jc w:val="right"/>
              <w:rPr>
                <w:b/>
                <w:color w:val="000000"/>
                <w:sz w:val="18"/>
                <w:szCs w:val="18"/>
              </w:rPr>
            </w:pPr>
            <w:r w:rsidRPr="007D12A6">
              <w:rPr>
                <w:b/>
                <w:color w:val="000000"/>
                <w:sz w:val="18"/>
                <w:szCs w:val="18"/>
              </w:rPr>
              <w:t>2 122 602</w:t>
            </w:r>
          </w:p>
        </w:tc>
        <w:tc>
          <w:tcPr>
            <w:tcW w:w="1271" w:type="dxa"/>
            <w:tcBorders>
              <w:top w:val="single" w:sz="4" w:space="0" w:color="auto"/>
              <w:left w:val="nil"/>
              <w:right w:val="nil"/>
            </w:tcBorders>
            <w:noWrap/>
            <w:vAlign w:val="center"/>
          </w:tcPr>
          <w:p w14:paraId="31458ECC" w14:textId="77777777" w:rsidR="00436461" w:rsidRPr="007D12A6" w:rsidRDefault="00436461" w:rsidP="00AB0350">
            <w:pPr>
              <w:spacing w:after="0" w:line="240" w:lineRule="auto"/>
              <w:jc w:val="right"/>
              <w:rPr>
                <w:b/>
                <w:color w:val="000000"/>
                <w:sz w:val="18"/>
                <w:szCs w:val="18"/>
              </w:rPr>
            </w:pPr>
            <w:r>
              <w:rPr>
                <w:b/>
                <w:color w:val="000000"/>
                <w:sz w:val="18"/>
                <w:szCs w:val="18"/>
              </w:rPr>
              <w:t>3 354 465</w:t>
            </w:r>
          </w:p>
        </w:tc>
        <w:tc>
          <w:tcPr>
            <w:tcW w:w="1273" w:type="dxa"/>
            <w:tcBorders>
              <w:top w:val="single" w:sz="4" w:space="0" w:color="auto"/>
              <w:left w:val="nil"/>
              <w:right w:val="nil"/>
            </w:tcBorders>
            <w:shd w:val="clear" w:color="auto" w:fill="auto"/>
            <w:noWrap/>
            <w:vAlign w:val="center"/>
          </w:tcPr>
          <w:p w14:paraId="548406AB" w14:textId="77777777" w:rsidR="00436461" w:rsidRPr="007D12A6" w:rsidRDefault="00436461" w:rsidP="00AB0350">
            <w:pPr>
              <w:spacing w:after="0" w:line="240" w:lineRule="auto"/>
              <w:jc w:val="right"/>
              <w:rPr>
                <w:b/>
                <w:color w:val="000000"/>
                <w:sz w:val="18"/>
                <w:szCs w:val="18"/>
              </w:rPr>
            </w:pPr>
            <w:r>
              <w:rPr>
                <w:b/>
                <w:color w:val="000000"/>
                <w:sz w:val="18"/>
                <w:szCs w:val="18"/>
              </w:rPr>
              <w:t>3 419 084</w:t>
            </w:r>
          </w:p>
        </w:tc>
      </w:tr>
      <w:tr w:rsidR="00436461" w:rsidRPr="007D12A6" w14:paraId="544C9B96" w14:textId="77777777" w:rsidTr="00AB0350">
        <w:trPr>
          <w:trHeight w:hRule="exact" w:val="284"/>
        </w:trPr>
        <w:tc>
          <w:tcPr>
            <w:tcW w:w="5032" w:type="dxa"/>
            <w:tcBorders>
              <w:top w:val="single" w:sz="4" w:space="0" w:color="auto"/>
              <w:left w:val="nil"/>
              <w:right w:val="nil"/>
            </w:tcBorders>
            <w:noWrap/>
            <w:vAlign w:val="center"/>
          </w:tcPr>
          <w:p w14:paraId="7D8B8AC6" w14:textId="77777777" w:rsidR="00436461" w:rsidRPr="007D12A6" w:rsidRDefault="00436461" w:rsidP="00AB0350">
            <w:pPr>
              <w:spacing w:after="0" w:line="240" w:lineRule="auto"/>
              <w:rPr>
                <w:b/>
                <w:color w:val="000000"/>
                <w:sz w:val="18"/>
                <w:szCs w:val="18"/>
              </w:rPr>
            </w:pPr>
            <w:r>
              <w:rPr>
                <w:b/>
                <w:color w:val="000000"/>
                <w:sz w:val="18"/>
                <w:szCs w:val="18"/>
              </w:rPr>
              <w:t>Príjmy -</w:t>
            </w:r>
            <w:r w:rsidRPr="007D12A6">
              <w:rPr>
                <w:b/>
                <w:color w:val="000000"/>
                <w:sz w:val="18"/>
                <w:szCs w:val="18"/>
              </w:rPr>
              <w:t xml:space="preserve"> </w:t>
            </w:r>
            <w:r>
              <w:rPr>
                <w:b/>
                <w:color w:val="000000"/>
                <w:sz w:val="18"/>
                <w:szCs w:val="18"/>
              </w:rPr>
              <w:t>zvýšenie</w:t>
            </w:r>
            <w:r w:rsidRPr="007D12A6">
              <w:rPr>
                <w:b/>
                <w:color w:val="000000"/>
                <w:sz w:val="18"/>
                <w:szCs w:val="18"/>
              </w:rPr>
              <w:t xml:space="preserve"> ŠFA</w:t>
            </w:r>
          </w:p>
          <w:p w14:paraId="6D57DA1E" w14:textId="77777777" w:rsidR="00436461" w:rsidRPr="007D12A6" w:rsidRDefault="00436461" w:rsidP="00AB0350">
            <w:pPr>
              <w:spacing w:after="0" w:line="240" w:lineRule="auto"/>
              <w:rPr>
                <w:b/>
                <w:color w:val="000000"/>
                <w:sz w:val="18"/>
                <w:szCs w:val="18"/>
              </w:rPr>
            </w:pPr>
          </w:p>
        </w:tc>
        <w:tc>
          <w:tcPr>
            <w:tcW w:w="1276" w:type="dxa"/>
            <w:tcBorders>
              <w:top w:val="single" w:sz="4" w:space="0" w:color="auto"/>
              <w:left w:val="nil"/>
              <w:right w:val="nil"/>
            </w:tcBorders>
            <w:noWrap/>
            <w:vAlign w:val="center"/>
          </w:tcPr>
          <w:p w14:paraId="5E57AB68" w14:textId="77777777" w:rsidR="00436461" w:rsidRPr="007D12A6" w:rsidRDefault="00436461" w:rsidP="00AB0350">
            <w:pPr>
              <w:spacing w:after="0" w:line="240" w:lineRule="auto"/>
              <w:jc w:val="right"/>
              <w:rPr>
                <w:b/>
                <w:color w:val="000000"/>
                <w:sz w:val="18"/>
                <w:szCs w:val="18"/>
              </w:rPr>
            </w:pPr>
            <w:r w:rsidRPr="007D12A6">
              <w:rPr>
                <w:b/>
                <w:color w:val="000000"/>
                <w:sz w:val="18"/>
                <w:szCs w:val="18"/>
              </w:rPr>
              <w:t>2 143 859</w:t>
            </w:r>
          </w:p>
        </w:tc>
        <w:tc>
          <w:tcPr>
            <w:tcW w:w="1271" w:type="dxa"/>
            <w:tcBorders>
              <w:top w:val="single" w:sz="4" w:space="0" w:color="auto"/>
              <w:left w:val="nil"/>
              <w:right w:val="nil"/>
            </w:tcBorders>
            <w:noWrap/>
            <w:vAlign w:val="center"/>
          </w:tcPr>
          <w:p w14:paraId="64578E05" w14:textId="77777777" w:rsidR="00436461" w:rsidRPr="007D12A6" w:rsidRDefault="00436461" w:rsidP="00AB0350">
            <w:pPr>
              <w:spacing w:after="0" w:line="240" w:lineRule="auto"/>
              <w:jc w:val="right"/>
              <w:rPr>
                <w:b/>
                <w:color w:val="000000"/>
                <w:sz w:val="18"/>
                <w:szCs w:val="18"/>
              </w:rPr>
            </w:pPr>
            <w:r>
              <w:rPr>
                <w:b/>
                <w:color w:val="000000"/>
                <w:sz w:val="18"/>
                <w:szCs w:val="18"/>
              </w:rPr>
              <w:t>302 072</w:t>
            </w:r>
          </w:p>
        </w:tc>
        <w:tc>
          <w:tcPr>
            <w:tcW w:w="1273" w:type="dxa"/>
            <w:tcBorders>
              <w:top w:val="single" w:sz="4" w:space="0" w:color="auto"/>
              <w:left w:val="nil"/>
              <w:right w:val="nil"/>
            </w:tcBorders>
            <w:shd w:val="clear" w:color="auto" w:fill="auto"/>
            <w:noWrap/>
            <w:vAlign w:val="center"/>
          </w:tcPr>
          <w:p w14:paraId="0DF03C79" w14:textId="77777777" w:rsidR="00436461" w:rsidRPr="007D12A6" w:rsidRDefault="00436461" w:rsidP="00AB0350">
            <w:pPr>
              <w:spacing w:after="0" w:line="240" w:lineRule="auto"/>
              <w:jc w:val="right"/>
              <w:rPr>
                <w:b/>
                <w:color w:val="000000"/>
                <w:sz w:val="18"/>
                <w:szCs w:val="18"/>
              </w:rPr>
            </w:pPr>
            <w:r>
              <w:rPr>
                <w:b/>
                <w:color w:val="000000"/>
                <w:sz w:val="18"/>
                <w:szCs w:val="18"/>
              </w:rPr>
              <w:t>1 056 782</w:t>
            </w:r>
          </w:p>
        </w:tc>
      </w:tr>
      <w:tr w:rsidR="00436461" w:rsidRPr="007D12A6" w14:paraId="08248A11" w14:textId="77777777" w:rsidTr="00AB0350">
        <w:trPr>
          <w:trHeight w:hRule="exact" w:val="284"/>
        </w:trPr>
        <w:tc>
          <w:tcPr>
            <w:tcW w:w="5032" w:type="dxa"/>
            <w:tcBorders>
              <w:top w:val="nil"/>
              <w:left w:val="nil"/>
              <w:right w:val="nil"/>
            </w:tcBorders>
            <w:noWrap/>
            <w:vAlign w:val="center"/>
          </w:tcPr>
          <w:p w14:paraId="19F9BB16" w14:textId="77777777" w:rsidR="00436461" w:rsidRPr="007D12A6" w:rsidRDefault="00436461" w:rsidP="00AB0350">
            <w:pPr>
              <w:spacing w:after="0" w:line="240" w:lineRule="auto"/>
              <w:rPr>
                <w:color w:val="000000"/>
                <w:sz w:val="18"/>
                <w:szCs w:val="18"/>
              </w:rPr>
            </w:pPr>
            <w:r w:rsidRPr="007D12A6">
              <w:rPr>
                <w:color w:val="000000"/>
                <w:sz w:val="18"/>
                <w:szCs w:val="18"/>
              </w:rPr>
              <w:t>z toho:</w:t>
            </w:r>
          </w:p>
        </w:tc>
        <w:tc>
          <w:tcPr>
            <w:tcW w:w="1276" w:type="dxa"/>
            <w:tcBorders>
              <w:top w:val="nil"/>
              <w:left w:val="nil"/>
              <w:right w:val="nil"/>
            </w:tcBorders>
            <w:noWrap/>
            <w:vAlign w:val="center"/>
          </w:tcPr>
          <w:p w14:paraId="1C8AFC8F" w14:textId="77777777" w:rsidR="00436461" w:rsidRPr="007D12A6" w:rsidRDefault="00436461" w:rsidP="00AB0350">
            <w:pPr>
              <w:spacing w:after="0" w:line="240" w:lineRule="auto"/>
              <w:jc w:val="right"/>
              <w:rPr>
                <w:color w:val="000000"/>
                <w:sz w:val="18"/>
                <w:szCs w:val="18"/>
              </w:rPr>
            </w:pPr>
          </w:p>
        </w:tc>
        <w:tc>
          <w:tcPr>
            <w:tcW w:w="1271" w:type="dxa"/>
            <w:tcBorders>
              <w:top w:val="nil"/>
              <w:left w:val="nil"/>
              <w:right w:val="nil"/>
            </w:tcBorders>
            <w:noWrap/>
            <w:vAlign w:val="center"/>
          </w:tcPr>
          <w:p w14:paraId="1B07AAF4" w14:textId="77777777" w:rsidR="00436461" w:rsidRPr="007D12A6" w:rsidRDefault="00436461" w:rsidP="00AB0350">
            <w:pPr>
              <w:spacing w:after="0" w:line="240" w:lineRule="auto"/>
              <w:jc w:val="right"/>
              <w:rPr>
                <w:color w:val="000000"/>
                <w:sz w:val="18"/>
                <w:szCs w:val="18"/>
              </w:rPr>
            </w:pPr>
          </w:p>
        </w:tc>
        <w:tc>
          <w:tcPr>
            <w:tcW w:w="1273" w:type="dxa"/>
            <w:tcBorders>
              <w:top w:val="nil"/>
              <w:left w:val="nil"/>
              <w:right w:val="nil"/>
            </w:tcBorders>
            <w:shd w:val="clear" w:color="auto" w:fill="auto"/>
            <w:noWrap/>
            <w:vAlign w:val="center"/>
          </w:tcPr>
          <w:p w14:paraId="1036248A" w14:textId="77777777" w:rsidR="00436461" w:rsidRPr="007D12A6" w:rsidRDefault="00436461" w:rsidP="00AB0350">
            <w:pPr>
              <w:spacing w:after="0" w:line="240" w:lineRule="auto"/>
              <w:jc w:val="right"/>
              <w:rPr>
                <w:color w:val="000000"/>
                <w:sz w:val="18"/>
                <w:szCs w:val="18"/>
              </w:rPr>
            </w:pPr>
          </w:p>
        </w:tc>
      </w:tr>
      <w:tr w:rsidR="00436461" w:rsidRPr="007D12A6" w14:paraId="4B1D93AA" w14:textId="77777777" w:rsidTr="00AB0350">
        <w:trPr>
          <w:trHeight w:hRule="exact" w:val="284"/>
        </w:trPr>
        <w:tc>
          <w:tcPr>
            <w:tcW w:w="5032" w:type="dxa"/>
            <w:tcBorders>
              <w:left w:val="nil"/>
              <w:right w:val="nil"/>
            </w:tcBorders>
            <w:noWrap/>
            <w:vAlign w:val="center"/>
          </w:tcPr>
          <w:p w14:paraId="7CD17009"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účelové prostriedky z FNM/MH Manažment, </w:t>
            </w:r>
            <w:proofErr w:type="spellStart"/>
            <w:r w:rsidRPr="007D12A6">
              <w:rPr>
                <w:color w:val="000000"/>
                <w:sz w:val="18"/>
                <w:szCs w:val="18"/>
              </w:rPr>
              <w:t>a.s</w:t>
            </w:r>
            <w:proofErr w:type="spellEnd"/>
            <w:r w:rsidRPr="007D12A6">
              <w:rPr>
                <w:color w:val="000000"/>
                <w:sz w:val="18"/>
                <w:szCs w:val="18"/>
              </w:rPr>
              <w:t>.</w:t>
            </w:r>
          </w:p>
        </w:tc>
        <w:tc>
          <w:tcPr>
            <w:tcW w:w="1276" w:type="dxa"/>
            <w:tcBorders>
              <w:left w:val="nil"/>
              <w:right w:val="nil"/>
            </w:tcBorders>
            <w:noWrap/>
            <w:vAlign w:val="center"/>
          </w:tcPr>
          <w:p w14:paraId="09C3FC83" w14:textId="77777777" w:rsidR="00436461" w:rsidRPr="007D12A6" w:rsidRDefault="00436461" w:rsidP="00AB0350">
            <w:pPr>
              <w:spacing w:after="0" w:line="240" w:lineRule="auto"/>
              <w:jc w:val="right"/>
              <w:rPr>
                <w:color w:val="000000"/>
                <w:sz w:val="18"/>
                <w:szCs w:val="18"/>
              </w:rPr>
            </w:pPr>
            <w:r w:rsidRPr="007D12A6">
              <w:rPr>
                <w:color w:val="000000"/>
                <w:sz w:val="18"/>
                <w:szCs w:val="18"/>
              </w:rPr>
              <w:t>1 126 303</w:t>
            </w:r>
          </w:p>
        </w:tc>
        <w:tc>
          <w:tcPr>
            <w:tcW w:w="1271" w:type="dxa"/>
            <w:tcBorders>
              <w:left w:val="nil"/>
              <w:right w:val="nil"/>
            </w:tcBorders>
            <w:noWrap/>
            <w:vAlign w:val="center"/>
          </w:tcPr>
          <w:p w14:paraId="3EBAEF27" w14:textId="77777777" w:rsidR="00436461" w:rsidRPr="007D12A6" w:rsidRDefault="00436461" w:rsidP="00AB0350">
            <w:pPr>
              <w:spacing w:after="0" w:line="240" w:lineRule="auto"/>
              <w:jc w:val="right"/>
              <w:rPr>
                <w:color w:val="000000"/>
                <w:sz w:val="18"/>
                <w:szCs w:val="18"/>
              </w:rPr>
            </w:pPr>
            <w:r>
              <w:rPr>
                <w:color w:val="000000"/>
                <w:sz w:val="18"/>
                <w:szCs w:val="18"/>
              </w:rPr>
              <w:t>321</w:t>
            </w:r>
          </w:p>
        </w:tc>
        <w:tc>
          <w:tcPr>
            <w:tcW w:w="1273" w:type="dxa"/>
            <w:tcBorders>
              <w:left w:val="nil"/>
              <w:right w:val="nil"/>
            </w:tcBorders>
            <w:shd w:val="clear" w:color="auto" w:fill="auto"/>
            <w:noWrap/>
            <w:vAlign w:val="center"/>
          </w:tcPr>
          <w:p w14:paraId="24758289" w14:textId="77777777" w:rsidR="00436461" w:rsidRPr="007D12A6" w:rsidRDefault="00436461" w:rsidP="00AB0350">
            <w:pPr>
              <w:spacing w:after="0" w:line="240" w:lineRule="auto"/>
              <w:jc w:val="right"/>
              <w:rPr>
                <w:color w:val="000000"/>
                <w:sz w:val="18"/>
                <w:szCs w:val="18"/>
              </w:rPr>
            </w:pPr>
            <w:r>
              <w:rPr>
                <w:color w:val="000000"/>
                <w:sz w:val="18"/>
                <w:szCs w:val="18"/>
              </w:rPr>
              <w:t>414 925</w:t>
            </w:r>
          </w:p>
        </w:tc>
      </w:tr>
      <w:tr w:rsidR="00436461" w:rsidRPr="007D12A6" w14:paraId="0BBBE059" w14:textId="77777777" w:rsidTr="00AB0350">
        <w:trPr>
          <w:trHeight w:hRule="exact" w:val="284"/>
        </w:trPr>
        <w:tc>
          <w:tcPr>
            <w:tcW w:w="5032" w:type="dxa"/>
            <w:tcBorders>
              <w:top w:val="nil"/>
              <w:left w:val="nil"/>
              <w:right w:val="nil"/>
            </w:tcBorders>
            <w:noWrap/>
            <w:vAlign w:val="center"/>
          </w:tcPr>
          <w:p w14:paraId="48B6CF0D" w14:textId="77777777" w:rsidR="00436461" w:rsidRPr="007D12A6" w:rsidRDefault="00436461" w:rsidP="00AB0350">
            <w:pPr>
              <w:spacing w:after="0" w:line="240" w:lineRule="auto"/>
              <w:rPr>
                <w:color w:val="000000"/>
                <w:sz w:val="18"/>
                <w:szCs w:val="18"/>
              </w:rPr>
            </w:pPr>
            <w:r>
              <w:rPr>
                <w:color w:val="000000"/>
                <w:sz w:val="18"/>
                <w:szCs w:val="18"/>
              </w:rPr>
              <w:t xml:space="preserve">   návratné finančné výpomoci</w:t>
            </w:r>
          </w:p>
        </w:tc>
        <w:tc>
          <w:tcPr>
            <w:tcW w:w="1276" w:type="dxa"/>
            <w:tcBorders>
              <w:top w:val="nil"/>
              <w:left w:val="nil"/>
              <w:right w:val="nil"/>
            </w:tcBorders>
            <w:noWrap/>
            <w:vAlign w:val="center"/>
          </w:tcPr>
          <w:p w14:paraId="28320DF3" w14:textId="77777777" w:rsidR="00436461" w:rsidRPr="007D12A6" w:rsidRDefault="00436461" w:rsidP="00AB0350">
            <w:pPr>
              <w:spacing w:after="0" w:line="240" w:lineRule="auto"/>
              <w:jc w:val="right"/>
              <w:rPr>
                <w:color w:val="000000"/>
                <w:sz w:val="18"/>
                <w:szCs w:val="18"/>
              </w:rPr>
            </w:pPr>
            <w:r w:rsidRPr="007D12A6">
              <w:rPr>
                <w:color w:val="000000"/>
                <w:sz w:val="18"/>
                <w:szCs w:val="18"/>
              </w:rPr>
              <w:t>517 173</w:t>
            </w:r>
          </w:p>
        </w:tc>
        <w:tc>
          <w:tcPr>
            <w:tcW w:w="1271" w:type="dxa"/>
            <w:tcBorders>
              <w:top w:val="nil"/>
              <w:left w:val="nil"/>
              <w:right w:val="nil"/>
            </w:tcBorders>
            <w:noWrap/>
            <w:vAlign w:val="center"/>
          </w:tcPr>
          <w:p w14:paraId="234DF028" w14:textId="77777777" w:rsidR="00436461" w:rsidRPr="007D12A6" w:rsidRDefault="00436461" w:rsidP="00AB0350">
            <w:pPr>
              <w:spacing w:after="0" w:line="240" w:lineRule="auto"/>
              <w:jc w:val="right"/>
              <w:rPr>
                <w:color w:val="000000"/>
                <w:sz w:val="18"/>
                <w:szCs w:val="18"/>
              </w:rPr>
            </w:pPr>
            <w:r>
              <w:rPr>
                <w:color w:val="000000"/>
                <w:sz w:val="18"/>
                <w:szCs w:val="18"/>
              </w:rPr>
              <w:t>189 665</w:t>
            </w:r>
          </w:p>
        </w:tc>
        <w:tc>
          <w:tcPr>
            <w:tcW w:w="1273" w:type="dxa"/>
            <w:tcBorders>
              <w:top w:val="nil"/>
              <w:left w:val="nil"/>
              <w:right w:val="nil"/>
            </w:tcBorders>
            <w:shd w:val="clear" w:color="auto" w:fill="auto"/>
            <w:noWrap/>
            <w:vAlign w:val="center"/>
          </w:tcPr>
          <w:p w14:paraId="0002EFF3" w14:textId="77777777" w:rsidR="00436461" w:rsidRPr="007D12A6" w:rsidRDefault="00436461" w:rsidP="00AB0350">
            <w:pPr>
              <w:spacing w:after="0" w:line="240" w:lineRule="auto"/>
              <w:jc w:val="right"/>
              <w:rPr>
                <w:color w:val="000000"/>
                <w:sz w:val="18"/>
                <w:szCs w:val="18"/>
              </w:rPr>
            </w:pPr>
            <w:r>
              <w:rPr>
                <w:color w:val="000000"/>
                <w:sz w:val="18"/>
                <w:szCs w:val="18"/>
              </w:rPr>
              <w:t>550 112</w:t>
            </w:r>
          </w:p>
        </w:tc>
      </w:tr>
      <w:tr w:rsidR="00436461" w:rsidRPr="007D12A6" w14:paraId="56FAE15E" w14:textId="77777777" w:rsidTr="00AB0350">
        <w:trPr>
          <w:trHeight w:hRule="exact" w:val="284"/>
        </w:trPr>
        <w:tc>
          <w:tcPr>
            <w:tcW w:w="5032" w:type="dxa"/>
            <w:tcBorders>
              <w:top w:val="nil"/>
              <w:left w:val="nil"/>
              <w:right w:val="nil"/>
            </w:tcBorders>
            <w:noWrap/>
            <w:vAlign w:val="center"/>
          </w:tcPr>
          <w:p w14:paraId="419A6A1C"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osobitný odvod finančných inštitúcií</w:t>
            </w:r>
          </w:p>
        </w:tc>
        <w:tc>
          <w:tcPr>
            <w:tcW w:w="1276" w:type="dxa"/>
            <w:tcBorders>
              <w:top w:val="nil"/>
              <w:left w:val="nil"/>
              <w:right w:val="nil"/>
            </w:tcBorders>
            <w:noWrap/>
            <w:vAlign w:val="center"/>
          </w:tcPr>
          <w:p w14:paraId="5BE58930" w14:textId="77777777" w:rsidR="00436461" w:rsidRPr="007D12A6" w:rsidRDefault="00436461" w:rsidP="00AB0350">
            <w:pPr>
              <w:spacing w:after="0" w:line="240" w:lineRule="auto"/>
              <w:jc w:val="right"/>
              <w:rPr>
                <w:color w:val="000000"/>
                <w:sz w:val="18"/>
                <w:szCs w:val="18"/>
              </w:rPr>
            </w:pPr>
            <w:r w:rsidRPr="007D12A6">
              <w:rPr>
                <w:color w:val="000000"/>
                <w:sz w:val="18"/>
                <w:szCs w:val="18"/>
              </w:rPr>
              <w:t>148 950</w:t>
            </w:r>
          </w:p>
        </w:tc>
        <w:tc>
          <w:tcPr>
            <w:tcW w:w="1271" w:type="dxa"/>
            <w:tcBorders>
              <w:top w:val="nil"/>
              <w:left w:val="nil"/>
              <w:right w:val="nil"/>
            </w:tcBorders>
            <w:noWrap/>
            <w:vAlign w:val="center"/>
          </w:tcPr>
          <w:p w14:paraId="0FCCCF15" w14:textId="77777777" w:rsidR="00436461" w:rsidRPr="007D12A6" w:rsidRDefault="00436461" w:rsidP="00AB0350">
            <w:pPr>
              <w:spacing w:after="0" w:line="240" w:lineRule="auto"/>
              <w:jc w:val="right"/>
              <w:rPr>
                <w:color w:val="000000"/>
                <w:sz w:val="18"/>
                <w:szCs w:val="18"/>
              </w:rPr>
            </w:pPr>
            <w:r>
              <w:rPr>
                <w:color w:val="000000"/>
                <w:sz w:val="18"/>
                <w:szCs w:val="18"/>
              </w:rPr>
              <w:t>0</w:t>
            </w:r>
          </w:p>
        </w:tc>
        <w:tc>
          <w:tcPr>
            <w:tcW w:w="1273" w:type="dxa"/>
            <w:tcBorders>
              <w:top w:val="nil"/>
              <w:left w:val="nil"/>
              <w:right w:val="nil"/>
            </w:tcBorders>
            <w:shd w:val="clear" w:color="auto" w:fill="auto"/>
            <w:noWrap/>
            <w:vAlign w:val="center"/>
          </w:tcPr>
          <w:p w14:paraId="3F310789" w14:textId="77777777" w:rsidR="00436461" w:rsidRPr="007D12A6" w:rsidRDefault="00436461" w:rsidP="00AB0350">
            <w:pPr>
              <w:spacing w:after="0" w:line="240" w:lineRule="auto"/>
              <w:jc w:val="right"/>
              <w:rPr>
                <w:color w:val="000000"/>
                <w:sz w:val="18"/>
                <w:szCs w:val="18"/>
              </w:rPr>
            </w:pPr>
            <w:r>
              <w:rPr>
                <w:color w:val="000000"/>
                <w:sz w:val="18"/>
                <w:szCs w:val="18"/>
              </w:rPr>
              <w:t>0</w:t>
            </w:r>
          </w:p>
        </w:tc>
      </w:tr>
      <w:tr w:rsidR="00436461" w:rsidRPr="007D12A6" w14:paraId="19CEC781" w14:textId="77777777" w:rsidTr="00AB0350">
        <w:trPr>
          <w:trHeight w:hRule="exact" w:val="265"/>
        </w:trPr>
        <w:tc>
          <w:tcPr>
            <w:tcW w:w="5032" w:type="dxa"/>
            <w:tcBorders>
              <w:top w:val="nil"/>
              <w:left w:val="nil"/>
              <w:right w:val="nil"/>
            </w:tcBorders>
            <w:noWrap/>
            <w:vAlign w:val="center"/>
          </w:tcPr>
          <w:p w14:paraId="71A4C1BD"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osobitný odvod z podnikania v regulovaných odvetviach</w:t>
            </w:r>
          </w:p>
        </w:tc>
        <w:tc>
          <w:tcPr>
            <w:tcW w:w="1276" w:type="dxa"/>
            <w:tcBorders>
              <w:top w:val="nil"/>
              <w:left w:val="nil"/>
              <w:right w:val="nil"/>
            </w:tcBorders>
            <w:noWrap/>
            <w:vAlign w:val="center"/>
          </w:tcPr>
          <w:p w14:paraId="58A973C2" w14:textId="77777777" w:rsidR="00436461" w:rsidRPr="007D12A6" w:rsidRDefault="00436461" w:rsidP="00AB0350">
            <w:pPr>
              <w:spacing w:after="0" w:line="240" w:lineRule="auto"/>
              <w:jc w:val="right"/>
              <w:rPr>
                <w:color w:val="000000"/>
                <w:sz w:val="18"/>
                <w:szCs w:val="18"/>
              </w:rPr>
            </w:pPr>
            <w:r w:rsidRPr="007D12A6">
              <w:rPr>
                <w:color w:val="000000"/>
                <w:sz w:val="18"/>
                <w:szCs w:val="18"/>
              </w:rPr>
              <w:t>210 535</w:t>
            </w:r>
          </w:p>
        </w:tc>
        <w:tc>
          <w:tcPr>
            <w:tcW w:w="1271" w:type="dxa"/>
            <w:tcBorders>
              <w:top w:val="nil"/>
              <w:left w:val="nil"/>
              <w:right w:val="nil"/>
            </w:tcBorders>
            <w:noWrap/>
            <w:vAlign w:val="center"/>
          </w:tcPr>
          <w:p w14:paraId="77CABC4E" w14:textId="77777777" w:rsidR="00436461" w:rsidRPr="007D12A6" w:rsidRDefault="00436461" w:rsidP="00AB0350">
            <w:pPr>
              <w:spacing w:after="0" w:line="240" w:lineRule="auto"/>
              <w:jc w:val="right"/>
              <w:rPr>
                <w:color w:val="000000"/>
                <w:sz w:val="18"/>
                <w:szCs w:val="18"/>
              </w:rPr>
            </w:pPr>
            <w:r>
              <w:rPr>
                <w:color w:val="000000"/>
                <w:sz w:val="18"/>
                <w:szCs w:val="18"/>
              </w:rPr>
              <w:t>111 384</w:t>
            </w:r>
          </w:p>
        </w:tc>
        <w:tc>
          <w:tcPr>
            <w:tcW w:w="1273" w:type="dxa"/>
            <w:tcBorders>
              <w:top w:val="nil"/>
              <w:left w:val="nil"/>
              <w:right w:val="nil"/>
            </w:tcBorders>
            <w:shd w:val="clear" w:color="auto" w:fill="auto"/>
            <w:noWrap/>
            <w:vAlign w:val="center"/>
          </w:tcPr>
          <w:p w14:paraId="37A6EC94" w14:textId="77777777" w:rsidR="00436461" w:rsidRPr="007D12A6" w:rsidRDefault="00436461" w:rsidP="00AB0350">
            <w:pPr>
              <w:spacing w:after="0" w:line="240" w:lineRule="auto"/>
              <w:jc w:val="right"/>
              <w:rPr>
                <w:color w:val="000000"/>
                <w:sz w:val="18"/>
                <w:szCs w:val="18"/>
              </w:rPr>
            </w:pPr>
            <w:r>
              <w:rPr>
                <w:color w:val="000000"/>
                <w:sz w:val="18"/>
                <w:szCs w:val="18"/>
              </w:rPr>
              <w:t>91 465</w:t>
            </w:r>
          </w:p>
        </w:tc>
      </w:tr>
      <w:tr w:rsidR="00436461" w:rsidRPr="007D12A6" w14:paraId="1C8C76A3" w14:textId="77777777" w:rsidTr="00AB0350">
        <w:trPr>
          <w:trHeight w:hRule="exact" w:val="284"/>
        </w:trPr>
        <w:tc>
          <w:tcPr>
            <w:tcW w:w="5032" w:type="dxa"/>
            <w:tcBorders>
              <w:top w:val="nil"/>
              <w:left w:val="nil"/>
              <w:right w:val="nil"/>
            </w:tcBorders>
            <w:noWrap/>
            <w:vAlign w:val="center"/>
          </w:tcPr>
          <w:p w14:paraId="2CC85C42"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anonymné vklady</w:t>
            </w:r>
          </w:p>
        </w:tc>
        <w:tc>
          <w:tcPr>
            <w:tcW w:w="1276" w:type="dxa"/>
            <w:tcBorders>
              <w:top w:val="nil"/>
              <w:left w:val="nil"/>
              <w:right w:val="nil"/>
            </w:tcBorders>
            <w:noWrap/>
            <w:vAlign w:val="center"/>
          </w:tcPr>
          <w:p w14:paraId="1D8812E4" w14:textId="77777777" w:rsidR="00436461" w:rsidRPr="007D12A6" w:rsidRDefault="00436461" w:rsidP="00AB0350">
            <w:pPr>
              <w:spacing w:after="0" w:line="240" w:lineRule="auto"/>
              <w:jc w:val="right"/>
              <w:rPr>
                <w:color w:val="000000"/>
                <w:sz w:val="18"/>
                <w:szCs w:val="18"/>
              </w:rPr>
            </w:pPr>
            <w:r w:rsidRPr="007D12A6">
              <w:rPr>
                <w:color w:val="000000"/>
                <w:sz w:val="18"/>
                <w:szCs w:val="18"/>
              </w:rPr>
              <w:t>1</w:t>
            </w:r>
          </w:p>
        </w:tc>
        <w:tc>
          <w:tcPr>
            <w:tcW w:w="1271" w:type="dxa"/>
            <w:tcBorders>
              <w:top w:val="nil"/>
              <w:left w:val="nil"/>
              <w:right w:val="nil"/>
            </w:tcBorders>
            <w:noWrap/>
            <w:vAlign w:val="center"/>
          </w:tcPr>
          <w:p w14:paraId="0849702D" w14:textId="77777777" w:rsidR="00436461" w:rsidRPr="007D12A6" w:rsidRDefault="00436461" w:rsidP="00AB0350">
            <w:pPr>
              <w:spacing w:after="0" w:line="240" w:lineRule="auto"/>
              <w:jc w:val="right"/>
              <w:rPr>
                <w:color w:val="000000"/>
                <w:sz w:val="18"/>
                <w:szCs w:val="18"/>
              </w:rPr>
            </w:pPr>
            <w:r>
              <w:rPr>
                <w:color w:val="000000"/>
                <w:sz w:val="18"/>
                <w:szCs w:val="18"/>
              </w:rPr>
              <w:t>79</w:t>
            </w:r>
          </w:p>
        </w:tc>
        <w:tc>
          <w:tcPr>
            <w:tcW w:w="1273" w:type="dxa"/>
            <w:tcBorders>
              <w:top w:val="nil"/>
              <w:left w:val="nil"/>
              <w:right w:val="nil"/>
            </w:tcBorders>
            <w:shd w:val="clear" w:color="auto" w:fill="auto"/>
            <w:noWrap/>
            <w:vAlign w:val="center"/>
          </w:tcPr>
          <w:p w14:paraId="04611C6F" w14:textId="77777777" w:rsidR="00436461" w:rsidRPr="007D12A6" w:rsidRDefault="00436461" w:rsidP="00AB0350">
            <w:pPr>
              <w:spacing w:after="0" w:line="240" w:lineRule="auto"/>
              <w:jc w:val="right"/>
              <w:rPr>
                <w:color w:val="000000"/>
                <w:sz w:val="18"/>
                <w:szCs w:val="18"/>
              </w:rPr>
            </w:pPr>
            <w:r>
              <w:rPr>
                <w:color w:val="000000"/>
                <w:sz w:val="18"/>
                <w:szCs w:val="18"/>
              </w:rPr>
              <w:t>63</w:t>
            </w:r>
          </w:p>
        </w:tc>
      </w:tr>
      <w:tr w:rsidR="00436461" w:rsidRPr="007D12A6" w14:paraId="1D93BABC" w14:textId="77777777" w:rsidTr="00AB0350">
        <w:trPr>
          <w:trHeight w:hRule="exact" w:val="284"/>
        </w:trPr>
        <w:tc>
          <w:tcPr>
            <w:tcW w:w="5032" w:type="dxa"/>
            <w:tcBorders>
              <w:top w:val="nil"/>
              <w:left w:val="nil"/>
              <w:right w:val="nil"/>
            </w:tcBorders>
            <w:noWrap/>
            <w:vAlign w:val="center"/>
          </w:tcPr>
          <w:p w14:paraId="53B01A6A"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ostatné</w:t>
            </w:r>
          </w:p>
        </w:tc>
        <w:tc>
          <w:tcPr>
            <w:tcW w:w="1276" w:type="dxa"/>
            <w:tcBorders>
              <w:top w:val="nil"/>
              <w:left w:val="nil"/>
              <w:right w:val="nil"/>
            </w:tcBorders>
            <w:noWrap/>
            <w:vAlign w:val="center"/>
          </w:tcPr>
          <w:p w14:paraId="25F22E20" w14:textId="77777777" w:rsidR="00436461" w:rsidRPr="007D12A6" w:rsidRDefault="00436461" w:rsidP="00AB0350">
            <w:pPr>
              <w:spacing w:after="0" w:line="240" w:lineRule="auto"/>
              <w:jc w:val="right"/>
              <w:rPr>
                <w:color w:val="000000"/>
                <w:sz w:val="18"/>
                <w:szCs w:val="18"/>
              </w:rPr>
            </w:pPr>
            <w:r w:rsidRPr="007D12A6">
              <w:rPr>
                <w:color w:val="000000"/>
                <w:sz w:val="18"/>
                <w:szCs w:val="18"/>
              </w:rPr>
              <w:t>140 897</w:t>
            </w:r>
          </w:p>
        </w:tc>
        <w:tc>
          <w:tcPr>
            <w:tcW w:w="1271" w:type="dxa"/>
            <w:tcBorders>
              <w:top w:val="nil"/>
              <w:left w:val="nil"/>
              <w:right w:val="nil"/>
            </w:tcBorders>
            <w:noWrap/>
            <w:vAlign w:val="center"/>
          </w:tcPr>
          <w:p w14:paraId="56E03E64" w14:textId="77777777" w:rsidR="00436461" w:rsidRPr="007D12A6" w:rsidRDefault="00436461" w:rsidP="00AB0350">
            <w:pPr>
              <w:spacing w:after="0" w:line="240" w:lineRule="auto"/>
              <w:jc w:val="right"/>
              <w:rPr>
                <w:color w:val="000000"/>
                <w:sz w:val="18"/>
                <w:szCs w:val="18"/>
              </w:rPr>
            </w:pPr>
            <w:r>
              <w:rPr>
                <w:color w:val="000000"/>
                <w:sz w:val="18"/>
                <w:szCs w:val="18"/>
              </w:rPr>
              <w:t>623</w:t>
            </w:r>
          </w:p>
        </w:tc>
        <w:tc>
          <w:tcPr>
            <w:tcW w:w="1273" w:type="dxa"/>
            <w:tcBorders>
              <w:top w:val="nil"/>
              <w:left w:val="nil"/>
              <w:right w:val="nil"/>
            </w:tcBorders>
            <w:shd w:val="clear" w:color="auto" w:fill="auto"/>
            <w:noWrap/>
            <w:vAlign w:val="center"/>
          </w:tcPr>
          <w:p w14:paraId="73C66814" w14:textId="77777777" w:rsidR="00436461" w:rsidRPr="007D12A6" w:rsidRDefault="00436461" w:rsidP="00AB0350">
            <w:pPr>
              <w:spacing w:after="0" w:line="240" w:lineRule="auto"/>
              <w:jc w:val="right"/>
              <w:rPr>
                <w:color w:val="000000"/>
                <w:sz w:val="18"/>
                <w:szCs w:val="18"/>
              </w:rPr>
            </w:pPr>
            <w:r>
              <w:rPr>
                <w:color w:val="000000"/>
                <w:sz w:val="18"/>
                <w:szCs w:val="18"/>
              </w:rPr>
              <w:t>216</w:t>
            </w:r>
          </w:p>
        </w:tc>
      </w:tr>
      <w:tr w:rsidR="00436461" w:rsidRPr="007D12A6" w14:paraId="43F0285F" w14:textId="77777777" w:rsidTr="00AB0350">
        <w:trPr>
          <w:trHeight w:hRule="exact" w:val="284"/>
        </w:trPr>
        <w:tc>
          <w:tcPr>
            <w:tcW w:w="5032" w:type="dxa"/>
            <w:tcBorders>
              <w:top w:val="nil"/>
              <w:left w:val="nil"/>
              <w:right w:val="nil"/>
            </w:tcBorders>
            <w:noWrap/>
            <w:vAlign w:val="center"/>
          </w:tcPr>
          <w:p w14:paraId="476F6E53" w14:textId="77777777" w:rsidR="00436461" w:rsidRPr="007D12A6" w:rsidRDefault="00436461" w:rsidP="00AB0350">
            <w:pPr>
              <w:spacing w:after="0" w:line="240" w:lineRule="auto"/>
              <w:rPr>
                <w:b/>
                <w:color w:val="000000"/>
                <w:sz w:val="18"/>
                <w:szCs w:val="18"/>
              </w:rPr>
            </w:pPr>
            <w:r>
              <w:rPr>
                <w:b/>
                <w:color w:val="000000"/>
                <w:sz w:val="18"/>
                <w:szCs w:val="18"/>
              </w:rPr>
              <w:t>Výdavky - zníženie</w:t>
            </w:r>
            <w:r w:rsidRPr="007D12A6">
              <w:rPr>
                <w:b/>
                <w:color w:val="000000"/>
                <w:sz w:val="18"/>
                <w:szCs w:val="18"/>
              </w:rPr>
              <w:t xml:space="preserve"> ŠFA</w:t>
            </w:r>
          </w:p>
        </w:tc>
        <w:tc>
          <w:tcPr>
            <w:tcW w:w="1276" w:type="dxa"/>
            <w:tcBorders>
              <w:top w:val="nil"/>
              <w:left w:val="nil"/>
              <w:right w:val="nil"/>
            </w:tcBorders>
            <w:noWrap/>
            <w:vAlign w:val="center"/>
          </w:tcPr>
          <w:p w14:paraId="18E8508E" w14:textId="77777777" w:rsidR="00436461" w:rsidRPr="007D12A6" w:rsidRDefault="00436461" w:rsidP="00AB0350">
            <w:pPr>
              <w:spacing w:after="0" w:line="240" w:lineRule="auto"/>
              <w:jc w:val="right"/>
              <w:rPr>
                <w:b/>
                <w:color w:val="000000"/>
                <w:sz w:val="18"/>
                <w:szCs w:val="18"/>
              </w:rPr>
            </w:pPr>
            <w:r w:rsidRPr="007D12A6">
              <w:rPr>
                <w:b/>
                <w:color w:val="000000"/>
                <w:sz w:val="18"/>
                <w:szCs w:val="18"/>
              </w:rPr>
              <w:t>911 996</w:t>
            </w:r>
          </w:p>
        </w:tc>
        <w:tc>
          <w:tcPr>
            <w:tcW w:w="1271" w:type="dxa"/>
            <w:tcBorders>
              <w:top w:val="nil"/>
              <w:left w:val="nil"/>
              <w:right w:val="nil"/>
            </w:tcBorders>
            <w:noWrap/>
            <w:vAlign w:val="center"/>
          </w:tcPr>
          <w:p w14:paraId="2367085E" w14:textId="77777777" w:rsidR="00436461" w:rsidRPr="007D12A6" w:rsidRDefault="00436461" w:rsidP="00AB0350">
            <w:pPr>
              <w:spacing w:after="0" w:line="240" w:lineRule="auto"/>
              <w:jc w:val="right"/>
              <w:rPr>
                <w:b/>
                <w:color w:val="000000"/>
                <w:sz w:val="18"/>
                <w:szCs w:val="18"/>
              </w:rPr>
            </w:pPr>
            <w:r>
              <w:rPr>
                <w:b/>
                <w:color w:val="000000"/>
                <w:sz w:val="18"/>
                <w:szCs w:val="18"/>
              </w:rPr>
              <w:t>237 453</w:t>
            </w:r>
          </w:p>
        </w:tc>
        <w:tc>
          <w:tcPr>
            <w:tcW w:w="1273" w:type="dxa"/>
            <w:tcBorders>
              <w:top w:val="nil"/>
              <w:left w:val="nil"/>
              <w:right w:val="nil"/>
            </w:tcBorders>
            <w:shd w:val="clear" w:color="auto" w:fill="auto"/>
            <w:noWrap/>
            <w:vAlign w:val="center"/>
          </w:tcPr>
          <w:p w14:paraId="42B8BB24" w14:textId="77777777" w:rsidR="00436461" w:rsidRPr="007D12A6" w:rsidRDefault="00436461" w:rsidP="00AB0350">
            <w:pPr>
              <w:spacing w:after="0" w:line="240" w:lineRule="auto"/>
              <w:jc w:val="right"/>
              <w:rPr>
                <w:b/>
                <w:color w:val="000000"/>
                <w:sz w:val="18"/>
                <w:szCs w:val="18"/>
              </w:rPr>
            </w:pPr>
            <w:r>
              <w:rPr>
                <w:b/>
                <w:color w:val="000000"/>
                <w:sz w:val="18"/>
                <w:szCs w:val="18"/>
              </w:rPr>
              <w:t>1 278 933</w:t>
            </w:r>
          </w:p>
        </w:tc>
      </w:tr>
      <w:tr w:rsidR="00436461" w:rsidRPr="007D12A6" w14:paraId="05E2FE40" w14:textId="77777777" w:rsidTr="00AB0350">
        <w:trPr>
          <w:trHeight w:hRule="exact" w:val="284"/>
        </w:trPr>
        <w:tc>
          <w:tcPr>
            <w:tcW w:w="5032" w:type="dxa"/>
            <w:tcBorders>
              <w:left w:val="nil"/>
              <w:right w:val="nil"/>
            </w:tcBorders>
            <w:noWrap/>
            <w:vAlign w:val="center"/>
          </w:tcPr>
          <w:p w14:paraId="6F49AB9C" w14:textId="77777777" w:rsidR="00436461" w:rsidRPr="007D12A6" w:rsidRDefault="00436461" w:rsidP="00AB0350">
            <w:pPr>
              <w:spacing w:after="0" w:line="240" w:lineRule="auto"/>
              <w:rPr>
                <w:color w:val="000000"/>
                <w:sz w:val="18"/>
                <w:szCs w:val="18"/>
              </w:rPr>
            </w:pPr>
            <w:r w:rsidRPr="007D12A6">
              <w:rPr>
                <w:color w:val="000000"/>
                <w:sz w:val="18"/>
                <w:szCs w:val="18"/>
              </w:rPr>
              <w:t>z toho:</w:t>
            </w:r>
          </w:p>
        </w:tc>
        <w:tc>
          <w:tcPr>
            <w:tcW w:w="1276" w:type="dxa"/>
            <w:tcBorders>
              <w:left w:val="nil"/>
              <w:right w:val="nil"/>
            </w:tcBorders>
            <w:noWrap/>
            <w:vAlign w:val="center"/>
          </w:tcPr>
          <w:p w14:paraId="78497D79" w14:textId="77777777" w:rsidR="00436461" w:rsidRPr="007D12A6" w:rsidRDefault="00436461" w:rsidP="00AB0350">
            <w:pPr>
              <w:spacing w:after="0" w:line="240" w:lineRule="auto"/>
              <w:jc w:val="right"/>
              <w:rPr>
                <w:b/>
                <w:color w:val="000000"/>
                <w:sz w:val="18"/>
                <w:szCs w:val="18"/>
              </w:rPr>
            </w:pPr>
          </w:p>
        </w:tc>
        <w:tc>
          <w:tcPr>
            <w:tcW w:w="1271" w:type="dxa"/>
            <w:tcBorders>
              <w:left w:val="nil"/>
              <w:right w:val="nil"/>
            </w:tcBorders>
            <w:noWrap/>
            <w:vAlign w:val="center"/>
          </w:tcPr>
          <w:p w14:paraId="365F8A43" w14:textId="77777777" w:rsidR="00436461" w:rsidRPr="007D12A6" w:rsidRDefault="00436461" w:rsidP="00AB0350">
            <w:pPr>
              <w:spacing w:after="0" w:line="240" w:lineRule="auto"/>
              <w:jc w:val="right"/>
              <w:rPr>
                <w:b/>
                <w:color w:val="000000"/>
                <w:sz w:val="18"/>
                <w:szCs w:val="18"/>
              </w:rPr>
            </w:pPr>
          </w:p>
        </w:tc>
        <w:tc>
          <w:tcPr>
            <w:tcW w:w="1273" w:type="dxa"/>
            <w:tcBorders>
              <w:left w:val="nil"/>
              <w:right w:val="nil"/>
            </w:tcBorders>
            <w:shd w:val="clear" w:color="auto" w:fill="auto"/>
            <w:noWrap/>
            <w:vAlign w:val="center"/>
          </w:tcPr>
          <w:p w14:paraId="0A47F732" w14:textId="77777777" w:rsidR="00436461" w:rsidRPr="007D12A6" w:rsidRDefault="00436461" w:rsidP="00AB0350">
            <w:pPr>
              <w:spacing w:after="0" w:line="240" w:lineRule="auto"/>
              <w:jc w:val="right"/>
              <w:rPr>
                <w:b/>
                <w:color w:val="000000"/>
                <w:sz w:val="18"/>
                <w:szCs w:val="18"/>
              </w:rPr>
            </w:pPr>
          </w:p>
        </w:tc>
      </w:tr>
      <w:tr w:rsidR="00436461" w:rsidRPr="007D12A6" w14:paraId="6793C3CA" w14:textId="77777777" w:rsidTr="00AB0350">
        <w:trPr>
          <w:trHeight w:hRule="exact" w:val="284"/>
        </w:trPr>
        <w:tc>
          <w:tcPr>
            <w:tcW w:w="5032" w:type="dxa"/>
            <w:tcBorders>
              <w:left w:val="nil"/>
              <w:right w:val="nil"/>
            </w:tcBorders>
            <w:noWrap/>
            <w:vAlign w:val="center"/>
          </w:tcPr>
          <w:p w14:paraId="7040A2DB"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účelové prostriedky z FNM/ MH Manažment, </w:t>
            </w:r>
            <w:proofErr w:type="spellStart"/>
            <w:r w:rsidRPr="007D12A6">
              <w:rPr>
                <w:color w:val="000000"/>
                <w:sz w:val="18"/>
                <w:szCs w:val="18"/>
              </w:rPr>
              <w:t>a.s</w:t>
            </w:r>
            <w:proofErr w:type="spellEnd"/>
            <w:r w:rsidRPr="007D12A6">
              <w:rPr>
                <w:color w:val="000000"/>
                <w:sz w:val="18"/>
                <w:szCs w:val="18"/>
              </w:rPr>
              <w:t>.</w:t>
            </w:r>
          </w:p>
        </w:tc>
        <w:tc>
          <w:tcPr>
            <w:tcW w:w="1276" w:type="dxa"/>
            <w:tcBorders>
              <w:left w:val="nil"/>
              <w:right w:val="nil"/>
            </w:tcBorders>
            <w:noWrap/>
            <w:vAlign w:val="center"/>
          </w:tcPr>
          <w:p w14:paraId="7AB4A1F1" w14:textId="77777777" w:rsidR="00436461" w:rsidRPr="007D12A6" w:rsidRDefault="00436461" w:rsidP="00AB0350">
            <w:pPr>
              <w:spacing w:after="0" w:line="240" w:lineRule="auto"/>
              <w:jc w:val="right"/>
              <w:rPr>
                <w:color w:val="000000"/>
                <w:sz w:val="18"/>
                <w:szCs w:val="18"/>
              </w:rPr>
            </w:pPr>
            <w:r w:rsidRPr="007D12A6">
              <w:rPr>
                <w:color w:val="000000"/>
                <w:sz w:val="18"/>
                <w:szCs w:val="18"/>
              </w:rPr>
              <w:t>41 244</w:t>
            </w:r>
          </w:p>
        </w:tc>
        <w:tc>
          <w:tcPr>
            <w:tcW w:w="1271" w:type="dxa"/>
            <w:tcBorders>
              <w:left w:val="nil"/>
              <w:right w:val="nil"/>
            </w:tcBorders>
            <w:noWrap/>
            <w:vAlign w:val="center"/>
          </w:tcPr>
          <w:p w14:paraId="7EB59A73" w14:textId="77777777" w:rsidR="00436461" w:rsidRPr="007D12A6" w:rsidRDefault="00436461" w:rsidP="00AB0350">
            <w:pPr>
              <w:spacing w:after="0" w:line="240" w:lineRule="auto"/>
              <w:jc w:val="right"/>
              <w:rPr>
                <w:color w:val="000000"/>
                <w:sz w:val="18"/>
                <w:szCs w:val="18"/>
              </w:rPr>
            </w:pPr>
            <w:r>
              <w:rPr>
                <w:color w:val="000000"/>
                <w:sz w:val="18"/>
                <w:szCs w:val="18"/>
              </w:rPr>
              <w:t>16 464</w:t>
            </w:r>
          </w:p>
        </w:tc>
        <w:tc>
          <w:tcPr>
            <w:tcW w:w="1273" w:type="dxa"/>
            <w:tcBorders>
              <w:left w:val="nil"/>
              <w:right w:val="nil"/>
            </w:tcBorders>
            <w:shd w:val="clear" w:color="auto" w:fill="auto"/>
            <w:noWrap/>
            <w:vAlign w:val="center"/>
          </w:tcPr>
          <w:p w14:paraId="17F33061" w14:textId="77777777" w:rsidR="00436461" w:rsidRPr="007D12A6" w:rsidRDefault="00436461" w:rsidP="00AB0350">
            <w:pPr>
              <w:spacing w:after="0" w:line="240" w:lineRule="auto"/>
              <w:jc w:val="right"/>
              <w:rPr>
                <w:color w:val="000000"/>
                <w:sz w:val="18"/>
                <w:szCs w:val="18"/>
              </w:rPr>
            </w:pPr>
            <w:r>
              <w:rPr>
                <w:color w:val="000000"/>
                <w:sz w:val="18"/>
                <w:szCs w:val="18"/>
              </w:rPr>
              <w:t>506 322</w:t>
            </w:r>
          </w:p>
        </w:tc>
      </w:tr>
      <w:tr w:rsidR="00436461" w:rsidRPr="007D12A6" w14:paraId="2A53BD9C" w14:textId="77777777" w:rsidTr="00AB0350">
        <w:trPr>
          <w:trHeight w:hRule="exact" w:val="284"/>
        </w:trPr>
        <w:tc>
          <w:tcPr>
            <w:tcW w:w="5032" w:type="dxa"/>
            <w:tcBorders>
              <w:left w:val="nil"/>
              <w:right w:val="nil"/>
            </w:tcBorders>
            <w:noWrap/>
            <w:vAlign w:val="center"/>
          </w:tcPr>
          <w:p w14:paraId="2ACB1252" w14:textId="4EECB7EC" w:rsidR="00436461" w:rsidRPr="007D12A6" w:rsidRDefault="0015273A" w:rsidP="00AB0350">
            <w:pPr>
              <w:spacing w:after="0" w:line="240" w:lineRule="auto"/>
              <w:rPr>
                <w:color w:val="000000"/>
                <w:sz w:val="18"/>
                <w:szCs w:val="18"/>
              </w:rPr>
            </w:pPr>
            <w:r>
              <w:rPr>
                <w:color w:val="000000"/>
                <w:sz w:val="18"/>
                <w:szCs w:val="18"/>
              </w:rPr>
              <w:t xml:space="preserve">   návratné finančné výpomoci</w:t>
            </w:r>
          </w:p>
        </w:tc>
        <w:tc>
          <w:tcPr>
            <w:tcW w:w="1276" w:type="dxa"/>
            <w:tcBorders>
              <w:left w:val="nil"/>
              <w:right w:val="nil"/>
            </w:tcBorders>
            <w:noWrap/>
            <w:vAlign w:val="center"/>
          </w:tcPr>
          <w:p w14:paraId="4B8AA9E2" w14:textId="77777777" w:rsidR="00436461" w:rsidRPr="007D12A6" w:rsidRDefault="00436461" w:rsidP="00AB0350">
            <w:pPr>
              <w:spacing w:after="0" w:line="240" w:lineRule="auto"/>
              <w:jc w:val="right"/>
              <w:rPr>
                <w:color w:val="000000"/>
                <w:sz w:val="18"/>
                <w:szCs w:val="18"/>
              </w:rPr>
            </w:pPr>
            <w:r w:rsidRPr="007D12A6">
              <w:rPr>
                <w:color w:val="000000"/>
                <w:sz w:val="18"/>
                <w:szCs w:val="18"/>
              </w:rPr>
              <w:t>645 299</w:t>
            </w:r>
          </w:p>
        </w:tc>
        <w:tc>
          <w:tcPr>
            <w:tcW w:w="1271" w:type="dxa"/>
            <w:tcBorders>
              <w:left w:val="nil"/>
              <w:right w:val="nil"/>
            </w:tcBorders>
            <w:noWrap/>
            <w:vAlign w:val="center"/>
          </w:tcPr>
          <w:p w14:paraId="21A411A1" w14:textId="77777777" w:rsidR="00436461" w:rsidRPr="007D12A6" w:rsidRDefault="00436461" w:rsidP="00AB0350">
            <w:pPr>
              <w:spacing w:after="0" w:line="240" w:lineRule="auto"/>
              <w:jc w:val="right"/>
              <w:rPr>
                <w:color w:val="000000"/>
                <w:sz w:val="18"/>
                <w:szCs w:val="18"/>
              </w:rPr>
            </w:pPr>
            <w:r>
              <w:rPr>
                <w:color w:val="000000"/>
                <w:sz w:val="18"/>
                <w:szCs w:val="18"/>
              </w:rPr>
              <w:t>220 837</w:t>
            </w:r>
          </w:p>
        </w:tc>
        <w:tc>
          <w:tcPr>
            <w:tcW w:w="1273" w:type="dxa"/>
            <w:tcBorders>
              <w:left w:val="nil"/>
              <w:right w:val="nil"/>
            </w:tcBorders>
            <w:shd w:val="clear" w:color="auto" w:fill="auto"/>
            <w:noWrap/>
            <w:vAlign w:val="center"/>
          </w:tcPr>
          <w:p w14:paraId="2E450EC1" w14:textId="77777777" w:rsidR="00436461" w:rsidRPr="007D12A6" w:rsidRDefault="00436461" w:rsidP="00AB0350">
            <w:pPr>
              <w:spacing w:after="0" w:line="240" w:lineRule="auto"/>
              <w:jc w:val="right"/>
              <w:rPr>
                <w:color w:val="000000"/>
                <w:sz w:val="18"/>
                <w:szCs w:val="18"/>
              </w:rPr>
            </w:pPr>
            <w:r>
              <w:rPr>
                <w:color w:val="000000"/>
                <w:sz w:val="18"/>
                <w:szCs w:val="18"/>
              </w:rPr>
              <w:t>643 786</w:t>
            </w:r>
          </w:p>
        </w:tc>
      </w:tr>
      <w:tr w:rsidR="00436461" w:rsidRPr="007D12A6" w14:paraId="0C95ECCA" w14:textId="77777777" w:rsidTr="00AB0350">
        <w:trPr>
          <w:trHeight w:hRule="exact" w:val="284"/>
        </w:trPr>
        <w:tc>
          <w:tcPr>
            <w:tcW w:w="5032" w:type="dxa"/>
            <w:tcBorders>
              <w:left w:val="nil"/>
              <w:right w:val="nil"/>
            </w:tcBorders>
            <w:noWrap/>
            <w:vAlign w:val="center"/>
          </w:tcPr>
          <w:p w14:paraId="699DC5B0"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osobitný odvod finančných inštitúcií</w:t>
            </w:r>
          </w:p>
        </w:tc>
        <w:tc>
          <w:tcPr>
            <w:tcW w:w="1276" w:type="dxa"/>
            <w:tcBorders>
              <w:left w:val="nil"/>
              <w:right w:val="nil"/>
            </w:tcBorders>
            <w:noWrap/>
            <w:vAlign w:val="center"/>
          </w:tcPr>
          <w:p w14:paraId="64B5DDBB" w14:textId="77777777" w:rsidR="00436461" w:rsidRPr="007D12A6" w:rsidRDefault="00436461" w:rsidP="00AB0350">
            <w:pPr>
              <w:spacing w:after="0" w:line="240" w:lineRule="auto"/>
              <w:jc w:val="right"/>
              <w:rPr>
                <w:color w:val="000000"/>
                <w:sz w:val="18"/>
                <w:szCs w:val="18"/>
              </w:rPr>
            </w:pPr>
            <w:r w:rsidRPr="007D12A6">
              <w:rPr>
                <w:color w:val="000000"/>
                <w:sz w:val="18"/>
                <w:szCs w:val="18"/>
              </w:rPr>
              <w:t>0</w:t>
            </w:r>
          </w:p>
        </w:tc>
        <w:tc>
          <w:tcPr>
            <w:tcW w:w="1271" w:type="dxa"/>
            <w:tcBorders>
              <w:left w:val="nil"/>
              <w:right w:val="nil"/>
            </w:tcBorders>
            <w:noWrap/>
            <w:vAlign w:val="center"/>
          </w:tcPr>
          <w:p w14:paraId="3008453F" w14:textId="77777777" w:rsidR="00436461" w:rsidRPr="007D12A6" w:rsidRDefault="00436461" w:rsidP="00AB0350">
            <w:pPr>
              <w:spacing w:after="0" w:line="240" w:lineRule="auto"/>
              <w:jc w:val="right"/>
              <w:rPr>
                <w:color w:val="000000"/>
                <w:sz w:val="18"/>
                <w:szCs w:val="18"/>
              </w:rPr>
            </w:pPr>
            <w:r>
              <w:rPr>
                <w:color w:val="000000"/>
                <w:sz w:val="18"/>
                <w:szCs w:val="18"/>
              </w:rPr>
              <w:t>1</w:t>
            </w:r>
          </w:p>
        </w:tc>
        <w:tc>
          <w:tcPr>
            <w:tcW w:w="1273" w:type="dxa"/>
            <w:tcBorders>
              <w:left w:val="nil"/>
              <w:right w:val="nil"/>
            </w:tcBorders>
            <w:shd w:val="clear" w:color="auto" w:fill="auto"/>
            <w:noWrap/>
            <w:vAlign w:val="center"/>
          </w:tcPr>
          <w:p w14:paraId="48555475" w14:textId="77777777" w:rsidR="00436461" w:rsidRPr="007D12A6" w:rsidRDefault="00436461" w:rsidP="00AB0350">
            <w:pPr>
              <w:spacing w:after="0" w:line="240" w:lineRule="auto"/>
              <w:jc w:val="right"/>
              <w:rPr>
                <w:color w:val="000000"/>
                <w:sz w:val="18"/>
                <w:szCs w:val="18"/>
              </w:rPr>
            </w:pPr>
            <w:r>
              <w:rPr>
                <w:color w:val="000000"/>
                <w:sz w:val="18"/>
                <w:szCs w:val="18"/>
              </w:rPr>
              <w:t>128 733</w:t>
            </w:r>
          </w:p>
        </w:tc>
      </w:tr>
      <w:tr w:rsidR="00436461" w:rsidRPr="007D12A6" w14:paraId="41BBCF52" w14:textId="77777777" w:rsidTr="00AB0350">
        <w:trPr>
          <w:trHeight w:hRule="exact" w:val="284"/>
        </w:trPr>
        <w:tc>
          <w:tcPr>
            <w:tcW w:w="5032" w:type="dxa"/>
            <w:tcBorders>
              <w:left w:val="nil"/>
              <w:right w:val="nil"/>
            </w:tcBorders>
            <w:noWrap/>
            <w:vAlign w:val="center"/>
          </w:tcPr>
          <w:p w14:paraId="6EA9C484"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osobitný odvod z podnikania v regulovaných odvetviach</w:t>
            </w:r>
          </w:p>
        </w:tc>
        <w:tc>
          <w:tcPr>
            <w:tcW w:w="1276" w:type="dxa"/>
            <w:tcBorders>
              <w:left w:val="nil"/>
              <w:right w:val="nil"/>
            </w:tcBorders>
            <w:noWrap/>
            <w:vAlign w:val="center"/>
          </w:tcPr>
          <w:p w14:paraId="01E4F292" w14:textId="77777777" w:rsidR="00436461" w:rsidRPr="007D12A6" w:rsidRDefault="00436461" w:rsidP="00AB0350">
            <w:pPr>
              <w:spacing w:after="0" w:line="240" w:lineRule="auto"/>
              <w:jc w:val="right"/>
              <w:rPr>
                <w:color w:val="000000"/>
                <w:sz w:val="18"/>
                <w:szCs w:val="18"/>
              </w:rPr>
            </w:pPr>
            <w:r w:rsidRPr="007D12A6">
              <w:rPr>
                <w:color w:val="000000"/>
                <w:sz w:val="18"/>
                <w:szCs w:val="18"/>
              </w:rPr>
              <w:t>90 936</w:t>
            </w:r>
          </w:p>
        </w:tc>
        <w:tc>
          <w:tcPr>
            <w:tcW w:w="1271" w:type="dxa"/>
            <w:tcBorders>
              <w:left w:val="nil"/>
              <w:right w:val="nil"/>
            </w:tcBorders>
            <w:noWrap/>
            <w:vAlign w:val="center"/>
          </w:tcPr>
          <w:p w14:paraId="473A6CD5" w14:textId="77777777" w:rsidR="00436461" w:rsidRPr="007D12A6" w:rsidRDefault="00436461" w:rsidP="00AB0350">
            <w:pPr>
              <w:spacing w:after="0" w:line="240" w:lineRule="auto"/>
              <w:jc w:val="right"/>
              <w:rPr>
                <w:color w:val="000000"/>
                <w:sz w:val="18"/>
                <w:szCs w:val="18"/>
              </w:rPr>
            </w:pPr>
            <w:r>
              <w:rPr>
                <w:color w:val="000000"/>
                <w:sz w:val="18"/>
                <w:szCs w:val="18"/>
              </w:rPr>
              <w:t>0</w:t>
            </w:r>
          </w:p>
        </w:tc>
        <w:tc>
          <w:tcPr>
            <w:tcW w:w="1273" w:type="dxa"/>
            <w:tcBorders>
              <w:left w:val="nil"/>
              <w:right w:val="nil"/>
            </w:tcBorders>
            <w:shd w:val="clear" w:color="auto" w:fill="auto"/>
            <w:noWrap/>
            <w:vAlign w:val="center"/>
          </w:tcPr>
          <w:p w14:paraId="276DFE26" w14:textId="77777777" w:rsidR="00436461" w:rsidRPr="007D12A6" w:rsidRDefault="00436461" w:rsidP="00AB0350">
            <w:pPr>
              <w:spacing w:after="0" w:line="240" w:lineRule="auto"/>
              <w:jc w:val="right"/>
              <w:rPr>
                <w:color w:val="000000"/>
                <w:sz w:val="18"/>
                <w:szCs w:val="18"/>
              </w:rPr>
            </w:pPr>
            <w:r>
              <w:rPr>
                <w:color w:val="000000"/>
                <w:sz w:val="18"/>
                <w:szCs w:val="18"/>
              </w:rPr>
              <w:t>0</w:t>
            </w:r>
          </w:p>
        </w:tc>
      </w:tr>
      <w:tr w:rsidR="00436461" w:rsidRPr="007D12A6" w14:paraId="44F61CA9" w14:textId="77777777" w:rsidTr="00AB0350">
        <w:trPr>
          <w:trHeight w:hRule="exact" w:val="284"/>
        </w:trPr>
        <w:tc>
          <w:tcPr>
            <w:tcW w:w="5032" w:type="dxa"/>
            <w:tcBorders>
              <w:left w:val="nil"/>
              <w:right w:val="nil"/>
            </w:tcBorders>
            <w:noWrap/>
            <w:vAlign w:val="center"/>
          </w:tcPr>
          <w:p w14:paraId="5D0D5C9F"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anonymné vklady</w:t>
            </w:r>
          </w:p>
        </w:tc>
        <w:tc>
          <w:tcPr>
            <w:tcW w:w="1276" w:type="dxa"/>
            <w:tcBorders>
              <w:left w:val="nil"/>
              <w:right w:val="nil"/>
            </w:tcBorders>
            <w:noWrap/>
            <w:vAlign w:val="center"/>
          </w:tcPr>
          <w:p w14:paraId="64A725D0" w14:textId="77777777" w:rsidR="00436461" w:rsidRPr="007D12A6" w:rsidRDefault="00436461" w:rsidP="00AB0350">
            <w:pPr>
              <w:spacing w:after="0" w:line="240" w:lineRule="auto"/>
              <w:jc w:val="right"/>
              <w:rPr>
                <w:color w:val="000000"/>
                <w:sz w:val="18"/>
                <w:szCs w:val="18"/>
              </w:rPr>
            </w:pPr>
            <w:r w:rsidRPr="007D12A6">
              <w:rPr>
                <w:color w:val="000000"/>
                <w:sz w:val="18"/>
                <w:szCs w:val="18"/>
              </w:rPr>
              <w:t>72</w:t>
            </w:r>
          </w:p>
        </w:tc>
        <w:tc>
          <w:tcPr>
            <w:tcW w:w="1271" w:type="dxa"/>
            <w:tcBorders>
              <w:left w:val="nil"/>
              <w:right w:val="nil"/>
            </w:tcBorders>
            <w:noWrap/>
            <w:vAlign w:val="center"/>
          </w:tcPr>
          <w:p w14:paraId="7B628589" w14:textId="77777777" w:rsidR="00436461" w:rsidRPr="007D12A6" w:rsidRDefault="00436461" w:rsidP="00AB0350">
            <w:pPr>
              <w:spacing w:after="0" w:line="240" w:lineRule="auto"/>
              <w:jc w:val="right"/>
              <w:rPr>
                <w:color w:val="000000"/>
                <w:sz w:val="18"/>
                <w:szCs w:val="18"/>
              </w:rPr>
            </w:pPr>
            <w:r>
              <w:rPr>
                <w:color w:val="000000"/>
                <w:sz w:val="18"/>
                <w:szCs w:val="18"/>
              </w:rPr>
              <w:t>0</w:t>
            </w:r>
          </w:p>
        </w:tc>
        <w:tc>
          <w:tcPr>
            <w:tcW w:w="1273" w:type="dxa"/>
            <w:tcBorders>
              <w:left w:val="nil"/>
              <w:right w:val="nil"/>
            </w:tcBorders>
            <w:shd w:val="clear" w:color="auto" w:fill="auto"/>
            <w:noWrap/>
            <w:vAlign w:val="center"/>
          </w:tcPr>
          <w:p w14:paraId="0DA9C4F8" w14:textId="77777777" w:rsidR="00436461" w:rsidRPr="007D12A6" w:rsidRDefault="00436461" w:rsidP="00AB0350">
            <w:pPr>
              <w:spacing w:after="0" w:line="240" w:lineRule="auto"/>
              <w:jc w:val="right"/>
              <w:rPr>
                <w:color w:val="000000"/>
                <w:sz w:val="18"/>
                <w:szCs w:val="18"/>
              </w:rPr>
            </w:pPr>
            <w:r>
              <w:rPr>
                <w:color w:val="000000"/>
                <w:sz w:val="18"/>
                <w:szCs w:val="18"/>
              </w:rPr>
              <w:t>2</w:t>
            </w:r>
          </w:p>
        </w:tc>
      </w:tr>
      <w:tr w:rsidR="00436461" w:rsidRPr="007D12A6" w14:paraId="486C1F52" w14:textId="77777777" w:rsidTr="00AB0350">
        <w:trPr>
          <w:trHeight w:hRule="exact" w:val="284"/>
        </w:trPr>
        <w:tc>
          <w:tcPr>
            <w:tcW w:w="5032" w:type="dxa"/>
            <w:tcBorders>
              <w:left w:val="nil"/>
              <w:bottom w:val="single" w:sz="4" w:space="0" w:color="auto"/>
              <w:right w:val="nil"/>
            </w:tcBorders>
            <w:noWrap/>
            <w:vAlign w:val="center"/>
          </w:tcPr>
          <w:p w14:paraId="30B64C92" w14:textId="77777777" w:rsidR="00436461" w:rsidRPr="007D12A6" w:rsidRDefault="00436461" w:rsidP="00AB0350">
            <w:pPr>
              <w:spacing w:after="0" w:line="240" w:lineRule="auto"/>
              <w:rPr>
                <w:color w:val="000000"/>
                <w:sz w:val="18"/>
                <w:szCs w:val="18"/>
              </w:rPr>
            </w:pPr>
            <w:r w:rsidRPr="007D12A6">
              <w:rPr>
                <w:color w:val="000000"/>
                <w:sz w:val="18"/>
                <w:szCs w:val="18"/>
              </w:rPr>
              <w:t xml:space="preserve">   ostatné</w:t>
            </w:r>
          </w:p>
        </w:tc>
        <w:tc>
          <w:tcPr>
            <w:tcW w:w="1276" w:type="dxa"/>
            <w:tcBorders>
              <w:left w:val="nil"/>
              <w:bottom w:val="single" w:sz="4" w:space="0" w:color="auto"/>
              <w:right w:val="nil"/>
            </w:tcBorders>
            <w:noWrap/>
            <w:vAlign w:val="center"/>
          </w:tcPr>
          <w:p w14:paraId="5CA45A53" w14:textId="77777777" w:rsidR="00436461" w:rsidRPr="007D12A6" w:rsidRDefault="00436461" w:rsidP="00AB0350">
            <w:pPr>
              <w:spacing w:after="0" w:line="240" w:lineRule="auto"/>
              <w:jc w:val="right"/>
              <w:rPr>
                <w:color w:val="000000"/>
                <w:sz w:val="18"/>
                <w:szCs w:val="18"/>
              </w:rPr>
            </w:pPr>
            <w:r w:rsidRPr="007D12A6">
              <w:rPr>
                <w:color w:val="000000"/>
                <w:sz w:val="18"/>
                <w:szCs w:val="18"/>
              </w:rPr>
              <w:t>134 445</w:t>
            </w:r>
          </w:p>
        </w:tc>
        <w:tc>
          <w:tcPr>
            <w:tcW w:w="1271" w:type="dxa"/>
            <w:tcBorders>
              <w:left w:val="nil"/>
              <w:bottom w:val="single" w:sz="4" w:space="0" w:color="auto"/>
              <w:right w:val="nil"/>
            </w:tcBorders>
            <w:noWrap/>
            <w:vAlign w:val="center"/>
          </w:tcPr>
          <w:p w14:paraId="282A0177" w14:textId="77777777" w:rsidR="00436461" w:rsidRPr="007D12A6" w:rsidRDefault="00436461" w:rsidP="00AB0350">
            <w:pPr>
              <w:spacing w:after="0" w:line="240" w:lineRule="auto"/>
              <w:jc w:val="right"/>
              <w:rPr>
                <w:color w:val="000000"/>
                <w:sz w:val="18"/>
                <w:szCs w:val="18"/>
              </w:rPr>
            </w:pPr>
            <w:r>
              <w:rPr>
                <w:color w:val="000000"/>
                <w:sz w:val="18"/>
                <w:szCs w:val="18"/>
              </w:rPr>
              <w:t>151</w:t>
            </w:r>
          </w:p>
        </w:tc>
        <w:tc>
          <w:tcPr>
            <w:tcW w:w="1273" w:type="dxa"/>
            <w:tcBorders>
              <w:left w:val="nil"/>
              <w:bottom w:val="single" w:sz="4" w:space="0" w:color="auto"/>
              <w:right w:val="nil"/>
            </w:tcBorders>
            <w:shd w:val="clear" w:color="auto" w:fill="auto"/>
            <w:noWrap/>
            <w:vAlign w:val="center"/>
          </w:tcPr>
          <w:p w14:paraId="6E86E781" w14:textId="77777777" w:rsidR="00436461" w:rsidRPr="007D12A6" w:rsidRDefault="00436461" w:rsidP="00AB0350">
            <w:pPr>
              <w:spacing w:after="0" w:line="240" w:lineRule="auto"/>
              <w:jc w:val="right"/>
              <w:rPr>
                <w:color w:val="000000"/>
                <w:sz w:val="18"/>
                <w:szCs w:val="18"/>
              </w:rPr>
            </w:pPr>
            <w:r>
              <w:rPr>
                <w:color w:val="000000"/>
                <w:sz w:val="18"/>
                <w:szCs w:val="18"/>
              </w:rPr>
              <w:t>90</w:t>
            </w:r>
          </w:p>
        </w:tc>
      </w:tr>
      <w:tr w:rsidR="00436461" w:rsidRPr="007D12A6" w14:paraId="186C18A7" w14:textId="77777777" w:rsidTr="00AB0350">
        <w:trPr>
          <w:trHeight w:hRule="exact" w:val="302"/>
        </w:trPr>
        <w:tc>
          <w:tcPr>
            <w:tcW w:w="5032" w:type="dxa"/>
            <w:tcBorders>
              <w:top w:val="single" w:sz="4" w:space="0" w:color="auto"/>
              <w:left w:val="nil"/>
              <w:bottom w:val="single" w:sz="4" w:space="0" w:color="auto"/>
              <w:right w:val="nil"/>
            </w:tcBorders>
            <w:noWrap/>
            <w:vAlign w:val="center"/>
          </w:tcPr>
          <w:p w14:paraId="76FA7683" w14:textId="77777777" w:rsidR="00436461" w:rsidRPr="007D12A6" w:rsidRDefault="00436461" w:rsidP="00AB0350">
            <w:pPr>
              <w:spacing w:after="0" w:line="240" w:lineRule="auto"/>
              <w:rPr>
                <w:b/>
                <w:bCs/>
                <w:color w:val="000000"/>
                <w:sz w:val="18"/>
                <w:szCs w:val="18"/>
              </w:rPr>
            </w:pPr>
            <w:r w:rsidRPr="007D12A6">
              <w:rPr>
                <w:b/>
                <w:bCs/>
                <w:color w:val="000000"/>
                <w:sz w:val="18"/>
                <w:szCs w:val="18"/>
              </w:rPr>
              <w:t>Stav k 31.12.</w:t>
            </w:r>
          </w:p>
        </w:tc>
        <w:tc>
          <w:tcPr>
            <w:tcW w:w="1276" w:type="dxa"/>
            <w:tcBorders>
              <w:top w:val="single" w:sz="4" w:space="0" w:color="auto"/>
              <w:left w:val="nil"/>
              <w:bottom w:val="single" w:sz="4" w:space="0" w:color="auto"/>
              <w:right w:val="nil"/>
            </w:tcBorders>
            <w:noWrap/>
            <w:vAlign w:val="center"/>
          </w:tcPr>
          <w:p w14:paraId="01A164BF" w14:textId="77777777" w:rsidR="00436461" w:rsidRPr="007D12A6" w:rsidRDefault="00436461" w:rsidP="00AB0350">
            <w:pPr>
              <w:spacing w:after="0" w:line="240" w:lineRule="auto"/>
              <w:jc w:val="right"/>
              <w:rPr>
                <w:b/>
                <w:color w:val="000000"/>
                <w:sz w:val="18"/>
                <w:szCs w:val="18"/>
              </w:rPr>
            </w:pPr>
            <w:r w:rsidRPr="007D12A6">
              <w:rPr>
                <w:b/>
                <w:color w:val="000000"/>
                <w:sz w:val="18"/>
                <w:szCs w:val="18"/>
              </w:rPr>
              <w:t>3 354 465</w:t>
            </w:r>
          </w:p>
        </w:tc>
        <w:tc>
          <w:tcPr>
            <w:tcW w:w="1271" w:type="dxa"/>
            <w:tcBorders>
              <w:top w:val="single" w:sz="4" w:space="0" w:color="auto"/>
              <w:left w:val="nil"/>
              <w:bottom w:val="single" w:sz="4" w:space="0" w:color="auto"/>
              <w:right w:val="nil"/>
            </w:tcBorders>
            <w:noWrap/>
            <w:vAlign w:val="center"/>
          </w:tcPr>
          <w:p w14:paraId="27A2AF42" w14:textId="77777777" w:rsidR="00436461" w:rsidRPr="007D12A6" w:rsidRDefault="00436461" w:rsidP="00AB0350">
            <w:pPr>
              <w:spacing w:after="0" w:line="240" w:lineRule="auto"/>
              <w:jc w:val="right"/>
              <w:rPr>
                <w:b/>
                <w:color w:val="000000"/>
                <w:sz w:val="18"/>
                <w:szCs w:val="18"/>
              </w:rPr>
            </w:pPr>
            <w:r>
              <w:rPr>
                <w:b/>
                <w:color w:val="000000"/>
                <w:sz w:val="18"/>
                <w:szCs w:val="18"/>
              </w:rPr>
              <w:t>3 419 084</w:t>
            </w:r>
          </w:p>
        </w:tc>
        <w:tc>
          <w:tcPr>
            <w:tcW w:w="1273" w:type="dxa"/>
            <w:tcBorders>
              <w:top w:val="single" w:sz="4" w:space="0" w:color="auto"/>
              <w:left w:val="nil"/>
              <w:bottom w:val="single" w:sz="4" w:space="0" w:color="auto"/>
              <w:right w:val="nil"/>
            </w:tcBorders>
            <w:shd w:val="clear" w:color="auto" w:fill="auto"/>
            <w:noWrap/>
            <w:vAlign w:val="center"/>
          </w:tcPr>
          <w:p w14:paraId="272A2F7A" w14:textId="77777777" w:rsidR="00436461" w:rsidRPr="007D12A6" w:rsidRDefault="00436461" w:rsidP="00AB0350">
            <w:pPr>
              <w:spacing w:after="0" w:line="240" w:lineRule="auto"/>
              <w:jc w:val="right"/>
              <w:rPr>
                <w:b/>
                <w:color w:val="000000"/>
                <w:sz w:val="18"/>
                <w:szCs w:val="18"/>
              </w:rPr>
            </w:pPr>
            <w:r>
              <w:rPr>
                <w:b/>
                <w:color w:val="000000"/>
                <w:sz w:val="18"/>
                <w:szCs w:val="18"/>
              </w:rPr>
              <w:t>3 196 933</w:t>
            </w:r>
          </w:p>
        </w:tc>
      </w:tr>
      <w:tr w:rsidR="00436461" w:rsidRPr="007D12A6" w14:paraId="5F744612" w14:textId="77777777" w:rsidTr="00AB0350">
        <w:trPr>
          <w:trHeight w:hRule="exact" w:val="302"/>
        </w:trPr>
        <w:tc>
          <w:tcPr>
            <w:tcW w:w="5032" w:type="dxa"/>
            <w:tcBorders>
              <w:top w:val="single" w:sz="4" w:space="0" w:color="auto"/>
              <w:left w:val="nil"/>
              <w:right w:val="nil"/>
            </w:tcBorders>
            <w:noWrap/>
            <w:vAlign w:val="center"/>
          </w:tcPr>
          <w:p w14:paraId="05FA78C7" w14:textId="77777777" w:rsidR="00436461" w:rsidRPr="007D12A6" w:rsidRDefault="00436461" w:rsidP="00AB0350">
            <w:pPr>
              <w:spacing w:after="0" w:line="240" w:lineRule="auto"/>
              <w:rPr>
                <w:b/>
                <w:bCs/>
                <w:color w:val="000000"/>
                <w:sz w:val="18"/>
                <w:szCs w:val="18"/>
              </w:rPr>
            </w:pPr>
            <w:r w:rsidRPr="007D12A6">
              <w:rPr>
                <w:color w:val="000000"/>
                <w:sz w:val="18"/>
                <w:szCs w:val="18"/>
              </w:rPr>
              <w:t>z toho:</w:t>
            </w:r>
          </w:p>
        </w:tc>
        <w:tc>
          <w:tcPr>
            <w:tcW w:w="1276" w:type="dxa"/>
            <w:tcBorders>
              <w:top w:val="single" w:sz="4" w:space="0" w:color="auto"/>
              <w:left w:val="nil"/>
              <w:right w:val="nil"/>
            </w:tcBorders>
            <w:noWrap/>
            <w:vAlign w:val="center"/>
          </w:tcPr>
          <w:p w14:paraId="74F82BAA" w14:textId="77777777" w:rsidR="00436461" w:rsidRPr="007D12A6" w:rsidRDefault="00436461" w:rsidP="00AB0350">
            <w:pPr>
              <w:spacing w:after="0" w:line="240" w:lineRule="auto"/>
              <w:jc w:val="right"/>
              <w:rPr>
                <w:b/>
                <w:color w:val="000000"/>
                <w:sz w:val="18"/>
                <w:szCs w:val="18"/>
              </w:rPr>
            </w:pPr>
          </w:p>
        </w:tc>
        <w:tc>
          <w:tcPr>
            <w:tcW w:w="1271" w:type="dxa"/>
            <w:tcBorders>
              <w:top w:val="single" w:sz="4" w:space="0" w:color="auto"/>
              <w:left w:val="nil"/>
              <w:right w:val="nil"/>
            </w:tcBorders>
            <w:noWrap/>
            <w:vAlign w:val="center"/>
          </w:tcPr>
          <w:p w14:paraId="6FB0183F" w14:textId="77777777" w:rsidR="00436461" w:rsidRDefault="00436461" w:rsidP="00AB0350">
            <w:pPr>
              <w:spacing w:after="0" w:line="240" w:lineRule="auto"/>
              <w:jc w:val="right"/>
              <w:rPr>
                <w:b/>
                <w:color w:val="000000"/>
                <w:sz w:val="18"/>
                <w:szCs w:val="18"/>
              </w:rPr>
            </w:pPr>
          </w:p>
        </w:tc>
        <w:tc>
          <w:tcPr>
            <w:tcW w:w="1273" w:type="dxa"/>
            <w:tcBorders>
              <w:top w:val="single" w:sz="4" w:space="0" w:color="auto"/>
              <w:left w:val="nil"/>
              <w:right w:val="nil"/>
            </w:tcBorders>
            <w:shd w:val="clear" w:color="auto" w:fill="auto"/>
            <w:noWrap/>
            <w:vAlign w:val="center"/>
          </w:tcPr>
          <w:p w14:paraId="519F184E" w14:textId="77777777" w:rsidR="00436461" w:rsidRDefault="00436461" w:rsidP="00AB0350">
            <w:pPr>
              <w:spacing w:after="0" w:line="240" w:lineRule="auto"/>
              <w:jc w:val="right"/>
              <w:rPr>
                <w:b/>
                <w:color w:val="000000"/>
                <w:sz w:val="18"/>
                <w:szCs w:val="18"/>
              </w:rPr>
            </w:pPr>
          </w:p>
        </w:tc>
      </w:tr>
      <w:tr w:rsidR="00436461" w:rsidRPr="007D12A6" w14:paraId="38F1DBCD" w14:textId="77777777" w:rsidTr="00AB0350">
        <w:trPr>
          <w:trHeight w:hRule="exact" w:val="302"/>
        </w:trPr>
        <w:tc>
          <w:tcPr>
            <w:tcW w:w="5032" w:type="dxa"/>
            <w:tcBorders>
              <w:left w:val="nil"/>
              <w:right w:val="nil"/>
            </w:tcBorders>
            <w:noWrap/>
            <w:vAlign w:val="center"/>
          </w:tcPr>
          <w:p w14:paraId="0AB1034C" w14:textId="77777777" w:rsidR="00436461" w:rsidRPr="000D745C" w:rsidRDefault="00436461" w:rsidP="00AB0350">
            <w:pPr>
              <w:spacing w:after="0" w:line="240" w:lineRule="auto"/>
              <w:ind w:left="212"/>
              <w:rPr>
                <w:bCs/>
                <w:color w:val="000000"/>
                <w:sz w:val="18"/>
                <w:szCs w:val="18"/>
              </w:rPr>
            </w:pPr>
            <w:r w:rsidRPr="000D745C">
              <w:rPr>
                <w:bCs/>
                <w:color w:val="000000"/>
                <w:sz w:val="18"/>
                <w:szCs w:val="18"/>
              </w:rPr>
              <w:t xml:space="preserve">Účet </w:t>
            </w:r>
            <w:r>
              <w:rPr>
                <w:bCs/>
                <w:color w:val="000000"/>
                <w:sz w:val="18"/>
                <w:szCs w:val="18"/>
              </w:rPr>
              <w:t>FN</w:t>
            </w:r>
            <w:r w:rsidRPr="000D745C">
              <w:rPr>
                <w:bCs/>
                <w:color w:val="000000"/>
                <w:sz w:val="18"/>
                <w:szCs w:val="18"/>
              </w:rPr>
              <w:t>M</w:t>
            </w:r>
            <w:r>
              <w:rPr>
                <w:bCs/>
                <w:color w:val="000000"/>
                <w:sz w:val="18"/>
                <w:szCs w:val="18"/>
              </w:rPr>
              <w:t xml:space="preserve">/MH </w:t>
            </w:r>
            <w:proofErr w:type="spellStart"/>
            <w:r>
              <w:rPr>
                <w:bCs/>
                <w:color w:val="000000"/>
                <w:sz w:val="18"/>
                <w:szCs w:val="18"/>
              </w:rPr>
              <w:t>Manažment,a.s</w:t>
            </w:r>
            <w:proofErr w:type="spellEnd"/>
            <w:r>
              <w:rPr>
                <w:bCs/>
                <w:color w:val="000000"/>
                <w:sz w:val="18"/>
                <w:szCs w:val="18"/>
              </w:rPr>
              <w:t>.</w:t>
            </w:r>
          </w:p>
        </w:tc>
        <w:tc>
          <w:tcPr>
            <w:tcW w:w="1276" w:type="dxa"/>
            <w:tcBorders>
              <w:left w:val="nil"/>
              <w:right w:val="nil"/>
            </w:tcBorders>
            <w:noWrap/>
            <w:vAlign w:val="center"/>
          </w:tcPr>
          <w:p w14:paraId="43D83D85" w14:textId="77777777" w:rsidR="00436461" w:rsidRPr="000D745C" w:rsidRDefault="00436461" w:rsidP="00AB0350">
            <w:pPr>
              <w:spacing w:after="0" w:line="240" w:lineRule="auto"/>
              <w:jc w:val="right"/>
              <w:rPr>
                <w:color w:val="000000"/>
                <w:sz w:val="18"/>
                <w:szCs w:val="18"/>
              </w:rPr>
            </w:pPr>
            <w:r>
              <w:rPr>
                <w:color w:val="000000"/>
                <w:sz w:val="18"/>
                <w:szCs w:val="18"/>
              </w:rPr>
              <w:t>1 126 704</w:t>
            </w:r>
          </w:p>
        </w:tc>
        <w:tc>
          <w:tcPr>
            <w:tcW w:w="1271" w:type="dxa"/>
            <w:tcBorders>
              <w:left w:val="nil"/>
              <w:right w:val="nil"/>
            </w:tcBorders>
            <w:noWrap/>
            <w:vAlign w:val="center"/>
          </w:tcPr>
          <w:p w14:paraId="59BCF906" w14:textId="77777777" w:rsidR="00436461" w:rsidRPr="000D745C" w:rsidRDefault="00436461" w:rsidP="00AB0350">
            <w:pPr>
              <w:spacing w:after="0" w:line="240" w:lineRule="auto"/>
              <w:jc w:val="right"/>
              <w:rPr>
                <w:color w:val="000000"/>
                <w:sz w:val="18"/>
                <w:szCs w:val="18"/>
              </w:rPr>
            </w:pPr>
            <w:r>
              <w:rPr>
                <w:color w:val="000000"/>
                <w:sz w:val="18"/>
                <w:szCs w:val="18"/>
              </w:rPr>
              <w:t>1 110 562</w:t>
            </w:r>
          </w:p>
        </w:tc>
        <w:tc>
          <w:tcPr>
            <w:tcW w:w="1273" w:type="dxa"/>
            <w:tcBorders>
              <w:left w:val="nil"/>
              <w:right w:val="nil"/>
            </w:tcBorders>
            <w:shd w:val="clear" w:color="auto" w:fill="auto"/>
            <w:noWrap/>
            <w:vAlign w:val="center"/>
          </w:tcPr>
          <w:p w14:paraId="41AA2FA0" w14:textId="77777777" w:rsidR="00436461" w:rsidRPr="000D745C" w:rsidRDefault="00436461" w:rsidP="00AB0350">
            <w:pPr>
              <w:spacing w:after="0" w:line="240" w:lineRule="auto"/>
              <w:jc w:val="right"/>
              <w:rPr>
                <w:color w:val="000000"/>
                <w:sz w:val="18"/>
                <w:szCs w:val="18"/>
              </w:rPr>
            </w:pPr>
            <w:r>
              <w:rPr>
                <w:color w:val="000000"/>
                <w:sz w:val="18"/>
                <w:szCs w:val="18"/>
              </w:rPr>
              <w:t>1 019 165</w:t>
            </w:r>
          </w:p>
        </w:tc>
      </w:tr>
      <w:tr w:rsidR="00436461" w:rsidRPr="007D12A6" w14:paraId="4A493AC3" w14:textId="77777777" w:rsidTr="00AB0350">
        <w:trPr>
          <w:trHeight w:hRule="exact" w:val="302"/>
        </w:trPr>
        <w:tc>
          <w:tcPr>
            <w:tcW w:w="5032" w:type="dxa"/>
            <w:tcBorders>
              <w:left w:val="nil"/>
              <w:right w:val="nil"/>
            </w:tcBorders>
            <w:noWrap/>
            <w:vAlign w:val="center"/>
          </w:tcPr>
          <w:p w14:paraId="318A16AC" w14:textId="77777777" w:rsidR="00436461" w:rsidRPr="000D745C" w:rsidRDefault="00436461" w:rsidP="00AB0350">
            <w:pPr>
              <w:spacing w:after="0" w:line="240" w:lineRule="auto"/>
              <w:ind w:left="212"/>
              <w:rPr>
                <w:bCs/>
                <w:color w:val="000000"/>
                <w:sz w:val="18"/>
                <w:szCs w:val="18"/>
              </w:rPr>
            </w:pPr>
            <w:r>
              <w:rPr>
                <w:bCs/>
                <w:color w:val="000000"/>
                <w:sz w:val="18"/>
                <w:szCs w:val="18"/>
              </w:rPr>
              <w:t>Účet NFV</w:t>
            </w:r>
          </w:p>
        </w:tc>
        <w:tc>
          <w:tcPr>
            <w:tcW w:w="1276" w:type="dxa"/>
            <w:tcBorders>
              <w:left w:val="nil"/>
              <w:right w:val="nil"/>
            </w:tcBorders>
            <w:noWrap/>
            <w:vAlign w:val="center"/>
          </w:tcPr>
          <w:p w14:paraId="19949E1A" w14:textId="77777777" w:rsidR="00436461" w:rsidRPr="000D745C" w:rsidRDefault="00436461" w:rsidP="00AB0350">
            <w:pPr>
              <w:spacing w:after="0" w:line="240" w:lineRule="auto"/>
              <w:jc w:val="right"/>
              <w:rPr>
                <w:color w:val="000000"/>
                <w:sz w:val="18"/>
                <w:szCs w:val="18"/>
              </w:rPr>
            </w:pPr>
            <w:r>
              <w:rPr>
                <w:color w:val="000000"/>
                <w:sz w:val="18"/>
                <w:szCs w:val="18"/>
              </w:rPr>
              <w:t>183 162</w:t>
            </w:r>
          </w:p>
        </w:tc>
        <w:tc>
          <w:tcPr>
            <w:tcW w:w="1271" w:type="dxa"/>
            <w:tcBorders>
              <w:left w:val="nil"/>
              <w:right w:val="nil"/>
            </w:tcBorders>
            <w:noWrap/>
            <w:vAlign w:val="center"/>
          </w:tcPr>
          <w:p w14:paraId="75820836" w14:textId="77777777" w:rsidR="00436461" w:rsidRPr="000D745C" w:rsidRDefault="00436461" w:rsidP="00AB0350">
            <w:pPr>
              <w:spacing w:after="0" w:line="240" w:lineRule="auto"/>
              <w:jc w:val="right"/>
              <w:rPr>
                <w:color w:val="000000"/>
                <w:sz w:val="18"/>
                <w:szCs w:val="18"/>
              </w:rPr>
            </w:pPr>
            <w:r>
              <w:rPr>
                <w:color w:val="000000"/>
                <w:sz w:val="18"/>
                <w:szCs w:val="18"/>
              </w:rPr>
              <w:t>151 989</w:t>
            </w:r>
          </w:p>
        </w:tc>
        <w:tc>
          <w:tcPr>
            <w:tcW w:w="1273" w:type="dxa"/>
            <w:tcBorders>
              <w:left w:val="nil"/>
              <w:right w:val="nil"/>
            </w:tcBorders>
            <w:shd w:val="clear" w:color="auto" w:fill="auto"/>
            <w:noWrap/>
            <w:vAlign w:val="center"/>
          </w:tcPr>
          <w:p w14:paraId="1881E55F" w14:textId="77777777" w:rsidR="00436461" w:rsidRPr="000D745C" w:rsidRDefault="00436461" w:rsidP="00AB0350">
            <w:pPr>
              <w:spacing w:after="0" w:line="240" w:lineRule="auto"/>
              <w:jc w:val="right"/>
              <w:rPr>
                <w:color w:val="000000"/>
                <w:sz w:val="18"/>
                <w:szCs w:val="18"/>
              </w:rPr>
            </w:pPr>
            <w:r>
              <w:rPr>
                <w:color w:val="000000"/>
                <w:sz w:val="18"/>
                <w:szCs w:val="18"/>
              </w:rPr>
              <w:t>58 315</w:t>
            </w:r>
          </w:p>
        </w:tc>
      </w:tr>
      <w:tr w:rsidR="00436461" w:rsidRPr="007D12A6" w14:paraId="37EF9CEF" w14:textId="77777777" w:rsidTr="00AB0350">
        <w:trPr>
          <w:trHeight w:hRule="exact" w:val="302"/>
        </w:trPr>
        <w:tc>
          <w:tcPr>
            <w:tcW w:w="5032" w:type="dxa"/>
            <w:tcBorders>
              <w:left w:val="nil"/>
              <w:right w:val="nil"/>
            </w:tcBorders>
            <w:noWrap/>
            <w:vAlign w:val="center"/>
          </w:tcPr>
          <w:p w14:paraId="76602F17" w14:textId="77777777" w:rsidR="00436461" w:rsidRPr="000D745C" w:rsidRDefault="00436461" w:rsidP="00AB0350">
            <w:pPr>
              <w:spacing w:after="0" w:line="240" w:lineRule="auto"/>
              <w:ind w:left="212"/>
              <w:rPr>
                <w:bCs/>
                <w:color w:val="000000"/>
                <w:sz w:val="18"/>
                <w:szCs w:val="18"/>
              </w:rPr>
            </w:pPr>
            <w:r>
              <w:rPr>
                <w:bCs/>
                <w:color w:val="000000"/>
                <w:sz w:val="18"/>
                <w:szCs w:val="18"/>
              </w:rPr>
              <w:t>Účet osobitného odvodu finančných inštitúcií</w:t>
            </w:r>
          </w:p>
        </w:tc>
        <w:tc>
          <w:tcPr>
            <w:tcW w:w="1276" w:type="dxa"/>
            <w:tcBorders>
              <w:left w:val="nil"/>
              <w:right w:val="nil"/>
            </w:tcBorders>
            <w:noWrap/>
            <w:vAlign w:val="center"/>
          </w:tcPr>
          <w:p w14:paraId="62FB86E8" w14:textId="77777777" w:rsidR="00436461" w:rsidRPr="000D745C" w:rsidRDefault="00436461" w:rsidP="00AB0350">
            <w:pPr>
              <w:spacing w:after="0" w:line="240" w:lineRule="auto"/>
              <w:jc w:val="right"/>
              <w:rPr>
                <w:color w:val="000000"/>
                <w:sz w:val="18"/>
                <w:szCs w:val="18"/>
              </w:rPr>
            </w:pPr>
            <w:r>
              <w:rPr>
                <w:color w:val="000000"/>
                <w:sz w:val="18"/>
                <w:szCs w:val="18"/>
              </w:rPr>
              <w:t>1 251 519</w:t>
            </w:r>
          </w:p>
        </w:tc>
        <w:tc>
          <w:tcPr>
            <w:tcW w:w="1271" w:type="dxa"/>
            <w:tcBorders>
              <w:left w:val="nil"/>
              <w:right w:val="nil"/>
            </w:tcBorders>
            <w:noWrap/>
            <w:vAlign w:val="center"/>
          </w:tcPr>
          <w:p w14:paraId="66734E5E" w14:textId="77777777" w:rsidR="00436461" w:rsidRPr="000D745C" w:rsidRDefault="00436461" w:rsidP="00AB0350">
            <w:pPr>
              <w:spacing w:after="0" w:line="240" w:lineRule="auto"/>
              <w:jc w:val="right"/>
              <w:rPr>
                <w:color w:val="000000"/>
                <w:sz w:val="18"/>
                <w:szCs w:val="18"/>
              </w:rPr>
            </w:pPr>
            <w:r>
              <w:rPr>
                <w:color w:val="000000"/>
                <w:sz w:val="18"/>
                <w:szCs w:val="18"/>
              </w:rPr>
              <w:t>1 251 518</w:t>
            </w:r>
          </w:p>
        </w:tc>
        <w:tc>
          <w:tcPr>
            <w:tcW w:w="1273" w:type="dxa"/>
            <w:tcBorders>
              <w:left w:val="nil"/>
              <w:right w:val="nil"/>
            </w:tcBorders>
            <w:shd w:val="clear" w:color="auto" w:fill="auto"/>
            <w:noWrap/>
            <w:vAlign w:val="center"/>
          </w:tcPr>
          <w:p w14:paraId="70924F0D" w14:textId="77777777" w:rsidR="00436461" w:rsidRPr="000D745C" w:rsidRDefault="00436461" w:rsidP="00AB0350">
            <w:pPr>
              <w:spacing w:after="0" w:line="240" w:lineRule="auto"/>
              <w:jc w:val="right"/>
              <w:rPr>
                <w:color w:val="000000"/>
                <w:sz w:val="18"/>
                <w:szCs w:val="18"/>
              </w:rPr>
            </w:pPr>
            <w:r>
              <w:rPr>
                <w:color w:val="000000"/>
                <w:sz w:val="18"/>
                <w:szCs w:val="18"/>
              </w:rPr>
              <w:t>1 122 786</w:t>
            </w:r>
          </w:p>
        </w:tc>
      </w:tr>
      <w:tr w:rsidR="00436461" w:rsidRPr="007D12A6" w14:paraId="0B66EBCC" w14:textId="77777777" w:rsidTr="00AB0350">
        <w:trPr>
          <w:trHeight w:hRule="exact" w:val="302"/>
        </w:trPr>
        <w:tc>
          <w:tcPr>
            <w:tcW w:w="5032" w:type="dxa"/>
            <w:tcBorders>
              <w:left w:val="nil"/>
              <w:right w:val="nil"/>
            </w:tcBorders>
            <w:noWrap/>
            <w:vAlign w:val="center"/>
          </w:tcPr>
          <w:p w14:paraId="7E64565C" w14:textId="77777777" w:rsidR="00436461" w:rsidRPr="000D745C" w:rsidRDefault="00436461" w:rsidP="00AB0350">
            <w:pPr>
              <w:spacing w:after="0" w:line="240" w:lineRule="auto"/>
              <w:ind w:left="212"/>
              <w:rPr>
                <w:bCs/>
                <w:color w:val="000000"/>
                <w:sz w:val="18"/>
                <w:szCs w:val="18"/>
              </w:rPr>
            </w:pPr>
            <w:r>
              <w:rPr>
                <w:bCs/>
                <w:color w:val="000000"/>
                <w:sz w:val="18"/>
                <w:szCs w:val="18"/>
              </w:rPr>
              <w:t>Účet osobitného odvodu z podnikania v regulovaných odvetviach</w:t>
            </w:r>
          </w:p>
        </w:tc>
        <w:tc>
          <w:tcPr>
            <w:tcW w:w="1276" w:type="dxa"/>
            <w:tcBorders>
              <w:left w:val="nil"/>
              <w:right w:val="nil"/>
            </w:tcBorders>
            <w:noWrap/>
            <w:vAlign w:val="center"/>
          </w:tcPr>
          <w:p w14:paraId="6A5209F2" w14:textId="77777777" w:rsidR="00436461" w:rsidRPr="000D745C" w:rsidRDefault="00436461" w:rsidP="00AB0350">
            <w:pPr>
              <w:spacing w:after="0" w:line="240" w:lineRule="auto"/>
              <w:jc w:val="right"/>
              <w:rPr>
                <w:color w:val="000000"/>
                <w:sz w:val="18"/>
                <w:szCs w:val="18"/>
              </w:rPr>
            </w:pPr>
            <w:r>
              <w:rPr>
                <w:color w:val="000000"/>
                <w:sz w:val="18"/>
                <w:szCs w:val="18"/>
              </w:rPr>
              <w:t>716 955</w:t>
            </w:r>
          </w:p>
        </w:tc>
        <w:tc>
          <w:tcPr>
            <w:tcW w:w="1271" w:type="dxa"/>
            <w:tcBorders>
              <w:left w:val="nil"/>
              <w:right w:val="nil"/>
            </w:tcBorders>
            <w:noWrap/>
            <w:vAlign w:val="center"/>
          </w:tcPr>
          <w:p w14:paraId="685472EF" w14:textId="77777777" w:rsidR="00436461" w:rsidRPr="000D745C" w:rsidRDefault="00436461" w:rsidP="00AB0350">
            <w:pPr>
              <w:spacing w:after="0" w:line="240" w:lineRule="auto"/>
              <w:jc w:val="right"/>
              <w:rPr>
                <w:color w:val="000000"/>
                <w:sz w:val="18"/>
                <w:szCs w:val="18"/>
              </w:rPr>
            </w:pPr>
            <w:r>
              <w:rPr>
                <w:color w:val="000000"/>
                <w:sz w:val="18"/>
                <w:szCs w:val="18"/>
              </w:rPr>
              <w:t>828 339</w:t>
            </w:r>
          </w:p>
        </w:tc>
        <w:tc>
          <w:tcPr>
            <w:tcW w:w="1273" w:type="dxa"/>
            <w:tcBorders>
              <w:left w:val="nil"/>
              <w:right w:val="nil"/>
            </w:tcBorders>
            <w:shd w:val="clear" w:color="auto" w:fill="auto"/>
            <w:noWrap/>
            <w:vAlign w:val="center"/>
          </w:tcPr>
          <w:p w14:paraId="0ACA3BDB" w14:textId="77777777" w:rsidR="00436461" w:rsidRPr="000D745C" w:rsidRDefault="00436461" w:rsidP="00AB0350">
            <w:pPr>
              <w:spacing w:after="0" w:line="240" w:lineRule="auto"/>
              <w:jc w:val="right"/>
              <w:rPr>
                <w:color w:val="000000"/>
                <w:sz w:val="18"/>
                <w:szCs w:val="18"/>
              </w:rPr>
            </w:pPr>
            <w:r>
              <w:rPr>
                <w:color w:val="000000"/>
                <w:sz w:val="18"/>
                <w:szCs w:val="18"/>
              </w:rPr>
              <w:t>919 804</w:t>
            </w:r>
          </w:p>
        </w:tc>
      </w:tr>
      <w:tr w:rsidR="00436461" w:rsidRPr="007D12A6" w14:paraId="120FBDA2" w14:textId="77777777" w:rsidTr="00AB0350">
        <w:trPr>
          <w:trHeight w:hRule="exact" w:val="302"/>
        </w:trPr>
        <w:tc>
          <w:tcPr>
            <w:tcW w:w="5032" w:type="dxa"/>
            <w:tcBorders>
              <w:left w:val="nil"/>
              <w:right w:val="nil"/>
            </w:tcBorders>
            <w:noWrap/>
            <w:vAlign w:val="center"/>
          </w:tcPr>
          <w:p w14:paraId="06709D2C" w14:textId="77777777" w:rsidR="00436461" w:rsidRDefault="00436461" w:rsidP="00AB0350">
            <w:pPr>
              <w:spacing w:after="0" w:line="240" w:lineRule="auto"/>
              <w:ind w:left="212"/>
              <w:rPr>
                <w:bCs/>
                <w:color w:val="000000"/>
                <w:sz w:val="18"/>
                <w:szCs w:val="18"/>
              </w:rPr>
            </w:pPr>
            <w:r>
              <w:rPr>
                <w:bCs/>
                <w:color w:val="000000"/>
                <w:sz w:val="18"/>
                <w:szCs w:val="18"/>
              </w:rPr>
              <w:t>Účet anonymných vkladov</w:t>
            </w:r>
          </w:p>
        </w:tc>
        <w:tc>
          <w:tcPr>
            <w:tcW w:w="1276" w:type="dxa"/>
            <w:tcBorders>
              <w:left w:val="nil"/>
              <w:right w:val="nil"/>
            </w:tcBorders>
            <w:noWrap/>
            <w:vAlign w:val="center"/>
          </w:tcPr>
          <w:p w14:paraId="294A4CF8" w14:textId="77777777" w:rsidR="00436461" w:rsidRPr="000D745C" w:rsidRDefault="00436461" w:rsidP="00AB0350">
            <w:pPr>
              <w:spacing w:after="0" w:line="240" w:lineRule="auto"/>
              <w:jc w:val="right"/>
              <w:rPr>
                <w:color w:val="000000"/>
                <w:sz w:val="18"/>
                <w:szCs w:val="18"/>
              </w:rPr>
            </w:pPr>
            <w:r>
              <w:rPr>
                <w:color w:val="000000"/>
                <w:sz w:val="18"/>
                <w:szCs w:val="18"/>
              </w:rPr>
              <w:t>25 902</w:t>
            </w:r>
          </w:p>
        </w:tc>
        <w:tc>
          <w:tcPr>
            <w:tcW w:w="1271" w:type="dxa"/>
            <w:tcBorders>
              <w:left w:val="nil"/>
              <w:right w:val="nil"/>
            </w:tcBorders>
            <w:noWrap/>
            <w:vAlign w:val="center"/>
          </w:tcPr>
          <w:p w14:paraId="22779179" w14:textId="77777777" w:rsidR="00436461" w:rsidRPr="000D745C" w:rsidRDefault="00436461" w:rsidP="00AB0350">
            <w:pPr>
              <w:spacing w:after="0" w:line="240" w:lineRule="auto"/>
              <w:jc w:val="right"/>
              <w:rPr>
                <w:color w:val="000000"/>
                <w:sz w:val="18"/>
                <w:szCs w:val="18"/>
              </w:rPr>
            </w:pPr>
            <w:r>
              <w:rPr>
                <w:color w:val="000000"/>
                <w:sz w:val="18"/>
                <w:szCs w:val="18"/>
              </w:rPr>
              <w:t>25 980</w:t>
            </w:r>
          </w:p>
        </w:tc>
        <w:tc>
          <w:tcPr>
            <w:tcW w:w="1273" w:type="dxa"/>
            <w:tcBorders>
              <w:left w:val="nil"/>
              <w:right w:val="nil"/>
            </w:tcBorders>
            <w:shd w:val="clear" w:color="auto" w:fill="auto"/>
            <w:noWrap/>
            <w:vAlign w:val="center"/>
          </w:tcPr>
          <w:p w14:paraId="60149E74" w14:textId="77777777" w:rsidR="00436461" w:rsidRPr="000D745C" w:rsidRDefault="00436461" w:rsidP="00AB0350">
            <w:pPr>
              <w:spacing w:after="0" w:line="240" w:lineRule="auto"/>
              <w:jc w:val="right"/>
              <w:rPr>
                <w:color w:val="000000"/>
                <w:sz w:val="18"/>
                <w:szCs w:val="18"/>
              </w:rPr>
            </w:pPr>
            <w:r>
              <w:rPr>
                <w:color w:val="000000"/>
                <w:sz w:val="18"/>
                <w:szCs w:val="18"/>
              </w:rPr>
              <w:t>26 041</w:t>
            </w:r>
          </w:p>
        </w:tc>
      </w:tr>
      <w:tr w:rsidR="00436461" w:rsidRPr="007D12A6" w14:paraId="41817B24" w14:textId="77777777" w:rsidTr="00AB0350">
        <w:trPr>
          <w:trHeight w:hRule="exact" w:val="302"/>
        </w:trPr>
        <w:tc>
          <w:tcPr>
            <w:tcW w:w="5032" w:type="dxa"/>
            <w:tcBorders>
              <w:left w:val="nil"/>
              <w:bottom w:val="single" w:sz="4" w:space="0" w:color="auto"/>
              <w:right w:val="nil"/>
            </w:tcBorders>
            <w:noWrap/>
            <w:vAlign w:val="center"/>
          </w:tcPr>
          <w:p w14:paraId="00EA9C23" w14:textId="77777777" w:rsidR="00436461" w:rsidRDefault="00436461" w:rsidP="00AB0350">
            <w:pPr>
              <w:spacing w:after="0" w:line="240" w:lineRule="auto"/>
              <w:ind w:left="212"/>
              <w:rPr>
                <w:bCs/>
                <w:color w:val="000000"/>
                <w:sz w:val="18"/>
                <w:szCs w:val="18"/>
              </w:rPr>
            </w:pPr>
            <w:r>
              <w:rPr>
                <w:bCs/>
                <w:color w:val="000000"/>
                <w:sz w:val="18"/>
                <w:szCs w:val="18"/>
              </w:rPr>
              <w:t>Ostatné</w:t>
            </w:r>
          </w:p>
        </w:tc>
        <w:tc>
          <w:tcPr>
            <w:tcW w:w="1276" w:type="dxa"/>
            <w:tcBorders>
              <w:left w:val="nil"/>
              <w:bottom w:val="single" w:sz="4" w:space="0" w:color="auto"/>
              <w:right w:val="nil"/>
            </w:tcBorders>
            <w:noWrap/>
            <w:vAlign w:val="center"/>
          </w:tcPr>
          <w:p w14:paraId="4374AB9A" w14:textId="77777777" w:rsidR="00436461" w:rsidRPr="000D745C" w:rsidRDefault="00436461" w:rsidP="00AB0350">
            <w:pPr>
              <w:spacing w:after="0" w:line="240" w:lineRule="auto"/>
              <w:jc w:val="right"/>
              <w:rPr>
                <w:color w:val="000000"/>
                <w:sz w:val="18"/>
                <w:szCs w:val="18"/>
              </w:rPr>
            </w:pPr>
            <w:r>
              <w:rPr>
                <w:color w:val="000000"/>
                <w:sz w:val="18"/>
                <w:szCs w:val="18"/>
              </w:rPr>
              <w:t>50 223</w:t>
            </w:r>
          </w:p>
        </w:tc>
        <w:tc>
          <w:tcPr>
            <w:tcW w:w="1271" w:type="dxa"/>
            <w:tcBorders>
              <w:left w:val="nil"/>
              <w:bottom w:val="single" w:sz="4" w:space="0" w:color="auto"/>
              <w:right w:val="nil"/>
            </w:tcBorders>
            <w:noWrap/>
            <w:vAlign w:val="center"/>
          </w:tcPr>
          <w:p w14:paraId="6DE81852" w14:textId="77777777" w:rsidR="00436461" w:rsidRPr="000D745C" w:rsidRDefault="00436461" w:rsidP="00AB0350">
            <w:pPr>
              <w:spacing w:after="0" w:line="240" w:lineRule="auto"/>
              <w:jc w:val="right"/>
              <w:rPr>
                <w:color w:val="000000"/>
                <w:sz w:val="18"/>
                <w:szCs w:val="18"/>
              </w:rPr>
            </w:pPr>
            <w:r>
              <w:rPr>
                <w:color w:val="000000"/>
                <w:sz w:val="18"/>
                <w:szCs w:val="18"/>
              </w:rPr>
              <w:t>50 696</w:t>
            </w:r>
          </w:p>
        </w:tc>
        <w:tc>
          <w:tcPr>
            <w:tcW w:w="1273" w:type="dxa"/>
            <w:tcBorders>
              <w:left w:val="nil"/>
              <w:bottom w:val="single" w:sz="4" w:space="0" w:color="auto"/>
              <w:right w:val="nil"/>
            </w:tcBorders>
            <w:shd w:val="clear" w:color="auto" w:fill="auto"/>
            <w:noWrap/>
            <w:vAlign w:val="center"/>
          </w:tcPr>
          <w:p w14:paraId="7BFA043C" w14:textId="77777777" w:rsidR="00436461" w:rsidRPr="000D745C" w:rsidRDefault="00436461" w:rsidP="00AB0350">
            <w:pPr>
              <w:spacing w:after="0" w:line="240" w:lineRule="auto"/>
              <w:jc w:val="right"/>
              <w:rPr>
                <w:color w:val="000000"/>
                <w:sz w:val="18"/>
                <w:szCs w:val="18"/>
              </w:rPr>
            </w:pPr>
            <w:r>
              <w:rPr>
                <w:color w:val="000000"/>
                <w:sz w:val="18"/>
                <w:szCs w:val="18"/>
              </w:rPr>
              <w:t>50 822</w:t>
            </w:r>
          </w:p>
        </w:tc>
      </w:tr>
    </w:tbl>
    <w:p w14:paraId="1F5DEBF9" w14:textId="303298D4" w:rsidR="00436461" w:rsidRDefault="00D63B64" w:rsidP="00D63B6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00436461">
        <w:rPr>
          <w:color w:val="000000"/>
          <w:sz w:val="18"/>
          <w:szCs w:val="18"/>
        </w:rPr>
        <w:t>Zdroj: MF SR</w:t>
      </w:r>
    </w:p>
    <w:p w14:paraId="7A9D64D8" w14:textId="77777777" w:rsidR="00043553" w:rsidRDefault="00436461" w:rsidP="001527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240" w:lineRule="auto"/>
        <w:rPr>
          <w:sz w:val="24"/>
          <w:szCs w:val="24"/>
        </w:rPr>
      </w:pPr>
      <w:r w:rsidRPr="00BB092C">
        <w:rPr>
          <w:sz w:val="24"/>
          <w:szCs w:val="24"/>
          <w:u w:val="single"/>
        </w:rPr>
        <w:t>Rozpočtované príjmy štátnych finančných aktív</w:t>
      </w:r>
      <w:r w:rsidRPr="00BB092C">
        <w:rPr>
          <w:sz w:val="24"/>
          <w:szCs w:val="24"/>
        </w:rPr>
        <w:t xml:space="preserve"> pre rok 2022 boli v sume 399 193 tis. eur, z čoho príjmové finančné operácie tvorili 50 889 tis. eur (ako splátky NFV). Oproti roku 2021 sa príjmy spolu s príjmovými finančnými operáciami rozpočtovali vyššie úhrnom o 261 242 tis. eur. Nárast bol spôsobený očakávaným posilnením ŠFA z výdavkov štátneho rozpočtu vo výške 250 000 tis. eur na finančné nástroje súvisiace s opatreniami na podporu ekonomiky.</w:t>
      </w:r>
    </w:p>
    <w:p w14:paraId="71326567" w14:textId="42B6D1DA" w:rsidR="00436461" w:rsidRPr="00BB092C" w:rsidRDefault="00436461" w:rsidP="001527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240" w:lineRule="auto"/>
        <w:rPr>
          <w:sz w:val="24"/>
          <w:szCs w:val="24"/>
        </w:rPr>
      </w:pPr>
      <w:r>
        <w:rPr>
          <w:sz w:val="24"/>
          <w:szCs w:val="24"/>
        </w:rPr>
        <w:t>Osobitný odvod z podnikanie v regulovaných odvetviach bol rozpočtovaný vo výške 98 294 tis. eur, medziročne viac o 18 105 tis. eur.</w:t>
      </w:r>
    </w:p>
    <w:p w14:paraId="3569183B" w14:textId="77777777" w:rsidR="00436461" w:rsidRDefault="00436461" w:rsidP="0043646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BB092C">
        <w:rPr>
          <w:sz w:val="24"/>
          <w:szCs w:val="24"/>
          <w:u w:val="single"/>
        </w:rPr>
        <w:t>Rozpočtované výdavky štátnych finančných aktív</w:t>
      </w:r>
      <w:r w:rsidRPr="00BB092C">
        <w:rPr>
          <w:sz w:val="24"/>
          <w:szCs w:val="24"/>
        </w:rPr>
        <w:t xml:space="preserve"> pre rok 2022 boli v sume 39 952 tis. eur, z čoho výdavkové finančné operácie tvorili 11 083 tis. eur. Oproti roku 2021 sa výdavky spolu s výdavkovými finančnými operáciami rozpočtovali nižšie o 54 631 tis. eur. Celkovým úhrnom nižšie boli rozpočtované príspevky a vklady do imania medzinárodných finančných inštitúcií</w:t>
      </w:r>
      <w:r>
        <w:rPr>
          <w:sz w:val="24"/>
          <w:szCs w:val="24"/>
        </w:rPr>
        <w:t xml:space="preserve"> a investičných fondov Slovak </w:t>
      </w:r>
      <w:proofErr w:type="spellStart"/>
      <w:r>
        <w:rPr>
          <w:sz w:val="24"/>
          <w:szCs w:val="24"/>
        </w:rPr>
        <w:t>Asset</w:t>
      </w:r>
      <w:proofErr w:type="spellEnd"/>
      <w:r>
        <w:rPr>
          <w:sz w:val="24"/>
          <w:szCs w:val="24"/>
        </w:rPr>
        <w:t xml:space="preserve"> Management, o 83 350 tis. eur.</w:t>
      </w:r>
      <w:r w:rsidRPr="00BB092C">
        <w:rPr>
          <w:sz w:val="24"/>
          <w:szCs w:val="24"/>
        </w:rPr>
        <w:t xml:space="preserve"> </w:t>
      </w:r>
      <w:r>
        <w:rPr>
          <w:sz w:val="24"/>
          <w:szCs w:val="24"/>
        </w:rPr>
        <w:t>Tieto transakcie sa</w:t>
      </w:r>
      <w:r w:rsidRPr="00BB092C">
        <w:rPr>
          <w:sz w:val="24"/>
          <w:szCs w:val="24"/>
        </w:rPr>
        <w:t xml:space="preserve"> považujú za výdavkové finančné operácie. Ich rozpočtovanie závisí aj od rozhodnutia akcionárov efektívne splácať podiely z už upísaných podielov (</w:t>
      </w:r>
      <w:proofErr w:type="spellStart"/>
      <w:r w:rsidRPr="00BB092C">
        <w:rPr>
          <w:sz w:val="24"/>
          <w:szCs w:val="24"/>
        </w:rPr>
        <w:t>call</w:t>
      </w:r>
      <w:proofErr w:type="spellEnd"/>
      <w:r w:rsidRPr="00BB092C">
        <w:rPr>
          <w:sz w:val="24"/>
          <w:szCs w:val="24"/>
        </w:rPr>
        <w:t xml:space="preserve"> </w:t>
      </w:r>
      <w:proofErr w:type="spellStart"/>
      <w:r w:rsidRPr="00BB092C">
        <w:rPr>
          <w:sz w:val="24"/>
          <w:szCs w:val="24"/>
        </w:rPr>
        <w:t>capital</w:t>
      </w:r>
      <w:proofErr w:type="spellEnd"/>
      <w:r w:rsidRPr="00BB092C">
        <w:rPr>
          <w:sz w:val="24"/>
          <w:szCs w:val="24"/>
        </w:rPr>
        <w:t>), alebo ktoré sa môžu riadiť aj stanoveným harmonogramom upisovania nových podielov. Naopak, na rozdiel od roku 2021 sa pre rok 2022 rozpočtovali výdavky na realizovanie záruk v hodnote 28 719 tis. eur.</w:t>
      </w:r>
      <w:r>
        <w:rPr>
          <w:sz w:val="24"/>
          <w:szCs w:val="24"/>
        </w:rPr>
        <w:t xml:space="preserve"> Poskytovane nových NFV nebolo pre rok 2022 rozpočtované.</w:t>
      </w:r>
    </w:p>
    <w:p w14:paraId="1BD353FF" w14:textId="77777777" w:rsidR="00436461" w:rsidRPr="00BB092C" w:rsidRDefault="00436461" w:rsidP="0043646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b/>
          <w:sz w:val="24"/>
          <w:szCs w:val="24"/>
        </w:rPr>
        <w:lastRenderedPageBreak/>
        <w:t xml:space="preserve">Celkové </w:t>
      </w:r>
      <w:r w:rsidRPr="00CC1476">
        <w:rPr>
          <w:b/>
          <w:sz w:val="24"/>
          <w:szCs w:val="24"/>
        </w:rPr>
        <w:t>saldo príjmov a výdavkov ŠFA v roku 202</w:t>
      </w:r>
      <w:r>
        <w:rPr>
          <w:b/>
          <w:sz w:val="24"/>
          <w:szCs w:val="24"/>
        </w:rPr>
        <w:t>2</w:t>
      </w:r>
      <w:r w:rsidRPr="00CC1476">
        <w:rPr>
          <w:b/>
          <w:sz w:val="24"/>
          <w:szCs w:val="24"/>
        </w:rPr>
        <w:t xml:space="preserve"> sa </w:t>
      </w:r>
      <w:r>
        <w:rPr>
          <w:b/>
          <w:sz w:val="24"/>
          <w:szCs w:val="24"/>
        </w:rPr>
        <w:t xml:space="preserve">rozpočtovalo vo výške 359 241 tis. eur </w:t>
      </w:r>
      <w:r w:rsidRPr="00CC1476">
        <w:rPr>
          <w:b/>
          <w:sz w:val="24"/>
          <w:szCs w:val="24"/>
        </w:rPr>
        <w:t xml:space="preserve">a po vylúčení finančných operácií </w:t>
      </w:r>
      <w:r>
        <w:rPr>
          <w:b/>
          <w:sz w:val="24"/>
          <w:szCs w:val="24"/>
        </w:rPr>
        <w:t>319 435 tis. eur</w:t>
      </w:r>
      <w:r>
        <w:rPr>
          <w:sz w:val="24"/>
          <w:szCs w:val="24"/>
        </w:rPr>
        <w:t>, čo je medziročne viac o 315 873 tis. eur resp. viac o 249 234 tis. eur</w:t>
      </w:r>
      <w:r w:rsidRPr="00D715AF">
        <w:rPr>
          <w:sz w:val="24"/>
          <w:szCs w:val="24"/>
        </w:rPr>
        <w:t xml:space="preserve">. </w:t>
      </w:r>
      <w:r w:rsidRPr="00BB092C">
        <w:rPr>
          <w:sz w:val="24"/>
          <w:szCs w:val="24"/>
        </w:rPr>
        <w:t xml:space="preserve">Skutočné plnenie vybraných účtov ŠFA predstavovalo </w:t>
      </w:r>
      <w:r>
        <w:rPr>
          <w:sz w:val="24"/>
          <w:szCs w:val="24"/>
        </w:rPr>
        <w:t>ich medziročné zníženie o 222 151 tis. eur</w:t>
      </w:r>
      <w:r w:rsidRPr="00BB092C">
        <w:rPr>
          <w:sz w:val="24"/>
          <w:szCs w:val="24"/>
        </w:rPr>
        <w:t>.</w:t>
      </w:r>
    </w:p>
    <w:p w14:paraId="154A18D5" w14:textId="77777777" w:rsidR="00436461" w:rsidRPr="00D715AF" w:rsidRDefault="00436461" w:rsidP="00436461">
      <w:pPr>
        <w:spacing w:before="120" w:line="240" w:lineRule="auto"/>
        <w:rPr>
          <w:i/>
          <w:sz w:val="24"/>
          <w:szCs w:val="24"/>
        </w:rPr>
      </w:pPr>
      <w:r w:rsidRPr="00D715AF">
        <w:rPr>
          <w:i/>
          <w:sz w:val="24"/>
          <w:szCs w:val="24"/>
          <w:u w:val="single"/>
        </w:rPr>
        <w:t xml:space="preserve">Účelové prostriedky FNM/MH Manažment, </w:t>
      </w:r>
      <w:proofErr w:type="spellStart"/>
      <w:r w:rsidRPr="00D715AF">
        <w:rPr>
          <w:i/>
          <w:sz w:val="24"/>
          <w:szCs w:val="24"/>
          <w:u w:val="single"/>
        </w:rPr>
        <w:t>a.s</w:t>
      </w:r>
      <w:proofErr w:type="spellEnd"/>
      <w:r w:rsidRPr="00D715AF">
        <w:rPr>
          <w:i/>
          <w:sz w:val="24"/>
          <w:szCs w:val="24"/>
          <w:u w:val="single"/>
        </w:rPr>
        <w:t>.</w:t>
      </w:r>
      <w:r w:rsidRPr="00D715AF">
        <w:rPr>
          <w:i/>
          <w:sz w:val="24"/>
          <w:szCs w:val="24"/>
        </w:rPr>
        <w:t xml:space="preserve"> </w:t>
      </w:r>
      <w:r w:rsidRPr="00D715AF">
        <w:rPr>
          <w:sz w:val="24"/>
          <w:szCs w:val="24"/>
        </w:rPr>
        <w:t>boli v minulosti tvorené najmä prevodom dividend obchodných spoločností štátu, v ktorých podiely do roku 2016 spravoval Fond národného majetku.</w:t>
      </w:r>
      <w:r w:rsidRPr="00D715AF">
        <w:rPr>
          <w:i/>
          <w:sz w:val="24"/>
          <w:szCs w:val="24"/>
        </w:rPr>
        <w:t xml:space="preserve"> </w:t>
      </w:r>
    </w:p>
    <w:p w14:paraId="56A769E3" w14:textId="77777777" w:rsidR="00436461" w:rsidRDefault="00436461" w:rsidP="00436461">
      <w:pPr>
        <w:spacing w:before="120" w:line="240" w:lineRule="auto"/>
        <w:rPr>
          <w:sz w:val="24"/>
          <w:szCs w:val="24"/>
        </w:rPr>
      </w:pPr>
      <w:r>
        <w:rPr>
          <w:sz w:val="24"/>
          <w:szCs w:val="24"/>
        </w:rPr>
        <w:t xml:space="preserve">Medziročné zníženie stavu tohto účtu o 91 396 tis. eur spôsobili na jednej strane príjmy vo výške 414 925 tis. eur a na druhej strane použitie ŠFA vo výške 506 322 tis. eur. Príjmy tvorili rozpočtované splátky NFV vo výške 5 420 tis. eur (nižšie plnenie zaznamenal MH </w:t>
      </w:r>
      <w:proofErr w:type="spellStart"/>
      <w:r>
        <w:rPr>
          <w:sz w:val="24"/>
          <w:szCs w:val="24"/>
        </w:rPr>
        <w:t>Invest</w:t>
      </w:r>
      <w:proofErr w:type="spellEnd"/>
      <w:r>
        <w:rPr>
          <w:sz w:val="24"/>
          <w:szCs w:val="24"/>
        </w:rPr>
        <w:t xml:space="preserve"> II, </w:t>
      </w:r>
      <w:proofErr w:type="spellStart"/>
      <w:r>
        <w:rPr>
          <w:sz w:val="24"/>
          <w:szCs w:val="24"/>
        </w:rPr>
        <w:t>s.r.o</w:t>
      </w:r>
      <w:proofErr w:type="spellEnd"/>
      <w:r>
        <w:rPr>
          <w:sz w:val="24"/>
          <w:szCs w:val="24"/>
        </w:rPr>
        <w:t xml:space="preserve">. o 600 tis. eur), posilnenie účtu ŠFA o rozpočtovaných 250 000 tis. eur podľa uznesenia vlády SR č. 649/2021, na účely krytia záruk v prípade zlyhania splácania poskytnutých investičných úverov MPRV SR. Tieto prostriedky neboli v roku 2022 použití, úvery rezort MPRV SR do konca roka 2022 nezačal poskytovať. Ďalej sa tento účet ŠFA posilnil o 160 000 tis. </w:t>
      </w:r>
      <w:r w:rsidRPr="00A41BB9">
        <w:rPr>
          <w:sz w:val="24"/>
          <w:szCs w:val="24"/>
        </w:rPr>
        <w:t xml:space="preserve">eur podľa uznesenia vlády SR č. 242/2022 za účelom zvýšenia základného imania Všeobecnej zdravotnej poisťovne, </w:t>
      </w:r>
      <w:proofErr w:type="spellStart"/>
      <w:r w:rsidRPr="00A41BB9">
        <w:rPr>
          <w:sz w:val="24"/>
          <w:szCs w:val="24"/>
        </w:rPr>
        <w:t>a.s</w:t>
      </w:r>
      <w:proofErr w:type="spellEnd"/>
      <w:r w:rsidRPr="00A41BB9">
        <w:rPr>
          <w:sz w:val="24"/>
          <w:szCs w:val="24"/>
        </w:rPr>
        <w:t>.</w:t>
      </w:r>
      <w:r>
        <w:rPr>
          <w:sz w:val="24"/>
          <w:szCs w:val="24"/>
        </w:rPr>
        <w:t xml:space="preserve"> Hodnota 160 000 tis. eur nebola súčasťou rozpočtu roka 2022.</w:t>
      </w:r>
    </w:p>
    <w:p w14:paraId="6F960061" w14:textId="4682CC3A" w:rsidR="00436461" w:rsidRDefault="00436461" w:rsidP="00436461">
      <w:pPr>
        <w:spacing w:before="120" w:line="240" w:lineRule="auto"/>
        <w:rPr>
          <w:sz w:val="24"/>
          <w:szCs w:val="24"/>
        </w:rPr>
      </w:pPr>
      <w:r>
        <w:rPr>
          <w:sz w:val="24"/>
          <w:szCs w:val="24"/>
        </w:rPr>
        <w:t xml:space="preserve">Na strane výdavkov sa realizovali najmä transfer Ministerstvu zdravotníctva SR za účelom oddlženia zdravotníckych zariadení vo výške 316 834 tis. eur, z toho pre oddlženie pohľadávok Sociálnej poisťovne 198 636 tis. eur, transfer Ministerstvu zdravotníctva SR na zvýšenie základného imania Všeobecnej zdravotnej poisťovne 160 000 tis. eur, na realizáciu záruk poskytovaných Eximbankou 12 040 tis. eur, transfer Ministerstvu investícií, regionálneho rozvoja a informatizácie na zvýšenie základného imania spoločnosti Slovensko IT, </w:t>
      </w:r>
      <w:proofErr w:type="spellStart"/>
      <w:r>
        <w:rPr>
          <w:sz w:val="24"/>
          <w:szCs w:val="24"/>
        </w:rPr>
        <w:t>a.s</w:t>
      </w:r>
      <w:proofErr w:type="spellEnd"/>
      <w:r>
        <w:rPr>
          <w:sz w:val="24"/>
          <w:szCs w:val="24"/>
        </w:rPr>
        <w:t xml:space="preserve">. 3 000 tis. eur, Ministerstvu dopravy a výstavby SR na zvýšenie kmeňového imania štátneho podniku Letové prevádzkové služby, </w:t>
      </w:r>
      <w:proofErr w:type="spellStart"/>
      <w:r>
        <w:rPr>
          <w:sz w:val="24"/>
          <w:szCs w:val="24"/>
        </w:rPr>
        <w:t>š.p</w:t>
      </w:r>
      <w:proofErr w:type="spellEnd"/>
      <w:r>
        <w:rPr>
          <w:sz w:val="24"/>
          <w:szCs w:val="24"/>
        </w:rPr>
        <w:t>. 4 446 tis. eur. Vklady do medzinárodných finančných inštitúcií tvorili 5 331 tis. eur, z toho do IBRD 2 095 tis</w:t>
      </w:r>
      <w:r w:rsidR="00A640D5">
        <w:rPr>
          <w:sz w:val="24"/>
          <w:szCs w:val="24"/>
        </w:rPr>
        <w:t>.</w:t>
      </w:r>
      <w:r>
        <w:rPr>
          <w:sz w:val="24"/>
          <w:szCs w:val="24"/>
        </w:rPr>
        <w:t xml:space="preserve"> eur a do IFC 3 096 tis. eur. </w:t>
      </w:r>
    </w:p>
    <w:p w14:paraId="68997E0D" w14:textId="77777777" w:rsidR="00436461" w:rsidRDefault="00436461" w:rsidP="00436461">
      <w:pPr>
        <w:spacing w:before="120" w:line="240" w:lineRule="auto"/>
        <w:rPr>
          <w:sz w:val="24"/>
          <w:szCs w:val="24"/>
        </w:rPr>
      </w:pPr>
      <w:r w:rsidRPr="00D715AF">
        <w:rPr>
          <w:i/>
          <w:sz w:val="24"/>
          <w:szCs w:val="24"/>
          <w:u w:val="single"/>
        </w:rPr>
        <w:t>Bežný účet návratných finančných výpomocí (NFV)</w:t>
      </w:r>
      <w:r w:rsidRPr="00D715AF">
        <w:rPr>
          <w:i/>
          <w:sz w:val="24"/>
          <w:szCs w:val="24"/>
        </w:rPr>
        <w:t xml:space="preserve"> </w:t>
      </w:r>
      <w:r w:rsidRPr="00D715AF">
        <w:rPr>
          <w:sz w:val="24"/>
          <w:szCs w:val="24"/>
        </w:rPr>
        <w:t>zaznamenal v roku 202</w:t>
      </w:r>
      <w:r>
        <w:rPr>
          <w:sz w:val="24"/>
          <w:szCs w:val="24"/>
        </w:rPr>
        <w:t>2</w:t>
      </w:r>
      <w:r w:rsidRPr="00D715AF">
        <w:rPr>
          <w:sz w:val="24"/>
          <w:szCs w:val="24"/>
        </w:rPr>
        <w:t xml:space="preserve"> príjm</w:t>
      </w:r>
      <w:r>
        <w:rPr>
          <w:sz w:val="24"/>
          <w:szCs w:val="24"/>
        </w:rPr>
        <w:t>y</w:t>
      </w:r>
      <w:r w:rsidRPr="00D715AF">
        <w:rPr>
          <w:sz w:val="24"/>
          <w:szCs w:val="24"/>
        </w:rPr>
        <w:t xml:space="preserve"> vo výške </w:t>
      </w:r>
      <w:r>
        <w:rPr>
          <w:sz w:val="24"/>
          <w:szCs w:val="24"/>
        </w:rPr>
        <w:t xml:space="preserve">550 112 tis. eur a výdavky vo výške 643 786 tis. eur. </w:t>
      </w:r>
    </w:p>
    <w:p w14:paraId="63859974" w14:textId="5DCB310C" w:rsidR="00436461" w:rsidRDefault="00436461" w:rsidP="00436461">
      <w:pPr>
        <w:spacing w:before="120" w:line="240" w:lineRule="auto"/>
        <w:rPr>
          <w:sz w:val="24"/>
          <w:szCs w:val="24"/>
        </w:rPr>
      </w:pPr>
      <w:r>
        <w:rPr>
          <w:sz w:val="24"/>
          <w:szCs w:val="24"/>
        </w:rPr>
        <w:t xml:space="preserve">Najvyššiu sumu v rámci pohybov tvorí 500 000 tis. eur, ktoré boli doplnené z výdavkov štátneho rozpočtu podľa uznesenia vlády SR č. 709/2022 za účelom vkladu do kapitálových fondov </w:t>
      </w:r>
      <w:r w:rsidRPr="00524BAC">
        <w:rPr>
          <w:sz w:val="24"/>
          <w:szCs w:val="24"/>
        </w:rPr>
        <w:t xml:space="preserve">spoločnosti Slovenský plynárenský priemysel, </w:t>
      </w:r>
      <w:proofErr w:type="spellStart"/>
      <w:r w:rsidRPr="00524BAC">
        <w:rPr>
          <w:sz w:val="24"/>
          <w:szCs w:val="24"/>
        </w:rPr>
        <w:t>a.s</w:t>
      </w:r>
      <w:proofErr w:type="spellEnd"/>
      <w:r w:rsidRPr="00524BAC">
        <w:rPr>
          <w:sz w:val="24"/>
          <w:szCs w:val="24"/>
        </w:rPr>
        <w:t xml:space="preserve">. Toto poskytnutie prostriedkov má dočasný charakter a celková suma navýšená o prípadný úrok dohodnutý medzi Ministerstvom hospodárstva SR a spoločnosťou Slovenský plynárenský priemysel, </w:t>
      </w:r>
      <w:proofErr w:type="spellStart"/>
      <w:r w:rsidRPr="00524BAC">
        <w:rPr>
          <w:sz w:val="24"/>
          <w:szCs w:val="24"/>
        </w:rPr>
        <w:t>a.s</w:t>
      </w:r>
      <w:proofErr w:type="spellEnd"/>
      <w:r w:rsidRPr="00524BAC">
        <w:rPr>
          <w:sz w:val="24"/>
          <w:szCs w:val="24"/>
        </w:rPr>
        <w:t>. bude vrátená jedinému akcionárovi spoločnosti Sloven</w:t>
      </w:r>
      <w:r>
        <w:rPr>
          <w:sz w:val="24"/>
          <w:szCs w:val="24"/>
        </w:rPr>
        <w:t xml:space="preserve">ský plynárenský priemysel, </w:t>
      </w:r>
      <w:proofErr w:type="spellStart"/>
      <w:r>
        <w:rPr>
          <w:sz w:val="24"/>
          <w:szCs w:val="24"/>
        </w:rPr>
        <w:t>a.s</w:t>
      </w:r>
      <w:proofErr w:type="spellEnd"/>
      <w:r>
        <w:rPr>
          <w:sz w:val="24"/>
          <w:szCs w:val="24"/>
        </w:rPr>
        <w:t>. MH SR sa zároveň zaviazali rozpočtové prostriedky v rovnakej sume.</w:t>
      </w:r>
    </w:p>
    <w:p w14:paraId="175CE417" w14:textId="77777777" w:rsidR="00436461" w:rsidRDefault="00436461" w:rsidP="00436461">
      <w:pPr>
        <w:spacing w:before="120" w:line="240" w:lineRule="auto"/>
        <w:rPr>
          <w:sz w:val="24"/>
          <w:szCs w:val="24"/>
        </w:rPr>
      </w:pPr>
      <w:r>
        <w:rPr>
          <w:sz w:val="24"/>
          <w:szCs w:val="24"/>
        </w:rPr>
        <w:t xml:space="preserve">Sumu 40 000 tis. eur tvorila splátka NFV od Agentúry pre núdzové zásoby ropy a ropných produktov. Trnavský samosprávny kraj vrátil z poskytnutej NFV 1 500 tis. eur, Banskobystrický samosprávny kraj vrátil 2 500 tis. eur, Mesto Martin vrátilo 250 tis. eur, Mesto Kežmarok 150 tis. eur, MH SR 369 tis. eur a výťažok z konkurzu podniku </w:t>
      </w:r>
      <w:proofErr w:type="spellStart"/>
      <w:r>
        <w:rPr>
          <w:sz w:val="24"/>
          <w:szCs w:val="24"/>
        </w:rPr>
        <w:t>Chirana</w:t>
      </w:r>
      <w:proofErr w:type="spellEnd"/>
      <w:r>
        <w:rPr>
          <w:sz w:val="24"/>
          <w:szCs w:val="24"/>
        </w:rPr>
        <w:t xml:space="preserve"> </w:t>
      </w:r>
      <w:proofErr w:type="spellStart"/>
      <w:r>
        <w:rPr>
          <w:sz w:val="24"/>
          <w:szCs w:val="24"/>
        </w:rPr>
        <w:t>Prema</w:t>
      </w:r>
      <w:proofErr w:type="spellEnd"/>
      <w:r>
        <w:rPr>
          <w:sz w:val="24"/>
          <w:szCs w:val="24"/>
        </w:rPr>
        <w:t xml:space="preserve"> predstavoval 223 tis. eur.</w:t>
      </w:r>
    </w:p>
    <w:p w14:paraId="61A6FDE0" w14:textId="77777777" w:rsidR="00436461" w:rsidRDefault="00436461" w:rsidP="00436461">
      <w:pPr>
        <w:spacing w:before="120" w:line="240" w:lineRule="auto"/>
        <w:rPr>
          <w:sz w:val="24"/>
          <w:szCs w:val="24"/>
        </w:rPr>
      </w:pPr>
      <w:r>
        <w:rPr>
          <w:sz w:val="24"/>
          <w:szCs w:val="24"/>
        </w:rPr>
        <w:t xml:space="preserve">Výdavky (okrem spomenutých 500 000 tis. eur pre SPP, </w:t>
      </w:r>
      <w:proofErr w:type="spellStart"/>
      <w:r>
        <w:rPr>
          <w:sz w:val="24"/>
          <w:szCs w:val="24"/>
        </w:rPr>
        <w:t>a.s</w:t>
      </w:r>
      <w:proofErr w:type="spellEnd"/>
      <w:r>
        <w:rPr>
          <w:sz w:val="24"/>
          <w:szCs w:val="24"/>
        </w:rPr>
        <w:t>.) tvorili poskytnuté NFV, Trenčianskemu samosprávnemu kraji 1 108 tis. eur, Bratislavskému samosprávnemu kraju 9 500 tis. eur, Žilinskému samosprávnemu kraju 3 700 tis. eur a Nitrianskemu samosprávnemu kraju 14 920 tis. eur.</w:t>
      </w:r>
    </w:p>
    <w:p w14:paraId="5E666B11" w14:textId="77777777" w:rsidR="00436461" w:rsidRDefault="00436461" w:rsidP="00436461">
      <w:pPr>
        <w:spacing w:before="120" w:line="240" w:lineRule="auto"/>
        <w:rPr>
          <w:sz w:val="24"/>
          <w:szCs w:val="24"/>
        </w:rPr>
      </w:pPr>
      <w:r>
        <w:rPr>
          <w:sz w:val="24"/>
          <w:szCs w:val="24"/>
        </w:rPr>
        <w:t xml:space="preserve">Ďalej boli ŠFA použité pre MH SR, na investičný projekt ,,Strategické územie Valaliky“ 87 558 tis. eur a 1 998 tis. eur na investičný projekt ,,Šurany Industrial Park“. MO SR použilo prostriedky zo ŠFA vo výške 20 000 tis. eur na zvýšenie základného imania spoločností DMD Group, </w:t>
      </w:r>
      <w:proofErr w:type="spellStart"/>
      <w:r>
        <w:rPr>
          <w:sz w:val="24"/>
          <w:szCs w:val="24"/>
        </w:rPr>
        <w:t>a.s</w:t>
      </w:r>
      <w:proofErr w:type="spellEnd"/>
      <w:r>
        <w:rPr>
          <w:sz w:val="24"/>
          <w:szCs w:val="24"/>
        </w:rPr>
        <w:t xml:space="preserve">. 7 000 tis. eur, HOREZZA, </w:t>
      </w:r>
      <w:proofErr w:type="spellStart"/>
      <w:r>
        <w:rPr>
          <w:sz w:val="24"/>
          <w:szCs w:val="24"/>
        </w:rPr>
        <w:t>a.s</w:t>
      </w:r>
      <w:proofErr w:type="spellEnd"/>
      <w:r>
        <w:rPr>
          <w:sz w:val="24"/>
          <w:szCs w:val="24"/>
        </w:rPr>
        <w:t xml:space="preserve">. 5 000 tis. eur, Letecké opravovne Trenčín, </w:t>
      </w:r>
      <w:proofErr w:type="spellStart"/>
      <w:r>
        <w:rPr>
          <w:sz w:val="24"/>
          <w:szCs w:val="24"/>
        </w:rPr>
        <w:t>a.s</w:t>
      </w:r>
      <w:proofErr w:type="spellEnd"/>
      <w:r>
        <w:rPr>
          <w:sz w:val="24"/>
          <w:szCs w:val="24"/>
        </w:rPr>
        <w:t xml:space="preserve">. 3 000 </w:t>
      </w:r>
      <w:r>
        <w:rPr>
          <w:sz w:val="24"/>
          <w:szCs w:val="24"/>
        </w:rPr>
        <w:lastRenderedPageBreak/>
        <w:t xml:space="preserve">tis. eur a na zvýšenie kmeňového imania štátneho podniku Vojenské lesy a majetky SR, </w:t>
      </w:r>
      <w:proofErr w:type="spellStart"/>
      <w:r>
        <w:rPr>
          <w:sz w:val="24"/>
          <w:szCs w:val="24"/>
        </w:rPr>
        <w:t>š.p</w:t>
      </w:r>
      <w:proofErr w:type="spellEnd"/>
      <w:r>
        <w:rPr>
          <w:sz w:val="24"/>
          <w:szCs w:val="24"/>
        </w:rPr>
        <w:t>. 5 000 tis. eur. MV SR zvýšilo základné imanie Univerzitnej nemocnice – Nemocnica sv. Michala o 5 000 tis. eur. Uvedené výdavky neboli plánované v návrhu rozpočtu verejnej správy SR na roky 2022-2024.</w:t>
      </w:r>
    </w:p>
    <w:p w14:paraId="1A264C36" w14:textId="77777777" w:rsidR="00436461" w:rsidRDefault="00436461" w:rsidP="00436461">
      <w:pPr>
        <w:spacing w:before="120" w:line="240" w:lineRule="auto"/>
        <w:rPr>
          <w:sz w:val="24"/>
          <w:szCs w:val="24"/>
        </w:rPr>
      </w:pPr>
      <w:r w:rsidRPr="00D715AF">
        <w:rPr>
          <w:i/>
          <w:sz w:val="24"/>
          <w:szCs w:val="24"/>
          <w:u w:val="single"/>
        </w:rPr>
        <w:t>Osobitný odvod finančných inštitúcií</w:t>
      </w:r>
      <w:r w:rsidRPr="00D715AF">
        <w:rPr>
          <w:sz w:val="24"/>
          <w:szCs w:val="24"/>
        </w:rPr>
        <w:t xml:space="preserve"> </w:t>
      </w:r>
      <w:r>
        <w:rPr>
          <w:sz w:val="24"/>
          <w:szCs w:val="24"/>
        </w:rPr>
        <w:t>sa účinnosťou novely č. 353/2020 Z. z. zákona</w:t>
      </w:r>
      <w:r>
        <w:rPr>
          <w:sz w:val="24"/>
          <w:szCs w:val="24"/>
        </w:rPr>
        <w:br/>
        <w:t xml:space="preserve">č. 384/2011 Z. z. o osobitnom odvode vybraných finančných inštitúcií a o doplnení niektorých zákonov zrušil od 1.1.2021. Použitie prostriedkov v roku 2022 vo výške 128 732 tis. eur bolo určené pre MH SR na investičný projekt ,,Strategické územie Valaliky“.   </w:t>
      </w:r>
    </w:p>
    <w:p w14:paraId="4A466FB6" w14:textId="77777777" w:rsidR="00436461" w:rsidRDefault="00436461" w:rsidP="00436461">
      <w:pPr>
        <w:spacing w:before="120" w:line="240" w:lineRule="auto"/>
        <w:rPr>
          <w:sz w:val="24"/>
          <w:szCs w:val="24"/>
        </w:rPr>
      </w:pPr>
      <w:r w:rsidRPr="00D715AF">
        <w:rPr>
          <w:i/>
          <w:sz w:val="24"/>
          <w:szCs w:val="24"/>
          <w:u w:val="single"/>
        </w:rPr>
        <w:t>Prostriedky osobitného odvodu z podnikania v regulovaných odvetviach</w:t>
      </w:r>
      <w:r w:rsidRPr="00D715AF">
        <w:rPr>
          <w:i/>
          <w:sz w:val="24"/>
          <w:szCs w:val="24"/>
        </w:rPr>
        <w:t>,</w:t>
      </w:r>
      <w:r w:rsidRPr="00D715AF">
        <w:rPr>
          <w:sz w:val="24"/>
          <w:szCs w:val="24"/>
        </w:rPr>
        <w:t xml:space="preserve"> v zmysle zákona č. 235/2012 Z. z., slúžia na perspektívne vytvorenie účelovo určenej osobitnej časti ŠFA, z ktorých sa budú financovať prioritné proj</w:t>
      </w:r>
      <w:r>
        <w:rPr>
          <w:sz w:val="24"/>
          <w:szCs w:val="24"/>
        </w:rPr>
        <w:t>ekty vlády. Rozpočet na rok 2022</w:t>
      </w:r>
      <w:r w:rsidRPr="00D715AF">
        <w:rPr>
          <w:sz w:val="24"/>
          <w:szCs w:val="24"/>
        </w:rPr>
        <w:t xml:space="preserve"> predpokladal príjem vo výške</w:t>
      </w:r>
      <w:r>
        <w:rPr>
          <w:sz w:val="24"/>
          <w:szCs w:val="24"/>
        </w:rPr>
        <w:t xml:space="preserve"> 98 294 tis. eur</w:t>
      </w:r>
      <w:r w:rsidRPr="00D715AF">
        <w:rPr>
          <w:sz w:val="24"/>
          <w:szCs w:val="24"/>
        </w:rPr>
        <w:t xml:space="preserve">, čo je </w:t>
      </w:r>
      <w:r>
        <w:rPr>
          <w:sz w:val="24"/>
          <w:szCs w:val="24"/>
        </w:rPr>
        <w:t>viac o 18 105 tis. eur ako v roku 2021</w:t>
      </w:r>
      <w:r w:rsidRPr="00D715AF">
        <w:rPr>
          <w:sz w:val="24"/>
          <w:szCs w:val="24"/>
        </w:rPr>
        <w:t xml:space="preserve">. </w:t>
      </w:r>
      <w:r>
        <w:rPr>
          <w:sz w:val="24"/>
          <w:szCs w:val="24"/>
        </w:rPr>
        <w:t>Rozpočet zohľadňoval vývoj bázy, z ktorej sa odvod počíta (výsledok hospodárenia spoločností v regulovanom období v nadväznosti na makroekonomický vývoj hospodárstva).</w:t>
      </w:r>
      <w:r w:rsidRPr="00D715AF">
        <w:rPr>
          <w:sz w:val="24"/>
          <w:szCs w:val="24"/>
        </w:rPr>
        <w:t xml:space="preserve"> </w:t>
      </w:r>
      <w:r>
        <w:rPr>
          <w:sz w:val="24"/>
          <w:szCs w:val="24"/>
        </w:rPr>
        <w:t>Skutočný príjem z odvodu predstavoval 91 465 tis. eur, čo je medziročne menej o 19 919 tis. eur.</w:t>
      </w:r>
    </w:p>
    <w:p w14:paraId="0B386686" w14:textId="339D2103" w:rsidR="00436461" w:rsidRDefault="00436461" w:rsidP="00436461">
      <w:pPr>
        <w:spacing w:line="240" w:lineRule="auto"/>
        <w:rPr>
          <w:sz w:val="24"/>
          <w:szCs w:val="24"/>
        </w:rPr>
      </w:pPr>
      <w:r w:rsidRPr="00D715AF">
        <w:rPr>
          <w:i/>
          <w:sz w:val="24"/>
          <w:szCs w:val="24"/>
          <w:u w:val="single"/>
        </w:rPr>
        <w:t>Zmena stavu prostriedkov anonymných vkladov</w:t>
      </w:r>
      <w:r w:rsidRPr="00D715AF">
        <w:rPr>
          <w:sz w:val="24"/>
          <w:szCs w:val="24"/>
        </w:rPr>
        <w:t xml:space="preserve"> o </w:t>
      </w:r>
      <w:r>
        <w:rPr>
          <w:sz w:val="24"/>
          <w:szCs w:val="24"/>
        </w:rPr>
        <w:t>60</w:t>
      </w:r>
      <w:r w:rsidRPr="00D715AF">
        <w:rPr>
          <w:sz w:val="24"/>
          <w:szCs w:val="24"/>
        </w:rPr>
        <w:t xml:space="preserve"> tis. eur predstavovalo precenenie prostriedkov </w:t>
      </w:r>
      <w:r>
        <w:rPr>
          <w:sz w:val="24"/>
          <w:szCs w:val="24"/>
        </w:rPr>
        <w:t>v cudzej mene ku koncu roka 2022</w:t>
      </w:r>
      <w:r w:rsidRPr="00D715AF">
        <w:rPr>
          <w:sz w:val="24"/>
          <w:szCs w:val="24"/>
        </w:rPr>
        <w:t>.</w:t>
      </w:r>
    </w:p>
    <w:p w14:paraId="2E084609" w14:textId="77777777" w:rsidR="00D63B64" w:rsidRPr="00D715AF" w:rsidRDefault="00D63B64" w:rsidP="00436461">
      <w:pPr>
        <w:spacing w:line="240" w:lineRule="auto"/>
        <w:rPr>
          <w:sz w:val="24"/>
          <w:szCs w:val="24"/>
        </w:rPr>
      </w:pPr>
    </w:p>
    <w:p w14:paraId="29857D26" w14:textId="77777777" w:rsidR="00164F67" w:rsidRDefault="00164F67">
      <w:pPr>
        <w:spacing w:after="160" w:line="259" w:lineRule="auto"/>
        <w:jc w:val="left"/>
        <w:rPr>
          <w:rFonts w:eastAsiaTheme="majorEastAsia" w:cstheme="majorBidi"/>
          <w:b/>
          <w:sz w:val="24"/>
          <w:szCs w:val="26"/>
        </w:rPr>
      </w:pPr>
      <w:bookmarkStart w:id="57" w:name="_Toc6415652"/>
      <w:bookmarkStart w:id="58" w:name="_Toc132929098"/>
      <w:r>
        <w:br w:type="page"/>
      </w:r>
    </w:p>
    <w:p w14:paraId="39D5632D" w14:textId="4F59224B" w:rsidR="008254BE" w:rsidRDefault="008254BE" w:rsidP="008A6314">
      <w:pPr>
        <w:pStyle w:val="Nadpis2"/>
      </w:pPr>
      <w:r>
        <w:lastRenderedPageBreak/>
        <w:t>Vzťahy štátneho rozpočtu k Európskej únii</w:t>
      </w:r>
      <w:bookmarkEnd w:id="57"/>
      <w:bookmarkEnd w:id="58"/>
    </w:p>
    <w:p w14:paraId="7E0A97DE" w14:textId="77777777" w:rsidR="001006BF" w:rsidRPr="004C765D" w:rsidRDefault="001006BF" w:rsidP="001006BF">
      <w:pPr>
        <w:spacing w:line="240" w:lineRule="auto"/>
        <w:rPr>
          <w:sz w:val="24"/>
          <w:szCs w:val="24"/>
        </w:rPr>
      </w:pPr>
      <w:bookmarkStart w:id="59" w:name="_Toc6415653"/>
      <w:r w:rsidRPr="004C765D">
        <w:rPr>
          <w:b/>
          <w:sz w:val="24"/>
          <w:szCs w:val="24"/>
        </w:rPr>
        <w:t>Príjmy Slovenskej republiky z rozpočtu EÚ</w:t>
      </w:r>
      <w:r w:rsidRPr="004C765D">
        <w:rPr>
          <w:sz w:val="24"/>
          <w:szCs w:val="24"/>
        </w:rPr>
        <w:t xml:space="preserve"> tvoria zahraničné transfery (prostriedky EÚ a prostriedky z Plánu obnovy a odolnosti SR) a zahraničné granty poskytnuté z rozpočtu EÚ. Príjmy zo zahraničných transferov boli rozpočtované v ŠR na rok 2022 vo výške 4 449 973 tis. eur, z toho príjmy za prostriedky EÚ boli rozpočtované vo výške 3 148 001 tis. eur a príjmy za Plán obnovy a odolnosti SR vo výške 1 301 972 tis. eur. Rozpočet príjmov z rozpočtu EÚ bol upravený na úroveň 2 187 702 tis. eur. Skutočné plnenie príjmov SR zo zahraničných transferov je vo výške 2 187 702 tis. eur, z toho príjmy za prostriedky EÚ sú vo výške 2 146 641 tis. eur a príjmy za Plán obnovy a odolnosti SR vo výške 41 061 tis. eur. Príjmy za zahraničné granty poskytnuté z rozpočtu EÚ sú vo výške 0 tis. eur.</w:t>
      </w:r>
    </w:p>
    <w:p w14:paraId="77712D56" w14:textId="77777777" w:rsidR="001006BF" w:rsidRDefault="001006BF" w:rsidP="001006BF">
      <w:pPr>
        <w:spacing w:line="240" w:lineRule="auto"/>
        <w:rPr>
          <w:sz w:val="24"/>
          <w:szCs w:val="24"/>
        </w:rPr>
      </w:pPr>
      <w:r w:rsidRPr="004C765D">
        <w:rPr>
          <w:b/>
          <w:sz w:val="24"/>
          <w:szCs w:val="24"/>
        </w:rPr>
        <w:t>Odvody a príspevky SR</w:t>
      </w:r>
      <w:r w:rsidRPr="004C765D">
        <w:rPr>
          <w:sz w:val="24"/>
          <w:szCs w:val="24"/>
        </w:rPr>
        <w:t xml:space="preserve"> </w:t>
      </w:r>
      <w:r w:rsidRPr="004C765D">
        <w:rPr>
          <w:b/>
          <w:sz w:val="24"/>
          <w:szCs w:val="24"/>
        </w:rPr>
        <w:t>do všeobecného rozpočtu EÚ</w:t>
      </w:r>
      <w:r w:rsidRPr="004C765D">
        <w:rPr>
          <w:sz w:val="24"/>
          <w:szCs w:val="24"/>
        </w:rPr>
        <w:t xml:space="preserve"> tvoria odvody do rozpočtu EÚ a príspevky do Európskeho rozvojového fondu. Odvody a príspevky SR do všeobecného rozpočtu EÚ boli rozpočtované na rok 2022 v sume 1 117 918 tis. eur.</w:t>
      </w:r>
    </w:p>
    <w:p w14:paraId="4BE528AA" w14:textId="77777777" w:rsidR="001006BF" w:rsidRPr="004C765D" w:rsidRDefault="001006BF" w:rsidP="001006BF">
      <w:pPr>
        <w:spacing w:line="240" w:lineRule="auto"/>
        <w:rPr>
          <w:sz w:val="24"/>
          <w:szCs w:val="24"/>
        </w:rPr>
      </w:pPr>
      <w:r w:rsidRPr="004C765D">
        <w:rPr>
          <w:sz w:val="24"/>
          <w:szCs w:val="24"/>
        </w:rPr>
        <w:t>Prehľad o odvodoch a príspevkoch SR do všeobecného rozpočtu EÚ za rok 2022:</w:t>
      </w:r>
    </w:p>
    <w:tbl>
      <w:tblPr>
        <w:tblW w:w="4923" w:type="pct"/>
        <w:tblLayout w:type="fixed"/>
        <w:tblCellMar>
          <w:left w:w="70" w:type="dxa"/>
          <w:right w:w="70" w:type="dxa"/>
        </w:tblCellMar>
        <w:tblLook w:val="04A0" w:firstRow="1" w:lastRow="0" w:firstColumn="1" w:lastColumn="0" w:noHBand="0" w:noVBand="1"/>
      </w:tblPr>
      <w:tblGrid>
        <w:gridCol w:w="2989"/>
        <w:gridCol w:w="995"/>
        <w:gridCol w:w="992"/>
        <w:gridCol w:w="1134"/>
        <w:gridCol w:w="992"/>
        <w:gridCol w:w="989"/>
        <w:gridCol w:w="145"/>
        <w:gridCol w:w="836"/>
      </w:tblGrid>
      <w:tr w:rsidR="001006BF" w:rsidRPr="000461C0" w14:paraId="44E4D91E" w14:textId="77777777" w:rsidTr="001006BF">
        <w:trPr>
          <w:trHeight w:val="330"/>
        </w:trPr>
        <w:tc>
          <w:tcPr>
            <w:tcW w:w="5000" w:type="pct"/>
            <w:gridSpan w:val="8"/>
            <w:tcBorders>
              <w:top w:val="nil"/>
              <w:left w:val="nil"/>
              <w:bottom w:val="single" w:sz="4" w:space="0" w:color="auto"/>
              <w:right w:val="nil"/>
            </w:tcBorders>
            <w:shd w:val="clear" w:color="000000" w:fill="auto"/>
            <w:noWrap/>
            <w:vAlign w:val="bottom"/>
            <w:hideMark/>
          </w:tcPr>
          <w:p w14:paraId="3155D54E" w14:textId="1D776C6F" w:rsidR="001006BF" w:rsidRPr="00745CCE" w:rsidRDefault="001006BF" w:rsidP="00077E09">
            <w:pPr>
              <w:spacing w:after="0" w:line="240" w:lineRule="auto"/>
              <w:jc w:val="left"/>
              <w:rPr>
                <w:rFonts w:eastAsia="Times New Roman" w:cs="Times New Roman"/>
                <w:b/>
                <w:bCs/>
                <w:color w:val="5B9BD5" w:themeColor="accent1"/>
                <w:sz w:val="20"/>
                <w:szCs w:val="20"/>
                <w:lang w:eastAsia="sk-SK"/>
              </w:rPr>
            </w:pPr>
            <w:r w:rsidRPr="00745CCE">
              <w:rPr>
                <w:rFonts w:eastAsia="Times New Roman" w:cs="Times New Roman"/>
                <w:b/>
                <w:bCs/>
                <w:color w:val="5B9BD5" w:themeColor="accent1"/>
                <w:sz w:val="20"/>
                <w:szCs w:val="20"/>
                <w:lang w:eastAsia="sk-SK"/>
              </w:rPr>
              <w:t xml:space="preserve">Tabuľka </w:t>
            </w:r>
            <w:r w:rsidR="00077E09">
              <w:rPr>
                <w:rFonts w:eastAsia="Times New Roman" w:cs="Times New Roman"/>
                <w:b/>
                <w:bCs/>
                <w:color w:val="5B9BD5" w:themeColor="accent1"/>
                <w:sz w:val="20"/>
                <w:szCs w:val="20"/>
                <w:lang w:eastAsia="sk-SK"/>
              </w:rPr>
              <w:t>61</w:t>
            </w:r>
            <w:r w:rsidRPr="00745CCE">
              <w:rPr>
                <w:rFonts w:eastAsia="Times New Roman" w:cs="Times New Roman"/>
                <w:b/>
                <w:bCs/>
                <w:color w:val="5B9BD5" w:themeColor="accent1"/>
                <w:sz w:val="20"/>
                <w:szCs w:val="20"/>
                <w:lang w:eastAsia="sk-SK"/>
              </w:rPr>
              <w:t xml:space="preserve"> - Príjmy z rozpočtu EÚ a odvody a príspevky do všeobecného rozpočtu EÚ</w:t>
            </w:r>
            <w:r w:rsidRPr="00745CCE">
              <w:rPr>
                <w:rFonts w:ascii="Arial Narrow" w:eastAsia="Times New Roman" w:hAnsi="Arial Narrow" w:cs="Times New Roman"/>
                <w:color w:val="5B9BD5" w:themeColor="accent1"/>
                <w:sz w:val="20"/>
                <w:szCs w:val="20"/>
                <w:lang w:eastAsia="sk-SK"/>
              </w:rPr>
              <w:t> </w:t>
            </w:r>
          </w:p>
        </w:tc>
      </w:tr>
      <w:tr w:rsidR="001006BF" w:rsidRPr="006D0C70" w14:paraId="11CEF9C0" w14:textId="77777777" w:rsidTr="001006BF">
        <w:trPr>
          <w:trHeight w:val="330"/>
        </w:trPr>
        <w:tc>
          <w:tcPr>
            <w:tcW w:w="1647" w:type="pct"/>
            <w:vMerge w:val="restart"/>
            <w:tcBorders>
              <w:top w:val="nil"/>
              <w:left w:val="nil"/>
              <w:right w:val="nil"/>
            </w:tcBorders>
            <w:shd w:val="clear" w:color="000000" w:fill="auto"/>
            <w:vAlign w:val="center"/>
            <w:hideMark/>
          </w:tcPr>
          <w:p w14:paraId="1A6A2E31" w14:textId="77777777" w:rsidR="001006BF" w:rsidRPr="006D0C70" w:rsidRDefault="001006BF" w:rsidP="001006BF">
            <w:pPr>
              <w:spacing w:after="0" w:line="240" w:lineRule="auto"/>
              <w:jc w:val="left"/>
              <w:rPr>
                <w:rFonts w:eastAsia="Times New Roman" w:cs="Times New Roman"/>
                <w:b/>
                <w:bCs/>
                <w:sz w:val="20"/>
                <w:szCs w:val="20"/>
                <w:lang w:eastAsia="sk-SK"/>
              </w:rPr>
            </w:pPr>
            <w:r w:rsidRPr="000461C0">
              <w:rPr>
                <w:rFonts w:eastAsia="Times New Roman" w:cs="Times New Roman"/>
                <w:b/>
                <w:bCs/>
                <w:sz w:val="20"/>
                <w:szCs w:val="20"/>
                <w:lang w:eastAsia="sk-SK"/>
              </w:rPr>
              <w:t>v tis. eur</w:t>
            </w:r>
          </w:p>
        </w:tc>
        <w:tc>
          <w:tcPr>
            <w:tcW w:w="548" w:type="pct"/>
            <w:tcBorders>
              <w:top w:val="nil"/>
              <w:left w:val="nil"/>
              <w:bottom w:val="nil"/>
              <w:right w:val="nil"/>
            </w:tcBorders>
            <w:shd w:val="clear" w:color="000000" w:fill="auto"/>
            <w:vAlign w:val="center"/>
            <w:hideMark/>
          </w:tcPr>
          <w:p w14:paraId="767ABC8E" w14:textId="77777777" w:rsidR="001006BF" w:rsidRPr="006D0C70" w:rsidRDefault="001006BF" w:rsidP="001006BF">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2020 S</w:t>
            </w:r>
          </w:p>
        </w:tc>
        <w:tc>
          <w:tcPr>
            <w:tcW w:w="547" w:type="pct"/>
            <w:tcBorders>
              <w:top w:val="nil"/>
              <w:left w:val="nil"/>
              <w:bottom w:val="nil"/>
              <w:right w:val="nil"/>
            </w:tcBorders>
            <w:shd w:val="clear" w:color="000000" w:fill="auto"/>
            <w:vAlign w:val="center"/>
            <w:hideMark/>
          </w:tcPr>
          <w:p w14:paraId="5DA07A9C" w14:textId="77777777" w:rsidR="001006BF" w:rsidRPr="006D0C70" w:rsidRDefault="001006BF" w:rsidP="001006BF">
            <w:pPr>
              <w:spacing w:after="0" w:line="240" w:lineRule="auto"/>
              <w:jc w:val="center"/>
              <w:rPr>
                <w:rFonts w:eastAsia="Times New Roman" w:cs="Times New Roman"/>
                <w:b/>
                <w:bCs/>
                <w:color w:val="000000"/>
                <w:sz w:val="20"/>
                <w:szCs w:val="20"/>
                <w:lang w:eastAsia="sk-SK"/>
              </w:rPr>
            </w:pPr>
            <w:r w:rsidRPr="006D0C70">
              <w:rPr>
                <w:rFonts w:eastAsia="Times New Roman" w:cs="Times New Roman"/>
                <w:b/>
                <w:bCs/>
                <w:color w:val="000000"/>
                <w:sz w:val="20"/>
                <w:szCs w:val="20"/>
                <w:lang w:eastAsia="sk-SK"/>
              </w:rPr>
              <w:t>202</w:t>
            </w:r>
            <w:r>
              <w:rPr>
                <w:rFonts w:eastAsia="Times New Roman" w:cs="Times New Roman"/>
                <w:b/>
                <w:bCs/>
                <w:color w:val="000000"/>
                <w:sz w:val="20"/>
                <w:szCs w:val="20"/>
                <w:lang w:eastAsia="sk-SK"/>
              </w:rPr>
              <w:t>1 S</w:t>
            </w:r>
          </w:p>
        </w:tc>
        <w:tc>
          <w:tcPr>
            <w:tcW w:w="625" w:type="pct"/>
            <w:tcBorders>
              <w:top w:val="nil"/>
              <w:left w:val="nil"/>
              <w:bottom w:val="nil"/>
              <w:right w:val="nil"/>
            </w:tcBorders>
            <w:shd w:val="clear" w:color="000000" w:fill="auto"/>
            <w:vAlign w:val="center"/>
            <w:hideMark/>
          </w:tcPr>
          <w:p w14:paraId="708CA995" w14:textId="77777777" w:rsidR="001006BF" w:rsidRPr="006D0C70" w:rsidRDefault="001006BF" w:rsidP="001006BF">
            <w:pPr>
              <w:spacing w:after="0" w:line="240" w:lineRule="auto"/>
              <w:jc w:val="center"/>
              <w:rPr>
                <w:rFonts w:eastAsia="Times New Roman" w:cs="Times New Roman"/>
                <w:b/>
                <w:bCs/>
                <w:color w:val="000000"/>
                <w:sz w:val="20"/>
                <w:szCs w:val="20"/>
                <w:lang w:eastAsia="sk-SK"/>
              </w:rPr>
            </w:pPr>
            <w:r w:rsidRPr="006D0C70">
              <w:rPr>
                <w:rFonts w:eastAsia="Times New Roman" w:cs="Times New Roman"/>
                <w:b/>
                <w:bCs/>
                <w:color w:val="000000"/>
                <w:sz w:val="20"/>
                <w:szCs w:val="20"/>
                <w:lang w:eastAsia="sk-SK"/>
              </w:rPr>
              <w:t>2</w:t>
            </w:r>
            <w:r>
              <w:rPr>
                <w:rFonts w:eastAsia="Times New Roman" w:cs="Times New Roman"/>
                <w:b/>
                <w:bCs/>
                <w:color w:val="000000"/>
                <w:sz w:val="20"/>
                <w:szCs w:val="20"/>
                <w:lang w:eastAsia="sk-SK"/>
              </w:rPr>
              <w:t>022 R</w:t>
            </w:r>
          </w:p>
        </w:tc>
        <w:tc>
          <w:tcPr>
            <w:tcW w:w="547" w:type="pct"/>
            <w:tcBorders>
              <w:top w:val="nil"/>
              <w:left w:val="nil"/>
              <w:bottom w:val="nil"/>
              <w:right w:val="nil"/>
            </w:tcBorders>
            <w:shd w:val="clear" w:color="000000" w:fill="auto"/>
            <w:vAlign w:val="center"/>
            <w:hideMark/>
          </w:tcPr>
          <w:p w14:paraId="5F529D15" w14:textId="77777777" w:rsidR="001006BF" w:rsidRPr="006D0C70" w:rsidRDefault="001006BF" w:rsidP="001006BF">
            <w:pPr>
              <w:spacing w:after="0" w:line="240" w:lineRule="auto"/>
              <w:jc w:val="center"/>
              <w:rPr>
                <w:rFonts w:eastAsia="Times New Roman" w:cs="Times New Roman"/>
                <w:b/>
                <w:bCs/>
                <w:color w:val="000000"/>
                <w:sz w:val="20"/>
                <w:szCs w:val="20"/>
                <w:lang w:eastAsia="sk-SK"/>
              </w:rPr>
            </w:pPr>
            <w:r w:rsidRPr="006D0C70">
              <w:rPr>
                <w:rFonts w:eastAsia="Times New Roman" w:cs="Times New Roman"/>
                <w:b/>
                <w:bCs/>
                <w:color w:val="000000"/>
                <w:sz w:val="20"/>
                <w:szCs w:val="20"/>
                <w:lang w:eastAsia="sk-SK"/>
              </w:rPr>
              <w:t>202</w:t>
            </w:r>
            <w:r>
              <w:rPr>
                <w:rFonts w:eastAsia="Times New Roman" w:cs="Times New Roman"/>
                <w:b/>
                <w:bCs/>
                <w:color w:val="000000"/>
                <w:sz w:val="20"/>
                <w:szCs w:val="20"/>
                <w:lang w:eastAsia="sk-SK"/>
              </w:rPr>
              <w:t>2 S</w:t>
            </w:r>
          </w:p>
        </w:tc>
        <w:tc>
          <w:tcPr>
            <w:tcW w:w="545" w:type="pct"/>
            <w:tcBorders>
              <w:top w:val="nil"/>
              <w:left w:val="nil"/>
              <w:bottom w:val="nil"/>
              <w:right w:val="nil"/>
            </w:tcBorders>
            <w:shd w:val="clear" w:color="000000" w:fill="auto"/>
            <w:vAlign w:val="center"/>
            <w:hideMark/>
          </w:tcPr>
          <w:p w14:paraId="7F611474" w14:textId="77777777" w:rsidR="001006BF" w:rsidRPr="006D0C70" w:rsidRDefault="001006BF" w:rsidP="001006BF">
            <w:pPr>
              <w:spacing w:after="0" w:line="240" w:lineRule="auto"/>
              <w:jc w:val="center"/>
              <w:rPr>
                <w:rFonts w:eastAsia="Times New Roman" w:cs="Times New Roman"/>
                <w:b/>
                <w:bCs/>
                <w:color w:val="000000"/>
                <w:sz w:val="20"/>
                <w:szCs w:val="20"/>
                <w:lang w:eastAsia="sk-SK"/>
              </w:rPr>
            </w:pPr>
            <w:r w:rsidRPr="006D0C70">
              <w:rPr>
                <w:rFonts w:eastAsia="Times New Roman" w:cs="Times New Roman"/>
                <w:b/>
                <w:bCs/>
                <w:color w:val="000000"/>
                <w:sz w:val="20"/>
                <w:szCs w:val="20"/>
                <w:lang w:eastAsia="sk-SK"/>
              </w:rPr>
              <w:t xml:space="preserve">Rozdiel </w:t>
            </w:r>
          </w:p>
        </w:tc>
        <w:tc>
          <w:tcPr>
            <w:tcW w:w="541" w:type="pct"/>
            <w:gridSpan w:val="2"/>
            <w:tcBorders>
              <w:top w:val="nil"/>
              <w:left w:val="nil"/>
              <w:bottom w:val="nil"/>
              <w:right w:val="nil"/>
            </w:tcBorders>
            <w:shd w:val="clear" w:color="000000" w:fill="auto"/>
            <w:vAlign w:val="center"/>
          </w:tcPr>
          <w:p w14:paraId="4A5AA093" w14:textId="77777777" w:rsidR="001006BF" w:rsidRPr="006D0C70" w:rsidRDefault="001006BF" w:rsidP="001006BF">
            <w:pPr>
              <w:spacing w:after="0" w:line="240" w:lineRule="auto"/>
              <w:jc w:val="center"/>
              <w:rPr>
                <w:rFonts w:eastAsia="Times New Roman" w:cs="Times New Roman"/>
                <w:b/>
                <w:bCs/>
                <w:color w:val="000000"/>
                <w:sz w:val="20"/>
                <w:szCs w:val="20"/>
                <w:lang w:eastAsia="sk-SK"/>
              </w:rPr>
            </w:pPr>
            <w:r w:rsidRPr="006D0C70">
              <w:rPr>
                <w:rFonts w:eastAsia="Times New Roman" w:cs="Times New Roman"/>
                <w:b/>
                <w:bCs/>
                <w:color w:val="000000"/>
                <w:sz w:val="20"/>
                <w:szCs w:val="20"/>
                <w:lang w:eastAsia="sk-SK"/>
              </w:rPr>
              <w:t>v %</w:t>
            </w:r>
          </w:p>
        </w:tc>
      </w:tr>
      <w:tr w:rsidR="001006BF" w:rsidRPr="006D0C70" w14:paraId="1317EC6B" w14:textId="77777777" w:rsidTr="001006BF">
        <w:trPr>
          <w:trHeight w:val="80"/>
        </w:trPr>
        <w:tc>
          <w:tcPr>
            <w:tcW w:w="1647" w:type="pct"/>
            <w:vMerge/>
            <w:tcBorders>
              <w:left w:val="nil"/>
              <w:bottom w:val="single" w:sz="8" w:space="0" w:color="auto"/>
              <w:right w:val="nil"/>
            </w:tcBorders>
            <w:shd w:val="clear" w:color="000000" w:fill="auto"/>
            <w:vAlign w:val="center"/>
            <w:hideMark/>
          </w:tcPr>
          <w:p w14:paraId="4C500621" w14:textId="77777777" w:rsidR="001006BF" w:rsidRPr="006D0C70" w:rsidRDefault="001006BF" w:rsidP="001006BF">
            <w:pPr>
              <w:spacing w:after="0" w:line="240" w:lineRule="auto"/>
              <w:jc w:val="left"/>
              <w:rPr>
                <w:rFonts w:eastAsia="Times New Roman" w:cs="Times New Roman"/>
                <w:b/>
                <w:bCs/>
                <w:color w:val="FFFFFF"/>
                <w:sz w:val="20"/>
                <w:szCs w:val="20"/>
                <w:lang w:eastAsia="sk-SK"/>
              </w:rPr>
            </w:pPr>
          </w:p>
        </w:tc>
        <w:tc>
          <w:tcPr>
            <w:tcW w:w="548" w:type="pct"/>
            <w:tcBorders>
              <w:top w:val="nil"/>
              <w:left w:val="nil"/>
              <w:bottom w:val="single" w:sz="8" w:space="0" w:color="auto"/>
              <w:right w:val="nil"/>
            </w:tcBorders>
            <w:shd w:val="clear" w:color="000000" w:fill="auto"/>
            <w:vAlign w:val="center"/>
            <w:hideMark/>
          </w:tcPr>
          <w:p w14:paraId="3507EF7D" w14:textId="77777777" w:rsidR="001006BF" w:rsidRPr="006D0C70" w:rsidRDefault="001006BF" w:rsidP="001006BF">
            <w:pPr>
              <w:spacing w:after="0" w:line="240" w:lineRule="auto"/>
              <w:jc w:val="center"/>
              <w:rPr>
                <w:rFonts w:eastAsia="Times New Roman" w:cs="Times New Roman"/>
                <w:b/>
                <w:bCs/>
                <w:sz w:val="20"/>
                <w:szCs w:val="20"/>
                <w:lang w:eastAsia="sk-SK"/>
              </w:rPr>
            </w:pPr>
            <w:r w:rsidRPr="006D0C70">
              <w:rPr>
                <w:rFonts w:eastAsia="Times New Roman" w:cs="Times New Roman"/>
                <w:b/>
                <w:bCs/>
                <w:sz w:val="20"/>
                <w:szCs w:val="20"/>
                <w:lang w:eastAsia="sk-SK"/>
              </w:rPr>
              <w:t>1</w:t>
            </w:r>
          </w:p>
        </w:tc>
        <w:tc>
          <w:tcPr>
            <w:tcW w:w="547" w:type="pct"/>
            <w:tcBorders>
              <w:top w:val="nil"/>
              <w:left w:val="nil"/>
              <w:bottom w:val="single" w:sz="8" w:space="0" w:color="auto"/>
              <w:right w:val="nil"/>
            </w:tcBorders>
            <w:shd w:val="clear" w:color="000000" w:fill="auto"/>
            <w:vAlign w:val="center"/>
            <w:hideMark/>
          </w:tcPr>
          <w:p w14:paraId="0C7B5D8A" w14:textId="77777777" w:rsidR="001006BF" w:rsidRPr="006D0C70" w:rsidRDefault="001006BF" w:rsidP="001006BF">
            <w:pPr>
              <w:spacing w:after="0" w:line="240" w:lineRule="auto"/>
              <w:jc w:val="center"/>
              <w:rPr>
                <w:rFonts w:eastAsia="Times New Roman" w:cs="Times New Roman"/>
                <w:b/>
                <w:bCs/>
                <w:sz w:val="20"/>
                <w:szCs w:val="20"/>
                <w:lang w:eastAsia="sk-SK"/>
              </w:rPr>
            </w:pPr>
            <w:r w:rsidRPr="006D0C70">
              <w:rPr>
                <w:rFonts w:eastAsia="Times New Roman" w:cs="Times New Roman"/>
                <w:b/>
                <w:bCs/>
                <w:sz w:val="20"/>
                <w:szCs w:val="20"/>
                <w:lang w:eastAsia="sk-SK"/>
              </w:rPr>
              <w:t>2</w:t>
            </w:r>
          </w:p>
        </w:tc>
        <w:tc>
          <w:tcPr>
            <w:tcW w:w="625" w:type="pct"/>
            <w:tcBorders>
              <w:top w:val="nil"/>
              <w:left w:val="nil"/>
              <w:bottom w:val="single" w:sz="8" w:space="0" w:color="auto"/>
              <w:right w:val="nil"/>
            </w:tcBorders>
            <w:shd w:val="clear" w:color="000000" w:fill="auto"/>
            <w:vAlign w:val="center"/>
            <w:hideMark/>
          </w:tcPr>
          <w:p w14:paraId="73C0236A" w14:textId="77777777" w:rsidR="001006BF" w:rsidRPr="006D0C70" w:rsidRDefault="001006BF" w:rsidP="001006BF">
            <w:pPr>
              <w:spacing w:after="0" w:line="240" w:lineRule="auto"/>
              <w:jc w:val="center"/>
              <w:rPr>
                <w:rFonts w:eastAsia="Times New Roman" w:cs="Times New Roman"/>
                <w:b/>
                <w:bCs/>
                <w:sz w:val="20"/>
                <w:szCs w:val="20"/>
                <w:lang w:eastAsia="sk-SK"/>
              </w:rPr>
            </w:pPr>
            <w:r w:rsidRPr="006D0C70">
              <w:rPr>
                <w:rFonts w:eastAsia="Times New Roman" w:cs="Times New Roman"/>
                <w:b/>
                <w:bCs/>
                <w:sz w:val="20"/>
                <w:szCs w:val="20"/>
                <w:lang w:eastAsia="sk-SK"/>
              </w:rPr>
              <w:t>3</w:t>
            </w:r>
          </w:p>
        </w:tc>
        <w:tc>
          <w:tcPr>
            <w:tcW w:w="547" w:type="pct"/>
            <w:tcBorders>
              <w:top w:val="nil"/>
              <w:left w:val="nil"/>
              <w:bottom w:val="single" w:sz="8" w:space="0" w:color="auto"/>
              <w:right w:val="nil"/>
            </w:tcBorders>
            <w:shd w:val="clear" w:color="000000" w:fill="auto"/>
            <w:vAlign w:val="center"/>
            <w:hideMark/>
          </w:tcPr>
          <w:p w14:paraId="2D1B80C3" w14:textId="77777777" w:rsidR="001006BF" w:rsidRPr="006D0C70" w:rsidRDefault="001006BF" w:rsidP="001006BF">
            <w:pPr>
              <w:spacing w:after="0" w:line="240" w:lineRule="auto"/>
              <w:jc w:val="center"/>
              <w:rPr>
                <w:rFonts w:eastAsia="Times New Roman" w:cs="Times New Roman"/>
                <w:b/>
                <w:bCs/>
                <w:sz w:val="20"/>
                <w:szCs w:val="20"/>
                <w:lang w:eastAsia="sk-SK"/>
              </w:rPr>
            </w:pPr>
            <w:r w:rsidRPr="006D0C70">
              <w:rPr>
                <w:rFonts w:eastAsia="Times New Roman" w:cs="Times New Roman"/>
                <w:b/>
                <w:bCs/>
                <w:sz w:val="20"/>
                <w:szCs w:val="20"/>
                <w:lang w:eastAsia="sk-SK"/>
              </w:rPr>
              <w:t>4</w:t>
            </w:r>
          </w:p>
        </w:tc>
        <w:tc>
          <w:tcPr>
            <w:tcW w:w="625" w:type="pct"/>
            <w:gridSpan w:val="2"/>
            <w:tcBorders>
              <w:top w:val="nil"/>
              <w:left w:val="nil"/>
              <w:bottom w:val="single" w:sz="8" w:space="0" w:color="auto"/>
              <w:right w:val="nil"/>
            </w:tcBorders>
            <w:shd w:val="clear" w:color="000000" w:fill="auto"/>
            <w:vAlign w:val="center"/>
            <w:hideMark/>
          </w:tcPr>
          <w:p w14:paraId="13277802" w14:textId="77777777" w:rsidR="001006BF" w:rsidRPr="006D0C70" w:rsidRDefault="001006BF" w:rsidP="001006BF">
            <w:pPr>
              <w:spacing w:after="0" w:line="240" w:lineRule="auto"/>
              <w:jc w:val="center"/>
              <w:rPr>
                <w:rFonts w:eastAsia="Times New Roman" w:cs="Times New Roman"/>
                <w:b/>
                <w:bCs/>
                <w:sz w:val="20"/>
                <w:szCs w:val="20"/>
                <w:lang w:eastAsia="sk-SK"/>
              </w:rPr>
            </w:pPr>
            <w:r w:rsidRPr="006D0C70">
              <w:rPr>
                <w:rFonts w:eastAsia="Times New Roman" w:cs="Times New Roman"/>
                <w:b/>
                <w:bCs/>
                <w:sz w:val="20"/>
                <w:szCs w:val="20"/>
                <w:lang w:eastAsia="sk-SK"/>
              </w:rPr>
              <w:t>5=4-3</w:t>
            </w:r>
          </w:p>
        </w:tc>
        <w:tc>
          <w:tcPr>
            <w:tcW w:w="461" w:type="pct"/>
            <w:tcBorders>
              <w:top w:val="nil"/>
              <w:left w:val="nil"/>
              <w:bottom w:val="single" w:sz="8" w:space="0" w:color="auto"/>
              <w:right w:val="nil"/>
            </w:tcBorders>
            <w:shd w:val="clear" w:color="000000" w:fill="auto"/>
            <w:vAlign w:val="center"/>
            <w:hideMark/>
          </w:tcPr>
          <w:p w14:paraId="6C339CEC" w14:textId="77777777" w:rsidR="001006BF" w:rsidRPr="006D0C70" w:rsidRDefault="001006BF" w:rsidP="001006BF">
            <w:pPr>
              <w:spacing w:after="0" w:line="240" w:lineRule="auto"/>
              <w:jc w:val="center"/>
              <w:rPr>
                <w:rFonts w:eastAsia="Times New Roman" w:cs="Times New Roman"/>
                <w:b/>
                <w:bCs/>
                <w:sz w:val="20"/>
                <w:szCs w:val="20"/>
                <w:lang w:eastAsia="sk-SK"/>
              </w:rPr>
            </w:pPr>
            <w:r w:rsidRPr="006D0C70">
              <w:rPr>
                <w:rFonts w:eastAsia="Times New Roman" w:cs="Times New Roman"/>
                <w:b/>
                <w:bCs/>
                <w:sz w:val="20"/>
                <w:szCs w:val="20"/>
                <w:lang w:eastAsia="sk-SK"/>
              </w:rPr>
              <w:t>6=4-3</w:t>
            </w:r>
          </w:p>
        </w:tc>
      </w:tr>
      <w:tr w:rsidR="001006BF" w:rsidRPr="006D0C70" w14:paraId="0FB53C2F" w14:textId="77777777" w:rsidTr="001006BF">
        <w:trPr>
          <w:trHeight w:val="345"/>
        </w:trPr>
        <w:tc>
          <w:tcPr>
            <w:tcW w:w="1647" w:type="pct"/>
            <w:tcBorders>
              <w:top w:val="single" w:sz="8" w:space="0" w:color="auto"/>
              <w:left w:val="nil"/>
              <w:right w:val="nil"/>
            </w:tcBorders>
            <w:shd w:val="clear" w:color="auto" w:fill="auto"/>
            <w:vAlign w:val="center"/>
          </w:tcPr>
          <w:p w14:paraId="17D580E4" w14:textId="77777777" w:rsidR="001006BF" w:rsidRPr="006D0C70" w:rsidRDefault="001006BF" w:rsidP="001006BF">
            <w:pPr>
              <w:spacing w:after="0" w:line="240" w:lineRule="auto"/>
              <w:jc w:val="left"/>
              <w:rPr>
                <w:rFonts w:eastAsia="Times New Roman" w:cs="Times New Roman"/>
                <w:b/>
                <w:bCs/>
                <w:color w:val="FFFFFF"/>
                <w:sz w:val="20"/>
                <w:szCs w:val="20"/>
                <w:lang w:eastAsia="sk-SK"/>
              </w:rPr>
            </w:pPr>
            <w:r w:rsidRPr="006D0C70">
              <w:rPr>
                <w:rFonts w:eastAsia="Times New Roman" w:cs="Times New Roman"/>
                <w:color w:val="000000"/>
                <w:sz w:val="20"/>
                <w:szCs w:val="20"/>
                <w:lang w:eastAsia="sk-SK"/>
              </w:rPr>
              <w:t>Zahraničné transfery</w:t>
            </w:r>
            <w:r>
              <w:rPr>
                <w:rFonts w:eastAsia="Times New Roman" w:cs="Times New Roman"/>
                <w:color w:val="000000"/>
                <w:sz w:val="20"/>
                <w:szCs w:val="20"/>
                <w:lang w:eastAsia="sk-SK"/>
              </w:rPr>
              <w:t xml:space="preserve"> – prostriedky EÚ</w:t>
            </w:r>
          </w:p>
        </w:tc>
        <w:tc>
          <w:tcPr>
            <w:tcW w:w="548" w:type="pct"/>
            <w:tcBorders>
              <w:top w:val="single" w:sz="8" w:space="0" w:color="auto"/>
              <w:left w:val="nil"/>
              <w:right w:val="nil"/>
            </w:tcBorders>
            <w:shd w:val="clear" w:color="auto" w:fill="auto"/>
            <w:vAlign w:val="center"/>
          </w:tcPr>
          <w:p w14:paraId="74BE7142"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2 551 329</w:t>
            </w:r>
          </w:p>
        </w:tc>
        <w:tc>
          <w:tcPr>
            <w:tcW w:w="547" w:type="pct"/>
            <w:tcBorders>
              <w:top w:val="single" w:sz="8" w:space="0" w:color="auto"/>
              <w:left w:val="nil"/>
              <w:right w:val="nil"/>
            </w:tcBorders>
            <w:shd w:val="clear" w:color="auto" w:fill="auto"/>
            <w:vAlign w:val="center"/>
          </w:tcPr>
          <w:p w14:paraId="490BE74A"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2 269 707</w:t>
            </w:r>
          </w:p>
        </w:tc>
        <w:tc>
          <w:tcPr>
            <w:tcW w:w="625" w:type="pct"/>
            <w:tcBorders>
              <w:top w:val="single" w:sz="8" w:space="0" w:color="auto"/>
              <w:left w:val="nil"/>
              <w:right w:val="nil"/>
            </w:tcBorders>
            <w:shd w:val="clear" w:color="auto" w:fill="auto"/>
            <w:vAlign w:val="center"/>
          </w:tcPr>
          <w:p w14:paraId="68B4D487"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3 148 001</w:t>
            </w:r>
          </w:p>
        </w:tc>
        <w:tc>
          <w:tcPr>
            <w:tcW w:w="547" w:type="pct"/>
            <w:tcBorders>
              <w:top w:val="single" w:sz="8" w:space="0" w:color="auto"/>
              <w:left w:val="nil"/>
              <w:right w:val="nil"/>
            </w:tcBorders>
            <w:shd w:val="clear" w:color="auto" w:fill="auto"/>
            <w:vAlign w:val="center"/>
          </w:tcPr>
          <w:p w14:paraId="7C4A264A"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2 146 641</w:t>
            </w:r>
          </w:p>
        </w:tc>
        <w:tc>
          <w:tcPr>
            <w:tcW w:w="625" w:type="pct"/>
            <w:gridSpan w:val="2"/>
            <w:tcBorders>
              <w:top w:val="single" w:sz="8" w:space="0" w:color="auto"/>
              <w:left w:val="nil"/>
              <w:right w:val="nil"/>
            </w:tcBorders>
            <w:shd w:val="clear" w:color="auto" w:fill="auto"/>
            <w:vAlign w:val="center"/>
          </w:tcPr>
          <w:p w14:paraId="43ABF0A0"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-1 001 360</w:t>
            </w:r>
          </w:p>
        </w:tc>
        <w:tc>
          <w:tcPr>
            <w:tcW w:w="461" w:type="pct"/>
            <w:tcBorders>
              <w:top w:val="single" w:sz="8" w:space="0" w:color="auto"/>
              <w:left w:val="nil"/>
              <w:right w:val="nil"/>
            </w:tcBorders>
            <w:shd w:val="clear" w:color="auto" w:fill="auto"/>
            <w:vAlign w:val="center"/>
          </w:tcPr>
          <w:p w14:paraId="363AFAD3"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6D0C70">
              <w:rPr>
                <w:rFonts w:eastAsia="Times New Roman" w:cs="Times New Roman"/>
                <w:color w:val="000000"/>
                <w:sz w:val="20"/>
                <w:szCs w:val="20"/>
                <w:lang w:eastAsia="sk-SK"/>
              </w:rPr>
              <w:t>-</w:t>
            </w:r>
            <w:r>
              <w:rPr>
                <w:rFonts w:eastAsia="Times New Roman" w:cs="Times New Roman"/>
                <w:color w:val="000000"/>
                <w:sz w:val="20"/>
                <w:szCs w:val="20"/>
                <w:lang w:eastAsia="sk-SK"/>
              </w:rPr>
              <w:t>31,8</w:t>
            </w:r>
          </w:p>
        </w:tc>
      </w:tr>
      <w:tr w:rsidR="001006BF" w:rsidRPr="006D0C70" w14:paraId="40677A48" w14:textId="77777777" w:rsidTr="001006BF">
        <w:trPr>
          <w:trHeight w:val="345"/>
        </w:trPr>
        <w:tc>
          <w:tcPr>
            <w:tcW w:w="1647" w:type="pct"/>
            <w:tcBorders>
              <w:left w:val="nil"/>
              <w:right w:val="nil"/>
            </w:tcBorders>
            <w:shd w:val="clear" w:color="auto" w:fill="auto"/>
            <w:vAlign w:val="center"/>
          </w:tcPr>
          <w:p w14:paraId="36D28E26" w14:textId="77777777" w:rsidR="001006BF" w:rsidRPr="006D0C70" w:rsidRDefault="001006BF" w:rsidP="001006BF">
            <w:pPr>
              <w:spacing w:after="0" w:line="240" w:lineRule="auto"/>
              <w:jc w:val="left"/>
              <w:rPr>
                <w:rFonts w:eastAsia="Times New Roman" w:cs="Times New Roman"/>
                <w:color w:val="000000"/>
                <w:sz w:val="20"/>
                <w:szCs w:val="20"/>
                <w:lang w:eastAsia="sk-SK"/>
              </w:rPr>
            </w:pPr>
            <w:r w:rsidRPr="006D0C70">
              <w:rPr>
                <w:rFonts w:eastAsia="Times New Roman" w:cs="Times New Roman"/>
                <w:color w:val="000000"/>
                <w:sz w:val="20"/>
                <w:szCs w:val="20"/>
                <w:lang w:eastAsia="sk-SK"/>
              </w:rPr>
              <w:t>Zahraničné transfery</w:t>
            </w:r>
            <w:r>
              <w:rPr>
                <w:rFonts w:eastAsia="Times New Roman" w:cs="Times New Roman"/>
                <w:color w:val="000000"/>
                <w:sz w:val="20"/>
                <w:szCs w:val="20"/>
                <w:lang w:eastAsia="sk-SK"/>
              </w:rPr>
              <w:t xml:space="preserve"> </w:t>
            </w:r>
            <w:r w:rsidRPr="006D0C70">
              <w:rPr>
                <w:rFonts w:eastAsia="Times New Roman" w:cs="Times New Roman"/>
                <w:color w:val="000000"/>
                <w:sz w:val="20"/>
                <w:szCs w:val="20"/>
                <w:lang w:eastAsia="sk-SK"/>
              </w:rPr>
              <w:t>P</w:t>
            </w:r>
            <w:r>
              <w:rPr>
                <w:rFonts w:eastAsia="Times New Roman" w:cs="Times New Roman"/>
                <w:color w:val="000000"/>
                <w:sz w:val="20"/>
                <w:szCs w:val="20"/>
                <w:lang w:eastAsia="sk-SK"/>
              </w:rPr>
              <w:t>OO</w:t>
            </w:r>
          </w:p>
        </w:tc>
        <w:tc>
          <w:tcPr>
            <w:tcW w:w="548" w:type="pct"/>
            <w:tcBorders>
              <w:left w:val="nil"/>
              <w:right w:val="nil"/>
            </w:tcBorders>
            <w:shd w:val="clear" w:color="auto" w:fill="auto"/>
            <w:vAlign w:val="center"/>
          </w:tcPr>
          <w:p w14:paraId="46A40EB0"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0</w:t>
            </w:r>
          </w:p>
        </w:tc>
        <w:tc>
          <w:tcPr>
            <w:tcW w:w="547" w:type="pct"/>
            <w:tcBorders>
              <w:left w:val="nil"/>
              <w:right w:val="nil"/>
            </w:tcBorders>
            <w:shd w:val="clear" w:color="auto" w:fill="auto"/>
            <w:vAlign w:val="center"/>
          </w:tcPr>
          <w:p w14:paraId="1ED44956"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4 283</w:t>
            </w:r>
          </w:p>
        </w:tc>
        <w:tc>
          <w:tcPr>
            <w:tcW w:w="625" w:type="pct"/>
            <w:tcBorders>
              <w:left w:val="nil"/>
              <w:right w:val="nil"/>
            </w:tcBorders>
            <w:shd w:val="clear" w:color="auto" w:fill="auto"/>
            <w:vAlign w:val="center"/>
          </w:tcPr>
          <w:p w14:paraId="510E2216"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1 301 972</w:t>
            </w:r>
          </w:p>
        </w:tc>
        <w:tc>
          <w:tcPr>
            <w:tcW w:w="547" w:type="pct"/>
            <w:tcBorders>
              <w:left w:val="nil"/>
              <w:right w:val="nil"/>
            </w:tcBorders>
            <w:shd w:val="clear" w:color="auto" w:fill="auto"/>
            <w:vAlign w:val="center"/>
          </w:tcPr>
          <w:p w14:paraId="263E8886"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41 061</w:t>
            </w:r>
          </w:p>
        </w:tc>
        <w:tc>
          <w:tcPr>
            <w:tcW w:w="625" w:type="pct"/>
            <w:gridSpan w:val="2"/>
            <w:tcBorders>
              <w:left w:val="nil"/>
              <w:right w:val="nil"/>
            </w:tcBorders>
            <w:shd w:val="clear" w:color="auto" w:fill="auto"/>
            <w:vAlign w:val="center"/>
          </w:tcPr>
          <w:p w14:paraId="4808510C"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-1 260 911</w:t>
            </w:r>
          </w:p>
        </w:tc>
        <w:tc>
          <w:tcPr>
            <w:tcW w:w="461" w:type="pct"/>
            <w:tcBorders>
              <w:left w:val="nil"/>
              <w:right w:val="nil"/>
            </w:tcBorders>
            <w:shd w:val="clear" w:color="auto" w:fill="auto"/>
            <w:vAlign w:val="center"/>
          </w:tcPr>
          <w:p w14:paraId="021A276F"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-96,8</w:t>
            </w:r>
          </w:p>
        </w:tc>
      </w:tr>
      <w:tr w:rsidR="001006BF" w:rsidRPr="006D0C70" w14:paraId="3067F44E" w14:textId="77777777" w:rsidTr="001006BF">
        <w:trPr>
          <w:trHeight w:val="345"/>
        </w:trPr>
        <w:tc>
          <w:tcPr>
            <w:tcW w:w="1647" w:type="pct"/>
            <w:tcBorders>
              <w:left w:val="nil"/>
              <w:right w:val="nil"/>
            </w:tcBorders>
            <w:shd w:val="clear" w:color="auto" w:fill="auto"/>
            <w:vAlign w:val="center"/>
          </w:tcPr>
          <w:p w14:paraId="5CCAF566" w14:textId="77777777" w:rsidR="001006BF" w:rsidRPr="006D0C70" w:rsidRDefault="001006BF" w:rsidP="001006BF">
            <w:pPr>
              <w:spacing w:after="0" w:line="240" w:lineRule="auto"/>
              <w:jc w:val="left"/>
              <w:rPr>
                <w:rFonts w:eastAsia="Times New Roman" w:cs="Times New Roman"/>
                <w:b/>
                <w:bCs/>
                <w:color w:val="FFFFFF"/>
                <w:sz w:val="20"/>
                <w:szCs w:val="20"/>
                <w:lang w:eastAsia="sk-SK"/>
              </w:rPr>
            </w:pPr>
            <w:r w:rsidRPr="006D0C70">
              <w:rPr>
                <w:rFonts w:eastAsia="Times New Roman" w:cs="Times New Roman"/>
                <w:color w:val="000000"/>
                <w:sz w:val="20"/>
                <w:szCs w:val="20"/>
                <w:lang w:eastAsia="sk-SK"/>
              </w:rPr>
              <w:t>Zahraničné granty z rozpočtu EÚ</w:t>
            </w:r>
          </w:p>
        </w:tc>
        <w:tc>
          <w:tcPr>
            <w:tcW w:w="548" w:type="pct"/>
            <w:tcBorders>
              <w:left w:val="nil"/>
              <w:right w:val="nil"/>
            </w:tcBorders>
            <w:shd w:val="clear" w:color="auto" w:fill="auto"/>
            <w:vAlign w:val="center"/>
          </w:tcPr>
          <w:p w14:paraId="71352158" w14:textId="77777777" w:rsidR="001006BF" w:rsidRPr="006D0C70" w:rsidRDefault="001006BF" w:rsidP="001006BF">
            <w:pPr>
              <w:spacing w:after="0" w:line="240" w:lineRule="auto"/>
              <w:jc w:val="right"/>
              <w:rPr>
                <w:rFonts w:eastAsia="Times New Roman" w:cs="Times New Roman"/>
                <w:b/>
                <w:bCs/>
                <w:sz w:val="20"/>
                <w:szCs w:val="20"/>
                <w:highlight w:val="yellow"/>
                <w:lang w:eastAsia="sk-SK"/>
              </w:rPr>
            </w:pPr>
            <w:r>
              <w:rPr>
                <w:rFonts w:eastAsia="Times New Roman" w:cs="Times New Roman"/>
                <w:color w:val="000000"/>
                <w:sz w:val="20"/>
                <w:szCs w:val="20"/>
                <w:lang w:eastAsia="sk-SK"/>
              </w:rPr>
              <w:t>31</w:t>
            </w:r>
          </w:p>
        </w:tc>
        <w:tc>
          <w:tcPr>
            <w:tcW w:w="547" w:type="pct"/>
            <w:tcBorders>
              <w:left w:val="nil"/>
              <w:right w:val="nil"/>
            </w:tcBorders>
            <w:shd w:val="clear" w:color="auto" w:fill="auto"/>
            <w:vAlign w:val="center"/>
          </w:tcPr>
          <w:p w14:paraId="1E4D1E43" w14:textId="77777777" w:rsidR="001006BF" w:rsidRPr="006D0C70" w:rsidRDefault="001006BF" w:rsidP="001006BF">
            <w:pPr>
              <w:spacing w:after="0" w:line="240" w:lineRule="auto"/>
              <w:jc w:val="right"/>
              <w:rPr>
                <w:rFonts w:eastAsia="Times New Roman" w:cs="Times New Roman"/>
                <w:b/>
                <w:bCs/>
                <w:sz w:val="20"/>
                <w:szCs w:val="20"/>
                <w:highlight w:val="yellow"/>
                <w:lang w:eastAsia="sk-SK"/>
              </w:rPr>
            </w:pPr>
            <w:r>
              <w:rPr>
                <w:rFonts w:eastAsia="Times New Roman" w:cs="Times New Roman"/>
                <w:color w:val="000000"/>
                <w:sz w:val="20"/>
                <w:szCs w:val="20"/>
                <w:lang w:eastAsia="sk-SK"/>
              </w:rPr>
              <w:t>0</w:t>
            </w:r>
          </w:p>
        </w:tc>
        <w:tc>
          <w:tcPr>
            <w:tcW w:w="625" w:type="pct"/>
            <w:tcBorders>
              <w:left w:val="nil"/>
              <w:right w:val="nil"/>
            </w:tcBorders>
            <w:shd w:val="clear" w:color="auto" w:fill="auto"/>
            <w:vAlign w:val="center"/>
          </w:tcPr>
          <w:p w14:paraId="0F8EBC65" w14:textId="77777777" w:rsidR="001006BF" w:rsidRPr="006D0C70" w:rsidRDefault="001006BF" w:rsidP="001006BF">
            <w:pPr>
              <w:spacing w:after="0" w:line="240" w:lineRule="auto"/>
              <w:jc w:val="right"/>
              <w:rPr>
                <w:rFonts w:eastAsia="Times New Roman" w:cs="Times New Roman"/>
                <w:b/>
                <w:bCs/>
                <w:sz w:val="20"/>
                <w:szCs w:val="20"/>
                <w:highlight w:val="yellow"/>
                <w:lang w:eastAsia="sk-SK"/>
              </w:rPr>
            </w:pPr>
            <w:r w:rsidRPr="006D0C70">
              <w:rPr>
                <w:rFonts w:eastAsia="Times New Roman" w:cs="Times New Roman"/>
                <w:color w:val="000000"/>
                <w:sz w:val="20"/>
                <w:szCs w:val="20"/>
                <w:lang w:eastAsia="sk-SK"/>
              </w:rPr>
              <w:t>0</w:t>
            </w:r>
          </w:p>
        </w:tc>
        <w:tc>
          <w:tcPr>
            <w:tcW w:w="547" w:type="pct"/>
            <w:tcBorders>
              <w:left w:val="nil"/>
              <w:right w:val="nil"/>
            </w:tcBorders>
            <w:shd w:val="clear" w:color="auto" w:fill="auto"/>
            <w:vAlign w:val="center"/>
          </w:tcPr>
          <w:p w14:paraId="71DE302D" w14:textId="77777777" w:rsidR="001006BF" w:rsidRPr="006D0C70" w:rsidRDefault="001006BF" w:rsidP="001006BF">
            <w:pPr>
              <w:spacing w:after="0" w:line="240" w:lineRule="auto"/>
              <w:jc w:val="right"/>
              <w:rPr>
                <w:rFonts w:eastAsia="Times New Roman" w:cs="Times New Roman"/>
                <w:b/>
                <w:bCs/>
                <w:sz w:val="20"/>
                <w:szCs w:val="20"/>
                <w:highlight w:val="yellow"/>
                <w:lang w:eastAsia="sk-SK"/>
              </w:rPr>
            </w:pPr>
            <w:r w:rsidRPr="006D0C70">
              <w:rPr>
                <w:rFonts w:eastAsia="Times New Roman" w:cs="Times New Roman"/>
                <w:color w:val="000000"/>
                <w:sz w:val="20"/>
                <w:szCs w:val="20"/>
                <w:lang w:eastAsia="sk-SK"/>
              </w:rPr>
              <w:t>0</w:t>
            </w:r>
          </w:p>
        </w:tc>
        <w:tc>
          <w:tcPr>
            <w:tcW w:w="625" w:type="pct"/>
            <w:gridSpan w:val="2"/>
            <w:tcBorders>
              <w:left w:val="nil"/>
              <w:right w:val="nil"/>
            </w:tcBorders>
            <w:shd w:val="clear" w:color="auto" w:fill="auto"/>
            <w:vAlign w:val="center"/>
          </w:tcPr>
          <w:p w14:paraId="73EB251B" w14:textId="77777777" w:rsidR="001006BF" w:rsidRPr="006D0C70" w:rsidRDefault="001006BF" w:rsidP="001006BF">
            <w:pPr>
              <w:spacing w:after="0" w:line="240" w:lineRule="auto"/>
              <w:jc w:val="right"/>
              <w:rPr>
                <w:rFonts w:eastAsia="Times New Roman" w:cs="Times New Roman"/>
                <w:b/>
                <w:bCs/>
                <w:sz w:val="20"/>
                <w:szCs w:val="20"/>
                <w:highlight w:val="yellow"/>
                <w:lang w:eastAsia="sk-SK"/>
              </w:rPr>
            </w:pPr>
            <w:r w:rsidRPr="006D0C70">
              <w:rPr>
                <w:rFonts w:eastAsia="Times New Roman" w:cs="Times New Roman"/>
                <w:color w:val="000000"/>
                <w:sz w:val="20"/>
                <w:szCs w:val="20"/>
                <w:lang w:eastAsia="sk-SK"/>
              </w:rPr>
              <w:t>0</w:t>
            </w:r>
          </w:p>
        </w:tc>
        <w:tc>
          <w:tcPr>
            <w:tcW w:w="461" w:type="pct"/>
            <w:tcBorders>
              <w:left w:val="nil"/>
              <w:right w:val="nil"/>
            </w:tcBorders>
            <w:shd w:val="clear" w:color="auto" w:fill="auto"/>
            <w:vAlign w:val="center"/>
          </w:tcPr>
          <w:p w14:paraId="1EFB7944" w14:textId="77777777" w:rsidR="001006BF" w:rsidRPr="0078225F" w:rsidRDefault="001006BF" w:rsidP="001006BF">
            <w:pPr>
              <w:spacing w:after="0" w:line="240" w:lineRule="auto"/>
              <w:jc w:val="right"/>
              <w:rPr>
                <w:rFonts w:eastAsia="Times New Roman" w:cs="Times New Roman"/>
                <w:bCs/>
                <w:sz w:val="20"/>
                <w:szCs w:val="20"/>
                <w:highlight w:val="yellow"/>
                <w:lang w:eastAsia="sk-SK"/>
              </w:rPr>
            </w:pPr>
            <w:r w:rsidRPr="0078225F">
              <w:rPr>
                <w:rFonts w:eastAsia="Times New Roman" w:cs="Times New Roman"/>
                <w:bCs/>
                <w:sz w:val="20"/>
                <w:szCs w:val="20"/>
                <w:lang w:eastAsia="sk-SK"/>
              </w:rPr>
              <w:t>0</w:t>
            </w:r>
            <w:r>
              <w:rPr>
                <w:rFonts w:eastAsia="Times New Roman" w:cs="Times New Roman"/>
                <w:bCs/>
                <w:sz w:val="20"/>
                <w:szCs w:val="20"/>
                <w:lang w:eastAsia="sk-SK"/>
              </w:rPr>
              <w:t>,0</w:t>
            </w:r>
          </w:p>
        </w:tc>
      </w:tr>
      <w:tr w:rsidR="001006BF" w:rsidRPr="006D0C70" w14:paraId="04F41D2C" w14:textId="77777777" w:rsidTr="001006BF">
        <w:trPr>
          <w:trHeight w:val="345"/>
        </w:trPr>
        <w:tc>
          <w:tcPr>
            <w:tcW w:w="1647" w:type="pct"/>
            <w:tcBorders>
              <w:left w:val="nil"/>
              <w:right w:val="nil"/>
            </w:tcBorders>
            <w:shd w:val="clear" w:color="auto" w:fill="auto"/>
            <w:vAlign w:val="center"/>
          </w:tcPr>
          <w:p w14:paraId="1F141C92" w14:textId="77777777" w:rsidR="001006BF" w:rsidRPr="006D0C70" w:rsidRDefault="001006BF" w:rsidP="001006BF">
            <w:pPr>
              <w:spacing w:after="0" w:line="240" w:lineRule="auto"/>
              <w:jc w:val="left"/>
              <w:rPr>
                <w:rFonts w:eastAsia="Times New Roman" w:cs="Times New Roman"/>
                <w:b/>
                <w:bCs/>
                <w:color w:val="FFFFFF"/>
                <w:sz w:val="20"/>
                <w:szCs w:val="20"/>
                <w:lang w:eastAsia="sk-SK"/>
              </w:rPr>
            </w:pPr>
            <w:r w:rsidRPr="006D0C70">
              <w:rPr>
                <w:rFonts w:eastAsia="Times New Roman" w:cs="Times New Roman"/>
                <w:b/>
                <w:bCs/>
                <w:color w:val="000000"/>
                <w:sz w:val="20"/>
                <w:szCs w:val="20"/>
                <w:lang w:eastAsia="sk-SK"/>
              </w:rPr>
              <w:t>Spolu príjmy z rozpočtu EÚ</w:t>
            </w:r>
          </w:p>
        </w:tc>
        <w:tc>
          <w:tcPr>
            <w:tcW w:w="548" w:type="pct"/>
            <w:tcBorders>
              <w:left w:val="nil"/>
              <w:right w:val="nil"/>
            </w:tcBorders>
            <w:shd w:val="clear" w:color="auto" w:fill="auto"/>
            <w:vAlign w:val="center"/>
          </w:tcPr>
          <w:p w14:paraId="6198C469"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2 551 360</w:t>
            </w:r>
          </w:p>
        </w:tc>
        <w:tc>
          <w:tcPr>
            <w:tcW w:w="547" w:type="pct"/>
            <w:tcBorders>
              <w:left w:val="nil"/>
              <w:right w:val="nil"/>
            </w:tcBorders>
            <w:shd w:val="clear" w:color="auto" w:fill="auto"/>
            <w:vAlign w:val="center"/>
          </w:tcPr>
          <w:p w14:paraId="3CB3D2E7"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2 273 990</w:t>
            </w:r>
          </w:p>
        </w:tc>
        <w:tc>
          <w:tcPr>
            <w:tcW w:w="625" w:type="pct"/>
            <w:tcBorders>
              <w:left w:val="nil"/>
              <w:right w:val="nil"/>
            </w:tcBorders>
            <w:shd w:val="clear" w:color="auto" w:fill="auto"/>
            <w:vAlign w:val="center"/>
          </w:tcPr>
          <w:p w14:paraId="59AEAAD4"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4 449 973</w:t>
            </w:r>
          </w:p>
        </w:tc>
        <w:tc>
          <w:tcPr>
            <w:tcW w:w="547" w:type="pct"/>
            <w:tcBorders>
              <w:left w:val="nil"/>
              <w:right w:val="nil"/>
            </w:tcBorders>
            <w:shd w:val="clear" w:color="auto" w:fill="auto"/>
            <w:vAlign w:val="center"/>
          </w:tcPr>
          <w:p w14:paraId="1CDC68B9"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2 187 702</w:t>
            </w:r>
          </w:p>
        </w:tc>
        <w:tc>
          <w:tcPr>
            <w:tcW w:w="625" w:type="pct"/>
            <w:gridSpan w:val="2"/>
            <w:tcBorders>
              <w:left w:val="nil"/>
              <w:right w:val="nil"/>
            </w:tcBorders>
            <w:shd w:val="clear" w:color="auto" w:fill="auto"/>
            <w:vAlign w:val="center"/>
          </w:tcPr>
          <w:p w14:paraId="4EAA55A7"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6D0C70">
              <w:rPr>
                <w:rFonts w:eastAsia="Times New Roman" w:cs="Times New Roman"/>
                <w:b/>
                <w:bCs/>
                <w:color w:val="000000"/>
                <w:sz w:val="20"/>
                <w:szCs w:val="20"/>
                <w:lang w:eastAsia="sk-SK"/>
              </w:rPr>
              <w:t>-</w:t>
            </w:r>
            <w:r>
              <w:rPr>
                <w:rFonts w:eastAsia="Times New Roman" w:cs="Times New Roman"/>
                <w:b/>
                <w:bCs/>
                <w:color w:val="000000"/>
                <w:sz w:val="20"/>
                <w:szCs w:val="20"/>
                <w:lang w:eastAsia="sk-SK"/>
              </w:rPr>
              <w:t>2 262 271</w:t>
            </w:r>
          </w:p>
        </w:tc>
        <w:tc>
          <w:tcPr>
            <w:tcW w:w="461" w:type="pct"/>
            <w:tcBorders>
              <w:left w:val="nil"/>
              <w:right w:val="nil"/>
            </w:tcBorders>
            <w:shd w:val="clear" w:color="auto" w:fill="auto"/>
            <w:vAlign w:val="center"/>
          </w:tcPr>
          <w:p w14:paraId="77A4B657" w14:textId="77777777" w:rsidR="001006BF" w:rsidRPr="006D0C70" w:rsidRDefault="001006BF" w:rsidP="001006BF">
            <w:pPr>
              <w:spacing w:after="0" w:line="240" w:lineRule="auto"/>
              <w:jc w:val="right"/>
              <w:rPr>
                <w:rFonts w:eastAsia="Times New Roman" w:cs="Times New Roman"/>
                <w:b/>
                <w:bCs/>
                <w:sz w:val="20"/>
                <w:szCs w:val="20"/>
                <w:highlight w:val="yellow"/>
                <w:lang w:eastAsia="sk-SK"/>
              </w:rPr>
            </w:pPr>
            <w:r w:rsidRPr="006D0C70">
              <w:rPr>
                <w:rFonts w:eastAsia="Times New Roman" w:cs="Times New Roman"/>
                <w:b/>
                <w:bCs/>
                <w:color w:val="000000"/>
                <w:sz w:val="20"/>
                <w:szCs w:val="20"/>
                <w:lang w:eastAsia="sk-SK"/>
              </w:rPr>
              <w:t>-</w:t>
            </w:r>
            <w:r>
              <w:rPr>
                <w:rFonts w:eastAsia="Times New Roman" w:cs="Times New Roman"/>
                <w:b/>
                <w:bCs/>
                <w:color w:val="000000"/>
                <w:sz w:val="20"/>
                <w:szCs w:val="20"/>
                <w:lang w:eastAsia="sk-SK"/>
              </w:rPr>
              <w:t>50,8</w:t>
            </w:r>
          </w:p>
        </w:tc>
      </w:tr>
      <w:tr w:rsidR="001006BF" w:rsidRPr="006D0C70" w14:paraId="3CADAB3D" w14:textId="77777777" w:rsidTr="001006BF">
        <w:trPr>
          <w:trHeight w:val="330"/>
        </w:trPr>
        <w:tc>
          <w:tcPr>
            <w:tcW w:w="1647" w:type="pct"/>
            <w:tcBorders>
              <w:left w:val="nil"/>
              <w:bottom w:val="nil"/>
              <w:right w:val="nil"/>
            </w:tcBorders>
            <w:shd w:val="clear" w:color="000000" w:fill="FFFFFF"/>
            <w:vAlign w:val="center"/>
            <w:hideMark/>
          </w:tcPr>
          <w:p w14:paraId="240FD450" w14:textId="77777777" w:rsidR="001006BF" w:rsidRPr="006D0C70" w:rsidRDefault="001006BF" w:rsidP="001006BF">
            <w:pPr>
              <w:spacing w:after="0" w:line="240" w:lineRule="auto"/>
              <w:jc w:val="left"/>
              <w:rPr>
                <w:rFonts w:eastAsia="Times New Roman" w:cs="Times New Roman"/>
                <w:color w:val="000000"/>
                <w:sz w:val="20"/>
                <w:szCs w:val="20"/>
                <w:lang w:eastAsia="sk-SK"/>
              </w:rPr>
            </w:pPr>
            <w:r w:rsidRPr="006D0C70">
              <w:rPr>
                <w:rFonts w:eastAsia="Times New Roman" w:cs="Times New Roman"/>
                <w:color w:val="000000"/>
                <w:sz w:val="20"/>
                <w:szCs w:val="20"/>
                <w:lang w:eastAsia="sk-SK"/>
              </w:rPr>
              <w:t>Tradičné vlastné zdroje</w:t>
            </w:r>
          </w:p>
        </w:tc>
        <w:tc>
          <w:tcPr>
            <w:tcW w:w="548" w:type="pct"/>
            <w:tcBorders>
              <w:left w:val="nil"/>
              <w:bottom w:val="nil"/>
              <w:right w:val="nil"/>
            </w:tcBorders>
            <w:shd w:val="clear" w:color="000000" w:fill="FFFFFF"/>
            <w:noWrap/>
            <w:vAlign w:val="center"/>
            <w:hideMark/>
          </w:tcPr>
          <w:p w14:paraId="0E50C4CD" w14:textId="77777777" w:rsidR="001006BF" w:rsidRPr="006D0C70"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79 553</w:t>
            </w:r>
          </w:p>
        </w:tc>
        <w:tc>
          <w:tcPr>
            <w:tcW w:w="547" w:type="pct"/>
            <w:tcBorders>
              <w:left w:val="nil"/>
              <w:bottom w:val="nil"/>
              <w:right w:val="nil"/>
            </w:tcBorders>
            <w:shd w:val="clear" w:color="000000" w:fill="FFFFFF"/>
            <w:noWrap/>
            <w:vAlign w:val="center"/>
            <w:hideMark/>
          </w:tcPr>
          <w:p w14:paraId="4B9AA7BE" w14:textId="77777777" w:rsidR="001006BF" w:rsidRPr="006D0C70"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95 716</w:t>
            </w:r>
          </w:p>
        </w:tc>
        <w:tc>
          <w:tcPr>
            <w:tcW w:w="625" w:type="pct"/>
            <w:tcBorders>
              <w:left w:val="nil"/>
              <w:bottom w:val="nil"/>
              <w:right w:val="nil"/>
            </w:tcBorders>
            <w:shd w:val="clear" w:color="000000" w:fill="FFFFFF"/>
            <w:noWrap/>
            <w:vAlign w:val="center"/>
            <w:hideMark/>
          </w:tcPr>
          <w:p w14:paraId="0721F181"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80 750</w:t>
            </w:r>
          </w:p>
        </w:tc>
        <w:tc>
          <w:tcPr>
            <w:tcW w:w="547" w:type="pct"/>
            <w:tcBorders>
              <w:left w:val="nil"/>
              <w:bottom w:val="nil"/>
              <w:right w:val="nil"/>
            </w:tcBorders>
            <w:shd w:val="clear" w:color="000000" w:fill="FFFFFF"/>
            <w:noWrap/>
            <w:vAlign w:val="center"/>
            <w:hideMark/>
          </w:tcPr>
          <w:p w14:paraId="3C3A8E4C"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119 450</w:t>
            </w:r>
          </w:p>
        </w:tc>
        <w:tc>
          <w:tcPr>
            <w:tcW w:w="625" w:type="pct"/>
            <w:gridSpan w:val="2"/>
            <w:tcBorders>
              <w:left w:val="nil"/>
              <w:bottom w:val="nil"/>
              <w:right w:val="nil"/>
            </w:tcBorders>
            <w:shd w:val="clear" w:color="auto" w:fill="auto"/>
            <w:vAlign w:val="center"/>
            <w:hideMark/>
          </w:tcPr>
          <w:p w14:paraId="2D71C86F"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38 700</w:t>
            </w:r>
          </w:p>
        </w:tc>
        <w:tc>
          <w:tcPr>
            <w:tcW w:w="461" w:type="pct"/>
            <w:tcBorders>
              <w:left w:val="nil"/>
              <w:bottom w:val="nil"/>
              <w:right w:val="nil"/>
            </w:tcBorders>
            <w:shd w:val="clear" w:color="000000" w:fill="FFFFFF"/>
            <w:vAlign w:val="center"/>
            <w:hideMark/>
          </w:tcPr>
          <w:p w14:paraId="01232777"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47,9</w:t>
            </w:r>
          </w:p>
        </w:tc>
      </w:tr>
      <w:tr w:rsidR="001006BF" w:rsidRPr="006D0C70" w14:paraId="22A22CB8" w14:textId="77777777" w:rsidTr="001006BF">
        <w:trPr>
          <w:trHeight w:val="510"/>
        </w:trPr>
        <w:tc>
          <w:tcPr>
            <w:tcW w:w="1647" w:type="pct"/>
            <w:tcBorders>
              <w:top w:val="nil"/>
              <w:left w:val="nil"/>
              <w:bottom w:val="nil"/>
              <w:right w:val="nil"/>
            </w:tcBorders>
            <w:shd w:val="clear" w:color="000000" w:fill="FFFFFF"/>
            <w:vAlign w:val="center"/>
            <w:hideMark/>
          </w:tcPr>
          <w:p w14:paraId="6D8F270A" w14:textId="77777777" w:rsidR="001006BF" w:rsidRPr="006D0C70" w:rsidRDefault="001006BF" w:rsidP="001006BF">
            <w:pPr>
              <w:spacing w:after="0" w:line="240" w:lineRule="auto"/>
              <w:jc w:val="left"/>
              <w:rPr>
                <w:rFonts w:eastAsia="Times New Roman" w:cs="Times New Roman"/>
                <w:color w:val="000000"/>
                <w:sz w:val="20"/>
                <w:szCs w:val="20"/>
                <w:lang w:eastAsia="sk-SK"/>
              </w:rPr>
            </w:pPr>
            <w:r w:rsidRPr="006D0C70">
              <w:rPr>
                <w:rFonts w:eastAsia="Times New Roman" w:cs="Times New Roman"/>
                <w:color w:val="000000"/>
                <w:sz w:val="20"/>
                <w:szCs w:val="20"/>
                <w:lang w:eastAsia="sk-SK"/>
              </w:rPr>
              <w:t>Odvody SR do rozpočtu EÚ bez tradičných vlastných zdrojov</w:t>
            </w:r>
          </w:p>
        </w:tc>
        <w:tc>
          <w:tcPr>
            <w:tcW w:w="548" w:type="pct"/>
            <w:tcBorders>
              <w:top w:val="nil"/>
              <w:left w:val="nil"/>
              <w:bottom w:val="nil"/>
              <w:right w:val="nil"/>
            </w:tcBorders>
            <w:shd w:val="clear" w:color="000000" w:fill="FFFFFF"/>
            <w:noWrap/>
            <w:vAlign w:val="center"/>
            <w:hideMark/>
          </w:tcPr>
          <w:p w14:paraId="27D994CF" w14:textId="77777777" w:rsidR="001006BF" w:rsidRPr="006D0C70"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877 392</w:t>
            </w:r>
          </w:p>
        </w:tc>
        <w:tc>
          <w:tcPr>
            <w:tcW w:w="547" w:type="pct"/>
            <w:tcBorders>
              <w:top w:val="nil"/>
              <w:left w:val="nil"/>
              <w:bottom w:val="nil"/>
              <w:right w:val="nil"/>
            </w:tcBorders>
            <w:shd w:val="clear" w:color="000000" w:fill="FFFFFF"/>
            <w:noWrap/>
            <w:vAlign w:val="center"/>
            <w:hideMark/>
          </w:tcPr>
          <w:p w14:paraId="612E8B82" w14:textId="77777777" w:rsidR="001006BF" w:rsidRPr="006D0C70"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966 750</w:t>
            </w:r>
          </w:p>
        </w:tc>
        <w:tc>
          <w:tcPr>
            <w:tcW w:w="625" w:type="pct"/>
            <w:tcBorders>
              <w:top w:val="nil"/>
              <w:left w:val="nil"/>
              <w:bottom w:val="nil"/>
              <w:right w:val="nil"/>
            </w:tcBorders>
            <w:shd w:val="clear" w:color="000000" w:fill="FFFFFF"/>
            <w:noWrap/>
            <w:vAlign w:val="center"/>
            <w:hideMark/>
          </w:tcPr>
          <w:p w14:paraId="51AAF0EA"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1 026 568</w:t>
            </w:r>
          </w:p>
        </w:tc>
        <w:tc>
          <w:tcPr>
            <w:tcW w:w="547" w:type="pct"/>
            <w:tcBorders>
              <w:top w:val="nil"/>
              <w:left w:val="nil"/>
              <w:bottom w:val="nil"/>
              <w:right w:val="nil"/>
            </w:tcBorders>
            <w:shd w:val="clear" w:color="000000" w:fill="FFFFFF"/>
            <w:noWrap/>
            <w:vAlign w:val="center"/>
            <w:hideMark/>
          </w:tcPr>
          <w:p w14:paraId="25E9100F"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940 226</w:t>
            </w:r>
          </w:p>
        </w:tc>
        <w:tc>
          <w:tcPr>
            <w:tcW w:w="625" w:type="pct"/>
            <w:gridSpan w:val="2"/>
            <w:tcBorders>
              <w:top w:val="nil"/>
              <w:left w:val="nil"/>
              <w:bottom w:val="nil"/>
              <w:right w:val="nil"/>
            </w:tcBorders>
            <w:shd w:val="clear" w:color="000000" w:fill="FFFFFF"/>
            <w:noWrap/>
            <w:vAlign w:val="center"/>
            <w:hideMark/>
          </w:tcPr>
          <w:p w14:paraId="7919DB20"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-86 342</w:t>
            </w:r>
          </w:p>
        </w:tc>
        <w:tc>
          <w:tcPr>
            <w:tcW w:w="461" w:type="pct"/>
            <w:tcBorders>
              <w:top w:val="nil"/>
              <w:left w:val="nil"/>
              <w:bottom w:val="nil"/>
              <w:right w:val="nil"/>
            </w:tcBorders>
            <w:shd w:val="clear" w:color="auto" w:fill="auto"/>
            <w:vAlign w:val="center"/>
            <w:hideMark/>
          </w:tcPr>
          <w:p w14:paraId="6FF845FF"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-8,4</w:t>
            </w:r>
          </w:p>
        </w:tc>
      </w:tr>
      <w:tr w:rsidR="001006BF" w:rsidRPr="006D0C70" w14:paraId="7D2914BF" w14:textId="77777777" w:rsidTr="001006BF">
        <w:trPr>
          <w:trHeight w:val="510"/>
        </w:trPr>
        <w:tc>
          <w:tcPr>
            <w:tcW w:w="1647" w:type="pct"/>
            <w:tcBorders>
              <w:top w:val="nil"/>
              <w:left w:val="nil"/>
              <w:bottom w:val="nil"/>
              <w:right w:val="nil"/>
            </w:tcBorders>
            <w:shd w:val="clear" w:color="000000" w:fill="FFFFFF"/>
            <w:vAlign w:val="center"/>
          </w:tcPr>
          <w:p w14:paraId="429A43AB" w14:textId="77777777" w:rsidR="001006BF" w:rsidRPr="006D0C70" w:rsidRDefault="001006BF" w:rsidP="001006BF">
            <w:pPr>
              <w:spacing w:after="0" w:line="240" w:lineRule="auto"/>
              <w:jc w:val="left"/>
              <w:rPr>
                <w:rFonts w:eastAsia="Times New Roman" w:cs="Times New Roman"/>
                <w:color w:val="000000"/>
                <w:sz w:val="20"/>
                <w:szCs w:val="20"/>
                <w:lang w:eastAsia="sk-SK"/>
              </w:rPr>
            </w:pPr>
            <w:r w:rsidRPr="006D0C70">
              <w:rPr>
                <w:rFonts w:eastAsia="Times New Roman" w:cs="Times New Roman"/>
                <w:color w:val="000000"/>
                <w:sz w:val="20"/>
                <w:szCs w:val="20"/>
                <w:lang w:eastAsia="sk-SK"/>
              </w:rPr>
              <w:t>Strata na TVZ – podmienená platba</w:t>
            </w:r>
          </w:p>
        </w:tc>
        <w:tc>
          <w:tcPr>
            <w:tcW w:w="548" w:type="pct"/>
            <w:tcBorders>
              <w:top w:val="nil"/>
              <w:left w:val="nil"/>
              <w:bottom w:val="nil"/>
              <w:right w:val="nil"/>
            </w:tcBorders>
            <w:shd w:val="clear" w:color="000000" w:fill="FFFFFF"/>
            <w:noWrap/>
            <w:vAlign w:val="center"/>
          </w:tcPr>
          <w:p w14:paraId="3322D322" w14:textId="77777777" w:rsidR="001006BF" w:rsidRPr="006D0C70"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0</w:t>
            </w:r>
          </w:p>
        </w:tc>
        <w:tc>
          <w:tcPr>
            <w:tcW w:w="547" w:type="pct"/>
            <w:tcBorders>
              <w:top w:val="nil"/>
              <w:left w:val="nil"/>
              <w:bottom w:val="nil"/>
              <w:right w:val="nil"/>
            </w:tcBorders>
            <w:shd w:val="clear" w:color="000000" w:fill="FFFFFF"/>
            <w:noWrap/>
            <w:vAlign w:val="center"/>
          </w:tcPr>
          <w:p w14:paraId="5A0A9B4A" w14:textId="77777777" w:rsidR="001006BF" w:rsidRPr="006D0C70"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277 251</w:t>
            </w:r>
          </w:p>
        </w:tc>
        <w:tc>
          <w:tcPr>
            <w:tcW w:w="625" w:type="pct"/>
            <w:tcBorders>
              <w:top w:val="nil"/>
              <w:left w:val="nil"/>
              <w:bottom w:val="nil"/>
              <w:right w:val="nil"/>
            </w:tcBorders>
            <w:shd w:val="clear" w:color="000000" w:fill="FFFFFF"/>
            <w:noWrap/>
            <w:vAlign w:val="center"/>
          </w:tcPr>
          <w:p w14:paraId="63F43ADA" w14:textId="77777777" w:rsidR="001006BF" w:rsidRPr="006D0C70"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0</w:t>
            </w:r>
          </w:p>
        </w:tc>
        <w:tc>
          <w:tcPr>
            <w:tcW w:w="547" w:type="pct"/>
            <w:tcBorders>
              <w:top w:val="nil"/>
              <w:left w:val="nil"/>
              <w:bottom w:val="nil"/>
              <w:right w:val="nil"/>
            </w:tcBorders>
            <w:shd w:val="clear" w:color="000000" w:fill="FFFFFF"/>
            <w:noWrap/>
            <w:vAlign w:val="center"/>
          </w:tcPr>
          <w:p w14:paraId="2B829649"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0</w:t>
            </w:r>
          </w:p>
        </w:tc>
        <w:tc>
          <w:tcPr>
            <w:tcW w:w="625" w:type="pct"/>
            <w:gridSpan w:val="2"/>
            <w:tcBorders>
              <w:top w:val="nil"/>
              <w:left w:val="nil"/>
              <w:bottom w:val="nil"/>
              <w:right w:val="nil"/>
            </w:tcBorders>
            <w:shd w:val="clear" w:color="000000" w:fill="FFFFFF"/>
            <w:noWrap/>
            <w:vAlign w:val="center"/>
          </w:tcPr>
          <w:p w14:paraId="4BCC473C"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0</w:t>
            </w:r>
          </w:p>
        </w:tc>
        <w:tc>
          <w:tcPr>
            <w:tcW w:w="461" w:type="pct"/>
            <w:tcBorders>
              <w:top w:val="nil"/>
              <w:left w:val="nil"/>
              <w:bottom w:val="nil"/>
              <w:right w:val="nil"/>
            </w:tcBorders>
            <w:shd w:val="clear" w:color="auto" w:fill="auto"/>
            <w:vAlign w:val="center"/>
          </w:tcPr>
          <w:p w14:paraId="76D5A508"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0,0</w:t>
            </w:r>
          </w:p>
        </w:tc>
      </w:tr>
      <w:tr w:rsidR="001006BF" w:rsidRPr="0078225F" w14:paraId="5BEE2FA1" w14:textId="77777777" w:rsidTr="002C39DC">
        <w:trPr>
          <w:trHeight w:val="330"/>
        </w:trPr>
        <w:tc>
          <w:tcPr>
            <w:tcW w:w="1647" w:type="pct"/>
            <w:tcBorders>
              <w:top w:val="single" w:sz="4" w:space="0" w:color="auto"/>
              <w:left w:val="nil"/>
              <w:bottom w:val="nil"/>
              <w:right w:val="nil"/>
            </w:tcBorders>
            <w:shd w:val="clear" w:color="000000" w:fill="FFFFFF"/>
            <w:vAlign w:val="center"/>
            <w:hideMark/>
          </w:tcPr>
          <w:p w14:paraId="2C0DD282" w14:textId="636A4FE6" w:rsidR="001006BF" w:rsidRPr="0078225F" w:rsidRDefault="001006BF" w:rsidP="001006BF">
            <w:pPr>
              <w:spacing w:after="0" w:line="240" w:lineRule="auto"/>
              <w:jc w:val="left"/>
              <w:rPr>
                <w:rFonts w:eastAsia="Times New Roman" w:cs="Times New Roman"/>
                <w:b/>
                <w:bCs/>
                <w:i/>
                <w:color w:val="000000"/>
                <w:sz w:val="20"/>
                <w:szCs w:val="20"/>
                <w:lang w:eastAsia="sk-SK"/>
              </w:rPr>
            </w:pPr>
            <w:r w:rsidRPr="0078225F">
              <w:rPr>
                <w:rFonts w:eastAsia="Times New Roman" w:cs="Times New Roman"/>
                <w:b/>
                <w:bCs/>
                <w:i/>
                <w:color w:val="000000"/>
                <w:sz w:val="20"/>
                <w:szCs w:val="20"/>
                <w:lang w:eastAsia="sk-SK"/>
              </w:rPr>
              <w:t>Odvody do rozpočtu EÚ spolu</w:t>
            </w:r>
          </w:p>
        </w:tc>
        <w:tc>
          <w:tcPr>
            <w:tcW w:w="548" w:type="pct"/>
            <w:tcBorders>
              <w:top w:val="single" w:sz="4" w:space="0" w:color="auto"/>
              <w:left w:val="nil"/>
              <w:bottom w:val="nil"/>
              <w:right w:val="nil"/>
            </w:tcBorders>
            <w:shd w:val="clear" w:color="000000" w:fill="FFFFFF"/>
            <w:noWrap/>
            <w:vAlign w:val="center"/>
            <w:hideMark/>
          </w:tcPr>
          <w:p w14:paraId="29518717" w14:textId="77777777" w:rsidR="001006BF" w:rsidRPr="0078225F" w:rsidRDefault="001006BF" w:rsidP="001006BF">
            <w:pPr>
              <w:spacing w:after="0" w:line="240" w:lineRule="auto"/>
              <w:jc w:val="right"/>
              <w:rPr>
                <w:rFonts w:eastAsia="Times New Roman" w:cs="Times New Roman"/>
                <w:b/>
                <w:bCs/>
                <w:i/>
                <w:color w:val="000000"/>
                <w:sz w:val="20"/>
                <w:szCs w:val="20"/>
                <w:lang w:eastAsia="sk-SK"/>
              </w:rPr>
            </w:pPr>
            <w:r w:rsidRPr="0078225F">
              <w:rPr>
                <w:rFonts w:eastAsia="Times New Roman" w:cs="Times New Roman"/>
                <w:b/>
                <w:bCs/>
                <w:i/>
                <w:color w:val="000000"/>
                <w:sz w:val="20"/>
                <w:szCs w:val="20"/>
                <w:lang w:eastAsia="sk-SK"/>
              </w:rPr>
              <w:t>956 945</w:t>
            </w:r>
          </w:p>
        </w:tc>
        <w:tc>
          <w:tcPr>
            <w:tcW w:w="547" w:type="pct"/>
            <w:tcBorders>
              <w:top w:val="single" w:sz="4" w:space="0" w:color="auto"/>
              <w:left w:val="nil"/>
              <w:bottom w:val="nil"/>
              <w:right w:val="nil"/>
            </w:tcBorders>
            <w:shd w:val="clear" w:color="000000" w:fill="FFFFFF"/>
            <w:noWrap/>
            <w:vAlign w:val="center"/>
            <w:hideMark/>
          </w:tcPr>
          <w:p w14:paraId="37B84A3C" w14:textId="77777777" w:rsidR="001006BF" w:rsidRPr="0078225F" w:rsidRDefault="001006BF" w:rsidP="001006BF">
            <w:pPr>
              <w:spacing w:after="0" w:line="240" w:lineRule="auto"/>
              <w:jc w:val="right"/>
              <w:rPr>
                <w:rFonts w:eastAsia="Times New Roman" w:cs="Times New Roman"/>
                <w:b/>
                <w:bCs/>
                <w:i/>
                <w:color w:val="000000"/>
                <w:sz w:val="20"/>
                <w:szCs w:val="20"/>
                <w:lang w:eastAsia="sk-SK"/>
              </w:rPr>
            </w:pPr>
            <w:r w:rsidRPr="0078225F">
              <w:rPr>
                <w:rFonts w:eastAsia="Times New Roman" w:cs="Times New Roman"/>
                <w:b/>
                <w:bCs/>
                <w:i/>
                <w:color w:val="000000"/>
                <w:sz w:val="20"/>
                <w:szCs w:val="20"/>
                <w:lang w:eastAsia="sk-SK"/>
              </w:rPr>
              <w:t>1 339 717</w:t>
            </w:r>
          </w:p>
        </w:tc>
        <w:tc>
          <w:tcPr>
            <w:tcW w:w="625" w:type="pct"/>
            <w:tcBorders>
              <w:top w:val="single" w:sz="4" w:space="0" w:color="auto"/>
              <w:left w:val="nil"/>
              <w:bottom w:val="nil"/>
              <w:right w:val="nil"/>
            </w:tcBorders>
            <w:shd w:val="clear" w:color="000000" w:fill="FFFFFF"/>
            <w:noWrap/>
            <w:vAlign w:val="center"/>
            <w:hideMark/>
          </w:tcPr>
          <w:p w14:paraId="3404A136" w14:textId="77777777" w:rsidR="001006BF" w:rsidRPr="0078225F" w:rsidRDefault="001006BF" w:rsidP="001006BF">
            <w:pPr>
              <w:spacing w:after="0" w:line="240" w:lineRule="auto"/>
              <w:jc w:val="right"/>
              <w:rPr>
                <w:rFonts w:eastAsia="Times New Roman" w:cs="Times New Roman"/>
                <w:b/>
                <w:bCs/>
                <w:i/>
                <w:color w:val="000000"/>
                <w:sz w:val="20"/>
                <w:szCs w:val="20"/>
                <w:lang w:eastAsia="sk-SK"/>
              </w:rPr>
            </w:pPr>
            <w:r w:rsidRPr="0078225F">
              <w:rPr>
                <w:rFonts w:eastAsia="Times New Roman" w:cs="Times New Roman"/>
                <w:b/>
                <w:bCs/>
                <w:i/>
                <w:color w:val="000000"/>
                <w:sz w:val="20"/>
                <w:szCs w:val="20"/>
                <w:lang w:eastAsia="sk-SK"/>
              </w:rPr>
              <w:t>1 107 318</w:t>
            </w:r>
          </w:p>
        </w:tc>
        <w:tc>
          <w:tcPr>
            <w:tcW w:w="547" w:type="pct"/>
            <w:tcBorders>
              <w:top w:val="single" w:sz="4" w:space="0" w:color="auto"/>
              <w:left w:val="nil"/>
              <w:bottom w:val="nil"/>
              <w:right w:val="nil"/>
            </w:tcBorders>
            <w:shd w:val="clear" w:color="000000" w:fill="FFFFFF"/>
            <w:noWrap/>
            <w:vAlign w:val="center"/>
            <w:hideMark/>
          </w:tcPr>
          <w:p w14:paraId="30A95E0C" w14:textId="77777777" w:rsidR="001006BF" w:rsidRPr="0078225F" w:rsidRDefault="001006BF" w:rsidP="001006BF">
            <w:pPr>
              <w:spacing w:after="0" w:line="240" w:lineRule="auto"/>
              <w:jc w:val="right"/>
              <w:rPr>
                <w:rFonts w:eastAsia="Times New Roman" w:cs="Times New Roman"/>
                <w:b/>
                <w:bCs/>
                <w:i/>
                <w:color w:val="000000"/>
                <w:sz w:val="20"/>
                <w:szCs w:val="20"/>
                <w:lang w:eastAsia="sk-SK"/>
              </w:rPr>
            </w:pPr>
            <w:r w:rsidRPr="0078225F">
              <w:rPr>
                <w:rFonts w:eastAsia="Times New Roman" w:cs="Times New Roman"/>
                <w:b/>
                <w:bCs/>
                <w:i/>
                <w:color w:val="000000"/>
                <w:sz w:val="20"/>
                <w:szCs w:val="20"/>
                <w:lang w:eastAsia="sk-SK"/>
              </w:rPr>
              <w:t>1 059 676</w:t>
            </w:r>
          </w:p>
        </w:tc>
        <w:tc>
          <w:tcPr>
            <w:tcW w:w="625" w:type="pct"/>
            <w:gridSpan w:val="2"/>
            <w:tcBorders>
              <w:top w:val="single" w:sz="4" w:space="0" w:color="auto"/>
              <w:left w:val="nil"/>
              <w:bottom w:val="nil"/>
              <w:right w:val="nil"/>
            </w:tcBorders>
            <w:shd w:val="clear" w:color="000000" w:fill="FFFFFF"/>
            <w:vAlign w:val="center"/>
            <w:hideMark/>
          </w:tcPr>
          <w:p w14:paraId="6C89CC7F" w14:textId="77777777" w:rsidR="001006BF" w:rsidRPr="0078225F" w:rsidRDefault="001006BF" w:rsidP="001006BF">
            <w:pPr>
              <w:spacing w:after="0" w:line="240" w:lineRule="auto"/>
              <w:jc w:val="right"/>
              <w:rPr>
                <w:rFonts w:eastAsia="Times New Roman" w:cs="Times New Roman"/>
                <w:b/>
                <w:bCs/>
                <w:i/>
                <w:color w:val="000000"/>
                <w:sz w:val="20"/>
                <w:szCs w:val="20"/>
                <w:lang w:eastAsia="sk-SK"/>
              </w:rPr>
            </w:pPr>
            <w:r w:rsidRPr="0078225F">
              <w:rPr>
                <w:rFonts w:eastAsia="Times New Roman" w:cs="Times New Roman"/>
                <w:b/>
                <w:bCs/>
                <w:i/>
                <w:color w:val="000000"/>
                <w:sz w:val="20"/>
                <w:szCs w:val="20"/>
                <w:lang w:eastAsia="sk-SK"/>
              </w:rPr>
              <w:t>-47 642</w:t>
            </w:r>
          </w:p>
        </w:tc>
        <w:tc>
          <w:tcPr>
            <w:tcW w:w="461" w:type="pct"/>
            <w:tcBorders>
              <w:top w:val="single" w:sz="4" w:space="0" w:color="auto"/>
              <w:left w:val="nil"/>
              <w:bottom w:val="nil"/>
              <w:right w:val="nil"/>
            </w:tcBorders>
            <w:shd w:val="clear" w:color="000000" w:fill="FFFFFF"/>
            <w:vAlign w:val="center"/>
            <w:hideMark/>
          </w:tcPr>
          <w:p w14:paraId="7D7711AE" w14:textId="77777777" w:rsidR="001006BF" w:rsidRPr="0078225F" w:rsidRDefault="001006BF" w:rsidP="001006BF">
            <w:pPr>
              <w:spacing w:after="0" w:line="240" w:lineRule="auto"/>
              <w:jc w:val="right"/>
              <w:rPr>
                <w:rFonts w:eastAsia="Times New Roman" w:cs="Times New Roman"/>
                <w:b/>
                <w:bCs/>
                <w:i/>
                <w:color w:val="000000"/>
                <w:sz w:val="20"/>
                <w:szCs w:val="20"/>
                <w:lang w:eastAsia="sk-SK"/>
              </w:rPr>
            </w:pPr>
            <w:r w:rsidRPr="0078225F">
              <w:rPr>
                <w:rFonts w:eastAsia="Times New Roman" w:cs="Times New Roman"/>
                <w:b/>
                <w:bCs/>
                <w:i/>
                <w:color w:val="000000"/>
                <w:sz w:val="20"/>
                <w:szCs w:val="20"/>
                <w:lang w:eastAsia="sk-SK"/>
              </w:rPr>
              <w:t>-4,3</w:t>
            </w:r>
          </w:p>
        </w:tc>
      </w:tr>
      <w:tr w:rsidR="001006BF" w:rsidRPr="006D0C70" w14:paraId="6821BB30" w14:textId="77777777" w:rsidTr="001006BF">
        <w:trPr>
          <w:trHeight w:val="510"/>
        </w:trPr>
        <w:tc>
          <w:tcPr>
            <w:tcW w:w="1647" w:type="pct"/>
            <w:tcBorders>
              <w:top w:val="nil"/>
              <w:left w:val="nil"/>
              <w:bottom w:val="nil"/>
              <w:right w:val="nil"/>
            </w:tcBorders>
            <w:shd w:val="clear" w:color="000000" w:fill="FFFFFF"/>
            <w:vAlign w:val="center"/>
            <w:hideMark/>
          </w:tcPr>
          <w:p w14:paraId="5BA61139" w14:textId="77777777" w:rsidR="001006BF" w:rsidRPr="006D0C70" w:rsidRDefault="001006BF" w:rsidP="001006BF">
            <w:pPr>
              <w:spacing w:after="0" w:line="240" w:lineRule="auto"/>
              <w:jc w:val="left"/>
              <w:rPr>
                <w:rFonts w:eastAsia="Times New Roman" w:cs="Times New Roman"/>
                <w:color w:val="000000"/>
                <w:sz w:val="20"/>
                <w:szCs w:val="20"/>
                <w:lang w:eastAsia="sk-SK"/>
              </w:rPr>
            </w:pPr>
            <w:r w:rsidRPr="006D0C70">
              <w:rPr>
                <w:rFonts w:eastAsia="Times New Roman" w:cs="Times New Roman"/>
                <w:color w:val="000000"/>
                <w:sz w:val="20"/>
                <w:szCs w:val="20"/>
                <w:lang w:eastAsia="sk-SK"/>
              </w:rPr>
              <w:t>Príspevky SR do Európskeho rozvojového fondu</w:t>
            </w:r>
          </w:p>
        </w:tc>
        <w:tc>
          <w:tcPr>
            <w:tcW w:w="548" w:type="pct"/>
            <w:tcBorders>
              <w:top w:val="nil"/>
              <w:left w:val="nil"/>
              <w:bottom w:val="nil"/>
              <w:right w:val="nil"/>
            </w:tcBorders>
            <w:shd w:val="clear" w:color="000000" w:fill="FFFFFF"/>
            <w:noWrap/>
            <w:vAlign w:val="center"/>
            <w:hideMark/>
          </w:tcPr>
          <w:p w14:paraId="0CEF9A77" w14:textId="77777777" w:rsidR="001006BF" w:rsidRPr="006D0C70"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17 181</w:t>
            </w:r>
          </w:p>
        </w:tc>
        <w:tc>
          <w:tcPr>
            <w:tcW w:w="547" w:type="pct"/>
            <w:tcBorders>
              <w:top w:val="nil"/>
              <w:left w:val="nil"/>
              <w:bottom w:val="nil"/>
              <w:right w:val="nil"/>
            </w:tcBorders>
            <w:shd w:val="clear" w:color="000000" w:fill="FFFFFF"/>
            <w:noWrap/>
            <w:vAlign w:val="center"/>
            <w:hideMark/>
          </w:tcPr>
          <w:p w14:paraId="5F058A24" w14:textId="77777777" w:rsidR="001006BF" w:rsidRPr="006D0C70"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14 930</w:t>
            </w:r>
          </w:p>
        </w:tc>
        <w:tc>
          <w:tcPr>
            <w:tcW w:w="625" w:type="pct"/>
            <w:tcBorders>
              <w:top w:val="nil"/>
              <w:left w:val="nil"/>
              <w:bottom w:val="nil"/>
              <w:right w:val="nil"/>
            </w:tcBorders>
            <w:shd w:val="clear" w:color="000000" w:fill="FFFFFF"/>
            <w:noWrap/>
            <w:vAlign w:val="center"/>
            <w:hideMark/>
          </w:tcPr>
          <w:p w14:paraId="729168C8"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10 600</w:t>
            </w:r>
          </w:p>
        </w:tc>
        <w:tc>
          <w:tcPr>
            <w:tcW w:w="547" w:type="pct"/>
            <w:tcBorders>
              <w:top w:val="nil"/>
              <w:left w:val="nil"/>
              <w:bottom w:val="nil"/>
              <w:right w:val="nil"/>
            </w:tcBorders>
            <w:shd w:val="clear" w:color="000000" w:fill="FFFFFF"/>
            <w:noWrap/>
            <w:vAlign w:val="center"/>
            <w:hideMark/>
          </w:tcPr>
          <w:p w14:paraId="4F6DBB77"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10 532</w:t>
            </w:r>
          </w:p>
        </w:tc>
        <w:tc>
          <w:tcPr>
            <w:tcW w:w="625" w:type="pct"/>
            <w:gridSpan w:val="2"/>
            <w:tcBorders>
              <w:top w:val="nil"/>
              <w:left w:val="nil"/>
              <w:bottom w:val="nil"/>
              <w:right w:val="nil"/>
            </w:tcBorders>
            <w:shd w:val="clear" w:color="000000" w:fill="FFFFFF"/>
            <w:vAlign w:val="center"/>
            <w:hideMark/>
          </w:tcPr>
          <w:p w14:paraId="3FBD92FB"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-68</w:t>
            </w:r>
          </w:p>
        </w:tc>
        <w:tc>
          <w:tcPr>
            <w:tcW w:w="461" w:type="pct"/>
            <w:tcBorders>
              <w:top w:val="nil"/>
              <w:left w:val="nil"/>
              <w:bottom w:val="nil"/>
              <w:right w:val="nil"/>
            </w:tcBorders>
            <w:shd w:val="clear" w:color="000000" w:fill="FFFFFF"/>
            <w:vAlign w:val="center"/>
            <w:hideMark/>
          </w:tcPr>
          <w:p w14:paraId="66BC7D59" w14:textId="77777777" w:rsidR="001006BF" w:rsidRPr="00BE2165" w:rsidRDefault="001006BF" w:rsidP="001006BF">
            <w:pPr>
              <w:spacing w:after="0" w:line="240" w:lineRule="auto"/>
              <w:jc w:val="right"/>
              <w:rPr>
                <w:rFonts w:eastAsia="Times New Roman" w:cs="Times New Roman"/>
                <w:color w:val="000000"/>
                <w:sz w:val="20"/>
                <w:szCs w:val="20"/>
                <w:lang w:eastAsia="sk-SK"/>
              </w:rPr>
            </w:pPr>
            <w:r w:rsidRPr="00BE2165">
              <w:rPr>
                <w:rFonts w:eastAsia="Times New Roman" w:cs="Times New Roman"/>
                <w:color w:val="000000"/>
                <w:sz w:val="20"/>
                <w:szCs w:val="20"/>
                <w:lang w:eastAsia="sk-SK"/>
              </w:rPr>
              <w:t>-0,6</w:t>
            </w:r>
          </w:p>
        </w:tc>
      </w:tr>
      <w:tr w:rsidR="001006BF" w:rsidRPr="006D0C70" w14:paraId="55DB0437" w14:textId="77777777" w:rsidTr="001006BF">
        <w:trPr>
          <w:trHeight w:val="330"/>
        </w:trPr>
        <w:tc>
          <w:tcPr>
            <w:tcW w:w="1647" w:type="pct"/>
            <w:tcBorders>
              <w:top w:val="nil"/>
              <w:left w:val="nil"/>
              <w:bottom w:val="nil"/>
              <w:right w:val="nil"/>
            </w:tcBorders>
            <w:shd w:val="clear" w:color="000000" w:fill="FFFFFF"/>
            <w:vAlign w:val="center"/>
            <w:hideMark/>
          </w:tcPr>
          <w:p w14:paraId="711703F1" w14:textId="77777777" w:rsidR="001006BF" w:rsidRPr="006D0C70" w:rsidRDefault="001006BF" w:rsidP="001006BF">
            <w:pPr>
              <w:spacing w:after="0" w:line="240" w:lineRule="auto"/>
              <w:jc w:val="left"/>
              <w:rPr>
                <w:rFonts w:eastAsia="Times New Roman" w:cs="Times New Roman"/>
                <w:b/>
                <w:bCs/>
                <w:color w:val="000000"/>
                <w:sz w:val="20"/>
                <w:szCs w:val="20"/>
                <w:lang w:eastAsia="sk-SK"/>
              </w:rPr>
            </w:pPr>
            <w:r w:rsidRPr="006D0C70">
              <w:rPr>
                <w:rFonts w:eastAsia="Times New Roman" w:cs="Times New Roman"/>
                <w:b/>
                <w:bCs/>
                <w:color w:val="000000"/>
                <w:sz w:val="20"/>
                <w:szCs w:val="20"/>
                <w:lang w:eastAsia="sk-SK"/>
              </w:rPr>
              <w:t>Odvody a príspevky SR spolu</w:t>
            </w:r>
          </w:p>
        </w:tc>
        <w:tc>
          <w:tcPr>
            <w:tcW w:w="548" w:type="pct"/>
            <w:tcBorders>
              <w:top w:val="nil"/>
              <w:left w:val="nil"/>
              <w:bottom w:val="nil"/>
              <w:right w:val="nil"/>
            </w:tcBorders>
            <w:shd w:val="clear" w:color="000000" w:fill="FFFFFF"/>
            <w:noWrap/>
            <w:vAlign w:val="center"/>
            <w:hideMark/>
          </w:tcPr>
          <w:p w14:paraId="1AFF16C9" w14:textId="77777777" w:rsidR="001006BF" w:rsidRPr="006D0C70"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974 126</w:t>
            </w:r>
          </w:p>
        </w:tc>
        <w:tc>
          <w:tcPr>
            <w:tcW w:w="547" w:type="pct"/>
            <w:tcBorders>
              <w:top w:val="nil"/>
              <w:left w:val="nil"/>
              <w:bottom w:val="nil"/>
              <w:right w:val="nil"/>
            </w:tcBorders>
            <w:shd w:val="clear" w:color="000000" w:fill="FFFFFF"/>
            <w:noWrap/>
            <w:vAlign w:val="center"/>
            <w:hideMark/>
          </w:tcPr>
          <w:p w14:paraId="4719D597" w14:textId="77777777" w:rsidR="001006BF" w:rsidRPr="006D0C70"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1 354 647</w:t>
            </w:r>
          </w:p>
        </w:tc>
        <w:tc>
          <w:tcPr>
            <w:tcW w:w="625" w:type="pct"/>
            <w:tcBorders>
              <w:top w:val="nil"/>
              <w:left w:val="nil"/>
              <w:bottom w:val="nil"/>
              <w:right w:val="nil"/>
            </w:tcBorders>
            <w:shd w:val="clear" w:color="000000" w:fill="FFFFFF"/>
            <w:noWrap/>
            <w:vAlign w:val="center"/>
            <w:hideMark/>
          </w:tcPr>
          <w:p w14:paraId="4523E104" w14:textId="77777777" w:rsidR="001006BF" w:rsidRPr="006D0C70"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1 117 918</w:t>
            </w:r>
          </w:p>
        </w:tc>
        <w:tc>
          <w:tcPr>
            <w:tcW w:w="547" w:type="pct"/>
            <w:tcBorders>
              <w:top w:val="nil"/>
              <w:left w:val="nil"/>
              <w:bottom w:val="nil"/>
              <w:right w:val="nil"/>
            </w:tcBorders>
            <w:shd w:val="clear" w:color="000000" w:fill="FFFFFF"/>
            <w:noWrap/>
            <w:vAlign w:val="center"/>
            <w:hideMark/>
          </w:tcPr>
          <w:p w14:paraId="0C7C2428"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1 070 208</w:t>
            </w:r>
          </w:p>
        </w:tc>
        <w:tc>
          <w:tcPr>
            <w:tcW w:w="625" w:type="pct"/>
            <w:gridSpan w:val="2"/>
            <w:tcBorders>
              <w:top w:val="nil"/>
              <w:left w:val="nil"/>
              <w:bottom w:val="nil"/>
              <w:right w:val="nil"/>
            </w:tcBorders>
            <w:shd w:val="clear" w:color="000000" w:fill="FFFFFF"/>
            <w:vAlign w:val="center"/>
            <w:hideMark/>
          </w:tcPr>
          <w:p w14:paraId="1183D3DF"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-47 710</w:t>
            </w:r>
          </w:p>
        </w:tc>
        <w:tc>
          <w:tcPr>
            <w:tcW w:w="461" w:type="pct"/>
            <w:tcBorders>
              <w:top w:val="nil"/>
              <w:left w:val="nil"/>
              <w:bottom w:val="nil"/>
              <w:right w:val="nil"/>
            </w:tcBorders>
            <w:shd w:val="clear" w:color="000000" w:fill="FFFFFF"/>
            <w:vAlign w:val="center"/>
            <w:hideMark/>
          </w:tcPr>
          <w:p w14:paraId="0963D47A"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rFonts w:eastAsia="Times New Roman" w:cs="Times New Roman"/>
                <w:b/>
                <w:bCs/>
                <w:color w:val="000000"/>
                <w:sz w:val="20"/>
                <w:szCs w:val="20"/>
                <w:lang w:eastAsia="sk-SK"/>
              </w:rPr>
              <w:t>-4,3</w:t>
            </w:r>
          </w:p>
        </w:tc>
      </w:tr>
      <w:tr w:rsidR="001006BF" w:rsidRPr="006D0C70" w14:paraId="73EEB9CA" w14:textId="77777777" w:rsidTr="001006BF">
        <w:trPr>
          <w:trHeight w:val="345"/>
        </w:trPr>
        <w:tc>
          <w:tcPr>
            <w:tcW w:w="1647" w:type="pct"/>
            <w:tcBorders>
              <w:top w:val="single" w:sz="4" w:space="0" w:color="auto"/>
              <w:left w:val="nil"/>
              <w:bottom w:val="single" w:sz="8" w:space="0" w:color="auto"/>
              <w:right w:val="nil"/>
            </w:tcBorders>
            <w:shd w:val="clear" w:color="000000" w:fill="FFFFFF"/>
            <w:vAlign w:val="center"/>
            <w:hideMark/>
          </w:tcPr>
          <w:p w14:paraId="4E3D9F27" w14:textId="77777777" w:rsidR="001006BF" w:rsidRPr="006D0C70" w:rsidRDefault="001006BF" w:rsidP="001006BF">
            <w:pPr>
              <w:spacing w:after="0" w:line="240" w:lineRule="auto"/>
              <w:jc w:val="left"/>
              <w:rPr>
                <w:rFonts w:eastAsia="Times New Roman" w:cs="Times New Roman"/>
                <w:b/>
                <w:bCs/>
                <w:color w:val="000000"/>
                <w:sz w:val="20"/>
                <w:szCs w:val="20"/>
                <w:lang w:eastAsia="sk-SK"/>
              </w:rPr>
            </w:pPr>
            <w:r w:rsidRPr="006D0C70">
              <w:rPr>
                <w:rFonts w:eastAsia="Times New Roman" w:cs="Times New Roman"/>
                <w:b/>
                <w:bCs/>
                <w:color w:val="000000"/>
                <w:sz w:val="20"/>
                <w:szCs w:val="20"/>
                <w:lang w:eastAsia="sk-SK"/>
              </w:rPr>
              <w:t>Čistá finančná pozícia</w:t>
            </w:r>
          </w:p>
        </w:tc>
        <w:tc>
          <w:tcPr>
            <w:tcW w:w="548" w:type="pct"/>
            <w:tcBorders>
              <w:top w:val="single" w:sz="4" w:space="0" w:color="auto"/>
              <w:left w:val="nil"/>
              <w:bottom w:val="single" w:sz="8" w:space="0" w:color="auto"/>
              <w:right w:val="nil"/>
            </w:tcBorders>
            <w:shd w:val="clear" w:color="000000" w:fill="FFFFFF"/>
            <w:noWrap/>
            <w:vAlign w:val="center"/>
            <w:hideMark/>
          </w:tcPr>
          <w:p w14:paraId="2D0F6799"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b/>
                <w:color w:val="000000"/>
                <w:sz w:val="20"/>
                <w:szCs w:val="20"/>
              </w:rPr>
              <w:t>1 577 234</w:t>
            </w:r>
          </w:p>
        </w:tc>
        <w:tc>
          <w:tcPr>
            <w:tcW w:w="547" w:type="pct"/>
            <w:tcBorders>
              <w:top w:val="single" w:sz="4" w:space="0" w:color="auto"/>
              <w:left w:val="nil"/>
              <w:bottom w:val="single" w:sz="8" w:space="0" w:color="auto"/>
              <w:right w:val="nil"/>
            </w:tcBorders>
            <w:shd w:val="clear" w:color="000000" w:fill="FFFFFF"/>
            <w:noWrap/>
            <w:vAlign w:val="center"/>
            <w:hideMark/>
          </w:tcPr>
          <w:p w14:paraId="4306168C"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b/>
                <w:color w:val="000000"/>
                <w:sz w:val="20"/>
                <w:szCs w:val="20"/>
              </w:rPr>
              <w:t>919 343</w:t>
            </w:r>
          </w:p>
        </w:tc>
        <w:tc>
          <w:tcPr>
            <w:tcW w:w="625" w:type="pct"/>
            <w:tcBorders>
              <w:top w:val="single" w:sz="4" w:space="0" w:color="auto"/>
              <w:left w:val="nil"/>
              <w:bottom w:val="single" w:sz="8" w:space="0" w:color="auto"/>
              <w:right w:val="nil"/>
            </w:tcBorders>
            <w:shd w:val="clear" w:color="000000" w:fill="FFFFFF"/>
            <w:noWrap/>
            <w:vAlign w:val="center"/>
            <w:hideMark/>
          </w:tcPr>
          <w:p w14:paraId="5B9BDB04"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b/>
                <w:color w:val="000000"/>
                <w:sz w:val="20"/>
                <w:szCs w:val="20"/>
              </w:rPr>
              <w:t>3 332 055</w:t>
            </w:r>
          </w:p>
        </w:tc>
        <w:tc>
          <w:tcPr>
            <w:tcW w:w="547" w:type="pct"/>
            <w:tcBorders>
              <w:top w:val="single" w:sz="4" w:space="0" w:color="auto"/>
              <w:left w:val="nil"/>
              <w:bottom w:val="single" w:sz="8" w:space="0" w:color="auto"/>
              <w:right w:val="nil"/>
            </w:tcBorders>
            <w:shd w:val="clear" w:color="000000" w:fill="FFFFFF"/>
            <w:noWrap/>
            <w:vAlign w:val="center"/>
            <w:hideMark/>
          </w:tcPr>
          <w:p w14:paraId="052E0059" w14:textId="77777777" w:rsidR="001006BF" w:rsidRPr="00BE2165" w:rsidRDefault="001006BF" w:rsidP="001006BF">
            <w:pPr>
              <w:spacing w:after="0" w:line="240" w:lineRule="auto"/>
              <w:jc w:val="right"/>
              <w:rPr>
                <w:rFonts w:eastAsia="Times New Roman" w:cs="Times New Roman"/>
                <w:b/>
                <w:bCs/>
                <w:color w:val="000000"/>
                <w:sz w:val="20"/>
                <w:szCs w:val="20"/>
                <w:lang w:eastAsia="sk-SK"/>
              </w:rPr>
            </w:pPr>
            <w:r w:rsidRPr="00BE2165">
              <w:rPr>
                <w:b/>
                <w:color w:val="000000"/>
                <w:sz w:val="20"/>
                <w:szCs w:val="20"/>
              </w:rPr>
              <w:t>1 117 494</w:t>
            </w:r>
          </w:p>
        </w:tc>
        <w:tc>
          <w:tcPr>
            <w:tcW w:w="625" w:type="pct"/>
            <w:gridSpan w:val="2"/>
            <w:tcBorders>
              <w:top w:val="single" w:sz="4" w:space="0" w:color="auto"/>
              <w:left w:val="nil"/>
              <w:bottom w:val="single" w:sz="8" w:space="0" w:color="auto"/>
              <w:right w:val="nil"/>
            </w:tcBorders>
            <w:shd w:val="clear" w:color="000000" w:fill="FFFFFF"/>
            <w:noWrap/>
            <w:vAlign w:val="center"/>
            <w:hideMark/>
          </w:tcPr>
          <w:p w14:paraId="50D00C48" w14:textId="77777777" w:rsidR="001006BF" w:rsidRPr="00BE2165" w:rsidRDefault="001006BF" w:rsidP="001006BF">
            <w:pPr>
              <w:spacing w:after="0" w:line="240" w:lineRule="auto"/>
              <w:jc w:val="right"/>
              <w:rPr>
                <w:rFonts w:eastAsia="Times New Roman" w:cs="Times New Roman"/>
                <w:b/>
                <w:bCs/>
                <w:color w:val="000000"/>
                <w:sz w:val="20"/>
                <w:szCs w:val="20"/>
                <w:highlight w:val="yellow"/>
                <w:lang w:eastAsia="sk-SK"/>
              </w:rPr>
            </w:pPr>
            <w:r w:rsidRPr="00BE2165">
              <w:rPr>
                <w:b/>
                <w:bCs/>
                <w:color w:val="000000"/>
                <w:sz w:val="20"/>
                <w:szCs w:val="20"/>
              </w:rPr>
              <w:t>-2 214 561</w:t>
            </w:r>
          </w:p>
        </w:tc>
        <w:tc>
          <w:tcPr>
            <w:tcW w:w="461" w:type="pct"/>
            <w:tcBorders>
              <w:top w:val="single" w:sz="4" w:space="0" w:color="auto"/>
              <w:left w:val="nil"/>
              <w:bottom w:val="single" w:sz="8" w:space="0" w:color="auto"/>
              <w:right w:val="nil"/>
            </w:tcBorders>
            <w:shd w:val="clear" w:color="000000" w:fill="FFFFFF"/>
            <w:noWrap/>
            <w:vAlign w:val="center"/>
            <w:hideMark/>
          </w:tcPr>
          <w:p w14:paraId="5873F79A" w14:textId="77777777" w:rsidR="001006BF" w:rsidRPr="00BE2165" w:rsidRDefault="001006BF" w:rsidP="001006BF">
            <w:pPr>
              <w:spacing w:after="0" w:line="240" w:lineRule="auto"/>
              <w:jc w:val="right"/>
              <w:rPr>
                <w:rFonts w:eastAsia="Times New Roman" w:cs="Times New Roman"/>
                <w:b/>
                <w:bCs/>
                <w:color w:val="000000"/>
                <w:sz w:val="20"/>
                <w:szCs w:val="20"/>
                <w:highlight w:val="yellow"/>
                <w:lang w:eastAsia="sk-SK"/>
              </w:rPr>
            </w:pPr>
            <w:r w:rsidRPr="00BE2165">
              <w:rPr>
                <w:b/>
                <w:bCs/>
                <w:color w:val="000000"/>
                <w:sz w:val="20"/>
                <w:szCs w:val="20"/>
              </w:rPr>
              <w:t>-66,5</w:t>
            </w:r>
          </w:p>
        </w:tc>
      </w:tr>
    </w:tbl>
    <w:p w14:paraId="285A7B56" w14:textId="77777777" w:rsidR="001006BF" w:rsidRPr="000461C0" w:rsidRDefault="001006BF" w:rsidP="001006BF">
      <w:pPr>
        <w:pStyle w:val="Zkladntext1"/>
        <w:tabs>
          <w:tab w:val="left" w:pos="-5103"/>
          <w:tab w:val="left" w:pos="-4962"/>
          <w:tab w:val="left" w:pos="-4820"/>
        </w:tabs>
        <w:spacing w:after="120" w:line="360" w:lineRule="auto"/>
        <w:jc w:val="right"/>
        <w:rPr>
          <w:rFonts w:ascii="Times New Roman" w:hAnsi="Times New Roman"/>
          <w:sz w:val="20"/>
        </w:rPr>
      </w:pPr>
      <w:r>
        <w:rPr>
          <w:rFonts w:ascii="Times New Roman" w:hAnsi="Times New Roman"/>
          <w:sz w:val="20"/>
          <w:lang w:val="sk-SK"/>
        </w:rPr>
        <w:tab/>
      </w:r>
      <w:r w:rsidRPr="000461C0">
        <w:rPr>
          <w:rFonts w:ascii="Times New Roman" w:hAnsi="Times New Roman"/>
          <w:sz w:val="20"/>
          <w:lang w:val="sk-SK"/>
        </w:rPr>
        <w:t>Zdroj</w:t>
      </w:r>
      <w:r w:rsidRPr="000461C0">
        <w:rPr>
          <w:rFonts w:ascii="Times New Roman" w:hAnsi="Times New Roman"/>
          <w:sz w:val="20"/>
        </w:rPr>
        <w:t>: MF SR</w:t>
      </w:r>
    </w:p>
    <w:p w14:paraId="323A5CF2" w14:textId="77777777" w:rsidR="001006BF" w:rsidRPr="006D0C70" w:rsidRDefault="001006BF" w:rsidP="001006BF">
      <w:pPr>
        <w:pStyle w:val="Zkladntext1"/>
        <w:tabs>
          <w:tab w:val="left" w:pos="-5103"/>
          <w:tab w:val="left" w:pos="-4962"/>
          <w:tab w:val="left" w:pos="-4820"/>
        </w:tabs>
        <w:spacing w:after="120"/>
        <w:jc w:val="both"/>
        <w:rPr>
          <w:rFonts w:ascii="Times New Roman" w:hAnsi="Times New Roman"/>
          <w:color w:val="auto"/>
          <w:szCs w:val="24"/>
          <w:lang w:val="sk-SK"/>
        </w:rPr>
      </w:pPr>
      <w:r w:rsidRPr="006D0C70">
        <w:rPr>
          <w:rFonts w:ascii="Times New Roman" w:hAnsi="Times New Roman"/>
          <w:b/>
          <w:i/>
          <w:color w:val="auto"/>
          <w:szCs w:val="24"/>
          <w:lang w:val="sk-SK"/>
        </w:rPr>
        <w:t>Odvody za tradičné vlastné zdroje</w:t>
      </w:r>
      <w:r w:rsidRPr="006D0C70">
        <w:rPr>
          <w:rFonts w:ascii="Times New Roman" w:hAnsi="Times New Roman"/>
          <w:color w:val="auto"/>
          <w:szCs w:val="24"/>
          <w:lang w:val="sk-SK"/>
        </w:rPr>
        <w:t xml:space="preserve"> (75 % z výberu cla) </w:t>
      </w:r>
      <w:r w:rsidRPr="005371DF">
        <w:rPr>
          <w:rFonts w:ascii="Times New Roman" w:hAnsi="Times New Roman"/>
          <w:color w:val="auto"/>
          <w:szCs w:val="24"/>
          <w:lang w:val="sk-SK"/>
        </w:rPr>
        <w:t>boli rozpočtované v sume 80</w:t>
      </w:r>
      <w:r>
        <w:rPr>
          <w:rFonts w:ascii="Times New Roman" w:hAnsi="Times New Roman"/>
          <w:color w:val="auto"/>
          <w:szCs w:val="24"/>
          <w:lang w:val="sk-SK"/>
        </w:rPr>
        <w:t> </w:t>
      </w:r>
      <w:r w:rsidRPr="005371DF">
        <w:rPr>
          <w:rFonts w:ascii="Times New Roman" w:hAnsi="Times New Roman"/>
          <w:color w:val="auto"/>
          <w:szCs w:val="24"/>
          <w:lang w:val="sk-SK"/>
        </w:rPr>
        <w:t xml:space="preserve">750 tis. eur. V priebehu roka 2022 však Slovenská republika odviedla </w:t>
      </w:r>
      <w:r>
        <w:rPr>
          <w:rFonts w:ascii="Times New Roman" w:hAnsi="Times New Roman"/>
          <w:color w:val="auto"/>
          <w:szCs w:val="24"/>
          <w:lang w:val="sk-SK"/>
        </w:rPr>
        <w:t>do rozpočtu EÚ 119 </w:t>
      </w:r>
      <w:r w:rsidRPr="005371DF">
        <w:rPr>
          <w:rFonts w:ascii="Times New Roman" w:hAnsi="Times New Roman"/>
          <w:color w:val="auto"/>
          <w:szCs w:val="24"/>
          <w:lang w:val="sk-SK"/>
        </w:rPr>
        <w:t>450 tis. eur</w:t>
      </w:r>
      <w:r w:rsidRPr="006D0C70">
        <w:rPr>
          <w:rFonts w:ascii="Times New Roman" w:hAnsi="Times New Roman"/>
          <w:color w:val="auto"/>
          <w:szCs w:val="24"/>
          <w:lang w:val="sk-SK"/>
        </w:rPr>
        <w:t>.</w:t>
      </w:r>
    </w:p>
    <w:p w14:paraId="040C8D6E" w14:textId="77777777" w:rsidR="001006BF" w:rsidRPr="00B1779D" w:rsidRDefault="001006BF" w:rsidP="001006BF">
      <w:pPr>
        <w:pStyle w:val="Zkladntext1"/>
        <w:tabs>
          <w:tab w:val="left" w:pos="-5103"/>
          <w:tab w:val="left" w:pos="-4962"/>
          <w:tab w:val="left" w:pos="-4820"/>
        </w:tabs>
        <w:spacing w:after="120"/>
        <w:jc w:val="both"/>
        <w:rPr>
          <w:rFonts w:ascii="Times New Roman" w:hAnsi="Times New Roman"/>
          <w:sz w:val="22"/>
          <w:szCs w:val="22"/>
          <w:lang w:val="sk-SK"/>
        </w:rPr>
      </w:pPr>
      <w:r w:rsidRPr="006D0C70">
        <w:rPr>
          <w:rFonts w:ascii="Times New Roman" w:hAnsi="Times New Roman"/>
          <w:b/>
          <w:i/>
          <w:color w:val="auto"/>
          <w:szCs w:val="24"/>
          <w:lang w:val="sk-SK"/>
        </w:rPr>
        <w:t>Ostatné odvody do rozpočtu EÚ</w:t>
      </w:r>
      <w:r w:rsidRPr="006D0C70">
        <w:rPr>
          <w:rFonts w:ascii="Times New Roman" w:hAnsi="Times New Roman"/>
          <w:color w:val="auto"/>
          <w:szCs w:val="24"/>
          <w:lang w:val="sk-SK"/>
        </w:rPr>
        <w:t xml:space="preserve"> </w:t>
      </w:r>
      <w:r w:rsidRPr="00B1779D">
        <w:rPr>
          <w:rFonts w:ascii="Times New Roman" w:hAnsi="Times New Roman"/>
          <w:color w:val="auto"/>
          <w:sz w:val="22"/>
          <w:szCs w:val="22"/>
          <w:lang w:val="sk-SK"/>
        </w:rPr>
        <w:t>(</w:t>
      </w:r>
      <w:r w:rsidRPr="005371DF">
        <w:rPr>
          <w:rFonts w:ascii="Times New Roman" w:hAnsi="Times New Roman"/>
          <w:color w:val="auto"/>
          <w:szCs w:val="24"/>
          <w:lang w:val="sk-SK"/>
        </w:rPr>
        <w:t>zdroj založený</w:t>
      </w:r>
      <w:r>
        <w:rPr>
          <w:rFonts w:ascii="Times New Roman" w:hAnsi="Times New Roman"/>
          <w:color w:val="auto"/>
          <w:szCs w:val="24"/>
          <w:lang w:val="sk-SK"/>
        </w:rPr>
        <w:t xml:space="preserve"> na DPH, zdroj založený na HND, </w:t>
      </w:r>
      <w:r w:rsidRPr="005371DF">
        <w:rPr>
          <w:rFonts w:ascii="Times New Roman" w:hAnsi="Times New Roman"/>
          <w:color w:val="auto"/>
          <w:szCs w:val="24"/>
          <w:lang w:val="sk-SK"/>
        </w:rPr>
        <w:t>zdroj založený na odpade z pla</w:t>
      </w:r>
      <w:r>
        <w:rPr>
          <w:rFonts w:ascii="Times New Roman" w:hAnsi="Times New Roman"/>
          <w:color w:val="auto"/>
          <w:szCs w:val="24"/>
          <w:lang w:val="sk-SK"/>
        </w:rPr>
        <w:t>s</w:t>
      </w:r>
      <w:r w:rsidRPr="005371DF">
        <w:rPr>
          <w:rFonts w:ascii="Times New Roman" w:hAnsi="Times New Roman"/>
          <w:color w:val="auto"/>
          <w:szCs w:val="24"/>
          <w:lang w:val="sk-SK"/>
        </w:rPr>
        <w:t>tových obalov, ktorý nie je recyklovaný</w:t>
      </w:r>
      <w:r>
        <w:rPr>
          <w:rStyle w:val="Odkaznapoznmkupodiarou"/>
          <w:rFonts w:ascii="Times New Roman" w:hAnsi="Times New Roman"/>
          <w:color w:val="auto"/>
          <w:szCs w:val="24"/>
          <w:lang w:val="sk-SK"/>
        </w:rPr>
        <w:footnoteReference w:id="38"/>
      </w:r>
      <w:r w:rsidRPr="005371DF">
        <w:rPr>
          <w:rFonts w:ascii="Times New Roman" w:hAnsi="Times New Roman"/>
          <w:color w:val="auto"/>
          <w:szCs w:val="24"/>
          <w:lang w:val="sk-SK"/>
        </w:rPr>
        <w:t>, podiel SR na korekciách pre Dánsko, Holandsko, Nemecko, Rakúsko a Švédsko) boli rozpočtované v sume 1 026 568 tis. eur. Skutočný odvod SR z vlastných zdrojov</w:t>
      </w:r>
      <w:r>
        <w:rPr>
          <w:rFonts w:ascii="Times New Roman" w:hAnsi="Times New Roman"/>
          <w:color w:val="auto"/>
          <w:szCs w:val="24"/>
          <w:lang w:val="sk-SK"/>
        </w:rPr>
        <w:t xml:space="preserve"> rozpočtu EÚ predstavoval sumu </w:t>
      </w:r>
      <w:r w:rsidRPr="005371DF">
        <w:rPr>
          <w:rFonts w:ascii="Times New Roman" w:hAnsi="Times New Roman"/>
          <w:color w:val="auto"/>
          <w:szCs w:val="24"/>
          <w:lang w:val="sk-SK"/>
        </w:rPr>
        <w:t xml:space="preserve">940 226 tis. eur a jeho </w:t>
      </w:r>
      <w:r w:rsidRPr="005371DF">
        <w:rPr>
          <w:rFonts w:ascii="Times New Roman" w:hAnsi="Times New Roman"/>
          <w:color w:val="auto"/>
          <w:szCs w:val="24"/>
          <w:lang w:val="sk-SK"/>
        </w:rPr>
        <w:lastRenderedPageBreak/>
        <w:t>zníženie bolo ovplyvnené novelami rozpočtu EÚ, ktoré upravovali základ vlastného zdroja založeného na HND smerom nadol, vďaka presunom prebytku z minulého rozpočtového roka, zohľadnením ekonomického vývoja členských štátov EÚ ako aj zvýšeného príjmu z tradičného vlastného zdroja (cla) do rozpočtu EÚ.</w:t>
      </w:r>
    </w:p>
    <w:p w14:paraId="709A5C72" w14:textId="77777777" w:rsidR="001006BF" w:rsidRPr="006D0C70" w:rsidRDefault="001006BF" w:rsidP="001006BF">
      <w:pPr>
        <w:pStyle w:val="Zkladntext1"/>
        <w:tabs>
          <w:tab w:val="left" w:pos="-5103"/>
          <w:tab w:val="left" w:pos="-4962"/>
          <w:tab w:val="left" w:pos="-4820"/>
        </w:tabs>
        <w:spacing w:after="120"/>
        <w:jc w:val="both"/>
        <w:rPr>
          <w:rFonts w:ascii="Times New Roman" w:hAnsi="Times New Roman"/>
          <w:color w:val="auto"/>
          <w:szCs w:val="24"/>
          <w:lang w:val="sk-SK"/>
        </w:rPr>
      </w:pPr>
      <w:r w:rsidRPr="00A9663D">
        <w:rPr>
          <w:rFonts w:ascii="Times New Roman" w:hAnsi="Times New Roman"/>
          <w:b/>
          <w:color w:val="auto"/>
          <w:szCs w:val="24"/>
          <w:lang w:val="sk-SK"/>
        </w:rPr>
        <w:t>Príspevky Slovenskej republiky do Európskeho rozvojového fondu</w:t>
      </w:r>
      <w:r w:rsidRPr="006D0C70">
        <w:rPr>
          <w:rFonts w:ascii="Times New Roman" w:hAnsi="Times New Roman"/>
          <w:color w:val="auto"/>
          <w:szCs w:val="24"/>
          <w:lang w:val="sk-SK"/>
        </w:rPr>
        <w:t xml:space="preserve"> </w:t>
      </w:r>
      <w:r w:rsidRPr="005371DF">
        <w:rPr>
          <w:rFonts w:ascii="Times New Roman" w:hAnsi="Times New Roman"/>
          <w:color w:val="auto"/>
          <w:szCs w:val="24"/>
          <w:lang w:val="sk-SK"/>
        </w:rPr>
        <w:t>boli rozpočtované v sume 10</w:t>
      </w:r>
      <w:r>
        <w:rPr>
          <w:rFonts w:ascii="Times New Roman" w:hAnsi="Times New Roman"/>
          <w:color w:val="auto"/>
          <w:szCs w:val="24"/>
          <w:lang w:val="sk-SK"/>
        </w:rPr>
        <w:t> </w:t>
      </w:r>
      <w:r w:rsidRPr="005371DF">
        <w:rPr>
          <w:rFonts w:ascii="Times New Roman" w:hAnsi="Times New Roman"/>
          <w:color w:val="auto"/>
          <w:szCs w:val="24"/>
          <w:lang w:val="sk-SK"/>
        </w:rPr>
        <w:t>600</w:t>
      </w:r>
      <w:r>
        <w:rPr>
          <w:rFonts w:ascii="Times New Roman" w:hAnsi="Times New Roman"/>
          <w:color w:val="auto"/>
          <w:szCs w:val="24"/>
          <w:lang w:val="sk-SK"/>
        </w:rPr>
        <w:t> tis. </w:t>
      </w:r>
      <w:r w:rsidRPr="005371DF">
        <w:rPr>
          <w:rFonts w:ascii="Times New Roman" w:hAnsi="Times New Roman"/>
          <w:color w:val="auto"/>
          <w:szCs w:val="24"/>
          <w:lang w:val="sk-SK"/>
        </w:rPr>
        <w:t xml:space="preserve">eur a SR skutočne odviedla do </w:t>
      </w:r>
      <w:r>
        <w:rPr>
          <w:rFonts w:ascii="Times New Roman" w:hAnsi="Times New Roman"/>
          <w:color w:val="auto"/>
          <w:szCs w:val="24"/>
          <w:lang w:val="sk-SK"/>
        </w:rPr>
        <w:t>fondu 10 532 </w:t>
      </w:r>
      <w:r w:rsidRPr="005371DF">
        <w:rPr>
          <w:rFonts w:ascii="Times New Roman" w:hAnsi="Times New Roman"/>
          <w:color w:val="auto"/>
          <w:szCs w:val="24"/>
          <w:lang w:val="sk-SK"/>
        </w:rPr>
        <w:t>tis. eur.</w:t>
      </w:r>
    </w:p>
    <w:p w14:paraId="6CD9770D" w14:textId="77777777" w:rsidR="001006BF" w:rsidRPr="005371DF" w:rsidRDefault="001006BF" w:rsidP="001006BF">
      <w:pPr>
        <w:pStyle w:val="Zkladntext1"/>
        <w:tabs>
          <w:tab w:val="left" w:pos="-5103"/>
          <w:tab w:val="left" w:pos="-4962"/>
          <w:tab w:val="left" w:pos="-4820"/>
        </w:tabs>
        <w:spacing w:after="120"/>
        <w:jc w:val="both"/>
        <w:rPr>
          <w:rFonts w:ascii="Times New Roman" w:hAnsi="Times New Roman"/>
          <w:color w:val="auto"/>
          <w:szCs w:val="24"/>
          <w:lang w:val="sk-SK"/>
        </w:rPr>
      </w:pPr>
      <w:r w:rsidRPr="005371DF">
        <w:rPr>
          <w:rFonts w:ascii="Times New Roman" w:hAnsi="Times New Roman"/>
          <w:color w:val="auto"/>
          <w:szCs w:val="24"/>
          <w:lang w:val="sk-SK"/>
        </w:rPr>
        <w:t xml:space="preserve">Na základe realizovaných príjmov z rozpočtu EÚ v roku 2022 vo výške 2 187 702 tis. eur a odvodov a príspevkov do všeobecného rozpočtu EÚ vo výške 1 070 208 tis. eur predstavuje </w:t>
      </w:r>
      <w:r w:rsidRPr="005371DF">
        <w:rPr>
          <w:rFonts w:ascii="Times New Roman" w:hAnsi="Times New Roman"/>
          <w:b/>
          <w:szCs w:val="24"/>
          <w:lang w:val="sk-SK"/>
        </w:rPr>
        <w:t>čistá finančná pozícia Slovenskej republiky voči rozpočtu EÚ za rok 2022 sumu 1 117</w:t>
      </w:r>
      <w:r>
        <w:rPr>
          <w:rFonts w:ascii="Times New Roman" w:hAnsi="Times New Roman"/>
          <w:b/>
          <w:szCs w:val="24"/>
          <w:lang w:val="sk-SK"/>
        </w:rPr>
        <w:t> </w:t>
      </w:r>
      <w:r w:rsidRPr="005371DF">
        <w:rPr>
          <w:rFonts w:ascii="Times New Roman" w:hAnsi="Times New Roman"/>
          <w:b/>
          <w:szCs w:val="24"/>
          <w:lang w:val="sk-SK"/>
        </w:rPr>
        <w:t>494</w:t>
      </w:r>
      <w:r>
        <w:rPr>
          <w:rFonts w:ascii="Times New Roman" w:hAnsi="Times New Roman"/>
          <w:b/>
          <w:szCs w:val="24"/>
          <w:lang w:val="sk-SK"/>
        </w:rPr>
        <w:t> tis. </w:t>
      </w:r>
      <w:r w:rsidRPr="005371DF">
        <w:rPr>
          <w:rFonts w:ascii="Times New Roman" w:hAnsi="Times New Roman"/>
          <w:b/>
          <w:szCs w:val="24"/>
          <w:lang w:val="sk-SK"/>
        </w:rPr>
        <w:t>eur</w:t>
      </w:r>
      <w:r w:rsidRPr="005371DF">
        <w:rPr>
          <w:rFonts w:ascii="Times New Roman" w:hAnsi="Times New Roman"/>
          <w:szCs w:val="24"/>
          <w:lang w:val="sk-SK"/>
        </w:rPr>
        <w:t xml:space="preserve">, </w:t>
      </w:r>
      <w:r w:rsidRPr="005371DF">
        <w:rPr>
          <w:rFonts w:ascii="Times New Roman" w:hAnsi="Times New Roman"/>
          <w:color w:val="auto"/>
          <w:szCs w:val="24"/>
          <w:lang w:val="sk-SK"/>
        </w:rPr>
        <w:t>čo predstavuje medziročný nárast o</w:t>
      </w:r>
      <w:r>
        <w:rPr>
          <w:rFonts w:ascii="Times New Roman" w:hAnsi="Times New Roman"/>
          <w:color w:val="auto"/>
          <w:szCs w:val="24"/>
          <w:lang w:val="sk-SK"/>
        </w:rPr>
        <w:t> 198 </w:t>
      </w:r>
      <w:r w:rsidRPr="005371DF">
        <w:rPr>
          <w:rFonts w:ascii="Times New Roman" w:hAnsi="Times New Roman"/>
          <w:color w:val="auto"/>
          <w:szCs w:val="24"/>
          <w:lang w:val="sk-SK"/>
        </w:rPr>
        <w:t>151 tis. eur.</w:t>
      </w:r>
    </w:p>
    <w:p w14:paraId="6DB90E74" w14:textId="77777777" w:rsidR="001006BF" w:rsidRDefault="001006BF" w:rsidP="001006BF">
      <w:pPr>
        <w:spacing w:line="240" w:lineRule="auto"/>
        <w:rPr>
          <w:sz w:val="24"/>
          <w:szCs w:val="24"/>
        </w:rPr>
      </w:pPr>
      <w:r w:rsidRPr="00D715AF">
        <w:rPr>
          <w:sz w:val="24"/>
          <w:szCs w:val="24"/>
        </w:rPr>
        <w:t>Prehľad o ročných príjmoch z rozpočtu EÚ a odvodoch a príspevkoch Slovenskej republiky do všeobecného rozpočtu EÚ je uvedený v nasledovnej tabuľke:</w:t>
      </w:r>
    </w:p>
    <w:tbl>
      <w:tblPr>
        <w:tblW w:w="4923" w:type="pct"/>
        <w:tblCellMar>
          <w:left w:w="70" w:type="dxa"/>
          <w:right w:w="70" w:type="dxa"/>
        </w:tblCellMar>
        <w:tblLook w:val="04A0" w:firstRow="1" w:lastRow="0" w:firstColumn="1" w:lastColumn="0" w:noHBand="0" w:noVBand="1"/>
      </w:tblPr>
      <w:tblGrid>
        <w:gridCol w:w="709"/>
        <w:gridCol w:w="3544"/>
        <w:gridCol w:w="2126"/>
        <w:gridCol w:w="2693"/>
      </w:tblGrid>
      <w:tr w:rsidR="001006BF" w:rsidRPr="000461C0" w14:paraId="2C71BAD3" w14:textId="77777777" w:rsidTr="001006BF">
        <w:trPr>
          <w:trHeight w:val="525"/>
        </w:trPr>
        <w:tc>
          <w:tcPr>
            <w:tcW w:w="5000" w:type="pct"/>
            <w:gridSpan w:val="4"/>
            <w:tcBorders>
              <w:top w:val="nil"/>
              <w:left w:val="nil"/>
              <w:bottom w:val="single" w:sz="4" w:space="0" w:color="auto"/>
              <w:right w:val="nil"/>
            </w:tcBorders>
            <w:shd w:val="clear" w:color="000000" w:fill="auto"/>
            <w:vAlign w:val="bottom"/>
            <w:hideMark/>
          </w:tcPr>
          <w:p w14:paraId="6F6C6529" w14:textId="64684999" w:rsidR="001006BF" w:rsidRPr="000461C0" w:rsidRDefault="001006BF" w:rsidP="00077E09">
            <w:pPr>
              <w:spacing w:after="0" w:line="240" w:lineRule="auto"/>
              <w:jc w:val="left"/>
              <w:rPr>
                <w:rFonts w:eastAsia="Times New Roman" w:cs="Times New Roman"/>
                <w:b/>
                <w:bCs/>
                <w:color w:val="5B9BD5" w:themeColor="accent1"/>
                <w:sz w:val="20"/>
                <w:szCs w:val="20"/>
                <w:lang w:eastAsia="sk-SK"/>
              </w:rPr>
            </w:pPr>
            <w:r w:rsidRPr="00745CCE">
              <w:rPr>
                <w:rFonts w:eastAsia="Times New Roman" w:cs="Times New Roman"/>
                <w:b/>
                <w:bCs/>
                <w:color w:val="5B9BD5" w:themeColor="accent1"/>
                <w:sz w:val="20"/>
                <w:szCs w:val="20"/>
                <w:lang w:eastAsia="sk-SK"/>
              </w:rPr>
              <w:t xml:space="preserve">Tabuľka </w:t>
            </w:r>
            <w:r w:rsidR="00240940">
              <w:rPr>
                <w:rFonts w:eastAsia="Times New Roman" w:cs="Times New Roman"/>
                <w:b/>
                <w:bCs/>
                <w:color w:val="5B9BD5" w:themeColor="accent1"/>
                <w:sz w:val="20"/>
                <w:szCs w:val="20"/>
                <w:lang w:eastAsia="sk-SK"/>
              </w:rPr>
              <w:t>6</w:t>
            </w:r>
            <w:r w:rsidR="00077E09">
              <w:rPr>
                <w:rFonts w:eastAsia="Times New Roman" w:cs="Times New Roman"/>
                <w:b/>
                <w:bCs/>
                <w:color w:val="5B9BD5" w:themeColor="accent1"/>
                <w:sz w:val="20"/>
                <w:szCs w:val="20"/>
                <w:lang w:eastAsia="sk-SK"/>
              </w:rPr>
              <w:t>2</w:t>
            </w:r>
            <w:r>
              <w:rPr>
                <w:rFonts w:eastAsia="Times New Roman" w:cs="Times New Roman"/>
                <w:b/>
                <w:bCs/>
                <w:color w:val="5B9BD5" w:themeColor="accent1"/>
                <w:sz w:val="20"/>
                <w:szCs w:val="20"/>
                <w:lang w:eastAsia="sk-SK"/>
              </w:rPr>
              <w:t xml:space="preserve"> - </w:t>
            </w:r>
            <w:r w:rsidRPr="000461C0">
              <w:rPr>
                <w:rFonts w:eastAsia="Times New Roman" w:cs="Times New Roman"/>
                <w:b/>
                <w:bCs/>
                <w:color w:val="5B9BD5" w:themeColor="accent1"/>
                <w:sz w:val="20"/>
                <w:szCs w:val="20"/>
                <w:lang w:eastAsia="sk-SK"/>
              </w:rPr>
              <w:t xml:space="preserve">Prehľad o ročných príjmoch z rozpočtu EÚ a odvodoch a príspevkoch SR do všeobecného rozpočtu EÚ </w:t>
            </w:r>
          </w:p>
        </w:tc>
      </w:tr>
      <w:tr w:rsidR="001006BF" w:rsidRPr="00A9663D" w14:paraId="0F313B94" w14:textId="77777777" w:rsidTr="001006BF">
        <w:trPr>
          <w:trHeight w:val="525"/>
        </w:trPr>
        <w:tc>
          <w:tcPr>
            <w:tcW w:w="391" w:type="pct"/>
            <w:tcBorders>
              <w:top w:val="single" w:sz="4" w:space="0" w:color="auto"/>
              <w:left w:val="nil"/>
              <w:bottom w:val="single" w:sz="8" w:space="0" w:color="auto"/>
              <w:right w:val="nil"/>
            </w:tcBorders>
            <w:shd w:val="clear" w:color="000000" w:fill="auto"/>
            <w:vAlign w:val="center"/>
            <w:hideMark/>
          </w:tcPr>
          <w:p w14:paraId="2218FDE8" w14:textId="77777777" w:rsidR="001006BF" w:rsidRPr="00A9663D" w:rsidRDefault="001006BF" w:rsidP="001006BF">
            <w:pPr>
              <w:spacing w:after="0" w:line="240" w:lineRule="auto"/>
              <w:jc w:val="center"/>
              <w:rPr>
                <w:rFonts w:eastAsia="Times New Roman" w:cs="Times New Roman"/>
                <w:b/>
                <w:bCs/>
                <w:sz w:val="20"/>
                <w:szCs w:val="20"/>
                <w:lang w:eastAsia="sk-SK"/>
              </w:rPr>
            </w:pPr>
            <w:r w:rsidRPr="00A9663D">
              <w:rPr>
                <w:rFonts w:eastAsia="Times New Roman" w:cs="Times New Roman"/>
                <w:b/>
                <w:bCs/>
                <w:sz w:val="20"/>
                <w:szCs w:val="20"/>
                <w:lang w:eastAsia="sk-SK"/>
              </w:rPr>
              <w:t>Rok</w:t>
            </w:r>
          </w:p>
        </w:tc>
        <w:tc>
          <w:tcPr>
            <w:tcW w:w="1953" w:type="pct"/>
            <w:tcBorders>
              <w:top w:val="single" w:sz="4" w:space="0" w:color="auto"/>
              <w:left w:val="nil"/>
              <w:bottom w:val="single" w:sz="8" w:space="0" w:color="auto"/>
              <w:right w:val="nil"/>
            </w:tcBorders>
            <w:shd w:val="clear" w:color="000000" w:fill="auto"/>
            <w:vAlign w:val="center"/>
            <w:hideMark/>
          </w:tcPr>
          <w:p w14:paraId="33D16B2C" w14:textId="77777777" w:rsidR="001006BF" w:rsidRPr="00A9663D" w:rsidRDefault="001006BF" w:rsidP="001006BF">
            <w:pPr>
              <w:spacing w:after="0" w:line="240" w:lineRule="auto"/>
              <w:jc w:val="center"/>
              <w:rPr>
                <w:rFonts w:eastAsia="Times New Roman" w:cs="Times New Roman"/>
                <w:b/>
                <w:bCs/>
                <w:sz w:val="20"/>
                <w:szCs w:val="20"/>
                <w:lang w:eastAsia="sk-SK"/>
              </w:rPr>
            </w:pPr>
            <w:r w:rsidRPr="00A9663D">
              <w:rPr>
                <w:rFonts w:eastAsia="Times New Roman" w:cs="Times New Roman"/>
                <w:b/>
                <w:bCs/>
                <w:sz w:val="20"/>
                <w:szCs w:val="20"/>
                <w:lang w:eastAsia="sk-SK"/>
              </w:rPr>
              <w:t>Celkové príjmy</w:t>
            </w:r>
          </w:p>
        </w:tc>
        <w:tc>
          <w:tcPr>
            <w:tcW w:w="1172" w:type="pct"/>
            <w:tcBorders>
              <w:top w:val="single" w:sz="4" w:space="0" w:color="auto"/>
              <w:left w:val="nil"/>
              <w:bottom w:val="single" w:sz="8" w:space="0" w:color="auto"/>
              <w:right w:val="nil"/>
            </w:tcBorders>
            <w:shd w:val="clear" w:color="000000" w:fill="auto"/>
            <w:vAlign w:val="center"/>
            <w:hideMark/>
          </w:tcPr>
          <w:p w14:paraId="0409522D" w14:textId="77777777" w:rsidR="001006BF" w:rsidRPr="00A9663D" w:rsidRDefault="001006BF" w:rsidP="001006BF">
            <w:pPr>
              <w:spacing w:after="0" w:line="240" w:lineRule="auto"/>
              <w:jc w:val="center"/>
              <w:rPr>
                <w:rFonts w:eastAsia="Times New Roman" w:cs="Times New Roman"/>
                <w:b/>
                <w:bCs/>
                <w:sz w:val="20"/>
                <w:szCs w:val="20"/>
                <w:lang w:eastAsia="sk-SK"/>
              </w:rPr>
            </w:pPr>
            <w:r w:rsidRPr="00A9663D">
              <w:rPr>
                <w:rFonts w:eastAsia="Times New Roman" w:cs="Times New Roman"/>
                <w:b/>
                <w:bCs/>
                <w:sz w:val="20"/>
                <w:szCs w:val="20"/>
                <w:lang w:eastAsia="sk-SK"/>
              </w:rPr>
              <w:t>Celkové odvody a príspevky</w:t>
            </w:r>
          </w:p>
        </w:tc>
        <w:tc>
          <w:tcPr>
            <w:tcW w:w="1484" w:type="pct"/>
            <w:tcBorders>
              <w:top w:val="single" w:sz="4" w:space="0" w:color="auto"/>
              <w:left w:val="nil"/>
              <w:bottom w:val="single" w:sz="8" w:space="0" w:color="auto"/>
              <w:right w:val="nil"/>
            </w:tcBorders>
            <w:shd w:val="clear" w:color="000000" w:fill="auto"/>
            <w:vAlign w:val="center"/>
            <w:hideMark/>
          </w:tcPr>
          <w:p w14:paraId="74A23DFE" w14:textId="77777777" w:rsidR="001006BF" w:rsidRPr="00A9663D" w:rsidRDefault="001006BF" w:rsidP="001006BF">
            <w:pPr>
              <w:spacing w:after="0" w:line="240" w:lineRule="auto"/>
              <w:jc w:val="center"/>
              <w:rPr>
                <w:rFonts w:eastAsia="Times New Roman" w:cs="Times New Roman"/>
                <w:b/>
                <w:bCs/>
                <w:sz w:val="20"/>
                <w:szCs w:val="20"/>
                <w:lang w:eastAsia="sk-SK"/>
              </w:rPr>
            </w:pPr>
            <w:r w:rsidRPr="00A9663D">
              <w:rPr>
                <w:rFonts w:eastAsia="Times New Roman" w:cs="Times New Roman"/>
                <w:b/>
                <w:bCs/>
                <w:sz w:val="20"/>
                <w:szCs w:val="20"/>
                <w:lang w:eastAsia="sk-SK"/>
              </w:rPr>
              <w:t>Čistá finančná pozícia</w:t>
            </w:r>
          </w:p>
        </w:tc>
      </w:tr>
      <w:tr w:rsidR="001006BF" w:rsidRPr="00A9663D" w14:paraId="6D6F9F6C" w14:textId="77777777" w:rsidTr="001006BF">
        <w:trPr>
          <w:trHeight w:val="330"/>
        </w:trPr>
        <w:tc>
          <w:tcPr>
            <w:tcW w:w="391" w:type="pct"/>
            <w:tcBorders>
              <w:top w:val="nil"/>
              <w:left w:val="nil"/>
              <w:bottom w:val="nil"/>
              <w:right w:val="nil"/>
            </w:tcBorders>
            <w:shd w:val="clear" w:color="000000" w:fill="FFFFFF"/>
            <w:vAlign w:val="center"/>
            <w:hideMark/>
          </w:tcPr>
          <w:p w14:paraId="6EC74B72"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2004</w:t>
            </w:r>
          </w:p>
        </w:tc>
        <w:tc>
          <w:tcPr>
            <w:tcW w:w="1953" w:type="pct"/>
            <w:tcBorders>
              <w:top w:val="nil"/>
              <w:left w:val="nil"/>
              <w:bottom w:val="nil"/>
              <w:right w:val="nil"/>
            </w:tcBorders>
            <w:shd w:val="clear" w:color="000000" w:fill="FFFFFF"/>
            <w:noWrap/>
            <w:vAlign w:val="center"/>
            <w:hideMark/>
          </w:tcPr>
          <w:p w14:paraId="6EA63478"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303 990</w:t>
            </w:r>
          </w:p>
        </w:tc>
        <w:tc>
          <w:tcPr>
            <w:tcW w:w="1172" w:type="pct"/>
            <w:tcBorders>
              <w:top w:val="nil"/>
              <w:left w:val="nil"/>
              <w:bottom w:val="nil"/>
              <w:right w:val="nil"/>
            </w:tcBorders>
            <w:shd w:val="clear" w:color="000000" w:fill="FFFFFF"/>
            <w:noWrap/>
            <w:vAlign w:val="center"/>
            <w:hideMark/>
          </w:tcPr>
          <w:p w14:paraId="7937DAB3"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290 689</w:t>
            </w:r>
          </w:p>
        </w:tc>
        <w:tc>
          <w:tcPr>
            <w:tcW w:w="1484" w:type="pct"/>
            <w:tcBorders>
              <w:top w:val="nil"/>
              <w:left w:val="nil"/>
              <w:bottom w:val="nil"/>
              <w:right w:val="nil"/>
            </w:tcBorders>
            <w:shd w:val="clear" w:color="000000" w:fill="FFFFFF"/>
            <w:noWrap/>
            <w:vAlign w:val="center"/>
            <w:hideMark/>
          </w:tcPr>
          <w:p w14:paraId="6ECDEFA6"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13 301</w:t>
            </w:r>
          </w:p>
        </w:tc>
      </w:tr>
      <w:tr w:rsidR="001006BF" w:rsidRPr="00A9663D" w14:paraId="671A22E4" w14:textId="77777777" w:rsidTr="001006BF">
        <w:trPr>
          <w:trHeight w:val="330"/>
        </w:trPr>
        <w:tc>
          <w:tcPr>
            <w:tcW w:w="391" w:type="pct"/>
            <w:tcBorders>
              <w:top w:val="nil"/>
              <w:left w:val="nil"/>
              <w:bottom w:val="nil"/>
              <w:right w:val="nil"/>
            </w:tcBorders>
            <w:shd w:val="clear" w:color="000000" w:fill="FFFFFF"/>
            <w:vAlign w:val="center"/>
            <w:hideMark/>
          </w:tcPr>
          <w:p w14:paraId="6E43F6A1"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2005</w:t>
            </w:r>
          </w:p>
        </w:tc>
        <w:tc>
          <w:tcPr>
            <w:tcW w:w="1953" w:type="pct"/>
            <w:tcBorders>
              <w:top w:val="nil"/>
              <w:left w:val="nil"/>
              <w:bottom w:val="nil"/>
              <w:right w:val="nil"/>
            </w:tcBorders>
            <w:shd w:val="clear" w:color="000000" w:fill="FFFFFF"/>
            <w:noWrap/>
            <w:vAlign w:val="center"/>
            <w:hideMark/>
          </w:tcPr>
          <w:p w14:paraId="40597D31"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704 993</w:t>
            </w:r>
          </w:p>
        </w:tc>
        <w:tc>
          <w:tcPr>
            <w:tcW w:w="1172" w:type="pct"/>
            <w:tcBorders>
              <w:top w:val="nil"/>
              <w:left w:val="nil"/>
              <w:bottom w:val="nil"/>
              <w:right w:val="nil"/>
            </w:tcBorders>
            <w:shd w:val="clear" w:color="000000" w:fill="FFFFFF"/>
            <w:noWrap/>
            <w:vAlign w:val="center"/>
            <w:hideMark/>
          </w:tcPr>
          <w:p w14:paraId="4424A0A2"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485 614</w:t>
            </w:r>
          </w:p>
        </w:tc>
        <w:tc>
          <w:tcPr>
            <w:tcW w:w="1484" w:type="pct"/>
            <w:tcBorders>
              <w:top w:val="nil"/>
              <w:left w:val="nil"/>
              <w:bottom w:val="nil"/>
              <w:right w:val="nil"/>
            </w:tcBorders>
            <w:shd w:val="clear" w:color="000000" w:fill="FFFFFF"/>
            <w:noWrap/>
            <w:vAlign w:val="center"/>
            <w:hideMark/>
          </w:tcPr>
          <w:p w14:paraId="4C334CE7"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219 379</w:t>
            </w:r>
          </w:p>
        </w:tc>
      </w:tr>
      <w:tr w:rsidR="001006BF" w:rsidRPr="00A9663D" w14:paraId="35D5EC99" w14:textId="77777777" w:rsidTr="001006BF">
        <w:trPr>
          <w:trHeight w:val="330"/>
        </w:trPr>
        <w:tc>
          <w:tcPr>
            <w:tcW w:w="391" w:type="pct"/>
            <w:tcBorders>
              <w:top w:val="nil"/>
              <w:left w:val="nil"/>
              <w:bottom w:val="nil"/>
              <w:right w:val="nil"/>
            </w:tcBorders>
            <w:shd w:val="clear" w:color="000000" w:fill="FFFFFF"/>
            <w:vAlign w:val="center"/>
            <w:hideMark/>
          </w:tcPr>
          <w:p w14:paraId="70B97106"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2006</w:t>
            </w:r>
          </w:p>
        </w:tc>
        <w:tc>
          <w:tcPr>
            <w:tcW w:w="1953" w:type="pct"/>
            <w:tcBorders>
              <w:top w:val="nil"/>
              <w:left w:val="nil"/>
              <w:bottom w:val="nil"/>
              <w:right w:val="nil"/>
            </w:tcBorders>
            <w:shd w:val="clear" w:color="000000" w:fill="FFFFFF"/>
            <w:noWrap/>
            <w:vAlign w:val="center"/>
            <w:hideMark/>
          </w:tcPr>
          <w:p w14:paraId="1531D81C"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893 623</w:t>
            </w:r>
          </w:p>
        </w:tc>
        <w:tc>
          <w:tcPr>
            <w:tcW w:w="1172" w:type="pct"/>
            <w:tcBorders>
              <w:top w:val="nil"/>
              <w:left w:val="nil"/>
              <w:bottom w:val="nil"/>
              <w:right w:val="nil"/>
            </w:tcBorders>
            <w:shd w:val="clear" w:color="000000" w:fill="FFFFFF"/>
            <w:noWrap/>
            <w:vAlign w:val="center"/>
            <w:hideMark/>
          </w:tcPr>
          <w:p w14:paraId="343C776D"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526 326</w:t>
            </w:r>
          </w:p>
        </w:tc>
        <w:tc>
          <w:tcPr>
            <w:tcW w:w="1484" w:type="pct"/>
            <w:tcBorders>
              <w:top w:val="nil"/>
              <w:left w:val="nil"/>
              <w:bottom w:val="nil"/>
              <w:right w:val="nil"/>
            </w:tcBorders>
            <w:shd w:val="clear" w:color="000000" w:fill="FFFFFF"/>
            <w:noWrap/>
            <w:vAlign w:val="center"/>
            <w:hideMark/>
          </w:tcPr>
          <w:p w14:paraId="0EBE4E7E"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367 297</w:t>
            </w:r>
          </w:p>
        </w:tc>
      </w:tr>
      <w:tr w:rsidR="001006BF" w:rsidRPr="00A9663D" w14:paraId="7820DD75" w14:textId="77777777" w:rsidTr="001006BF">
        <w:trPr>
          <w:trHeight w:val="330"/>
        </w:trPr>
        <w:tc>
          <w:tcPr>
            <w:tcW w:w="391" w:type="pct"/>
            <w:tcBorders>
              <w:top w:val="nil"/>
              <w:left w:val="nil"/>
              <w:bottom w:val="nil"/>
              <w:right w:val="nil"/>
            </w:tcBorders>
            <w:shd w:val="clear" w:color="000000" w:fill="FFFFFF"/>
            <w:vAlign w:val="center"/>
            <w:hideMark/>
          </w:tcPr>
          <w:p w14:paraId="6AE28597"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2007</w:t>
            </w:r>
          </w:p>
        </w:tc>
        <w:tc>
          <w:tcPr>
            <w:tcW w:w="1953" w:type="pct"/>
            <w:tcBorders>
              <w:top w:val="nil"/>
              <w:left w:val="nil"/>
              <w:bottom w:val="nil"/>
              <w:right w:val="nil"/>
            </w:tcBorders>
            <w:shd w:val="clear" w:color="000000" w:fill="FFFFFF"/>
            <w:noWrap/>
            <w:vAlign w:val="center"/>
            <w:hideMark/>
          </w:tcPr>
          <w:p w14:paraId="0F2BF429"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910 838</w:t>
            </w:r>
          </w:p>
        </w:tc>
        <w:tc>
          <w:tcPr>
            <w:tcW w:w="1172" w:type="pct"/>
            <w:tcBorders>
              <w:top w:val="nil"/>
              <w:left w:val="nil"/>
              <w:bottom w:val="nil"/>
              <w:right w:val="nil"/>
            </w:tcBorders>
            <w:shd w:val="clear" w:color="000000" w:fill="FFFFFF"/>
            <w:noWrap/>
            <w:vAlign w:val="center"/>
            <w:hideMark/>
          </w:tcPr>
          <w:p w14:paraId="24427794"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589 800</w:t>
            </w:r>
          </w:p>
        </w:tc>
        <w:tc>
          <w:tcPr>
            <w:tcW w:w="1484" w:type="pct"/>
            <w:tcBorders>
              <w:top w:val="nil"/>
              <w:left w:val="nil"/>
              <w:bottom w:val="nil"/>
              <w:right w:val="nil"/>
            </w:tcBorders>
            <w:shd w:val="clear" w:color="000000" w:fill="FFFFFF"/>
            <w:noWrap/>
            <w:vAlign w:val="center"/>
            <w:hideMark/>
          </w:tcPr>
          <w:p w14:paraId="24F22276"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321 038</w:t>
            </w:r>
          </w:p>
        </w:tc>
      </w:tr>
      <w:tr w:rsidR="001006BF" w:rsidRPr="00A9663D" w14:paraId="7A6036DC" w14:textId="77777777" w:rsidTr="001006BF">
        <w:trPr>
          <w:trHeight w:val="330"/>
        </w:trPr>
        <w:tc>
          <w:tcPr>
            <w:tcW w:w="391" w:type="pct"/>
            <w:tcBorders>
              <w:top w:val="nil"/>
              <w:left w:val="nil"/>
              <w:bottom w:val="nil"/>
              <w:right w:val="nil"/>
            </w:tcBorders>
            <w:shd w:val="clear" w:color="000000" w:fill="FFFFFF"/>
            <w:vAlign w:val="center"/>
            <w:hideMark/>
          </w:tcPr>
          <w:p w14:paraId="1FDCD47B"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2008</w:t>
            </w:r>
          </w:p>
        </w:tc>
        <w:tc>
          <w:tcPr>
            <w:tcW w:w="1953" w:type="pct"/>
            <w:tcBorders>
              <w:top w:val="nil"/>
              <w:left w:val="nil"/>
              <w:bottom w:val="nil"/>
              <w:right w:val="nil"/>
            </w:tcBorders>
            <w:shd w:val="clear" w:color="000000" w:fill="FFFFFF"/>
            <w:noWrap/>
            <w:vAlign w:val="center"/>
            <w:hideMark/>
          </w:tcPr>
          <w:p w14:paraId="75D039A3"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893 497</w:t>
            </w:r>
          </w:p>
        </w:tc>
        <w:tc>
          <w:tcPr>
            <w:tcW w:w="1172" w:type="pct"/>
            <w:tcBorders>
              <w:top w:val="nil"/>
              <w:left w:val="nil"/>
              <w:bottom w:val="nil"/>
              <w:right w:val="nil"/>
            </w:tcBorders>
            <w:shd w:val="clear" w:color="000000" w:fill="FFFFFF"/>
            <w:noWrap/>
            <w:vAlign w:val="center"/>
            <w:hideMark/>
          </w:tcPr>
          <w:p w14:paraId="504022F1"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643 374</w:t>
            </w:r>
          </w:p>
        </w:tc>
        <w:tc>
          <w:tcPr>
            <w:tcW w:w="1484" w:type="pct"/>
            <w:tcBorders>
              <w:top w:val="nil"/>
              <w:left w:val="nil"/>
              <w:bottom w:val="nil"/>
              <w:right w:val="nil"/>
            </w:tcBorders>
            <w:shd w:val="clear" w:color="000000" w:fill="FFFFFF"/>
            <w:noWrap/>
            <w:vAlign w:val="center"/>
            <w:hideMark/>
          </w:tcPr>
          <w:p w14:paraId="478953CA"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250 123</w:t>
            </w:r>
          </w:p>
        </w:tc>
      </w:tr>
      <w:tr w:rsidR="001006BF" w:rsidRPr="00A9663D" w14:paraId="19359029" w14:textId="77777777" w:rsidTr="001006BF">
        <w:trPr>
          <w:trHeight w:val="330"/>
        </w:trPr>
        <w:tc>
          <w:tcPr>
            <w:tcW w:w="391" w:type="pct"/>
            <w:tcBorders>
              <w:top w:val="nil"/>
              <w:left w:val="nil"/>
              <w:bottom w:val="nil"/>
              <w:right w:val="nil"/>
            </w:tcBorders>
            <w:shd w:val="clear" w:color="000000" w:fill="FFFFFF"/>
            <w:vAlign w:val="center"/>
            <w:hideMark/>
          </w:tcPr>
          <w:p w14:paraId="582584E4"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2009</w:t>
            </w:r>
          </w:p>
        </w:tc>
        <w:tc>
          <w:tcPr>
            <w:tcW w:w="1953" w:type="pct"/>
            <w:tcBorders>
              <w:top w:val="nil"/>
              <w:left w:val="nil"/>
              <w:bottom w:val="nil"/>
              <w:right w:val="nil"/>
            </w:tcBorders>
            <w:shd w:val="clear" w:color="000000" w:fill="FFFFFF"/>
            <w:noWrap/>
            <w:vAlign w:val="center"/>
            <w:hideMark/>
          </w:tcPr>
          <w:p w14:paraId="3267F91E"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1 119 659</w:t>
            </w:r>
          </w:p>
        </w:tc>
        <w:tc>
          <w:tcPr>
            <w:tcW w:w="1172" w:type="pct"/>
            <w:tcBorders>
              <w:top w:val="nil"/>
              <w:left w:val="nil"/>
              <w:bottom w:val="nil"/>
              <w:right w:val="nil"/>
            </w:tcBorders>
            <w:shd w:val="clear" w:color="000000" w:fill="FFFFFF"/>
            <w:noWrap/>
            <w:vAlign w:val="center"/>
            <w:hideMark/>
          </w:tcPr>
          <w:p w14:paraId="59CCC904"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695 726</w:t>
            </w:r>
          </w:p>
        </w:tc>
        <w:tc>
          <w:tcPr>
            <w:tcW w:w="1484" w:type="pct"/>
            <w:tcBorders>
              <w:top w:val="nil"/>
              <w:left w:val="nil"/>
              <w:bottom w:val="nil"/>
              <w:right w:val="nil"/>
            </w:tcBorders>
            <w:shd w:val="clear" w:color="000000" w:fill="FFFFFF"/>
            <w:noWrap/>
            <w:vAlign w:val="center"/>
            <w:hideMark/>
          </w:tcPr>
          <w:p w14:paraId="2048857B"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423 933</w:t>
            </w:r>
          </w:p>
        </w:tc>
      </w:tr>
      <w:tr w:rsidR="001006BF" w:rsidRPr="00A9663D" w14:paraId="15DED2C2" w14:textId="77777777" w:rsidTr="001006BF">
        <w:trPr>
          <w:trHeight w:val="330"/>
        </w:trPr>
        <w:tc>
          <w:tcPr>
            <w:tcW w:w="391" w:type="pct"/>
            <w:tcBorders>
              <w:top w:val="nil"/>
              <w:left w:val="nil"/>
              <w:bottom w:val="nil"/>
              <w:right w:val="nil"/>
            </w:tcBorders>
            <w:shd w:val="clear" w:color="000000" w:fill="FFFFFF"/>
            <w:vAlign w:val="center"/>
            <w:hideMark/>
          </w:tcPr>
          <w:p w14:paraId="36E82B85"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2010</w:t>
            </w:r>
          </w:p>
        </w:tc>
        <w:tc>
          <w:tcPr>
            <w:tcW w:w="1953" w:type="pct"/>
            <w:tcBorders>
              <w:top w:val="nil"/>
              <w:left w:val="nil"/>
              <w:bottom w:val="nil"/>
              <w:right w:val="nil"/>
            </w:tcBorders>
            <w:shd w:val="clear" w:color="000000" w:fill="FFFFFF"/>
            <w:noWrap/>
            <w:vAlign w:val="center"/>
            <w:hideMark/>
          </w:tcPr>
          <w:p w14:paraId="03DA50C2"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1 672 483</w:t>
            </w:r>
          </w:p>
        </w:tc>
        <w:tc>
          <w:tcPr>
            <w:tcW w:w="1172" w:type="pct"/>
            <w:tcBorders>
              <w:top w:val="nil"/>
              <w:left w:val="nil"/>
              <w:bottom w:val="nil"/>
              <w:right w:val="nil"/>
            </w:tcBorders>
            <w:shd w:val="clear" w:color="000000" w:fill="FFFFFF"/>
            <w:noWrap/>
            <w:vAlign w:val="center"/>
            <w:hideMark/>
          </w:tcPr>
          <w:p w14:paraId="6958C1DF"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627 529</w:t>
            </w:r>
          </w:p>
        </w:tc>
        <w:tc>
          <w:tcPr>
            <w:tcW w:w="1484" w:type="pct"/>
            <w:tcBorders>
              <w:top w:val="nil"/>
              <w:left w:val="nil"/>
              <w:bottom w:val="nil"/>
              <w:right w:val="nil"/>
            </w:tcBorders>
            <w:shd w:val="clear" w:color="000000" w:fill="FFFFFF"/>
            <w:noWrap/>
            <w:vAlign w:val="center"/>
            <w:hideMark/>
          </w:tcPr>
          <w:p w14:paraId="0D1265FA"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1 044 954</w:t>
            </w:r>
          </w:p>
        </w:tc>
      </w:tr>
      <w:tr w:rsidR="001006BF" w:rsidRPr="00A9663D" w14:paraId="61D6FF07" w14:textId="77777777" w:rsidTr="001006BF">
        <w:trPr>
          <w:trHeight w:val="330"/>
        </w:trPr>
        <w:tc>
          <w:tcPr>
            <w:tcW w:w="391" w:type="pct"/>
            <w:tcBorders>
              <w:top w:val="nil"/>
              <w:left w:val="nil"/>
              <w:bottom w:val="nil"/>
              <w:right w:val="nil"/>
            </w:tcBorders>
            <w:shd w:val="clear" w:color="000000" w:fill="FFFFFF"/>
            <w:vAlign w:val="center"/>
            <w:hideMark/>
          </w:tcPr>
          <w:p w14:paraId="20481307"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2011</w:t>
            </w:r>
          </w:p>
        </w:tc>
        <w:tc>
          <w:tcPr>
            <w:tcW w:w="1953" w:type="pct"/>
            <w:tcBorders>
              <w:top w:val="nil"/>
              <w:left w:val="nil"/>
              <w:bottom w:val="nil"/>
              <w:right w:val="nil"/>
            </w:tcBorders>
            <w:shd w:val="clear" w:color="000000" w:fill="FFFFFF"/>
            <w:noWrap/>
            <w:vAlign w:val="center"/>
            <w:hideMark/>
          </w:tcPr>
          <w:p w14:paraId="080EB004"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2 041 093</w:t>
            </w:r>
          </w:p>
        </w:tc>
        <w:tc>
          <w:tcPr>
            <w:tcW w:w="1172" w:type="pct"/>
            <w:tcBorders>
              <w:top w:val="nil"/>
              <w:left w:val="nil"/>
              <w:bottom w:val="nil"/>
              <w:right w:val="nil"/>
            </w:tcBorders>
            <w:shd w:val="clear" w:color="000000" w:fill="FFFFFF"/>
            <w:noWrap/>
            <w:vAlign w:val="center"/>
            <w:hideMark/>
          </w:tcPr>
          <w:p w14:paraId="36832CF8"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704 656</w:t>
            </w:r>
          </w:p>
        </w:tc>
        <w:tc>
          <w:tcPr>
            <w:tcW w:w="1484" w:type="pct"/>
            <w:tcBorders>
              <w:top w:val="nil"/>
              <w:left w:val="nil"/>
              <w:bottom w:val="nil"/>
              <w:right w:val="nil"/>
            </w:tcBorders>
            <w:shd w:val="clear" w:color="000000" w:fill="FFFFFF"/>
            <w:noWrap/>
            <w:vAlign w:val="center"/>
            <w:hideMark/>
          </w:tcPr>
          <w:p w14:paraId="616103AD"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1 336 437</w:t>
            </w:r>
          </w:p>
        </w:tc>
      </w:tr>
      <w:tr w:rsidR="001006BF" w:rsidRPr="00A9663D" w14:paraId="7376BE4E" w14:textId="77777777" w:rsidTr="001006BF">
        <w:trPr>
          <w:trHeight w:val="330"/>
        </w:trPr>
        <w:tc>
          <w:tcPr>
            <w:tcW w:w="391" w:type="pct"/>
            <w:tcBorders>
              <w:top w:val="nil"/>
              <w:left w:val="nil"/>
              <w:bottom w:val="nil"/>
              <w:right w:val="nil"/>
            </w:tcBorders>
            <w:shd w:val="clear" w:color="000000" w:fill="FFFFFF"/>
            <w:vAlign w:val="center"/>
            <w:hideMark/>
          </w:tcPr>
          <w:p w14:paraId="1002A110"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2012</w:t>
            </w:r>
          </w:p>
        </w:tc>
        <w:tc>
          <w:tcPr>
            <w:tcW w:w="1953" w:type="pct"/>
            <w:tcBorders>
              <w:top w:val="nil"/>
              <w:left w:val="nil"/>
              <w:bottom w:val="nil"/>
              <w:right w:val="nil"/>
            </w:tcBorders>
            <w:shd w:val="clear" w:color="000000" w:fill="FFFFFF"/>
            <w:noWrap/>
            <w:vAlign w:val="center"/>
            <w:hideMark/>
          </w:tcPr>
          <w:p w14:paraId="4FE99D68"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2 137 849</w:t>
            </w:r>
          </w:p>
        </w:tc>
        <w:tc>
          <w:tcPr>
            <w:tcW w:w="1172" w:type="pct"/>
            <w:tcBorders>
              <w:top w:val="nil"/>
              <w:left w:val="nil"/>
              <w:bottom w:val="nil"/>
              <w:right w:val="nil"/>
            </w:tcBorders>
            <w:shd w:val="clear" w:color="000000" w:fill="FFFFFF"/>
            <w:noWrap/>
            <w:vAlign w:val="center"/>
            <w:hideMark/>
          </w:tcPr>
          <w:p w14:paraId="50487A45"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722 831</w:t>
            </w:r>
          </w:p>
        </w:tc>
        <w:tc>
          <w:tcPr>
            <w:tcW w:w="1484" w:type="pct"/>
            <w:tcBorders>
              <w:top w:val="nil"/>
              <w:left w:val="nil"/>
              <w:bottom w:val="nil"/>
              <w:right w:val="nil"/>
            </w:tcBorders>
            <w:shd w:val="clear" w:color="000000" w:fill="FFFFFF"/>
            <w:noWrap/>
            <w:vAlign w:val="center"/>
            <w:hideMark/>
          </w:tcPr>
          <w:p w14:paraId="07877A98"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1 415 018</w:t>
            </w:r>
          </w:p>
        </w:tc>
      </w:tr>
      <w:tr w:rsidR="001006BF" w:rsidRPr="00A9663D" w14:paraId="0D8CA03E" w14:textId="77777777" w:rsidTr="001006BF">
        <w:trPr>
          <w:trHeight w:val="330"/>
        </w:trPr>
        <w:tc>
          <w:tcPr>
            <w:tcW w:w="391" w:type="pct"/>
            <w:tcBorders>
              <w:top w:val="nil"/>
              <w:left w:val="nil"/>
              <w:bottom w:val="nil"/>
              <w:right w:val="nil"/>
            </w:tcBorders>
            <w:shd w:val="clear" w:color="000000" w:fill="FFFFFF"/>
            <w:vAlign w:val="center"/>
            <w:hideMark/>
          </w:tcPr>
          <w:p w14:paraId="2D6FB32B"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2013</w:t>
            </w:r>
          </w:p>
        </w:tc>
        <w:tc>
          <w:tcPr>
            <w:tcW w:w="1953" w:type="pct"/>
            <w:tcBorders>
              <w:top w:val="nil"/>
              <w:left w:val="nil"/>
              <w:bottom w:val="nil"/>
              <w:right w:val="nil"/>
            </w:tcBorders>
            <w:shd w:val="clear" w:color="000000" w:fill="FFFFFF"/>
            <w:noWrap/>
            <w:vAlign w:val="center"/>
            <w:hideMark/>
          </w:tcPr>
          <w:p w14:paraId="313943C7"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2 185 358</w:t>
            </w:r>
          </w:p>
        </w:tc>
        <w:tc>
          <w:tcPr>
            <w:tcW w:w="1172" w:type="pct"/>
            <w:tcBorders>
              <w:top w:val="nil"/>
              <w:left w:val="nil"/>
              <w:bottom w:val="nil"/>
              <w:right w:val="nil"/>
            </w:tcBorders>
            <w:shd w:val="clear" w:color="000000" w:fill="FFFFFF"/>
            <w:noWrap/>
            <w:vAlign w:val="center"/>
            <w:hideMark/>
          </w:tcPr>
          <w:p w14:paraId="7CE9E3E2"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825 098</w:t>
            </w:r>
          </w:p>
        </w:tc>
        <w:tc>
          <w:tcPr>
            <w:tcW w:w="1484" w:type="pct"/>
            <w:tcBorders>
              <w:top w:val="nil"/>
              <w:left w:val="nil"/>
              <w:bottom w:val="nil"/>
              <w:right w:val="nil"/>
            </w:tcBorders>
            <w:shd w:val="clear" w:color="000000" w:fill="FFFFFF"/>
            <w:noWrap/>
            <w:vAlign w:val="center"/>
            <w:hideMark/>
          </w:tcPr>
          <w:p w14:paraId="33D856F4"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1 360 260</w:t>
            </w:r>
          </w:p>
        </w:tc>
      </w:tr>
      <w:tr w:rsidR="001006BF" w:rsidRPr="00A9663D" w14:paraId="56F7832B" w14:textId="77777777" w:rsidTr="001006BF">
        <w:trPr>
          <w:trHeight w:val="330"/>
        </w:trPr>
        <w:tc>
          <w:tcPr>
            <w:tcW w:w="391" w:type="pct"/>
            <w:tcBorders>
              <w:top w:val="nil"/>
              <w:left w:val="nil"/>
              <w:bottom w:val="nil"/>
              <w:right w:val="nil"/>
            </w:tcBorders>
            <w:shd w:val="clear" w:color="000000" w:fill="FFFFFF"/>
            <w:vAlign w:val="center"/>
            <w:hideMark/>
          </w:tcPr>
          <w:p w14:paraId="66EC1694"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2014</w:t>
            </w:r>
          </w:p>
        </w:tc>
        <w:tc>
          <w:tcPr>
            <w:tcW w:w="1953" w:type="pct"/>
            <w:tcBorders>
              <w:top w:val="nil"/>
              <w:left w:val="nil"/>
              <w:bottom w:val="nil"/>
              <w:right w:val="nil"/>
            </w:tcBorders>
            <w:shd w:val="clear" w:color="000000" w:fill="FFFFFF"/>
            <w:noWrap/>
            <w:vAlign w:val="center"/>
            <w:hideMark/>
          </w:tcPr>
          <w:p w14:paraId="0A2B247B"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1 265 091</w:t>
            </w:r>
          </w:p>
        </w:tc>
        <w:tc>
          <w:tcPr>
            <w:tcW w:w="1172" w:type="pct"/>
            <w:tcBorders>
              <w:top w:val="nil"/>
              <w:left w:val="nil"/>
              <w:bottom w:val="nil"/>
              <w:right w:val="nil"/>
            </w:tcBorders>
            <w:shd w:val="clear" w:color="000000" w:fill="FFFFFF"/>
            <w:noWrap/>
            <w:vAlign w:val="center"/>
            <w:hideMark/>
          </w:tcPr>
          <w:p w14:paraId="342327B3"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785 366</w:t>
            </w:r>
          </w:p>
        </w:tc>
        <w:tc>
          <w:tcPr>
            <w:tcW w:w="1484" w:type="pct"/>
            <w:tcBorders>
              <w:top w:val="nil"/>
              <w:left w:val="nil"/>
              <w:bottom w:val="nil"/>
              <w:right w:val="nil"/>
            </w:tcBorders>
            <w:shd w:val="clear" w:color="000000" w:fill="FFFFFF"/>
            <w:noWrap/>
            <w:vAlign w:val="center"/>
            <w:hideMark/>
          </w:tcPr>
          <w:p w14:paraId="43B6CD87"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479 725</w:t>
            </w:r>
          </w:p>
        </w:tc>
      </w:tr>
      <w:tr w:rsidR="001006BF" w:rsidRPr="00A9663D" w14:paraId="69C5BB64" w14:textId="77777777" w:rsidTr="001006BF">
        <w:trPr>
          <w:trHeight w:val="330"/>
        </w:trPr>
        <w:tc>
          <w:tcPr>
            <w:tcW w:w="391" w:type="pct"/>
            <w:tcBorders>
              <w:top w:val="nil"/>
              <w:left w:val="nil"/>
              <w:bottom w:val="nil"/>
              <w:right w:val="nil"/>
            </w:tcBorders>
            <w:shd w:val="clear" w:color="000000" w:fill="FFFFFF"/>
            <w:vAlign w:val="center"/>
            <w:hideMark/>
          </w:tcPr>
          <w:p w14:paraId="706FDB44"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2015</w:t>
            </w:r>
          </w:p>
        </w:tc>
        <w:tc>
          <w:tcPr>
            <w:tcW w:w="1953" w:type="pct"/>
            <w:tcBorders>
              <w:top w:val="nil"/>
              <w:left w:val="nil"/>
              <w:bottom w:val="nil"/>
              <w:right w:val="nil"/>
            </w:tcBorders>
            <w:shd w:val="clear" w:color="auto" w:fill="auto"/>
            <w:noWrap/>
            <w:vAlign w:val="center"/>
            <w:hideMark/>
          </w:tcPr>
          <w:p w14:paraId="0E3BA6F5"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4 288 873</w:t>
            </w:r>
          </w:p>
        </w:tc>
        <w:tc>
          <w:tcPr>
            <w:tcW w:w="1172" w:type="pct"/>
            <w:tcBorders>
              <w:top w:val="nil"/>
              <w:left w:val="nil"/>
              <w:bottom w:val="nil"/>
              <w:right w:val="nil"/>
            </w:tcBorders>
            <w:shd w:val="clear" w:color="000000" w:fill="FFFFFF"/>
            <w:noWrap/>
            <w:vAlign w:val="center"/>
            <w:hideMark/>
          </w:tcPr>
          <w:p w14:paraId="2180C42C"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695 508</w:t>
            </w:r>
          </w:p>
        </w:tc>
        <w:tc>
          <w:tcPr>
            <w:tcW w:w="1484" w:type="pct"/>
            <w:tcBorders>
              <w:top w:val="nil"/>
              <w:left w:val="nil"/>
              <w:bottom w:val="nil"/>
              <w:right w:val="nil"/>
            </w:tcBorders>
            <w:shd w:val="clear" w:color="auto" w:fill="auto"/>
            <w:noWrap/>
            <w:vAlign w:val="center"/>
            <w:hideMark/>
          </w:tcPr>
          <w:p w14:paraId="63F2842E"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3 593 365</w:t>
            </w:r>
          </w:p>
        </w:tc>
      </w:tr>
      <w:tr w:rsidR="001006BF" w:rsidRPr="00A9663D" w14:paraId="007AA481" w14:textId="77777777" w:rsidTr="001006BF">
        <w:trPr>
          <w:trHeight w:val="330"/>
        </w:trPr>
        <w:tc>
          <w:tcPr>
            <w:tcW w:w="391" w:type="pct"/>
            <w:tcBorders>
              <w:top w:val="nil"/>
              <w:left w:val="nil"/>
              <w:bottom w:val="nil"/>
              <w:right w:val="nil"/>
            </w:tcBorders>
            <w:shd w:val="clear" w:color="000000" w:fill="FFFFFF"/>
            <w:vAlign w:val="center"/>
            <w:hideMark/>
          </w:tcPr>
          <w:p w14:paraId="61B2CDA2"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2016</w:t>
            </w:r>
          </w:p>
        </w:tc>
        <w:tc>
          <w:tcPr>
            <w:tcW w:w="1953" w:type="pct"/>
            <w:tcBorders>
              <w:top w:val="nil"/>
              <w:left w:val="nil"/>
              <w:bottom w:val="nil"/>
              <w:right w:val="nil"/>
            </w:tcBorders>
            <w:shd w:val="clear" w:color="000000" w:fill="FFFFFF"/>
            <w:noWrap/>
            <w:vAlign w:val="center"/>
            <w:hideMark/>
          </w:tcPr>
          <w:p w14:paraId="2387A5AE"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1 947 481</w:t>
            </w:r>
          </w:p>
        </w:tc>
        <w:tc>
          <w:tcPr>
            <w:tcW w:w="1172" w:type="pct"/>
            <w:tcBorders>
              <w:top w:val="nil"/>
              <w:left w:val="nil"/>
              <w:bottom w:val="nil"/>
              <w:right w:val="nil"/>
            </w:tcBorders>
            <w:shd w:val="clear" w:color="auto" w:fill="auto"/>
            <w:noWrap/>
            <w:vAlign w:val="center"/>
            <w:hideMark/>
          </w:tcPr>
          <w:p w14:paraId="25EBD848"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739 903</w:t>
            </w:r>
          </w:p>
        </w:tc>
        <w:tc>
          <w:tcPr>
            <w:tcW w:w="1484" w:type="pct"/>
            <w:tcBorders>
              <w:top w:val="nil"/>
              <w:left w:val="nil"/>
              <w:bottom w:val="nil"/>
              <w:right w:val="nil"/>
            </w:tcBorders>
            <w:shd w:val="clear" w:color="000000" w:fill="FFFFFF"/>
            <w:noWrap/>
            <w:vAlign w:val="center"/>
            <w:hideMark/>
          </w:tcPr>
          <w:p w14:paraId="63D5145A"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1 207 578</w:t>
            </w:r>
          </w:p>
        </w:tc>
      </w:tr>
      <w:tr w:rsidR="001006BF" w:rsidRPr="00A9663D" w14:paraId="1DF6F76E" w14:textId="77777777" w:rsidTr="001006BF">
        <w:trPr>
          <w:trHeight w:val="330"/>
        </w:trPr>
        <w:tc>
          <w:tcPr>
            <w:tcW w:w="391" w:type="pct"/>
            <w:tcBorders>
              <w:top w:val="nil"/>
              <w:left w:val="nil"/>
              <w:bottom w:val="nil"/>
              <w:right w:val="nil"/>
            </w:tcBorders>
            <w:shd w:val="clear" w:color="000000" w:fill="FFFFFF"/>
            <w:vAlign w:val="center"/>
            <w:hideMark/>
          </w:tcPr>
          <w:p w14:paraId="7C059A3D"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2017</w:t>
            </w:r>
          </w:p>
        </w:tc>
        <w:tc>
          <w:tcPr>
            <w:tcW w:w="1953" w:type="pct"/>
            <w:tcBorders>
              <w:top w:val="nil"/>
              <w:left w:val="nil"/>
              <w:bottom w:val="nil"/>
              <w:right w:val="nil"/>
            </w:tcBorders>
            <w:shd w:val="clear" w:color="000000" w:fill="FFFFFF"/>
            <w:noWrap/>
            <w:vAlign w:val="center"/>
            <w:hideMark/>
          </w:tcPr>
          <w:p w14:paraId="7DFB0AE5"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1 425 572</w:t>
            </w:r>
          </w:p>
        </w:tc>
        <w:tc>
          <w:tcPr>
            <w:tcW w:w="1172" w:type="pct"/>
            <w:tcBorders>
              <w:top w:val="nil"/>
              <w:left w:val="nil"/>
              <w:bottom w:val="nil"/>
              <w:right w:val="nil"/>
            </w:tcBorders>
            <w:shd w:val="clear" w:color="000000" w:fill="FFFFFF"/>
            <w:noWrap/>
            <w:vAlign w:val="center"/>
            <w:hideMark/>
          </w:tcPr>
          <w:p w14:paraId="22DDFEC9"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738 045</w:t>
            </w:r>
          </w:p>
        </w:tc>
        <w:tc>
          <w:tcPr>
            <w:tcW w:w="1484" w:type="pct"/>
            <w:tcBorders>
              <w:top w:val="nil"/>
              <w:left w:val="nil"/>
              <w:bottom w:val="nil"/>
              <w:right w:val="nil"/>
            </w:tcBorders>
            <w:shd w:val="clear" w:color="000000" w:fill="FFFFFF"/>
            <w:noWrap/>
            <w:vAlign w:val="center"/>
            <w:hideMark/>
          </w:tcPr>
          <w:p w14:paraId="398427C8"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687 527</w:t>
            </w:r>
          </w:p>
        </w:tc>
      </w:tr>
      <w:tr w:rsidR="001006BF" w:rsidRPr="00A9663D" w14:paraId="20279C08" w14:textId="77777777" w:rsidTr="001006BF">
        <w:trPr>
          <w:trHeight w:val="330"/>
        </w:trPr>
        <w:tc>
          <w:tcPr>
            <w:tcW w:w="391" w:type="pct"/>
            <w:tcBorders>
              <w:top w:val="nil"/>
              <w:left w:val="nil"/>
              <w:bottom w:val="nil"/>
              <w:right w:val="nil"/>
            </w:tcBorders>
            <w:shd w:val="clear" w:color="000000" w:fill="FFFFFF"/>
            <w:vAlign w:val="center"/>
            <w:hideMark/>
          </w:tcPr>
          <w:p w14:paraId="267EED49"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2018</w:t>
            </w:r>
          </w:p>
        </w:tc>
        <w:tc>
          <w:tcPr>
            <w:tcW w:w="1953" w:type="pct"/>
            <w:tcBorders>
              <w:top w:val="nil"/>
              <w:left w:val="nil"/>
              <w:bottom w:val="nil"/>
              <w:right w:val="nil"/>
            </w:tcBorders>
            <w:shd w:val="clear" w:color="000000" w:fill="FFFFFF"/>
            <w:noWrap/>
            <w:vAlign w:val="center"/>
            <w:hideMark/>
          </w:tcPr>
          <w:p w14:paraId="6E61D771"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2 169 732</w:t>
            </w:r>
          </w:p>
        </w:tc>
        <w:tc>
          <w:tcPr>
            <w:tcW w:w="1172" w:type="pct"/>
            <w:tcBorders>
              <w:top w:val="nil"/>
              <w:left w:val="nil"/>
              <w:bottom w:val="nil"/>
              <w:right w:val="nil"/>
            </w:tcBorders>
            <w:shd w:val="clear" w:color="auto" w:fill="auto"/>
            <w:noWrap/>
            <w:vAlign w:val="center"/>
            <w:hideMark/>
          </w:tcPr>
          <w:p w14:paraId="3A9306A8"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841 321</w:t>
            </w:r>
          </w:p>
        </w:tc>
        <w:tc>
          <w:tcPr>
            <w:tcW w:w="1484" w:type="pct"/>
            <w:tcBorders>
              <w:top w:val="nil"/>
              <w:left w:val="nil"/>
              <w:bottom w:val="nil"/>
              <w:right w:val="nil"/>
            </w:tcBorders>
            <w:shd w:val="clear" w:color="000000" w:fill="FFFFFF"/>
            <w:noWrap/>
            <w:vAlign w:val="center"/>
            <w:hideMark/>
          </w:tcPr>
          <w:p w14:paraId="35733792"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1 328 411</w:t>
            </w:r>
          </w:p>
        </w:tc>
      </w:tr>
      <w:tr w:rsidR="001006BF" w:rsidRPr="00A9663D" w14:paraId="79CE67BB" w14:textId="77777777" w:rsidTr="001006BF">
        <w:trPr>
          <w:trHeight w:val="330"/>
        </w:trPr>
        <w:tc>
          <w:tcPr>
            <w:tcW w:w="391" w:type="pct"/>
            <w:tcBorders>
              <w:top w:val="nil"/>
              <w:left w:val="nil"/>
              <w:bottom w:val="nil"/>
              <w:right w:val="nil"/>
            </w:tcBorders>
            <w:shd w:val="clear" w:color="000000" w:fill="FFFFFF"/>
            <w:vAlign w:val="center"/>
            <w:hideMark/>
          </w:tcPr>
          <w:p w14:paraId="2A999707"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2019</w:t>
            </w:r>
          </w:p>
        </w:tc>
        <w:tc>
          <w:tcPr>
            <w:tcW w:w="1953" w:type="pct"/>
            <w:tcBorders>
              <w:top w:val="nil"/>
              <w:left w:val="nil"/>
              <w:bottom w:val="nil"/>
              <w:right w:val="nil"/>
            </w:tcBorders>
            <w:shd w:val="clear" w:color="auto" w:fill="auto"/>
            <w:noWrap/>
            <w:vAlign w:val="center"/>
            <w:hideMark/>
          </w:tcPr>
          <w:p w14:paraId="6143C341"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2 126 943</w:t>
            </w:r>
          </w:p>
        </w:tc>
        <w:tc>
          <w:tcPr>
            <w:tcW w:w="1172" w:type="pct"/>
            <w:tcBorders>
              <w:top w:val="nil"/>
              <w:left w:val="nil"/>
              <w:bottom w:val="nil"/>
              <w:right w:val="nil"/>
            </w:tcBorders>
            <w:shd w:val="clear" w:color="000000" w:fill="FFFFFF"/>
            <w:noWrap/>
            <w:vAlign w:val="center"/>
            <w:hideMark/>
          </w:tcPr>
          <w:p w14:paraId="7FA67B09"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851 733</w:t>
            </w:r>
          </w:p>
        </w:tc>
        <w:tc>
          <w:tcPr>
            <w:tcW w:w="1484" w:type="pct"/>
            <w:tcBorders>
              <w:top w:val="nil"/>
              <w:left w:val="nil"/>
              <w:bottom w:val="nil"/>
              <w:right w:val="nil"/>
            </w:tcBorders>
            <w:shd w:val="clear" w:color="000000" w:fill="FFFFFF"/>
            <w:noWrap/>
            <w:vAlign w:val="center"/>
            <w:hideMark/>
          </w:tcPr>
          <w:p w14:paraId="30CB1416"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1 275 210</w:t>
            </w:r>
          </w:p>
        </w:tc>
      </w:tr>
      <w:tr w:rsidR="001006BF" w:rsidRPr="00A9663D" w14:paraId="44A4F3FC" w14:textId="77777777" w:rsidTr="001006BF">
        <w:trPr>
          <w:trHeight w:val="330"/>
        </w:trPr>
        <w:tc>
          <w:tcPr>
            <w:tcW w:w="391" w:type="pct"/>
            <w:tcBorders>
              <w:top w:val="nil"/>
              <w:left w:val="nil"/>
              <w:bottom w:val="nil"/>
              <w:right w:val="nil"/>
            </w:tcBorders>
            <w:shd w:val="clear" w:color="000000" w:fill="FFFFFF"/>
            <w:vAlign w:val="center"/>
          </w:tcPr>
          <w:p w14:paraId="7E6E65AB"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2020</w:t>
            </w:r>
          </w:p>
        </w:tc>
        <w:tc>
          <w:tcPr>
            <w:tcW w:w="1953" w:type="pct"/>
            <w:tcBorders>
              <w:top w:val="nil"/>
              <w:left w:val="nil"/>
              <w:bottom w:val="nil"/>
              <w:right w:val="nil"/>
            </w:tcBorders>
            <w:shd w:val="clear" w:color="auto" w:fill="auto"/>
            <w:noWrap/>
            <w:vAlign w:val="center"/>
          </w:tcPr>
          <w:p w14:paraId="6C3F5152"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2 551 360</w:t>
            </w:r>
          </w:p>
        </w:tc>
        <w:tc>
          <w:tcPr>
            <w:tcW w:w="1172" w:type="pct"/>
            <w:tcBorders>
              <w:top w:val="nil"/>
              <w:left w:val="nil"/>
              <w:bottom w:val="nil"/>
              <w:right w:val="nil"/>
            </w:tcBorders>
            <w:shd w:val="clear" w:color="000000" w:fill="FFFFFF"/>
            <w:noWrap/>
            <w:vAlign w:val="center"/>
          </w:tcPr>
          <w:p w14:paraId="541FAEE6"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974 126</w:t>
            </w:r>
          </w:p>
        </w:tc>
        <w:tc>
          <w:tcPr>
            <w:tcW w:w="1484" w:type="pct"/>
            <w:tcBorders>
              <w:top w:val="nil"/>
              <w:left w:val="nil"/>
              <w:bottom w:val="nil"/>
              <w:right w:val="nil"/>
            </w:tcBorders>
            <w:shd w:val="clear" w:color="000000" w:fill="FFFFFF"/>
            <w:noWrap/>
            <w:vAlign w:val="center"/>
          </w:tcPr>
          <w:p w14:paraId="5E858DFC"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1 577 234</w:t>
            </w:r>
          </w:p>
        </w:tc>
      </w:tr>
      <w:tr w:rsidR="001006BF" w:rsidRPr="00A9663D" w14:paraId="077D3E93" w14:textId="77777777" w:rsidTr="001006BF">
        <w:trPr>
          <w:trHeight w:val="330"/>
        </w:trPr>
        <w:tc>
          <w:tcPr>
            <w:tcW w:w="391" w:type="pct"/>
            <w:tcBorders>
              <w:top w:val="nil"/>
              <w:left w:val="nil"/>
              <w:bottom w:val="nil"/>
              <w:right w:val="nil"/>
            </w:tcBorders>
            <w:shd w:val="clear" w:color="000000" w:fill="FFFFFF"/>
            <w:vAlign w:val="center"/>
          </w:tcPr>
          <w:p w14:paraId="0730D28F"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2021</w:t>
            </w:r>
          </w:p>
        </w:tc>
        <w:tc>
          <w:tcPr>
            <w:tcW w:w="1953" w:type="pct"/>
            <w:tcBorders>
              <w:top w:val="nil"/>
              <w:left w:val="nil"/>
              <w:bottom w:val="nil"/>
              <w:right w:val="nil"/>
            </w:tcBorders>
            <w:shd w:val="clear" w:color="auto" w:fill="auto"/>
            <w:noWrap/>
            <w:vAlign w:val="center"/>
          </w:tcPr>
          <w:p w14:paraId="770A5A6A"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2 273 990</w:t>
            </w:r>
          </w:p>
        </w:tc>
        <w:tc>
          <w:tcPr>
            <w:tcW w:w="1172" w:type="pct"/>
            <w:tcBorders>
              <w:top w:val="nil"/>
              <w:left w:val="nil"/>
              <w:bottom w:val="nil"/>
              <w:right w:val="nil"/>
            </w:tcBorders>
            <w:shd w:val="clear" w:color="000000" w:fill="FFFFFF"/>
            <w:noWrap/>
            <w:vAlign w:val="center"/>
          </w:tcPr>
          <w:p w14:paraId="633B83A0"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1 354 647</w:t>
            </w:r>
          </w:p>
        </w:tc>
        <w:tc>
          <w:tcPr>
            <w:tcW w:w="1484" w:type="pct"/>
            <w:tcBorders>
              <w:top w:val="nil"/>
              <w:left w:val="nil"/>
              <w:bottom w:val="nil"/>
              <w:right w:val="nil"/>
            </w:tcBorders>
            <w:shd w:val="clear" w:color="000000" w:fill="FFFFFF"/>
            <w:noWrap/>
            <w:vAlign w:val="center"/>
          </w:tcPr>
          <w:p w14:paraId="7D357959"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A9663D">
              <w:rPr>
                <w:rFonts w:eastAsia="Times New Roman" w:cs="Times New Roman"/>
                <w:color w:val="000000"/>
                <w:sz w:val="20"/>
                <w:szCs w:val="20"/>
                <w:lang w:eastAsia="sk-SK"/>
              </w:rPr>
              <w:t>919 343</w:t>
            </w:r>
          </w:p>
        </w:tc>
      </w:tr>
      <w:tr w:rsidR="001006BF" w:rsidRPr="00A9663D" w14:paraId="6CA4CA8A" w14:textId="77777777" w:rsidTr="001006BF">
        <w:trPr>
          <w:trHeight w:val="330"/>
        </w:trPr>
        <w:tc>
          <w:tcPr>
            <w:tcW w:w="391" w:type="pct"/>
            <w:tcBorders>
              <w:top w:val="nil"/>
              <w:left w:val="nil"/>
              <w:bottom w:val="nil"/>
              <w:right w:val="nil"/>
            </w:tcBorders>
            <w:shd w:val="clear" w:color="000000" w:fill="FFFFFF"/>
            <w:vAlign w:val="center"/>
          </w:tcPr>
          <w:p w14:paraId="6AD64EF6"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Pr>
                <w:rFonts w:eastAsia="Times New Roman" w:cs="Times New Roman"/>
                <w:color w:val="000000"/>
                <w:sz w:val="20"/>
                <w:szCs w:val="20"/>
                <w:lang w:eastAsia="sk-SK"/>
              </w:rPr>
              <w:t>2022</w:t>
            </w:r>
          </w:p>
        </w:tc>
        <w:tc>
          <w:tcPr>
            <w:tcW w:w="1953" w:type="pct"/>
            <w:tcBorders>
              <w:top w:val="nil"/>
              <w:left w:val="nil"/>
              <w:bottom w:val="nil"/>
              <w:right w:val="nil"/>
            </w:tcBorders>
            <w:shd w:val="clear" w:color="auto" w:fill="auto"/>
            <w:noWrap/>
            <w:vAlign w:val="center"/>
          </w:tcPr>
          <w:p w14:paraId="3AA03119"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5371DF">
              <w:rPr>
                <w:rFonts w:eastAsia="Times New Roman" w:cs="Times New Roman"/>
                <w:color w:val="000000"/>
                <w:sz w:val="20"/>
                <w:szCs w:val="20"/>
                <w:lang w:eastAsia="sk-SK"/>
              </w:rPr>
              <w:t>2 187 702</w:t>
            </w:r>
          </w:p>
        </w:tc>
        <w:tc>
          <w:tcPr>
            <w:tcW w:w="1172" w:type="pct"/>
            <w:tcBorders>
              <w:top w:val="nil"/>
              <w:left w:val="nil"/>
              <w:bottom w:val="nil"/>
              <w:right w:val="nil"/>
            </w:tcBorders>
            <w:shd w:val="clear" w:color="000000" w:fill="FFFFFF"/>
            <w:noWrap/>
            <w:vAlign w:val="center"/>
          </w:tcPr>
          <w:p w14:paraId="2E885E21"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5371DF">
              <w:rPr>
                <w:rFonts w:eastAsia="Times New Roman" w:cs="Times New Roman"/>
                <w:color w:val="000000"/>
                <w:sz w:val="20"/>
                <w:szCs w:val="20"/>
                <w:lang w:eastAsia="sk-SK"/>
              </w:rPr>
              <w:t>1 070 208</w:t>
            </w:r>
          </w:p>
        </w:tc>
        <w:tc>
          <w:tcPr>
            <w:tcW w:w="1484" w:type="pct"/>
            <w:tcBorders>
              <w:top w:val="nil"/>
              <w:left w:val="nil"/>
              <w:bottom w:val="nil"/>
              <w:right w:val="nil"/>
            </w:tcBorders>
            <w:shd w:val="clear" w:color="000000" w:fill="FFFFFF"/>
            <w:noWrap/>
            <w:vAlign w:val="center"/>
          </w:tcPr>
          <w:p w14:paraId="408FEDDB" w14:textId="77777777" w:rsidR="001006BF" w:rsidRPr="00A9663D" w:rsidRDefault="001006BF" w:rsidP="001006BF">
            <w:pPr>
              <w:spacing w:after="0" w:line="240" w:lineRule="auto"/>
              <w:jc w:val="center"/>
              <w:rPr>
                <w:rFonts w:eastAsia="Times New Roman" w:cs="Times New Roman"/>
                <w:color w:val="000000"/>
                <w:sz w:val="20"/>
                <w:szCs w:val="20"/>
                <w:lang w:eastAsia="sk-SK"/>
              </w:rPr>
            </w:pPr>
            <w:r w:rsidRPr="005371DF">
              <w:rPr>
                <w:rFonts w:eastAsia="Times New Roman" w:cs="Times New Roman"/>
                <w:color w:val="000000"/>
                <w:sz w:val="20"/>
                <w:szCs w:val="20"/>
                <w:lang w:eastAsia="sk-SK"/>
              </w:rPr>
              <w:t>1 117 494</w:t>
            </w:r>
          </w:p>
        </w:tc>
      </w:tr>
      <w:tr w:rsidR="001006BF" w:rsidRPr="00A9663D" w14:paraId="06361DC4" w14:textId="77777777" w:rsidTr="001006BF">
        <w:trPr>
          <w:trHeight w:val="345"/>
        </w:trPr>
        <w:tc>
          <w:tcPr>
            <w:tcW w:w="391" w:type="pct"/>
            <w:tcBorders>
              <w:top w:val="single" w:sz="4" w:space="0" w:color="auto"/>
              <w:left w:val="nil"/>
              <w:bottom w:val="single" w:sz="8" w:space="0" w:color="auto"/>
              <w:right w:val="nil"/>
            </w:tcBorders>
            <w:shd w:val="clear" w:color="000000" w:fill="FFFFFF"/>
            <w:vAlign w:val="center"/>
            <w:hideMark/>
          </w:tcPr>
          <w:p w14:paraId="08FB0420" w14:textId="77777777" w:rsidR="001006BF" w:rsidRPr="00A9663D" w:rsidRDefault="001006BF" w:rsidP="001006BF">
            <w:pPr>
              <w:spacing w:after="0" w:line="240" w:lineRule="auto"/>
              <w:jc w:val="center"/>
              <w:rPr>
                <w:rFonts w:eastAsia="Times New Roman" w:cs="Times New Roman"/>
                <w:b/>
                <w:bCs/>
                <w:color w:val="000000"/>
                <w:sz w:val="20"/>
                <w:szCs w:val="20"/>
                <w:lang w:eastAsia="sk-SK"/>
              </w:rPr>
            </w:pPr>
            <w:r w:rsidRPr="00A9663D">
              <w:rPr>
                <w:rFonts w:eastAsia="Times New Roman" w:cs="Times New Roman"/>
                <w:b/>
                <w:bCs/>
                <w:color w:val="000000"/>
                <w:sz w:val="20"/>
                <w:szCs w:val="20"/>
                <w:lang w:eastAsia="sk-SK"/>
              </w:rPr>
              <w:t>Spolu</w:t>
            </w:r>
          </w:p>
        </w:tc>
        <w:tc>
          <w:tcPr>
            <w:tcW w:w="1953" w:type="pct"/>
            <w:tcBorders>
              <w:top w:val="single" w:sz="4" w:space="0" w:color="auto"/>
              <w:left w:val="nil"/>
              <w:bottom w:val="single" w:sz="8" w:space="0" w:color="auto"/>
              <w:right w:val="nil"/>
            </w:tcBorders>
            <w:shd w:val="clear" w:color="000000" w:fill="FFFFFF"/>
            <w:noWrap/>
            <w:vAlign w:val="center"/>
            <w:hideMark/>
          </w:tcPr>
          <w:p w14:paraId="20D9F9FF" w14:textId="77777777" w:rsidR="001006BF" w:rsidRPr="005371DF" w:rsidRDefault="001006BF" w:rsidP="001006BF">
            <w:pPr>
              <w:spacing w:after="0" w:line="240" w:lineRule="auto"/>
              <w:jc w:val="center"/>
              <w:rPr>
                <w:rFonts w:eastAsia="Times New Roman" w:cs="Times New Roman"/>
                <w:b/>
                <w:bCs/>
                <w:color w:val="000000"/>
                <w:sz w:val="20"/>
                <w:szCs w:val="20"/>
                <w:lang w:eastAsia="sk-SK"/>
              </w:rPr>
            </w:pPr>
            <w:r w:rsidRPr="005371DF">
              <w:rPr>
                <w:b/>
                <w:bCs/>
                <w:color w:val="000000"/>
                <w:sz w:val="20"/>
                <w:szCs w:val="20"/>
              </w:rPr>
              <w:t>33 100 127</w:t>
            </w:r>
          </w:p>
        </w:tc>
        <w:tc>
          <w:tcPr>
            <w:tcW w:w="1172" w:type="pct"/>
            <w:tcBorders>
              <w:top w:val="single" w:sz="4" w:space="0" w:color="auto"/>
              <w:left w:val="nil"/>
              <w:bottom w:val="single" w:sz="8" w:space="0" w:color="auto"/>
              <w:right w:val="nil"/>
            </w:tcBorders>
            <w:shd w:val="clear" w:color="000000" w:fill="FFFFFF"/>
            <w:noWrap/>
            <w:vAlign w:val="center"/>
            <w:hideMark/>
          </w:tcPr>
          <w:p w14:paraId="65587238" w14:textId="77777777" w:rsidR="001006BF" w:rsidRPr="005371DF" w:rsidRDefault="001006BF" w:rsidP="001006BF">
            <w:pPr>
              <w:spacing w:after="0" w:line="240" w:lineRule="auto"/>
              <w:jc w:val="center"/>
              <w:rPr>
                <w:rFonts w:eastAsia="Times New Roman" w:cs="Times New Roman"/>
                <w:b/>
                <w:bCs/>
                <w:color w:val="000000"/>
                <w:sz w:val="20"/>
                <w:szCs w:val="20"/>
                <w:lang w:eastAsia="sk-SK"/>
              </w:rPr>
            </w:pPr>
            <w:r w:rsidRPr="005371DF">
              <w:rPr>
                <w:b/>
                <w:bCs/>
                <w:color w:val="000000"/>
                <w:sz w:val="20"/>
                <w:szCs w:val="20"/>
              </w:rPr>
              <w:t>14 162 500</w:t>
            </w:r>
          </w:p>
        </w:tc>
        <w:tc>
          <w:tcPr>
            <w:tcW w:w="1484" w:type="pct"/>
            <w:tcBorders>
              <w:top w:val="single" w:sz="4" w:space="0" w:color="auto"/>
              <w:left w:val="nil"/>
              <w:bottom w:val="single" w:sz="8" w:space="0" w:color="auto"/>
              <w:right w:val="nil"/>
            </w:tcBorders>
            <w:shd w:val="clear" w:color="000000" w:fill="FFFFFF"/>
            <w:noWrap/>
            <w:vAlign w:val="center"/>
            <w:hideMark/>
          </w:tcPr>
          <w:p w14:paraId="0D22AC3B" w14:textId="77777777" w:rsidR="001006BF" w:rsidRPr="005371DF" w:rsidRDefault="001006BF" w:rsidP="001006BF">
            <w:pPr>
              <w:spacing w:after="0" w:line="240" w:lineRule="auto"/>
              <w:jc w:val="center"/>
              <w:rPr>
                <w:rFonts w:eastAsia="Times New Roman" w:cs="Times New Roman"/>
                <w:b/>
                <w:bCs/>
                <w:color w:val="000000"/>
                <w:sz w:val="20"/>
                <w:szCs w:val="20"/>
                <w:lang w:eastAsia="sk-SK"/>
              </w:rPr>
            </w:pPr>
            <w:r w:rsidRPr="005371DF">
              <w:rPr>
                <w:b/>
                <w:bCs/>
                <w:color w:val="000000"/>
                <w:sz w:val="20"/>
                <w:szCs w:val="20"/>
              </w:rPr>
              <w:t>18 937 627</w:t>
            </w:r>
          </w:p>
        </w:tc>
      </w:tr>
    </w:tbl>
    <w:p w14:paraId="6520A2DF" w14:textId="77777777" w:rsidR="001006BF" w:rsidRPr="00EE5C5E" w:rsidRDefault="001006BF" w:rsidP="001006BF">
      <w:pPr>
        <w:jc w:val="right"/>
        <w:rPr>
          <w:sz w:val="18"/>
          <w:szCs w:val="18"/>
        </w:rPr>
      </w:pPr>
      <w:r>
        <w:rPr>
          <w:sz w:val="18"/>
          <w:szCs w:val="18"/>
        </w:rPr>
        <w:tab/>
      </w:r>
      <w:r w:rsidRPr="00EE5C5E">
        <w:rPr>
          <w:sz w:val="18"/>
          <w:szCs w:val="18"/>
        </w:rPr>
        <w:t>Zdroj: MF SR</w:t>
      </w:r>
    </w:p>
    <w:p w14:paraId="30152778" w14:textId="4B9A761B" w:rsidR="001006BF" w:rsidRDefault="001006BF" w:rsidP="001006BF">
      <w:pPr>
        <w:spacing w:line="240" w:lineRule="auto"/>
      </w:pPr>
      <w:r w:rsidRPr="005371DF">
        <w:rPr>
          <w:sz w:val="24"/>
          <w:szCs w:val="24"/>
        </w:rPr>
        <w:t>Za obdobie od</w:t>
      </w:r>
      <w:r w:rsidRPr="005371DF">
        <w:rPr>
          <w:b/>
          <w:sz w:val="24"/>
          <w:szCs w:val="24"/>
        </w:rPr>
        <w:t xml:space="preserve"> </w:t>
      </w:r>
      <w:r w:rsidRPr="005371DF">
        <w:rPr>
          <w:sz w:val="24"/>
          <w:szCs w:val="24"/>
        </w:rPr>
        <w:t>vstupu Slovenskej republiky do EÚ</w:t>
      </w:r>
      <w:r w:rsidRPr="005371DF">
        <w:rPr>
          <w:b/>
          <w:sz w:val="24"/>
          <w:szCs w:val="24"/>
        </w:rPr>
        <w:t xml:space="preserve"> </w:t>
      </w:r>
      <w:r w:rsidRPr="005371DF">
        <w:rPr>
          <w:sz w:val="24"/>
          <w:szCs w:val="24"/>
        </w:rPr>
        <w:t>boli celkovo</w:t>
      </w:r>
      <w:r w:rsidRPr="005371DF">
        <w:rPr>
          <w:b/>
          <w:sz w:val="24"/>
          <w:szCs w:val="24"/>
        </w:rPr>
        <w:t xml:space="preserve"> </w:t>
      </w:r>
      <w:r w:rsidRPr="005371DF">
        <w:rPr>
          <w:sz w:val="24"/>
          <w:szCs w:val="24"/>
        </w:rPr>
        <w:t xml:space="preserve">do rozpočtu Slovenskej republiky prijaté príjmy z EÚ vo výške </w:t>
      </w:r>
      <w:r w:rsidRPr="005371DF">
        <w:rPr>
          <w:b/>
          <w:bCs/>
          <w:color w:val="000000"/>
          <w:sz w:val="24"/>
          <w:szCs w:val="24"/>
        </w:rPr>
        <w:t>33</w:t>
      </w:r>
      <w:r>
        <w:rPr>
          <w:b/>
          <w:bCs/>
          <w:color w:val="000000"/>
          <w:sz w:val="24"/>
          <w:szCs w:val="24"/>
        </w:rPr>
        <w:t> </w:t>
      </w:r>
      <w:r w:rsidRPr="005371DF">
        <w:rPr>
          <w:b/>
          <w:bCs/>
          <w:color w:val="000000"/>
          <w:sz w:val="24"/>
          <w:szCs w:val="24"/>
        </w:rPr>
        <w:t>100</w:t>
      </w:r>
      <w:r>
        <w:rPr>
          <w:b/>
          <w:bCs/>
          <w:color w:val="000000"/>
          <w:sz w:val="24"/>
          <w:szCs w:val="24"/>
        </w:rPr>
        <w:t> </w:t>
      </w:r>
      <w:r w:rsidRPr="005371DF">
        <w:rPr>
          <w:b/>
          <w:bCs/>
          <w:color w:val="000000"/>
          <w:sz w:val="24"/>
          <w:szCs w:val="24"/>
        </w:rPr>
        <w:t>127</w:t>
      </w:r>
      <w:r>
        <w:rPr>
          <w:b/>
          <w:bCs/>
          <w:color w:val="000000"/>
          <w:sz w:val="24"/>
          <w:szCs w:val="24"/>
        </w:rPr>
        <w:t> </w:t>
      </w:r>
      <w:r w:rsidRPr="005371DF">
        <w:rPr>
          <w:b/>
          <w:sz w:val="24"/>
          <w:szCs w:val="24"/>
        </w:rPr>
        <w:t>t</w:t>
      </w:r>
      <w:r>
        <w:rPr>
          <w:b/>
          <w:sz w:val="24"/>
          <w:szCs w:val="24"/>
        </w:rPr>
        <w:t>is. </w:t>
      </w:r>
      <w:r w:rsidRPr="005371DF">
        <w:rPr>
          <w:b/>
          <w:sz w:val="24"/>
          <w:szCs w:val="24"/>
        </w:rPr>
        <w:t>eur</w:t>
      </w:r>
      <w:r w:rsidRPr="005371DF">
        <w:rPr>
          <w:sz w:val="24"/>
          <w:szCs w:val="24"/>
        </w:rPr>
        <w:t xml:space="preserve"> a Slovenská republika odviedla do všeobecného rozpočtu EÚ sumu vo výške </w:t>
      </w:r>
      <w:r w:rsidRPr="005371DF">
        <w:rPr>
          <w:b/>
          <w:bCs/>
          <w:color w:val="000000"/>
          <w:sz w:val="24"/>
          <w:szCs w:val="24"/>
        </w:rPr>
        <w:t xml:space="preserve">14 162 500 </w:t>
      </w:r>
      <w:r w:rsidRPr="005371DF">
        <w:rPr>
          <w:b/>
          <w:sz w:val="24"/>
          <w:szCs w:val="24"/>
        </w:rPr>
        <w:t>tis. eur</w:t>
      </w:r>
      <w:r w:rsidRPr="005371DF">
        <w:rPr>
          <w:sz w:val="24"/>
          <w:szCs w:val="24"/>
        </w:rPr>
        <w:t xml:space="preserve">, na základe čoho </w:t>
      </w:r>
      <w:r w:rsidRPr="005371DF">
        <w:rPr>
          <w:b/>
          <w:sz w:val="24"/>
          <w:szCs w:val="24"/>
        </w:rPr>
        <w:t>čistá finančná pozícia voči EÚ dosiahla 18 937 627 tis. eur</w:t>
      </w:r>
      <w:r w:rsidRPr="005371DF">
        <w:rPr>
          <w:sz w:val="24"/>
          <w:szCs w:val="24"/>
        </w:rPr>
        <w:t>.</w:t>
      </w:r>
      <w:r w:rsidRPr="005371DF">
        <w:rPr>
          <w:b/>
          <w:sz w:val="24"/>
          <w:szCs w:val="24"/>
        </w:rPr>
        <w:t xml:space="preserve"> </w:t>
      </w:r>
      <w:r w:rsidRPr="005371DF">
        <w:rPr>
          <w:sz w:val="24"/>
          <w:szCs w:val="24"/>
        </w:rPr>
        <w:t>Od roku 2004 Slovenská republika prijala z rozpočtu EÚ 2,3 násobok prostriedkov, ktoré do rozpočtu odviedla</w:t>
      </w:r>
      <w:r w:rsidRPr="00A42FEA">
        <w:t>.</w:t>
      </w:r>
    </w:p>
    <w:p w14:paraId="7FB1CF8F" w14:textId="77777777" w:rsidR="004A4621" w:rsidRPr="000461C0" w:rsidRDefault="004A4621" w:rsidP="001006BF">
      <w:pPr>
        <w:spacing w:line="240" w:lineRule="auto"/>
        <w:rPr>
          <w:sz w:val="24"/>
          <w:szCs w:val="24"/>
        </w:rPr>
      </w:pPr>
    </w:p>
    <w:p w14:paraId="6A838574" w14:textId="1D6CA394" w:rsidR="008254BE" w:rsidRPr="00B25023" w:rsidRDefault="008254BE" w:rsidP="00606726">
      <w:pPr>
        <w:pStyle w:val="Nadpis3"/>
      </w:pPr>
      <w:bookmarkStart w:id="60" w:name="_Toc132929099"/>
      <w:r w:rsidRPr="00B25023">
        <w:lastRenderedPageBreak/>
        <w:t>Príjmy z rozpočtu Európskej únie</w:t>
      </w:r>
      <w:bookmarkEnd w:id="59"/>
      <w:bookmarkEnd w:id="60"/>
    </w:p>
    <w:p w14:paraId="20E0D665" w14:textId="6210B040" w:rsidR="00813772" w:rsidRPr="005371DF" w:rsidRDefault="00813772" w:rsidP="00813772">
      <w:pPr>
        <w:spacing w:line="240" w:lineRule="auto"/>
        <w:rPr>
          <w:sz w:val="24"/>
          <w:szCs w:val="24"/>
        </w:rPr>
      </w:pPr>
      <w:r w:rsidRPr="00813772">
        <w:rPr>
          <w:sz w:val="24"/>
          <w:szCs w:val="24"/>
        </w:rPr>
        <w:t xml:space="preserve">Príjmy z rozpočtu EÚ sa rozpočtujú pod ekonomickou klasifikáciou zahraničné transfery – 341 </w:t>
      </w:r>
      <w:r w:rsidR="009558AC">
        <w:rPr>
          <w:sz w:val="24"/>
          <w:szCs w:val="24"/>
        </w:rPr>
        <w:t>p</w:t>
      </w:r>
      <w:r w:rsidRPr="00813772">
        <w:rPr>
          <w:sz w:val="24"/>
          <w:szCs w:val="24"/>
        </w:rPr>
        <w:t>rostriedky z rozpočtu Európskej únie pre programy, ktoré sa v Slovenskej republike poskytujú prostredníctvom certifikačného o</w:t>
      </w:r>
      <w:r w:rsidR="005371DF">
        <w:rPr>
          <w:sz w:val="24"/>
          <w:szCs w:val="24"/>
        </w:rPr>
        <w:t>rgánu (</w:t>
      </w:r>
      <w:r w:rsidR="005371DF" w:rsidRPr="005371DF">
        <w:rPr>
          <w:sz w:val="24"/>
          <w:szCs w:val="24"/>
        </w:rPr>
        <w:t xml:space="preserve">Ministerstva financií SR, </w:t>
      </w:r>
      <w:r w:rsidRPr="005371DF">
        <w:rPr>
          <w:sz w:val="24"/>
          <w:szCs w:val="24"/>
        </w:rPr>
        <w:t>Ministerstva práce, sociálnych vecí a rodiny SR</w:t>
      </w:r>
      <w:r w:rsidR="005371DF" w:rsidRPr="005371DF">
        <w:rPr>
          <w:sz w:val="24"/>
          <w:szCs w:val="24"/>
        </w:rPr>
        <w:t xml:space="preserve"> a Pôdohospodárskej platobnej agentúry) a platobného orgánu</w:t>
      </w:r>
      <w:r w:rsidR="005371DF">
        <w:rPr>
          <w:sz w:val="24"/>
          <w:szCs w:val="24"/>
        </w:rPr>
        <w:t xml:space="preserve"> (</w:t>
      </w:r>
      <w:r w:rsidR="005371DF" w:rsidRPr="005371DF">
        <w:rPr>
          <w:sz w:val="24"/>
          <w:szCs w:val="24"/>
        </w:rPr>
        <w:t>Ministerstva financií SR</w:t>
      </w:r>
      <w:r w:rsidR="005371DF">
        <w:rPr>
          <w:sz w:val="24"/>
          <w:szCs w:val="24"/>
        </w:rPr>
        <w:t xml:space="preserve">, </w:t>
      </w:r>
      <w:r w:rsidRPr="005371DF">
        <w:rPr>
          <w:sz w:val="24"/>
          <w:szCs w:val="24"/>
        </w:rPr>
        <w:t>Ministerstva pôdohospodárstva a rozvoja vidieka S</w:t>
      </w:r>
      <w:r w:rsidR="00D8576F">
        <w:rPr>
          <w:sz w:val="24"/>
          <w:szCs w:val="24"/>
        </w:rPr>
        <w:t>R</w:t>
      </w:r>
      <w:r w:rsidR="005371DF">
        <w:rPr>
          <w:sz w:val="24"/>
          <w:szCs w:val="24"/>
        </w:rPr>
        <w:t> a Ministerstva vnútra SR)</w:t>
      </w:r>
      <w:r w:rsidRPr="005371DF">
        <w:rPr>
          <w:sz w:val="24"/>
          <w:szCs w:val="24"/>
        </w:rPr>
        <w:t>.</w:t>
      </w:r>
    </w:p>
    <w:p w14:paraId="7476CD27" w14:textId="77777777" w:rsidR="001006BF" w:rsidRPr="001006BF" w:rsidRDefault="001006BF" w:rsidP="001006BF">
      <w:pPr>
        <w:spacing w:line="240" w:lineRule="auto"/>
        <w:rPr>
          <w:rFonts w:eastAsia="Calibri" w:cs="Times New Roman"/>
        </w:rPr>
      </w:pPr>
      <w:r w:rsidRPr="001006BF">
        <w:rPr>
          <w:rFonts w:eastAsia="Calibri" w:cs="Times New Roman"/>
          <w:b/>
          <w:sz w:val="24"/>
          <w:szCs w:val="24"/>
        </w:rPr>
        <w:t>Príjmy zo zahraničných transferov</w:t>
      </w:r>
      <w:r w:rsidRPr="001006BF">
        <w:rPr>
          <w:rFonts w:eastAsia="Calibri" w:cs="Times New Roman"/>
          <w:sz w:val="24"/>
          <w:szCs w:val="24"/>
        </w:rPr>
        <w:t xml:space="preserve"> sa rozpočtujú v rámci jednotlivých kapitol na úrovni platobných jednotiek, Pôdohospodárskej platobnej agentúry a Ministerstva práce sociálnych vecí a rodiny SR pre programy 3. programového obdobia 2014-2020 a na úrovni riadiacich orgánov, resp. sprostredkovateľských orgánov s platobnou funkciou pre programy 4. programového obdobia 2021-2027.</w:t>
      </w:r>
    </w:p>
    <w:p w14:paraId="6CA0D83D" w14:textId="75A4B154" w:rsidR="00D8576F" w:rsidRDefault="00813772" w:rsidP="00D8576F">
      <w:pPr>
        <w:spacing w:line="240" w:lineRule="auto"/>
        <w:rPr>
          <w:sz w:val="24"/>
          <w:szCs w:val="24"/>
        </w:rPr>
      </w:pPr>
      <w:r w:rsidRPr="00813772">
        <w:rPr>
          <w:b/>
          <w:sz w:val="24"/>
          <w:szCs w:val="24"/>
        </w:rPr>
        <w:t xml:space="preserve">Prostriedky za štrukturálne operácie </w:t>
      </w:r>
      <w:r w:rsidR="00D8576F">
        <w:rPr>
          <w:sz w:val="24"/>
          <w:szCs w:val="24"/>
        </w:rPr>
        <w:t>boli v roku 2022</w:t>
      </w:r>
      <w:r w:rsidRPr="00813772">
        <w:rPr>
          <w:sz w:val="24"/>
          <w:szCs w:val="24"/>
        </w:rPr>
        <w:t xml:space="preserve"> rozpočtované </w:t>
      </w:r>
      <w:r w:rsidR="00D8576F" w:rsidRPr="00D8576F">
        <w:rPr>
          <w:sz w:val="24"/>
          <w:szCs w:val="24"/>
        </w:rPr>
        <w:t>v rámci 3. programového obdobia 2014-2020 za prostriedky štrukturálnych fondov (Európsky fond regionálneho rozvoja, Európsky sociálny fond a Iniciatíva na podporu zamestnanosti mladých ľudí) vrátane programov európskej územnej spolupráce pre ktoré je MF SR certifikačným orgánom (</w:t>
      </w:r>
      <w:proofErr w:type="spellStart"/>
      <w:r w:rsidR="00D8576F" w:rsidRPr="00D8576F">
        <w:rPr>
          <w:sz w:val="24"/>
          <w:szCs w:val="24"/>
        </w:rPr>
        <w:t>Interreg</w:t>
      </w:r>
      <w:proofErr w:type="spellEnd"/>
      <w:r w:rsidR="00D8576F" w:rsidRPr="00D8576F">
        <w:rPr>
          <w:sz w:val="24"/>
          <w:szCs w:val="24"/>
        </w:rPr>
        <w:t xml:space="preserve"> V-A SK-AT 2014-2020, </w:t>
      </w:r>
      <w:proofErr w:type="spellStart"/>
      <w:r w:rsidR="00D8576F" w:rsidRPr="00D8576F">
        <w:rPr>
          <w:sz w:val="24"/>
          <w:szCs w:val="24"/>
        </w:rPr>
        <w:t>Interreg</w:t>
      </w:r>
      <w:proofErr w:type="spellEnd"/>
      <w:r w:rsidR="00D8576F" w:rsidRPr="00D8576F">
        <w:rPr>
          <w:sz w:val="24"/>
          <w:szCs w:val="24"/>
        </w:rPr>
        <w:t xml:space="preserve"> V-A SK-CZ 2014-2020), Kohézneho fondu, Európskeho námorného a rybárskeho fondu, poľnohospodárskych fondov, za program Sociálneho začlenenia najodkázanejších osôb. </w:t>
      </w:r>
      <w:r w:rsidR="00D8576F">
        <w:rPr>
          <w:sz w:val="24"/>
          <w:szCs w:val="24"/>
        </w:rPr>
        <w:t>V</w:t>
      </w:r>
      <w:r w:rsidR="00D8576F" w:rsidRPr="00D8576F">
        <w:rPr>
          <w:sz w:val="24"/>
          <w:szCs w:val="24"/>
        </w:rPr>
        <w:t xml:space="preserve"> rámci 4. programového obdobia 2021-2027 </w:t>
      </w:r>
      <w:r w:rsidR="00D8576F" w:rsidRPr="00813772">
        <w:rPr>
          <w:sz w:val="24"/>
          <w:szCs w:val="24"/>
        </w:rPr>
        <w:t>rozpočtované</w:t>
      </w:r>
      <w:r w:rsidR="00D8576F" w:rsidRPr="00D8576F">
        <w:rPr>
          <w:sz w:val="24"/>
          <w:szCs w:val="24"/>
        </w:rPr>
        <w:t xml:space="preserve"> za Program Slovensko, za Program Rybné hospodárstvo, za Fondy pre oblasť vnútorných záležitostí (Fond pre azyl, migráciu a integráciu, Fond pre integrované riadenie hraníc, Fond pre vnútornú bezpečnosť) a poľnohospodárske fondy.</w:t>
      </w:r>
    </w:p>
    <w:p w14:paraId="21D63037" w14:textId="4EB09CBF" w:rsidR="00D8576F" w:rsidRPr="00D8576F" w:rsidRDefault="00813772" w:rsidP="00D8576F">
      <w:pPr>
        <w:spacing w:line="240" w:lineRule="auto"/>
        <w:rPr>
          <w:sz w:val="24"/>
          <w:szCs w:val="24"/>
        </w:rPr>
      </w:pPr>
      <w:r w:rsidRPr="00813772">
        <w:rPr>
          <w:b/>
          <w:sz w:val="24"/>
          <w:szCs w:val="24"/>
        </w:rPr>
        <w:t>Prostriedky za poľnohospodárske fondy</w:t>
      </w:r>
      <w:r w:rsidRPr="00813772">
        <w:rPr>
          <w:sz w:val="24"/>
          <w:szCs w:val="24"/>
        </w:rPr>
        <w:t xml:space="preserve"> </w:t>
      </w:r>
      <w:r w:rsidR="00D8576F" w:rsidRPr="00D8576F">
        <w:rPr>
          <w:sz w:val="24"/>
          <w:szCs w:val="24"/>
        </w:rPr>
        <w:t>b</w:t>
      </w:r>
      <w:r w:rsidR="0062195B">
        <w:rPr>
          <w:sz w:val="24"/>
          <w:szCs w:val="24"/>
        </w:rPr>
        <w:t xml:space="preserve">oli v roku 2022 rozpočtované za </w:t>
      </w:r>
      <w:r w:rsidR="00D8576F" w:rsidRPr="00D8576F">
        <w:rPr>
          <w:sz w:val="24"/>
          <w:szCs w:val="24"/>
        </w:rPr>
        <w:t xml:space="preserve">Európsky poľnohospodársky záručný fond (Priame platby a Trhovo orientované výdavky) a za Európsky poľnohospodársky fond pre rozvoj vidieka (Program rozvoja vidieka). </w:t>
      </w:r>
    </w:p>
    <w:p w14:paraId="31047850" w14:textId="60AFBFDE" w:rsidR="00D8576F" w:rsidRPr="00D8576F" w:rsidRDefault="00D8576F" w:rsidP="00D8576F">
      <w:pPr>
        <w:spacing w:line="240" w:lineRule="auto"/>
        <w:rPr>
          <w:sz w:val="24"/>
          <w:szCs w:val="24"/>
        </w:rPr>
      </w:pPr>
      <w:r w:rsidRPr="00D8576F">
        <w:rPr>
          <w:sz w:val="24"/>
          <w:szCs w:val="24"/>
        </w:rPr>
        <w:t>Schválený rozpočet príjmov zo zahraničných transferov za prostriedky EÚ</w:t>
      </w:r>
      <w:r w:rsidR="008D43E0">
        <w:rPr>
          <w:sz w:val="24"/>
          <w:szCs w:val="24"/>
        </w:rPr>
        <w:t xml:space="preserve"> (bez prostriedkov POO)</w:t>
      </w:r>
      <w:r w:rsidRPr="00D8576F">
        <w:rPr>
          <w:sz w:val="24"/>
          <w:szCs w:val="24"/>
        </w:rPr>
        <w:t xml:space="preserve"> na rok 2022 bol vo výške 3 148 001 tis. eur.</w:t>
      </w:r>
    </w:p>
    <w:p w14:paraId="13884FBC" w14:textId="34EE8766" w:rsidR="00D8576F" w:rsidRPr="00D8576F" w:rsidRDefault="00D8576F" w:rsidP="00D8576F">
      <w:pPr>
        <w:spacing w:line="240" w:lineRule="auto"/>
        <w:rPr>
          <w:sz w:val="24"/>
          <w:szCs w:val="24"/>
        </w:rPr>
      </w:pPr>
      <w:r w:rsidRPr="00D8576F">
        <w:rPr>
          <w:sz w:val="24"/>
          <w:szCs w:val="24"/>
        </w:rPr>
        <w:t>Rozpočet príjmov za prostriedky EÚ bol v rok</w:t>
      </w:r>
      <w:r w:rsidR="0062195B">
        <w:rPr>
          <w:sz w:val="24"/>
          <w:szCs w:val="24"/>
        </w:rPr>
        <w:t>u 2022 upravený na úroveň 2 146 </w:t>
      </w:r>
      <w:r w:rsidRPr="00D8576F">
        <w:rPr>
          <w:sz w:val="24"/>
          <w:szCs w:val="24"/>
        </w:rPr>
        <w:t>641</w:t>
      </w:r>
      <w:r w:rsidR="0062195B">
        <w:rPr>
          <w:sz w:val="24"/>
          <w:szCs w:val="24"/>
        </w:rPr>
        <w:t> tis. </w:t>
      </w:r>
      <w:r w:rsidRPr="00D8576F">
        <w:rPr>
          <w:sz w:val="24"/>
          <w:szCs w:val="24"/>
        </w:rPr>
        <w:t>eur. K úpravám došlo v nadväznosti na vysporiadanie finančných prostriedkov za finančné opravy v</w:t>
      </w:r>
      <w:r w:rsidR="0062195B">
        <w:rPr>
          <w:sz w:val="24"/>
          <w:szCs w:val="24"/>
        </w:rPr>
        <w:t> </w:t>
      </w:r>
      <w:r w:rsidRPr="00D8576F">
        <w:rPr>
          <w:sz w:val="24"/>
          <w:szCs w:val="24"/>
        </w:rPr>
        <w:t xml:space="preserve">zmysle § 15 </w:t>
      </w:r>
      <w:r w:rsidR="00545BC2" w:rsidRPr="00F42FB3">
        <w:rPr>
          <w:rFonts w:cs="Times New Roman"/>
          <w:color w:val="000000" w:themeColor="text1"/>
          <w:sz w:val="24"/>
          <w:szCs w:val="24"/>
        </w:rPr>
        <w:t xml:space="preserve">zákona </w:t>
      </w:r>
      <w:r w:rsidR="00545BC2">
        <w:rPr>
          <w:rFonts w:cs="Times New Roman"/>
          <w:color w:val="000000" w:themeColor="text1"/>
          <w:sz w:val="24"/>
          <w:szCs w:val="24"/>
        </w:rPr>
        <w:t>o rozpočtových pravidlách</w:t>
      </w:r>
      <w:r w:rsidRPr="00D8576F">
        <w:rPr>
          <w:sz w:val="24"/>
          <w:szCs w:val="24"/>
        </w:rPr>
        <w:t xml:space="preserve">, v nadväznosti na prijaté oznámenia o výške prostriedkov, ktoré budú použité v nasledujúcich rokoch v zmysle § 8 </w:t>
      </w:r>
      <w:r w:rsidR="00545BC2" w:rsidRPr="00F42FB3">
        <w:rPr>
          <w:rFonts w:cs="Times New Roman"/>
          <w:color w:val="000000" w:themeColor="text1"/>
          <w:sz w:val="24"/>
          <w:szCs w:val="24"/>
        </w:rPr>
        <w:t xml:space="preserve">zákona </w:t>
      </w:r>
      <w:r w:rsidR="00545BC2">
        <w:rPr>
          <w:rFonts w:cs="Times New Roman"/>
          <w:color w:val="000000" w:themeColor="text1"/>
          <w:sz w:val="24"/>
          <w:szCs w:val="24"/>
        </w:rPr>
        <w:t>o rozpočtových pravidlách</w:t>
      </w:r>
      <w:r w:rsidRPr="00D8576F">
        <w:rPr>
          <w:sz w:val="24"/>
          <w:szCs w:val="24"/>
        </w:rPr>
        <w:t xml:space="preserve"> a v nadväznosti na ostatné viazania prostriedkov v zmysle § 18 </w:t>
      </w:r>
      <w:r w:rsidR="00545BC2" w:rsidRPr="00F42FB3">
        <w:rPr>
          <w:rFonts w:cs="Times New Roman"/>
          <w:color w:val="000000" w:themeColor="text1"/>
          <w:sz w:val="24"/>
          <w:szCs w:val="24"/>
        </w:rPr>
        <w:t xml:space="preserve">zákona </w:t>
      </w:r>
      <w:r w:rsidR="00545BC2">
        <w:rPr>
          <w:rFonts w:cs="Times New Roman"/>
          <w:color w:val="000000" w:themeColor="text1"/>
          <w:sz w:val="24"/>
          <w:szCs w:val="24"/>
        </w:rPr>
        <w:t>o rozpočtových pravidlách</w:t>
      </w:r>
      <w:r w:rsidRPr="00D8576F">
        <w:rPr>
          <w:sz w:val="24"/>
          <w:szCs w:val="24"/>
        </w:rPr>
        <w:t xml:space="preserve">. </w:t>
      </w:r>
    </w:p>
    <w:p w14:paraId="6F679B63" w14:textId="0F8C2E88" w:rsidR="00D8576F" w:rsidRPr="00D8576F" w:rsidRDefault="00D8576F" w:rsidP="00D8576F">
      <w:pPr>
        <w:spacing w:line="240" w:lineRule="auto"/>
        <w:rPr>
          <w:sz w:val="24"/>
          <w:szCs w:val="24"/>
        </w:rPr>
      </w:pPr>
      <w:r w:rsidRPr="00D8576F">
        <w:rPr>
          <w:sz w:val="24"/>
          <w:szCs w:val="24"/>
        </w:rPr>
        <w:t>Skutočné plnenie príjmov za prostriedky EÚ vo výške 2 146</w:t>
      </w:r>
      <w:r w:rsidR="00B06AE8">
        <w:rPr>
          <w:sz w:val="24"/>
          <w:szCs w:val="24"/>
        </w:rPr>
        <w:t> </w:t>
      </w:r>
      <w:r w:rsidRPr="00D8576F">
        <w:rPr>
          <w:sz w:val="24"/>
          <w:szCs w:val="24"/>
        </w:rPr>
        <w:t>641</w:t>
      </w:r>
      <w:r w:rsidR="00B06AE8">
        <w:rPr>
          <w:sz w:val="24"/>
          <w:szCs w:val="24"/>
        </w:rPr>
        <w:t> </w:t>
      </w:r>
      <w:r w:rsidRPr="00D8576F">
        <w:rPr>
          <w:sz w:val="24"/>
          <w:szCs w:val="24"/>
        </w:rPr>
        <w:t xml:space="preserve">tis. eur predstavuje plnenie na úrovni 100 % z upraveného rozpočtu. Príjmy za štrukturálne operácie, pri ktorých plní úlohu certifikačného orgánu, resp. platobného orgánu MF SR sú vo výške 1 772 672 tis. eur (z toho štrukturálne fondy 3. programového obdobia v sume 1 288 568 tis. eur a Kohézny fond 3. programového obdobia v sume 454 502 tis. eur). Príjmy za štrukturálne operácie, pri ktorých plní úlohu certifikačného orgánu MPSVR SR sú v sume 2 186 tis. eur. Príjmy za štrukturálne operácie, pri ktorých plní úlohu certifikačného orgánu MV SR sú v sume 0 tis. eur. Príjmy za poľnohospodárske fondy boli vo výške 371 783 tis. eur (z toho za Európsky poľnohospodársky fond rozvoja vidieka v sume 119 333 tis. eur a za Európsky poľnohospodársky záručný fond v sume </w:t>
      </w:r>
      <w:r w:rsidR="0062195B">
        <w:rPr>
          <w:sz w:val="24"/>
          <w:szCs w:val="24"/>
        </w:rPr>
        <w:t>252 </w:t>
      </w:r>
      <w:r w:rsidRPr="00D8576F">
        <w:rPr>
          <w:sz w:val="24"/>
          <w:szCs w:val="24"/>
        </w:rPr>
        <w:t xml:space="preserve">450 tis. eur). </w:t>
      </w:r>
    </w:p>
    <w:p w14:paraId="74C118BA" w14:textId="77777777" w:rsidR="00D8576F" w:rsidRPr="00D8576F" w:rsidRDefault="00D8576F" w:rsidP="00D8576F">
      <w:pPr>
        <w:spacing w:line="240" w:lineRule="auto"/>
        <w:rPr>
          <w:sz w:val="24"/>
          <w:szCs w:val="24"/>
        </w:rPr>
      </w:pPr>
      <w:r w:rsidRPr="00D8576F">
        <w:rPr>
          <w:sz w:val="24"/>
          <w:szCs w:val="24"/>
        </w:rPr>
        <w:t xml:space="preserve">Do skutočnosti príjmov z rozpočtu EÚ vstupujú aj príjmy zo zahraničných grantov poskytnutých z rozpočtu EÚ, ktoré boli zapojené cez príjmy ŠR v roku 2022 vo výške 0 tis. eur. V rámci zahraničných grantov sú uvedené výlučne zahraničné granty poskytnuté z rozpočtu EÚ, ktorých poskytovanie riadi EÚ centralizovaným spôsobom. </w:t>
      </w:r>
    </w:p>
    <w:p w14:paraId="60E07156" w14:textId="764411FF" w:rsidR="001E2922" w:rsidRDefault="00D8576F" w:rsidP="008D4C2B">
      <w:pPr>
        <w:spacing w:line="240" w:lineRule="auto"/>
        <w:rPr>
          <w:sz w:val="24"/>
          <w:szCs w:val="24"/>
        </w:rPr>
      </w:pPr>
      <w:r w:rsidRPr="00D8576F">
        <w:rPr>
          <w:sz w:val="24"/>
          <w:szCs w:val="24"/>
        </w:rPr>
        <w:lastRenderedPageBreak/>
        <w:t xml:space="preserve">Skutočné plnenie príjmov SR z rozpočtu EÚ za prostriedky EÚ a zahraničné granty je vo výške </w:t>
      </w:r>
      <w:r w:rsidR="00B06AE8">
        <w:rPr>
          <w:sz w:val="24"/>
          <w:szCs w:val="24"/>
        </w:rPr>
        <w:t>2 146 </w:t>
      </w:r>
      <w:r w:rsidRPr="00D8576F">
        <w:rPr>
          <w:sz w:val="24"/>
          <w:szCs w:val="24"/>
        </w:rPr>
        <w:t>641 tis. eur</w:t>
      </w:r>
      <w:r w:rsidR="00FA4D00">
        <w:rPr>
          <w:sz w:val="24"/>
          <w:szCs w:val="24"/>
        </w:rPr>
        <w:t xml:space="preserve">. </w:t>
      </w:r>
      <w:r w:rsidR="00EE5C5E" w:rsidRPr="00D715AF">
        <w:rPr>
          <w:sz w:val="24"/>
          <w:szCs w:val="24"/>
        </w:rPr>
        <w:t>Prehľad je uvedený v nasledovnej tabuľke:</w:t>
      </w:r>
    </w:p>
    <w:tbl>
      <w:tblPr>
        <w:tblW w:w="5077" w:type="pct"/>
        <w:tblCellMar>
          <w:left w:w="70" w:type="dxa"/>
          <w:right w:w="70" w:type="dxa"/>
        </w:tblCellMar>
        <w:tblLook w:val="04A0" w:firstRow="1" w:lastRow="0" w:firstColumn="1" w:lastColumn="0" w:noHBand="0" w:noVBand="1"/>
      </w:tblPr>
      <w:tblGrid>
        <w:gridCol w:w="3931"/>
        <w:gridCol w:w="940"/>
        <w:gridCol w:w="941"/>
        <w:gridCol w:w="940"/>
        <w:gridCol w:w="940"/>
        <w:gridCol w:w="867"/>
        <w:gridCol w:w="140"/>
        <w:gridCol w:w="657"/>
      </w:tblGrid>
      <w:tr w:rsidR="00745CCE" w:rsidRPr="00745CCE" w14:paraId="37439CB2" w14:textId="77777777" w:rsidTr="008909AC">
        <w:trPr>
          <w:trHeight w:val="330"/>
        </w:trPr>
        <w:tc>
          <w:tcPr>
            <w:tcW w:w="3106" w:type="pct"/>
            <w:gridSpan w:val="3"/>
            <w:tcBorders>
              <w:top w:val="nil"/>
              <w:left w:val="nil"/>
              <w:bottom w:val="single" w:sz="4" w:space="0" w:color="auto"/>
              <w:right w:val="nil"/>
            </w:tcBorders>
            <w:shd w:val="clear" w:color="auto" w:fill="auto"/>
            <w:noWrap/>
            <w:vAlign w:val="bottom"/>
            <w:hideMark/>
          </w:tcPr>
          <w:p w14:paraId="052A5E41" w14:textId="6C01B27E" w:rsidR="00745CCE" w:rsidRPr="00745CCE" w:rsidRDefault="00745CCE" w:rsidP="00077E09">
            <w:pPr>
              <w:spacing w:after="0" w:line="240" w:lineRule="auto"/>
              <w:jc w:val="left"/>
              <w:rPr>
                <w:rFonts w:eastAsia="Times New Roman" w:cs="Times New Roman"/>
                <w:b/>
                <w:bCs/>
                <w:color w:val="5B9BD5" w:themeColor="accent1"/>
                <w:sz w:val="20"/>
                <w:szCs w:val="20"/>
                <w:lang w:eastAsia="sk-SK"/>
              </w:rPr>
            </w:pPr>
            <w:r w:rsidRPr="00745CCE">
              <w:rPr>
                <w:rFonts w:eastAsia="Times New Roman" w:cs="Times New Roman"/>
                <w:b/>
                <w:bCs/>
                <w:color w:val="5B9BD5" w:themeColor="accent1"/>
                <w:sz w:val="20"/>
                <w:szCs w:val="20"/>
                <w:lang w:eastAsia="sk-SK"/>
              </w:rPr>
              <w:t xml:space="preserve">Tabuľka </w:t>
            </w:r>
            <w:r w:rsidR="001656EA">
              <w:rPr>
                <w:rFonts w:eastAsia="Times New Roman" w:cs="Times New Roman"/>
                <w:b/>
                <w:bCs/>
                <w:color w:val="5B9BD5" w:themeColor="accent1"/>
                <w:sz w:val="20"/>
                <w:szCs w:val="20"/>
                <w:lang w:eastAsia="sk-SK"/>
              </w:rPr>
              <w:t>6</w:t>
            </w:r>
            <w:r w:rsidR="00077E09">
              <w:rPr>
                <w:rFonts w:eastAsia="Times New Roman" w:cs="Times New Roman"/>
                <w:b/>
                <w:bCs/>
                <w:color w:val="5B9BD5" w:themeColor="accent1"/>
                <w:sz w:val="20"/>
                <w:szCs w:val="20"/>
                <w:lang w:eastAsia="sk-SK"/>
              </w:rPr>
              <w:t>3</w:t>
            </w:r>
            <w:r w:rsidR="0062195B">
              <w:rPr>
                <w:rFonts w:eastAsia="Times New Roman" w:cs="Times New Roman"/>
                <w:b/>
                <w:bCs/>
                <w:color w:val="5B9BD5" w:themeColor="accent1"/>
                <w:sz w:val="20"/>
                <w:szCs w:val="20"/>
                <w:lang w:eastAsia="sk-SK"/>
              </w:rPr>
              <w:t xml:space="preserve"> - </w:t>
            </w:r>
            <w:r w:rsidRPr="00745CCE">
              <w:rPr>
                <w:rFonts w:eastAsia="Times New Roman" w:cs="Times New Roman"/>
                <w:b/>
                <w:bCs/>
                <w:color w:val="5B9BD5" w:themeColor="accent1"/>
                <w:sz w:val="20"/>
                <w:szCs w:val="20"/>
                <w:lang w:eastAsia="sk-SK"/>
              </w:rPr>
              <w:t xml:space="preserve">Plnenie príjmov z rozpočtu EÚ </w:t>
            </w:r>
          </w:p>
        </w:tc>
        <w:tc>
          <w:tcPr>
            <w:tcW w:w="502" w:type="pct"/>
            <w:tcBorders>
              <w:top w:val="nil"/>
              <w:left w:val="nil"/>
              <w:bottom w:val="single" w:sz="4" w:space="0" w:color="auto"/>
              <w:right w:val="nil"/>
            </w:tcBorders>
            <w:shd w:val="clear" w:color="auto" w:fill="auto"/>
            <w:noWrap/>
            <w:vAlign w:val="bottom"/>
            <w:hideMark/>
          </w:tcPr>
          <w:p w14:paraId="456E9F42" w14:textId="77777777" w:rsidR="00745CCE" w:rsidRPr="00745CCE" w:rsidRDefault="00745CCE" w:rsidP="00A2483A">
            <w:pPr>
              <w:spacing w:after="0" w:line="240" w:lineRule="auto"/>
              <w:jc w:val="left"/>
              <w:rPr>
                <w:rFonts w:ascii="Arial Narrow" w:eastAsia="Times New Roman" w:hAnsi="Arial Narrow" w:cs="Times New Roman"/>
                <w:color w:val="5B9BD5" w:themeColor="accent1"/>
                <w:sz w:val="20"/>
                <w:szCs w:val="20"/>
                <w:lang w:eastAsia="sk-SK"/>
              </w:rPr>
            </w:pPr>
            <w:r w:rsidRPr="00745CCE">
              <w:rPr>
                <w:rFonts w:ascii="Arial Narrow" w:eastAsia="Times New Roman" w:hAnsi="Arial Narrow" w:cs="Times New Roman"/>
                <w:color w:val="5B9BD5" w:themeColor="accent1"/>
                <w:sz w:val="20"/>
                <w:szCs w:val="20"/>
                <w:lang w:eastAsia="sk-SK"/>
              </w:rPr>
              <w:t> </w:t>
            </w:r>
          </w:p>
        </w:tc>
        <w:tc>
          <w:tcPr>
            <w:tcW w:w="502" w:type="pct"/>
            <w:tcBorders>
              <w:top w:val="nil"/>
              <w:left w:val="nil"/>
              <w:bottom w:val="single" w:sz="4" w:space="0" w:color="auto"/>
              <w:right w:val="nil"/>
            </w:tcBorders>
            <w:shd w:val="clear" w:color="auto" w:fill="auto"/>
            <w:noWrap/>
            <w:vAlign w:val="bottom"/>
            <w:hideMark/>
          </w:tcPr>
          <w:p w14:paraId="3FE070EE" w14:textId="77777777" w:rsidR="00745CCE" w:rsidRPr="00745CCE" w:rsidRDefault="00745CCE" w:rsidP="00A2483A">
            <w:pPr>
              <w:spacing w:after="0" w:line="240" w:lineRule="auto"/>
              <w:jc w:val="left"/>
              <w:rPr>
                <w:rFonts w:ascii="Arial Narrow" w:eastAsia="Times New Roman" w:hAnsi="Arial Narrow" w:cs="Times New Roman"/>
                <w:color w:val="5B9BD5" w:themeColor="accent1"/>
                <w:sz w:val="20"/>
                <w:szCs w:val="20"/>
                <w:lang w:eastAsia="sk-SK"/>
              </w:rPr>
            </w:pPr>
            <w:r w:rsidRPr="00745CCE">
              <w:rPr>
                <w:rFonts w:ascii="Arial Narrow" w:eastAsia="Times New Roman" w:hAnsi="Arial Narrow" w:cs="Times New Roman"/>
                <w:color w:val="5B9BD5" w:themeColor="accent1"/>
                <w:sz w:val="20"/>
                <w:szCs w:val="20"/>
                <w:lang w:eastAsia="sk-SK"/>
              </w:rPr>
              <w:t> </w:t>
            </w:r>
          </w:p>
        </w:tc>
        <w:tc>
          <w:tcPr>
            <w:tcW w:w="538" w:type="pct"/>
            <w:gridSpan w:val="2"/>
            <w:tcBorders>
              <w:top w:val="nil"/>
              <w:left w:val="nil"/>
              <w:bottom w:val="single" w:sz="4" w:space="0" w:color="auto"/>
              <w:right w:val="nil"/>
            </w:tcBorders>
            <w:shd w:val="clear" w:color="auto" w:fill="auto"/>
            <w:noWrap/>
            <w:vAlign w:val="bottom"/>
            <w:hideMark/>
          </w:tcPr>
          <w:p w14:paraId="20593F04" w14:textId="77777777" w:rsidR="00745CCE" w:rsidRPr="00745CCE" w:rsidRDefault="00745CCE" w:rsidP="00A2483A">
            <w:pPr>
              <w:spacing w:after="0" w:line="240" w:lineRule="auto"/>
              <w:jc w:val="left"/>
              <w:rPr>
                <w:rFonts w:ascii="Arial Narrow" w:eastAsia="Times New Roman" w:hAnsi="Arial Narrow" w:cs="Times New Roman"/>
                <w:color w:val="5B9BD5" w:themeColor="accent1"/>
                <w:sz w:val="20"/>
                <w:szCs w:val="20"/>
                <w:lang w:eastAsia="sk-SK"/>
              </w:rPr>
            </w:pPr>
            <w:r w:rsidRPr="00745CCE">
              <w:rPr>
                <w:rFonts w:ascii="Arial Narrow" w:eastAsia="Times New Roman" w:hAnsi="Arial Narrow" w:cs="Times New Roman"/>
                <w:color w:val="5B9BD5" w:themeColor="accent1"/>
                <w:sz w:val="20"/>
                <w:szCs w:val="20"/>
                <w:lang w:eastAsia="sk-SK"/>
              </w:rPr>
              <w:t> </w:t>
            </w:r>
          </w:p>
        </w:tc>
        <w:tc>
          <w:tcPr>
            <w:tcW w:w="351" w:type="pct"/>
            <w:tcBorders>
              <w:top w:val="nil"/>
              <w:left w:val="nil"/>
              <w:bottom w:val="single" w:sz="4" w:space="0" w:color="auto"/>
              <w:right w:val="nil"/>
            </w:tcBorders>
            <w:shd w:val="clear" w:color="auto" w:fill="auto"/>
            <w:noWrap/>
            <w:vAlign w:val="bottom"/>
          </w:tcPr>
          <w:p w14:paraId="1AD34D27" w14:textId="36B130D9" w:rsidR="00745CCE" w:rsidRPr="00745CCE" w:rsidRDefault="00745CCE" w:rsidP="00A2483A">
            <w:pPr>
              <w:spacing w:after="0" w:line="240" w:lineRule="auto"/>
              <w:jc w:val="left"/>
              <w:rPr>
                <w:rFonts w:eastAsia="Times New Roman" w:cs="Times New Roman"/>
                <w:b/>
                <w:bCs/>
                <w:color w:val="5B9BD5" w:themeColor="accent1"/>
                <w:sz w:val="20"/>
                <w:szCs w:val="20"/>
                <w:lang w:eastAsia="sk-SK"/>
              </w:rPr>
            </w:pPr>
          </w:p>
        </w:tc>
      </w:tr>
      <w:tr w:rsidR="001E2922" w:rsidRPr="00813772" w14:paraId="42172047" w14:textId="77777777" w:rsidTr="002C39DC">
        <w:trPr>
          <w:trHeight w:val="330"/>
        </w:trPr>
        <w:tc>
          <w:tcPr>
            <w:tcW w:w="2101" w:type="pct"/>
            <w:vMerge w:val="restart"/>
            <w:tcBorders>
              <w:top w:val="nil"/>
              <w:left w:val="nil"/>
              <w:right w:val="nil"/>
            </w:tcBorders>
            <w:shd w:val="clear" w:color="auto" w:fill="auto"/>
            <w:vAlign w:val="center"/>
            <w:hideMark/>
          </w:tcPr>
          <w:p w14:paraId="1690CE69" w14:textId="1F132E3B" w:rsidR="001E2922" w:rsidRPr="000461C0" w:rsidRDefault="001E2922" w:rsidP="002633C2">
            <w:pPr>
              <w:spacing w:after="0" w:line="240" w:lineRule="auto"/>
              <w:jc w:val="left"/>
              <w:rPr>
                <w:rFonts w:eastAsia="Times New Roman" w:cs="Times New Roman"/>
                <w:b/>
                <w:bCs/>
                <w:sz w:val="20"/>
                <w:szCs w:val="20"/>
                <w:lang w:eastAsia="sk-SK"/>
              </w:rPr>
            </w:pPr>
            <w:r w:rsidRPr="000461C0">
              <w:rPr>
                <w:rFonts w:eastAsia="Times New Roman" w:cs="Times New Roman"/>
                <w:b/>
                <w:bCs/>
                <w:sz w:val="18"/>
                <w:szCs w:val="18"/>
                <w:lang w:eastAsia="sk-SK"/>
              </w:rPr>
              <w:t>v tis. eur</w:t>
            </w:r>
            <w:r w:rsidRPr="00813772">
              <w:rPr>
                <w:rFonts w:eastAsia="Times New Roman" w:cs="Times New Roman"/>
                <w:b/>
                <w:bCs/>
                <w:color w:val="FFFFFF"/>
                <w:sz w:val="20"/>
                <w:szCs w:val="20"/>
                <w:lang w:eastAsia="sk-SK"/>
              </w:rPr>
              <w:t> </w:t>
            </w:r>
          </w:p>
        </w:tc>
        <w:tc>
          <w:tcPr>
            <w:tcW w:w="502" w:type="pct"/>
            <w:tcBorders>
              <w:top w:val="nil"/>
              <w:left w:val="nil"/>
              <w:bottom w:val="nil"/>
              <w:right w:val="nil"/>
            </w:tcBorders>
            <w:shd w:val="clear" w:color="auto" w:fill="auto"/>
            <w:vAlign w:val="center"/>
            <w:hideMark/>
          </w:tcPr>
          <w:p w14:paraId="4C4B4D0A" w14:textId="59D0CADB" w:rsidR="001E2922" w:rsidRPr="00813772" w:rsidRDefault="001103E0" w:rsidP="000461C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2020</w:t>
            </w:r>
            <w:r w:rsidR="001E2922">
              <w:rPr>
                <w:rFonts w:eastAsia="Times New Roman" w:cs="Times New Roman"/>
                <w:b/>
                <w:bCs/>
                <w:color w:val="000000"/>
                <w:sz w:val="20"/>
                <w:szCs w:val="20"/>
                <w:lang w:eastAsia="sk-SK"/>
              </w:rPr>
              <w:t xml:space="preserve"> S</w:t>
            </w:r>
          </w:p>
        </w:tc>
        <w:tc>
          <w:tcPr>
            <w:tcW w:w="503" w:type="pct"/>
            <w:tcBorders>
              <w:top w:val="nil"/>
              <w:left w:val="nil"/>
              <w:bottom w:val="nil"/>
              <w:right w:val="nil"/>
            </w:tcBorders>
            <w:shd w:val="clear" w:color="auto" w:fill="auto"/>
            <w:vAlign w:val="center"/>
            <w:hideMark/>
          </w:tcPr>
          <w:p w14:paraId="7FD749A0" w14:textId="459ED8D4" w:rsidR="001E2922" w:rsidRPr="00813772" w:rsidRDefault="001103E0" w:rsidP="000461C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2021</w:t>
            </w:r>
            <w:r w:rsidR="001E2922">
              <w:rPr>
                <w:rFonts w:eastAsia="Times New Roman" w:cs="Times New Roman"/>
                <w:b/>
                <w:bCs/>
                <w:color w:val="000000"/>
                <w:sz w:val="20"/>
                <w:szCs w:val="20"/>
                <w:lang w:eastAsia="sk-SK"/>
              </w:rPr>
              <w:t xml:space="preserve"> S</w:t>
            </w:r>
          </w:p>
        </w:tc>
        <w:tc>
          <w:tcPr>
            <w:tcW w:w="502" w:type="pct"/>
            <w:tcBorders>
              <w:top w:val="nil"/>
              <w:left w:val="nil"/>
              <w:bottom w:val="nil"/>
              <w:right w:val="nil"/>
            </w:tcBorders>
            <w:shd w:val="clear" w:color="auto" w:fill="auto"/>
            <w:vAlign w:val="center"/>
            <w:hideMark/>
          </w:tcPr>
          <w:p w14:paraId="01308CE5" w14:textId="0238A012" w:rsidR="001E2922" w:rsidRPr="00813772" w:rsidRDefault="001E2922" w:rsidP="001103E0">
            <w:pPr>
              <w:spacing w:after="0" w:line="240" w:lineRule="auto"/>
              <w:jc w:val="center"/>
              <w:rPr>
                <w:rFonts w:eastAsia="Times New Roman" w:cs="Times New Roman"/>
                <w:b/>
                <w:bCs/>
                <w:color w:val="000000"/>
                <w:sz w:val="20"/>
                <w:szCs w:val="20"/>
                <w:lang w:eastAsia="sk-SK"/>
              </w:rPr>
            </w:pPr>
            <w:r w:rsidRPr="00813772">
              <w:rPr>
                <w:rFonts w:eastAsia="Times New Roman" w:cs="Times New Roman"/>
                <w:b/>
                <w:bCs/>
                <w:color w:val="000000"/>
                <w:sz w:val="20"/>
                <w:szCs w:val="20"/>
                <w:lang w:eastAsia="sk-SK"/>
              </w:rPr>
              <w:t>202</w:t>
            </w:r>
            <w:r w:rsidR="001103E0">
              <w:rPr>
                <w:rFonts w:eastAsia="Times New Roman" w:cs="Times New Roman"/>
                <w:b/>
                <w:bCs/>
                <w:color w:val="000000"/>
                <w:sz w:val="20"/>
                <w:szCs w:val="20"/>
                <w:lang w:eastAsia="sk-SK"/>
              </w:rPr>
              <w:t>2</w:t>
            </w:r>
            <w:r>
              <w:rPr>
                <w:rFonts w:eastAsia="Times New Roman" w:cs="Times New Roman"/>
                <w:b/>
                <w:bCs/>
                <w:color w:val="000000"/>
                <w:sz w:val="20"/>
                <w:szCs w:val="20"/>
                <w:lang w:eastAsia="sk-SK"/>
              </w:rPr>
              <w:t xml:space="preserve"> R</w:t>
            </w:r>
          </w:p>
        </w:tc>
        <w:tc>
          <w:tcPr>
            <w:tcW w:w="502" w:type="pct"/>
            <w:tcBorders>
              <w:top w:val="nil"/>
              <w:left w:val="nil"/>
              <w:bottom w:val="nil"/>
              <w:right w:val="nil"/>
            </w:tcBorders>
            <w:shd w:val="clear" w:color="auto" w:fill="auto"/>
            <w:vAlign w:val="center"/>
            <w:hideMark/>
          </w:tcPr>
          <w:p w14:paraId="3E99D3C8" w14:textId="624FB4C3" w:rsidR="001E2922" w:rsidRPr="00813772" w:rsidRDefault="001E2922" w:rsidP="001103E0">
            <w:pPr>
              <w:spacing w:after="0" w:line="240" w:lineRule="auto"/>
              <w:jc w:val="center"/>
              <w:rPr>
                <w:rFonts w:eastAsia="Times New Roman" w:cs="Times New Roman"/>
                <w:b/>
                <w:bCs/>
                <w:color w:val="000000"/>
                <w:sz w:val="20"/>
                <w:szCs w:val="20"/>
                <w:lang w:eastAsia="sk-SK"/>
              </w:rPr>
            </w:pPr>
            <w:r w:rsidRPr="00813772">
              <w:rPr>
                <w:rFonts w:eastAsia="Times New Roman" w:cs="Times New Roman"/>
                <w:b/>
                <w:bCs/>
                <w:color w:val="000000"/>
                <w:sz w:val="20"/>
                <w:szCs w:val="20"/>
                <w:lang w:eastAsia="sk-SK"/>
              </w:rPr>
              <w:t>202</w:t>
            </w:r>
            <w:r w:rsidR="001103E0">
              <w:rPr>
                <w:rFonts w:eastAsia="Times New Roman" w:cs="Times New Roman"/>
                <w:b/>
                <w:bCs/>
                <w:color w:val="000000"/>
                <w:sz w:val="20"/>
                <w:szCs w:val="20"/>
                <w:lang w:eastAsia="sk-SK"/>
              </w:rPr>
              <w:t>2</w:t>
            </w:r>
            <w:r>
              <w:rPr>
                <w:rFonts w:eastAsia="Times New Roman" w:cs="Times New Roman"/>
                <w:b/>
                <w:bCs/>
                <w:color w:val="000000"/>
                <w:sz w:val="20"/>
                <w:szCs w:val="20"/>
                <w:lang w:eastAsia="sk-SK"/>
              </w:rPr>
              <w:t xml:space="preserve"> S</w:t>
            </w:r>
          </w:p>
        </w:tc>
        <w:tc>
          <w:tcPr>
            <w:tcW w:w="463" w:type="pct"/>
            <w:tcBorders>
              <w:top w:val="nil"/>
              <w:left w:val="nil"/>
              <w:bottom w:val="nil"/>
              <w:right w:val="nil"/>
            </w:tcBorders>
            <w:shd w:val="clear" w:color="auto" w:fill="auto"/>
            <w:vAlign w:val="center"/>
            <w:hideMark/>
          </w:tcPr>
          <w:p w14:paraId="12E9A349" w14:textId="191C24DD" w:rsidR="001E2922" w:rsidRPr="00813772" w:rsidRDefault="001E2922" w:rsidP="000461C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Rozdiel</w:t>
            </w:r>
          </w:p>
        </w:tc>
        <w:tc>
          <w:tcPr>
            <w:tcW w:w="426" w:type="pct"/>
            <w:gridSpan w:val="2"/>
            <w:tcBorders>
              <w:top w:val="nil"/>
              <w:left w:val="nil"/>
              <w:bottom w:val="nil"/>
              <w:right w:val="nil"/>
            </w:tcBorders>
            <w:shd w:val="clear" w:color="auto" w:fill="auto"/>
            <w:vAlign w:val="center"/>
          </w:tcPr>
          <w:p w14:paraId="76CA1867" w14:textId="380E5693" w:rsidR="001E2922" w:rsidRPr="00813772" w:rsidRDefault="001E2922" w:rsidP="000461C0">
            <w:pPr>
              <w:spacing w:after="0" w:line="240" w:lineRule="auto"/>
              <w:jc w:val="center"/>
              <w:rPr>
                <w:rFonts w:eastAsia="Times New Roman" w:cs="Times New Roman"/>
                <w:b/>
                <w:bCs/>
                <w:color w:val="000000"/>
                <w:sz w:val="20"/>
                <w:szCs w:val="20"/>
                <w:lang w:eastAsia="sk-SK"/>
              </w:rPr>
            </w:pPr>
            <w:r w:rsidRPr="00813772">
              <w:rPr>
                <w:rFonts w:eastAsia="Times New Roman" w:cs="Times New Roman"/>
                <w:b/>
                <w:bCs/>
                <w:color w:val="000000"/>
                <w:sz w:val="20"/>
                <w:szCs w:val="20"/>
                <w:lang w:eastAsia="sk-SK"/>
              </w:rPr>
              <w:t>v %</w:t>
            </w:r>
          </w:p>
        </w:tc>
      </w:tr>
      <w:tr w:rsidR="001E2922" w:rsidRPr="00813772" w14:paraId="0D682C91" w14:textId="77777777" w:rsidTr="002C39DC">
        <w:trPr>
          <w:trHeight w:val="174"/>
        </w:trPr>
        <w:tc>
          <w:tcPr>
            <w:tcW w:w="2101" w:type="pct"/>
            <w:vMerge/>
            <w:tcBorders>
              <w:left w:val="nil"/>
              <w:bottom w:val="single" w:sz="8" w:space="0" w:color="auto"/>
              <w:right w:val="nil"/>
            </w:tcBorders>
            <w:shd w:val="clear" w:color="auto" w:fill="auto"/>
            <w:vAlign w:val="center"/>
            <w:hideMark/>
          </w:tcPr>
          <w:p w14:paraId="0C3E1D30" w14:textId="7B18726F" w:rsidR="001E2922" w:rsidRPr="00813772" w:rsidRDefault="001E2922" w:rsidP="000461C0">
            <w:pPr>
              <w:spacing w:after="0" w:line="240" w:lineRule="auto"/>
              <w:jc w:val="left"/>
              <w:rPr>
                <w:rFonts w:eastAsia="Times New Roman" w:cs="Times New Roman"/>
                <w:b/>
                <w:bCs/>
                <w:color w:val="FFFFFF"/>
                <w:sz w:val="20"/>
                <w:szCs w:val="20"/>
                <w:lang w:eastAsia="sk-SK"/>
              </w:rPr>
            </w:pPr>
          </w:p>
        </w:tc>
        <w:tc>
          <w:tcPr>
            <w:tcW w:w="502" w:type="pct"/>
            <w:tcBorders>
              <w:top w:val="nil"/>
              <w:left w:val="nil"/>
              <w:bottom w:val="single" w:sz="8" w:space="0" w:color="auto"/>
              <w:right w:val="nil"/>
            </w:tcBorders>
            <w:shd w:val="clear" w:color="auto" w:fill="auto"/>
            <w:vAlign w:val="center"/>
            <w:hideMark/>
          </w:tcPr>
          <w:p w14:paraId="45F2624D" w14:textId="77777777" w:rsidR="001E2922" w:rsidRPr="00813772" w:rsidRDefault="001E2922" w:rsidP="000461C0">
            <w:pPr>
              <w:spacing w:after="0" w:line="240" w:lineRule="auto"/>
              <w:jc w:val="center"/>
              <w:rPr>
                <w:rFonts w:eastAsia="Times New Roman" w:cs="Times New Roman"/>
                <w:b/>
                <w:bCs/>
                <w:sz w:val="20"/>
                <w:szCs w:val="20"/>
                <w:lang w:eastAsia="sk-SK"/>
              </w:rPr>
            </w:pPr>
            <w:r w:rsidRPr="00813772">
              <w:rPr>
                <w:rFonts w:eastAsia="Times New Roman" w:cs="Times New Roman"/>
                <w:b/>
                <w:bCs/>
                <w:sz w:val="20"/>
                <w:szCs w:val="20"/>
                <w:lang w:eastAsia="sk-SK"/>
              </w:rPr>
              <w:t>1</w:t>
            </w:r>
          </w:p>
        </w:tc>
        <w:tc>
          <w:tcPr>
            <w:tcW w:w="503" w:type="pct"/>
            <w:tcBorders>
              <w:top w:val="nil"/>
              <w:left w:val="nil"/>
              <w:bottom w:val="single" w:sz="8" w:space="0" w:color="auto"/>
              <w:right w:val="nil"/>
            </w:tcBorders>
            <w:shd w:val="clear" w:color="auto" w:fill="auto"/>
            <w:vAlign w:val="center"/>
            <w:hideMark/>
          </w:tcPr>
          <w:p w14:paraId="7EB1EFB9" w14:textId="77777777" w:rsidR="001E2922" w:rsidRPr="00813772" w:rsidRDefault="001E2922" w:rsidP="000461C0">
            <w:pPr>
              <w:spacing w:after="0" w:line="240" w:lineRule="auto"/>
              <w:jc w:val="center"/>
              <w:rPr>
                <w:rFonts w:eastAsia="Times New Roman" w:cs="Times New Roman"/>
                <w:b/>
                <w:bCs/>
                <w:sz w:val="20"/>
                <w:szCs w:val="20"/>
                <w:lang w:eastAsia="sk-SK"/>
              </w:rPr>
            </w:pPr>
            <w:r w:rsidRPr="00813772">
              <w:rPr>
                <w:rFonts w:eastAsia="Times New Roman" w:cs="Times New Roman"/>
                <w:b/>
                <w:bCs/>
                <w:sz w:val="20"/>
                <w:szCs w:val="20"/>
                <w:lang w:eastAsia="sk-SK"/>
              </w:rPr>
              <w:t>2</w:t>
            </w:r>
          </w:p>
        </w:tc>
        <w:tc>
          <w:tcPr>
            <w:tcW w:w="502" w:type="pct"/>
            <w:tcBorders>
              <w:top w:val="nil"/>
              <w:left w:val="nil"/>
              <w:bottom w:val="single" w:sz="8" w:space="0" w:color="auto"/>
              <w:right w:val="nil"/>
            </w:tcBorders>
            <w:shd w:val="clear" w:color="auto" w:fill="auto"/>
            <w:vAlign w:val="center"/>
            <w:hideMark/>
          </w:tcPr>
          <w:p w14:paraId="0B467E8D" w14:textId="77777777" w:rsidR="001E2922" w:rsidRPr="00813772" w:rsidRDefault="001E2922" w:rsidP="000461C0">
            <w:pPr>
              <w:spacing w:after="0" w:line="240" w:lineRule="auto"/>
              <w:jc w:val="center"/>
              <w:rPr>
                <w:rFonts w:eastAsia="Times New Roman" w:cs="Times New Roman"/>
                <w:b/>
                <w:bCs/>
                <w:sz w:val="20"/>
                <w:szCs w:val="20"/>
                <w:lang w:eastAsia="sk-SK"/>
              </w:rPr>
            </w:pPr>
            <w:r w:rsidRPr="00813772">
              <w:rPr>
                <w:rFonts w:eastAsia="Times New Roman" w:cs="Times New Roman"/>
                <w:b/>
                <w:bCs/>
                <w:sz w:val="20"/>
                <w:szCs w:val="20"/>
                <w:lang w:eastAsia="sk-SK"/>
              </w:rPr>
              <w:t>3</w:t>
            </w:r>
          </w:p>
        </w:tc>
        <w:tc>
          <w:tcPr>
            <w:tcW w:w="502" w:type="pct"/>
            <w:tcBorders>
              <w:top w:val="nil"/>
              <w:left w:val="nil"/>
              <w:bottom w:val="single" w:sz="8" w:space="0" w:color="auto"/>
              <w:right w:val="nil"/>
            </w:tcBorders>
            <w:shd w:val="clear" w:color="auto" w:fill="auto"/>
            <w:vAlign w:val="center"/>
            <w:hideMark/>
          </w:tcPr>
          <w:p w14:paraId="2A71A1E5" w14:textId="77777777" w:rsidR="001E2922" w:rsidRPr="00813772" w:rsidRDefault="001E2922" w:rsidP="000461C0">
            <w:pPr>
              <w:spacing w:after="0" w:line="240" w:lineRule="auto"/>
              <w:jc w:val="center"/>
              <w:rPr>
                <w:rFonts w:eastAsia="Times New Roman" w:cs="Times New Roman"/>
                <w:b/>
                <w:bCs/>
                <w:sz w:val="20"/>
                <w:szCs w:val="20"/>
                <w:lang w:eastAsia="sk-SK"/>
              </w:rPr>
            </w:pPr>
            <w:r w:rsidRPr="00813772">
              <w:rPr>
                <w:rFonts w:eastAsia="Times New Roman" w:cs="Times New Roman"/>
                <w:b/>
                <w:bCs/>
                <w:sz w:val="20"/>
                <w:szCs w:val="20"/>
                <w:lang w:eastAsia="sk-SK"/>
              </w:rPr>
              <w:t>4</w:t>
            </w:r>
          </w:p>
        </w:tc>
        <w:tc>
          <w:tcPr>
            <w:tcW w:w="538" w:type="pct"/>
            <w:gridSpan w:val="2"/>
            <w:tcBorders>
              <w:top w:val="nil"/>
              <w:left w:val="nil"/>
              <w:bottom w:val="single" w:sz="8" w:space="0" w:color="auto"/>
              <w:right w:val="nil"/>
            </w:tcBorders>
            <w:shd w:val="clear" w:color="auto" w:fill="auto"/>
            <w:vAlign w:val="center"/>
            <w:hideMark/>
          </w:tcPr>
          <w:p w14:paraId="645C8A48" w14:textId="77777777" w:rsidR="001E2922" w:rsidRPr="00813772" w:rsidRDefault="001E2922" w:rsidP="000461C0">
            <w:pPr>
              <w:spacing w:after="0" w:line="240" w:lineRule="auto"/>
              <w:jc w:val="center"/>
              <w:rPr>
                <w:rFonts w:eastAsia="Times New Roman" w:cs="Times New Roman"/>
                <w:b/>
                <w:bCs/>
                <w:sz w:val="20"/>
                <w:szCs w:val="20"/>
                <w:lang w:eastAsia="sk-SK"/>
              </w:rPr>
            </w:pPr>
            <w:r w:rsidRPr="00813772">
              <w:rPr>
                <w:rFonts w:eastAsia="Times New Roman" w:cs="Times New Roman"/>
                <w:b/>
                <w:bCs/>
                <w:sz w:val="20"/>
                <w:szCs w:val="20"/>
                <w:lang w:eastAsia="sk-SK"/>
              </w:rPr>
              <w:t>5=4-3</w:t>
            </w:r>
          </w:p>
        </w:tc>
        <w:tc>
          <w:tcPr>
            <w:tcW w:w="351" w:type="pct"/>
            <w:tcBorders>
              <w:top w:val="nil"/>
              <w:left w:val="nil"/>
              <w:bottom w:val="single" w:sz="8" w:space="0" w:color="auto"/>
              <w:right w:val="nil"/>
            </w:tcBorders>
            <w:shd w:val="clear" w:color="auto" w:fill="auto"/>
            <w:vAlign w:val="center"/>
            <w:hideMark/>
          </w:tcPr>
          <w:p w14:paraId="4D31DFEC" w14:textId="77777777" w:rsidR="001E2922" w:rsidRPr="00813772" w:rsidRDefault="001E2922" w:rsidP="000461C0">
            <w:pPr>
              <w:spacing w:after="0" w:line="240" w:lineRule="auto"/>
              <w:jc w:val="center"/>
              <w:rPr>
                <w:rFonts w:eastAsia="Times New Roman" w:cs="Times New Roman"/>
                <w:b/>
                <w:bCs/>
                <w:sz w:val="20"/>
                <w:szCs w:val="20"/>
                <w:lang w:eastAsia="sk-SK"/>
              </w:rPr>
            </w:pPr>
            <w:r w:rsidRPr="00813772">
              <w:rPr>
                <w:rFonts w:eastAsia="Times New Roman" w:cs="Times New Roman"/>
                <w:b/>
                <w:bCs/>
                <w:sz w:val="20"/>
                <w:szCs w:val="20"/>
                <w:lang w:eastAsia="sk-SK"/>
              </w:rPr>
              <w:t>6=4-3</w:t>
            </w:r>
          </w:p>
        </w:tc>
      </w:tr>
      <w:tr w:rsidR="00B06AE8" w:rsidRPr="00813772" w14:paraId="3D0F4C7E" w14:textId="77777777" w:rsidTr="002C39DC">
        <w:trPr>
          <w:trHeight w:val="330"/>
        </w:trPr>
        <w:tc>
          <w:tcPr>
            <w:tcW w:w="2101" w:type="pct"/>
            <w:tcBorders>
              <w:top w:val="nil"/>
              <w:left w:val="nil"/>
              <w:bottom w:val="nil"/>
              <w:right w:val="nil"/>
            </w:tcBorders>
            <w:shd w:val="clear" w:color="000000" w:fill="FFFFFF"/>
            <w:vAlign w:val="center"/>
            <w:hideMark/>
          </w:tcPr>
          <w:p w14:paraId="70826341" w14:textId="77777777" w:rsidR="00B06AE8" w:rsidRPr="00813772" w:rsidRDefault="00B06AE8" w:rsidP="00B06AE8">
            <w:pPr>
              <w:spacing w:after="0" w:line="240" w:lineRule="auto"/>
              <w:jc w:val="left"/>
              <w:rPr>
                <w:rFonts w:eastAsia="Times New Roman" w:cs="Times New Roman"/>
                <w:color w:val="000000"/>
                <w:sz w:val="20"/>
                <w:szCs w:val="20"/>
                <w:lang w:eastAsia="sk-SK"/>
              </w:rPr>
            </w:pPr>
            <w:r w:rsidRPr="00813772">
              <w:rPr>
                <w:rFonts w:eastAsia="Times New Roman" w:cs="Times New Roman"/>
                <w:color w:val="000000"/>
                <w:sz w:val="20"/>
                <w:szCs w:val="20"/>
                <w:lang w:eastAsia="sk-SK"/>
              </w:rPr>
              <w:t>Poľnohospodárske fondy 3. programové obdobie</w:t>
            </w:r>
          </w:p>
        </w:tc>
        <w:tc>
          <w:tcPr>
            <w:tcW w:w="502" w:type="pct"/>
            <w:tcBorders>
              <w:top w:val="nil"/>
              <w:left w:val="nil"/>
              <w:bottom w:val="nil"/>
              <w:right w:val="nil"/>
            </w:tcBorders>
            <w:shd w:val="clear" w:color="000000" w:fill="FFFFFF"/>
            <w:noWrap/>
            <w:hideMark/>
          </w:tcPr>
          <w:p w14:paraId="5526B7BD" w14:textId="3EFE2499" w:rsidR="00B06AE8" w:rsidRPr="00B06AE8" w:rsidRDefault="00B06AE8" w:rsidP="00B06AE8">
            <w:pPr>
              <w:spacing w:after="0" w:line="240" w:lineRule="auto"/>
              <w:jc w:val="right"/>
              <w:rPr>
                <w:rFonts w:eastAsia="Times New Roman" w:cs="Times New Roman"/>
                <w:color w:val="000000"/>
                <w:sz w:val="20"/>
                <w:szCs w:val="20"/>
                <w:lang w:eastAsia="sk-SK"/>
              </w:rPr>
            </w:pPr>
            <w:r w:rsidRPr="00B06AE8">
              <w:rPr>
                <w:rFonts w:eastAsia="Times New Roman" w:cs="Times New Roman"/>
                <w:color w:val="000000"/>
                <w:sz w:val="20"/>
                <w:szCs w:val="20"/>
                <w:lang w:eastAsia="sk-SK"/>
              </w:rPr>
              <w:t>654 294</w:t>
            </w:r>
          </w:p>
        </w:tc>
        <w:tc>
          <w:tcPr>
            <w:tcW w:w="503" w:type="pct"/>
            <w:tcBorders>
              <w:top w:val="nil"/>
              <w:left w:val="nil"/>
              <w:bottom w:val="nil"/>
              <w:right w:val="nil"/>
            </w:tcBorders>
            <w:shd w:val="clear" w:color="000000" w:fill="FFFFFF"/>
            <w:noWrap/>
            <w:hideMark/>
          </w:tcPr>
          <w:p w14:paraId="4963A2B4" w14:textId="36BF2730" w:rsidR="00B06AE8" w:rsidRPr="00B06AE8" w:rsidRDefault="00B06AE8" w:rsidP="00B06AE8">
            <w:pPr>
              <w:spacing w:after="0" w:line="240" w:lineRule="auto"/>
              <w:jc w:val="right"/>
              <w:rPr>
                <w:rFonts w:eastAsia="Times New Roman" w:cs="Times New Roman"/>
                <w:color w:val="000000"/>
                <w:sz w:val="20"/>
                <w:szCs w:val="20"/>
                <w:lang w:eastAsia="sk-SK"/>
              </w:rPr>
            </w:pPr>
            <w:r w:rsidRPr="00B06AE8">
              <w:rPr>
                <w:rFonts w:eastAsia="Times New Roman" w:cs="Times New Roman"/>
                <w:color w:val="000000"/>
                <w:sz w:val="20"/>
                <w:szCs w:val="20"/>
                <w:lang w:eastAsia="sk-SK"/>
              </w:rPr>
              <w:t>496 098</w:t>
            </w:r>
          </w:p>
        </w:tc>
        <w:tc>
          <w:tcPr>
            <w:tcW w:w="502" w:type="pct"/>
            <w:tcBorders>
              <w:top w:val="nil"/>
              <w:left w:val="nil"/>
              <w:bottom w:val="nil"/>
              <w:right w:val="nil"/>
            </w:tcBorders>
            <w:shd w:val="clear" w:color="000000" w:fill="FFFFFF"/>
            <w:noWrap/>
            <w:hideMark/>
          </w:tcPr>
          <w:p w14:paraId="0E65B374" w14:textId="1BFF8037" w:rsidR="00B06AE8" w:rsidRPr="00B06AE8" w:rsidRDefault="00B06AE8" w:rsidP="00B06AE8">
            <w:pPr>
              <w:spacing w:after="0" w:line="240" w:lineRule="auto"/>
              <w:jc w:val="right"/>
              <w:rPr>
                <w:rFonts w:eastAsia="Times New Roman" w:cs="Times New Roman"/>
                <w:color w:val="000000"/>
                <w:sz w:val="20"/>
                <w:szCs w:val="20"/>
                <w:lang w:eastAsia="sk-SK"/>
              </w:rPr>
            </w:pPr>
            <w:r w:rsidRPr="00B06AE8">
              <w:rPr>
                <w:rFonts w:eastAsia="Times New Roman" w:cs="Times New Roman"/>
                <w:color w:val="000000"/>
                <w:sz w:val="20"/>
                <w:szCs w:val="20"/>
                <w:lang w:eastAsia="sk-SK"/>
              </w:rPr>
              <w:t>854 973</w:t>
            </w:r>
          </w:p>
        </w:tc>
        <w:tc>
          <w:tcPr>
            <w:tcW w:w="502" w:type="pct"/>
            <w:tcBorders>
              <w:top w:val="nil"/>
              <w:left w:val="nil"/>
              <w:bottom w:val="nil"/>
              <w:right w:val="nil"/>
            </w:tcBorders>
            <w:shd w:val="clear" w:color="auto" w:fill="auto"/>
            <w:noWrap/>
            <w:hideMark/>
          </w:tcPr>
          <w:p w14:paraId="6EA2175E" w14:textId="2B815CD5" w:rsidR="00B06AE8" w:rsidRPr="00B06AE8" w:rsidRDefault="00B06AE8" w:rsidP="00B06AE8">
            <w:pPr>
              <w:spacing w:after="0" w:line="240" w:lineRule="auto"/>
              <w:jc w:val="right"/>
              <w:rPr>
                <w:rFonts w:eastAsia="Times New Roman" w:cs="Times New Roman"/>
                <w:color w:val="000000"/>
                <w:sz w:val="20"/>
                <w:szCs w:val="20"/>
                <w:lang w:eastAsia="sk-SK"/>
              </w:rPr>
            </w:pPr>
            <w:r w:rsidRPr="00B06AE8">
              <w:rPr>
                <w:rFonts w:eastAsia="Times New Roman" w:cs="Times New Roman"/>
                <w:color w:val="000000"/>
                <w:sz w:val="20"/>
                <w:szCs w:val="20"/>
                <w:lang w:eastAsia="sk-SK"/>
              </w:rPr>
              <w:t>371 783</w:t>
            </w:r>
          </w:p>
        </w:tc>
        <w:tc>
          <w:tcPr>
            <w:tcW w:w="538" w:type="pct"/>
            <w:gridSpan w:val="2"/>
            <w:tcBorders>
              <w:top w:val="nil"/>
              <w:left w:val="nil"/>
              <w:bottom w:val="nil"/>
              <w:right w:val="nil"/>
            </w:tcBorders>
            <w:shd w:val="clear" w:color="000000" w:fill="FFFFFF"/>
            <w:noWrap/>
            <w:hideMark/>
          </w:tcPr>
          <w:p w14:paraId="5B67741F" w14:textId="6998EB1B" w:rsidR="00B06AE8" w:rsidRPr="00B06AE8" w:rsidRDefault="00B06AE8" w:rsidP="00B06AE8">
            <w:pPr>
              <w:spacing w:after="0" w:line="240" w:lineRule="auto"/>
              <w:jc w:val="right"/>
              <w:rPr>
                <w:rFonts w:eastAsia="Times New Roman" w:cs="Times New Roman"/>
                <w:color w:val="000000"/>
                <w:sz w:val="20"/>
                <w:szCs w:val="20"/>
                <w:lang w:eastAsia="sk-SK"/>
              </w:rPr>
            </w:pPr>
            <w:r w:rsidRPr="00B06AE8">
              <w:rPr>
                <w:rFonts w:eastAsia="Times New Roman" w:cs="Times New Roman"/>
                <w:color w:val="000000"/>
                <w:sz w:val="20"/>
                <w:szCs w:val="20"/>
                <w:lang w:eastAsia="sk-SK"/>
              </w:rPr>
              <w:t>-483 190</w:t>
            </w:r>
          </w:p>
        </w:tc>
        <w:tc>
          <w:tcPr>
            <w:tcW w:w="351" w:type="pct"/>
            <w:tcBorders>
              <w:top w:val="nil"/>
              <w:left w:val="nil"/>
              <w:bottom w:val="nil"/>
              <w:right w:val="nil"/>
            </w:tcBorders>
            <w:shd w:val="clear" w:color="000000" w:fill="FFFFFF"/>
            <w:noWrap/>
            <w:hideMark/>
          </w:tcPr>
          <w:p w14:paraId="2ADEB695" w14:textId="177FD2D7" w:rsidR="00B06AE8" w:rsidRPr="00B06AE8" w:rsidRDefault="00B06AE8" w:rsidP="00B06AE8">
            <w:pPr>
              <w:spacing w:after="0" w:line="240" w:lineRule="auto"/>
              <w:jc w:val="right"/>
              <w:rPr>
                <w:rFonts w:eastAsia="Times New Roman" w:cs="Times New Roman"/>
                <w:color w:val="000000"/>
                <w:sz w:val="20"/>
                <w:szCs w:val="20"/>
                <w:lang w:eastAsia="sk-SK"/>
              </w:rPr>
            </w:pPr>
            <w:r w:rsidRPr="00B06AE8">
              <w:rPr>
                <w:rFonts w:eastAsia="Times New Roman" w:cs="Times New Roman"/>
                <w:color w:val="000000"/>
                <w:sz w:val="20"/>
                <w:szCs w:val="20"/>
                <w:lang w:eastAsia="sk-SK"/>
              </w:rPr>
              <w:t>-56,5</w:t>
            </w:r>
          </w:p>
        </w:tc>
      </w:tr>
      <w:tr w:rsidR="00B06AE8" w:rsidRPr="00B06AE8" w14:paraId="163DB59E" w14:textId="77777777" w:rsidTr="002C39DC">
        <w:trPr>
          <w:trHeight w:val="330"/>
        </w:trPr>
        <w:tc>
          <w:tcPr>
            <w:tcW w:w="2101" w:type="pct"/>
            <w:tcBorders>
              <w:top w:val="nil"/>
              <w:left w:val="nil"/>
              <w:bottom w:val="nil"/>
              <w:right w:val="nil"/>
            </w:tcBorders>
            <w:shd w:val="clear" w:color="000000" w:fill="FFFFFF"/>
            <w:vAlign w:val="center"/>
          </w:tcPr>
          <w:p w14:paraId="46DC21B8" w14:textId="2CC3BA1E" w:rsidR="00B06AE8" w:rsidRPr="00813772" w:rsidRDefault="00B06AE8" w:rsidP="00B06AE8">
            <w:pPr>
              <w:spacing w:after="0" w:line="240" w:lineRule="auto"/>
              <w:jc w:val="left"/>
              <w:rPr>
                <w:rFonts w:eastAsia="Times New Roman" w:cs="Times New Roman"/>
                <w:color w:val="000000"/>
                <w:sz w:val="20"/>
                <w:szCs w:val="20"/>
                <w:lang w:eastAsia="sk-SK"/>
              </w:rPr>
            </w:pPr>
            <w:r w:rsidRPr="00B06AE8">
              <w:rPr>
                <w:rFonts w:eastAsia="Times New Roman" w:cs="Times New Roman"/>
                <w:color w:val="000000"/>
                <w:sz w:val="20"/>
                <w:szCs w:val="20"/>
                <w:lang w:eastAsia="sk-SK"/>
              </w:rPr>
              <w:t>Poľnohospodárske fondy 4. programové obdobie</w:t>
            </w:r>
          </w:p>
        </w:tc>
        <w:tc>
          <w:tcPr>
            <w:tcW w:w="502" w:type="pct"/>
            <w:tcBorders>
              <w:top w:val="nil"/>
              <w:left w:val="nil"/>
              <w:bottom w:val="nil"/>
              <w:right w:val="nil"/>
            </w:tcBorders>
            <w:shd w:val="clear" w:color="000000" w:fill="FFFFFF"/>
            <w:noWrap/>
          </w:tcPr>
          <w:p w14:paraId="06066A5C" w14:textId="1A220149" w:rsidR="00B06AE8" w:rsidRPr="00B06AE8" w:rsidRDefault="00B06AE8" w:rsidP="00EF6122">
            <w:pPr>
              <w:spacing w:after="0" w:line="240" w:lineRule="auto"/>
              <w:jc w:val="right"/>
              <w:rPr>
                <w:rFonts w:eastAsia="Times New Roman" w:cs="Times New Roman"/>
                <w:color w:val="000000"/>
                <w:sz w:val="20"/>
                <w:szCs w:val="20"/>
                <w:lang w:eastAsia="sk-SK"/>
              </w:rPr>
            </w:pPr>
            <w:r w:rsidRPr="00732D41">
              <w:rPr>
                <w:color w:val="000000"/>
                <w:sz w:val="16"/>
                <w:szCs w:val="16"/>
              </w:rPr>
              <w:t>0</w:t>
            </w:r>
          </w:p>
        </w:tc>
        <w:tc>
          <w:tcPr>
            <w:tcW w:w="503" w:type="pct"/>
            <w:tcBorders>
              <w:top w:val="nil"/>
              <w:left w:val="nil"/>
              <w:bottom w:val="nil"/>
              <w:right w:val="nil"/>
            </w:tcBorders>
            <w:shd w:val="clear" w:color="000000" w:fill="FFFFFF"/>
            <w:noWrap/>
          </w:tcPr>
          <w:p w14:paraId="3F2B0F15" w14:textId="2598112F" w:rsidR="00B06AE8" w:rsidRPr="00B06AE8" w:rsidRDefault="00B06AE8" w:rsidP="00EF6122">
            <w:pPr>
              <w:spacing w:after="0" w:line="240" w:lineRule="auto"/>
              <w:jc w:val="right"/>
              <w:rPr>
                <w:rFonts w:eastAsia="Times New Roman" w:cs="Times New Roman"/>
                <w:color w:val="000000"/>
                <w:sz w:val="20"/>
                <w:szCs w:val="20"/>
                <w:lang w:eastAsia="sk-SK"/>
              </w:rPr>
            </w:pPr>
            <w:r w:rsidRPr="00732D41">
              <w:rPr>
                <w:color w:val="000000"/>
                <w:sz w:val="16"/>
                <w:szCs w:val="16"/>
              </w:rPr>
              <w:t>0</w:t>
            </w:r>
          </w:p>
        </w:tc>
        <w:tc>
          <w:tcPr>
            <w:tcW w:w="502" w:type="pct"/>
            <w:tcBorders>
              <w:top w:val="nil"/>
              <w:left w:val="nil"/>
              <w:bottom w:val="nil"/>
              <w:right w:val="nil"/>
            </w:tcBorders>
            <w:shd w:val="clear" w:color="000000" w:fill="FFFFFF"/>
            <w:noWrap/>
          </w:tcPr>
          <w:p w14:paraId="71EE734A" w14:textId="55D7EC60" w:rsidR="00B06AE8" w:rsidRPr="00B06AE8" w:rsidRDefault="00B06AE8" w:rsidP="00EF6122">
            <w:pPr>
              <w:spacing w:after="0" w:line="240" w:lineRule="auto"/>
              <w:jc w:val="right"/>
              <w:rPr>
                <w:rFonts w:eastAsia="Times New Roman" w:cs="Times New Roman"/>
                <w:color w:val="000000"/>
                <w:sz w:val="20"/>
                <w:szCs w:val="20"/>
                <w:lang w:eastAsia="sk-SK"/>
              </w:rPr>
            </w:pPr>
            <w:r w:rsidRPr="00732D41">
              <w:rPr>
                <w:color w:val="000000"/>
                <w:sz w:val="16"/>
                <w:szCs w:val="16"/>
              </w:rPr>
              <w:t>0</w:t>
            </w:r>
          </w:p>
        </w:tc>
        <w:tc>
          <w:tcPr>
            <w:tcW w:w="502" w:type="pct"/>
            <w:tcBorders>
              <w:top w:val="nil"/>
              <w:left w:val="nil"/>
              <w:bottom w:val="nil"/>
              <w:right w:val="nil"/>
            </w:tcBorders>
            <w:shd w:val="clear" w:color="auto" w:fill="auto"/>
            <w:noWrap/>
          </w:tcPr>
          <w:p w14:paraId="63C9D5D7" w14:textId="5793F079" w:rsidR="00B06AE8" w:rsidRPr="00B06AE8" w:rsidRDefault="00B06AE8" w:rsidP="00EF6122">
            <w:pPr>
              <w:spacing w:after="0" w:line="240" w:lineRule="auto"/>
              <w:jc w:val="right"/>
              <w:rPr>
                <w:rFonts w:eastAsia="Times New Roman" w:cs="Times New Roman"/>
                <w:color w:val="000000"/>
                <w:sz w:val="20"/>
                <w:szCs w:val="20"/>
                <w:lang w:eastAsia="sk-SK"/>
              </w:rPr>
            </w:pPr>
            <w:r w:rsidRPr="00732D41">
              <w:rPr>
                <w:color w:val="000000"/>
                <w:sz w:val="16"/>
                <w:szCs w:val="16"/>
              </w:rPr>
              <w:t>0</w:t>
            </w:r>
          </w:p>
        </w:tc>
        <w:tc>
          <w:tcPr>
            <w:tcW w:w="538" w:type="pct"/>
            <w:gridSpan w:val="2"/>
            <w:tcBorders>
              <w:top w:val="nil"/>
              <w:left w:val="nil"/>
              <w:bottom w:val="nil"/>
              <w:right w:val="nil"/>
            </w:tcBorders>
            <w:shd w:val="clear" w:color="000000" w:fill="FFFFFF"/>
            <w:noWrap/>
          </w:tcPr>
          <w:p w14:paraId="511D91F7" w14:textId="617D2460" w:rsidR="00B06AE8" w:rsidRPr="00B06AE8" w:rsidRDefault="00B06AE8" w:rsidP="00EF6122">
            <w:pPr>
              <w:spacing w:after="0" w:line="240" w:lineRule="auto"/>
              <w:jc w:val="right"/>
              <w:rPr>
                <w:rFonts w:eastAsia="Times New Roman" w:cs="Times New Roman"/>
                <w:color w:val="000000"/>
                <w:sz w:val="20"/>
                <w:szCs w:val="20"/>
                <w:lang w:eastAsia="sk-SK"/>
              </w:rPr>
            </w:pPr>
            <w:r w:rsidRPr="00732D41">
              <w:rPr>
                <w:color w:val="000000"/>
                <w:sz w:val="16"/>
                <w:szCs w:val="16"/>
              </w:rPr>
              <w:t>0</w:t>
            </w:r>
          </w:p>
        </w:tc>
        <w:tc>
          <w:tcPr>
            <w:tcW w:w="351" w:type="pct"/>
            <w:tcBorders>
              <w:top w:val="nil"/>
              <w:left w:val="nil"/>
              <w:bottom w:val="nil"/>
              <w:right w:val="nil"/>
            </w:tcBorders>
            <w:shd w:val="clear" w:color="000000" w:fill="FFFFFF"/>
            <w:noWrap/>
          </w:tcPr>
          <w:p w14:paraId="76758A0B" w14:textId="18E96F96" w:rsidR="00B06AE8" w:rsidRPr="00B06AE8" w:rsidRDefault="00B06AE8" w:rsidP="00EF6122">
            <w:pPr>
              <w:spacing w:after="0" w:line="240" w:lineRule="auto"/>
              <w:jc w:val="right"/>
              <w:rPr>
                <w:rFonts w:eastAsia="Times New Roman" w:cs="Times New Roman"/>
                <w:color w:val="000000"/>
                <w:sz w:val="20"/>
                <w:szCs w:val="20"/>
                <w:lang w:eastAsia="sk-SK"/>
              </w:rPr>
            </w:pPr>
            <w:r w:rsidRPr="00732D41">
              <w:rPr>
                <w:color w:val="000000"/>
                <w:sz w:val="16"/>
                <w:szCs w:val="16"/>
              </w:rPr>
              <w:t>0,0</w:t>
            </w:r>
          </w:p>
        </w:tc>
      </w:tr>
      <w:tr w:rsidR="00EF6122" w:rsidRPr="00813772" w14:paraId="588513FA" w14:textId="77777777" w:rsidTr="002C39DC">
        <w:trPr>
          <w:trHeight w:val="330"/>
        </w:trPr>
        <w:tc>
          <w:tcPr>
            <w:tcW w:w="2101" w:type="pct"/>
            <w:tcBorders>
              <w:top w:val="nil"/>
              <w:left w:val="nil"/>
              <w:bottom w:val="nil"/>
              <w:right w:val="nil"/>
            </w:tcBorders>
            <w:shd w:val="clear" w:color="000000" w:fill="FFFFFF"/>
            <w:vAlign w:val="center"/>
            <w:hideMark/>
          </w:tcPr>
          <w:p w14:paraId="0EF659DD" w14:textId="77777777" w:rsidR="00EF6122" w:rsidRPr="00813772" w:rsidRDefault="00EF6122" w:rsidP="00EF6122">
            <w:pPr>
              <w:spacing w:after="0" w:line="240" w:lineRule="auto"/>
              <w:jc w:val="left"/>
              <w:rPr>
                <w:rFonts w:eastAsia="Times New Roman" w:cs="Times New Roman"/>
                <w:b/>
                <w:bCs/>
                <w:color w:val="000000"/>
                <w:sz w:val="20"/>
                <w:szCs w:val="20"/>
                <w:lang w:eastAsia="sk-SK"/>
              </w:rPr>
            </w:pPr>
            <w:r w:rsidRPr="00813772">
              <w:rPr>
                <w:rFonts w:eastAsia="Times New Roman" w:cs="Times New Roman"/>
                <w:b/>
                <w:bCs/>
                <w:color w:val="000000"/>
                <w:sz w:val="20"/>
                <w:szCs w:val="20"/>
                <w:lang w:eastAsia="sk-SK"/>
              </w:rPr>
              <w:t>Poľnohospodárske fondy spolu - MPRV SR</w:t>
            </w:r>
          </w:p>
        </w:tc>
        <w:tc>
          <w:tcPr>
            <w:tcW w:w="502" w:type="pct"/>
            <w:tcBorders>
              <w:top w:val="nil"/>
              <w:left w:val="nil"/>
              <w:bottom w:val="nil"/>
              <w:right w:val="nil"/>
            </w:tcBorders>
            <w:shd w:val="clear" w:color="000000" w:fill="FFFFFF"/>
            <w:noWrap/>
            <w:vAlign w:val="center"/>
            <w:hideMark/>
          </w:tcPr>
          <w:p w14:paraId="1BE22FD4" w14:textId="1FA5F7BC"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654 294</w:t>
            </w:r>
          </w:p>
        </w:tc>
        <w:tc>
          <w:tcPr>
            <w:tcW w:w="503" w:type="pct"/>
            <w:tcBorders>
              <w:top w:val="nil"/>
              <w:left w:val="nil"/>
              <w:bottom w:val="nil"/>
              <w:right w:val="nil"/>
            </w:tcBorders>
            <w:shd w:val="clear" w:color="000000" w:fill="FFFFFF"/>
            <w:noWrap/>
            <w:vAlign w:val="center"/>
            <w:hideMark/>
          </w:tcPr>
          <w:p w14:paraId="4F51A8DD" w14:textId="34E402CD"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496 098</w:t>
            </w:r>
          </w:p>
        </w:tc>
        <w:tc>
          <w:tcPr>
            <w:tcW w:w="502" w:type="pct"/>
            <w:tcBorders>
              <w:top w:val="nil"/>
              <w:left w:val="nil"/>
              <w:bottom w:val="nil"/>
              <w:right w:val="nil"/>
            </w:tcBorders>
            <w:shd w:val="clear" w:color="000000" w:fill="FFFFFF"/>
            <w:noWrap/>
            <w:vAlign w:val="center"/>
            <w:hideMark/>
          </w:tcPr>
          <w:p w14:paraId="0AC7FFC1" w14:textId="4860F58A"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854 973</w:t>
            </w:r>
          </w:p>
        </w:tc>
        <w:tc>
          <w:tcPr>
            <w:tcW w:w="502" w:type="pct"/>
            <w:tcBorders>
              <w:top w:val="nil"/>
              <w:left w:val="nil"/>
              <w:bottom w:val="nil"/>
              <w:right w:val="nil"/>
            </w:tcBorders>
            <w:shd w:val="clear" w:color="000000" w:fill="FFFFFF"/>
            <w:noWrap/>
            <w:vAlign w:val="center"/>
            <w:hideMark/>
          </w:tcPr>
          <w:p w14:paraId="35AB3DF2" w14:textId="278D860C"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371 783</w:t>
            </w:r>
          </w:p>
        </w:tc>
        <w:tc>
          <w:tcPr>
            <w:tcW w:w="538" w:type="pct"/>
            <w:gridSpan w:val="2"/>
            <w:tcBorders>
              <w:top w:val="nil"/>
              <w:left w:val="nil"/>
              <w:bottom w:val="nil"/>
              <w:right w:val="nil"/>
            </w:tcBorders>
            <w:shd w:val="clear" w:color="000000" w:fill="FFFFFF"/>
            <w:noWrap/>
            <w:vAlign w:val="center"/>
            <w:hideMark/>
          </w:tcPr>
          <w:p w14:paraId="0574348D" w14:textId="2030D90A"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-483 190</w:t>
            </w:r>
          </w:p>
        </w:tc>
        <w:tc>
          <w:tcPr>
            <w:tcW w:w="351" w:type="pct"/>
            <w:tcBorders>
              <w:top w:val="nil"/>
              <w:left w:val="nil"/>
              <w:bottom w:val="nil"/>
              <w:right w:val="nil"/>
            </w:tcBorders>
            <w:shd w:val="clear" w:color="000000" w:fill="FFFFFF"/>
            <w:noWrap/>
            <w:vAlign w:val="center"/>
            <w:hideMark/>
          </w:tcPr>
          <w:p w14:paraId="5610AB36" w14:textId="487D6A4B"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-56,5</w:t>
            </w:r>
          </w:p>
        </w:tc>
      </w:tr>
      <w:tr w:rsidR="00EF6122" w:rsidRPr="00813772" w14:paraId="3C580681" w14:textId="77777777" w:rsidTr="002C39DC">
        <w:trPr>
          <w:trHeight w:val="510"/>
        </w:trPr>
        <w:tc>
          <w:tcPr>
            <w:tcW w:w="2101" w:type="pct"/>
            <w:tcBorders>
              <w:top w:val="nil"/>
              <w:left w:val="nil"/>
              <w:bottom w:val="nil"/>
              <w:right w:val="nil"/>
            </w:tcBorders>
            <w:shd w:val="clear" w:color="000000" w:fill="FFFFFF"/>
            <w:vAlign w:val="center"/>
            <w:hideMark/>
          </w:tcPr>
          <w:p w14:paraId="045C441A" w14:textId="77777777" w:rsidR="00EF6122" w:rsidRPr="00813772" w:rsidRDefault="00EF6122" w:rsidP="00EF6122">
            <w:pPr>
              <w:spacing w:after="0" w:line="240" w:lineRule="auto"/>
              <w:jc w:val="left"/>
              <w:rPr>
                <w:rFonts w:eastAsia="Times New Roman" w:cs="Times New Roman"/>
                <w:color w:val="000000"/>
                <w:sz w:val="20"/>
                <w:szCs w:val="20"/>
                <w:lang w:eastAsia="sk-SK"/>
              </w:rPr>
            </w:pPr>
            <w:r w:rsidRPr="00813772">
              <w:rPr>
                <w:rFonts w:eastAsia="Times New Roman" w:cs="Times New Roman"/>
                <w:color w:val="000000"/>
                <w:sz w:val="20"/>
                <w:szCs w:val="20"/>
                <w:lang w:eastAsia="sk-SK"/>
              </w:rPr>
              <w:t xml:space="preserve">Štrukturálne fondy, Kohézny fond, Európsky fond pre rybné hospodárstvo 2. programové obdobie </w:t>
            </w:r>
          </w:p>
        </w:tc>
        <w:tc>
          <w:tcPr>
            <w:tcW w:w="502" w:type="pct"/>
            <w:tcBorders>
              <w:top w:val="nil"/>
              <w:left w:val="nil"/>
              <w:bottom w:val="nil"/>
              <w:right w:val="nil"/>
            </w:tcBorders>
            <w:shd w:val="clear" w:color="auto" w:fill="auto"/>
            <w:noWrap/>
            <w:vAlign w:val="center"/>
            <w:hideMark/>
          </w:tcPr>
          <w:p w14:paraId="62AD4A99" w14:textId="2CFB517F"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306 088</w:t>
            </w:r>
          </w:p>
        </w:tc>
        <w:tc>
          <w:tcPr>
            <w:tcW w:w="503" w:type="pct"/>
            <w:tcBorders>
              <w:top w:val="nil"/>
              <w:left w:val="nil"/>
              <w:bottom w:val="nil"/>
              <w:right w:val="nil"/>
            </w:tcBorders>
            <w:shd w:val="clear" w:color="000000" w:fill="FFFFFF"/>
            <w:noWrap/>
            <w:vAlign w:val="center"/>
            <w:hideMark/>
          </w:tcPr>
          <w:p w14:paraId="2D13AF6B" w14:textId="7994FDC9"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0</w:t>
            </w:r>
          </w:p>
        </w:tc>
        <w:tc>
          <w:tcPr>
            <w:tcW w:w="502" w:type="pct"/>
            <w:tcBorders>
              <w:top w:val="nil"/>
              <w:left w:val="nil"/>
              <w:bottom w:val="nil"/>
              <w:right w:val="nil"/>
            </w:tcBorders>
            <w:shd w:val="clear" w:color="000000" w:fill="FFFFFF"/>
            <w:noWrap/>
            <w:vAlign w:val="center"/>
            <w:hideMark/>
          </w:tcPr>
          <w:p w14:paraId="673D5B8F" w14:textId="1806457E"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0</w:t>
            </w:r>
          </w:p>
        </w:tc>
        <w:tc>
          <w:tcPr>
            <w:tcW w:w="502" w:type="pct"/>
            <w:tcBorders>
              <w:top w:val="nil"/>
              <w:left w:val="nil"/>
              <w:bottom w:val="nil"/>
              <w:right w:val="nil"/>
            </w:tcBorders>
            <w:shd w:val="clear" w:color="000000" w:fill="FFFFFF"/>
            <w:noWrap/>
            <w:vAlign w:val="center"/>
            <w:hideMark/>
          </w:tcPr>
          <w:p w14:paraId="37EE65ED" w14:textId="1EB5D4FC"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2 786</w:t>
            </w:r>
          </w:p>
        </w:tc>
        <w:tc>
          <w:tcPr>
            <w:tcW w:w="538" w:type="pct"/>
            <w:gridSpan w:val="2"/>
            <w:tcBorders>
              <w:top w:val="nil"/>
              <w:left w:val="nil"/>
              <w:bottom w:val="nil"/>
              <w:right w:val="nil"/>
            </w:tcBorders>
            <w:shd w:val="clear" w:color="000000" w:fill="FFFFFF"/>
            <w:noWrap/>
            <w:vAlign w:val="center"/>
            <w:hideMark/>
          </w:tcPr>
          <w:p w14:paraId="4FC8FAEE" w14:textId="027F2DE5"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2 786</w:t>
            </w:r>
          </w:p>
        </w:tc>
        <w:tc>
          <w:tcPr>
            <w:tcW w:w="351" w:type="pct"/>
            <w:tcBorders>
              <w:top w:val="nil"/>
              <w:left w:val="nil"/>
              <w:bottom w:val="nil"/>
              <w:right w:val="nil"/>
            </w:tcBorders>
            <w:shd w:val="clear" w:color="000000" w:fill="FFFFFF"/>
            <w:noWrap/>
            <w:vAlign w:val="center"/>
            <w:hideMark/>
          </w:tcPr>
          <w:p w14:paraId="6C4F6163" w14:textId="645EC9DA"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0,0</w:t>
            </w:r>
          </w:p>
        </w:tc>
      </w:tr>
      <w:tr w:rsidR="00EF6122" w:rsidRPr="00813772" w14:paraId="3FFD771E" w14:textId="77777777" w:rsidTr="002C39DC">
        <w:trPr>
          <w:trHeight w:val="510"/>
        </w:trPr>
        <w:tc>
          <w:tcPr>
            <w:tcW w:w="2101" w:type="pct"/>
            <w:tcBorders>
              <w:top w:val="nil"/>
              <w:left w:val="nil"/>
              <w:bottom w:val="nil"/>
              <w:right w:val="nil"/>
            </w:tcBorders>
            <w:shd w:val="clear" w:color="000000" w:fill="FFFFFF"/>
            <w:vAlign w:val="center"/>
            <w:hideMark/>
          </w:tcPr>
          <w:p w14:paraId="5C338C46" w14:textId="77777777" w:rsidR="00EF6122" w:rsidRPr="00813772" w:rsidRDefault="00EF6122" w:rsidP="00015756">
            <w:pPr>
              <w:spacing w:after="0" w:line="240" w:lineRule="auto"/>
              <w:jc w:val="left"/>
              <w:rPr>
                <w:rFonts w:eastAsia="Times New Roman" w:cs="Times New Roman"/>
                <w:color w:val="000000"/>
                <w:sz w:val="20"/>
                <w:szCs w:val="20"/>
                <w:lang w:eastAsia="sk-SK"/>
              </w:rPr>
            </w:pPr>
            <w:r w:rsidRPr="00813772">
              <w:rPr>
                <w:rFonts w:eastAsia="Times New Roman" w:cs="Times New Roman"/>
                <w:color w:val="000000"/>
                <w:sz w:val="20"/>
                <w:szCs w:val="20"/>
                <w:lang w:eastAsia="sk-SK"/>
              </w:rPr>
              <w:t xml:space="preserve">Štrukturálne fondy, Kohézny fond, Európsky námorný a rybársky fond 3. programové obdobie </w:t>
            </w:r>
          </w:p>
        </w:tc>
        <w:tc>
          <w:tcPr>
            <w:tcW w:w="502" w:type="pct"/>
            <w:tcBorders>
              <w:top w:val="nil"/>
              <w:left w:val="nil"/>
              <w:bottom w:val="nil"/>
              <w:right w:val="nil"/>
            </w:tcBorders>
            <w:shd w:val="clear" w:color="000000" w:fill="FFFFFF"/>
            <w:noWrap/>
            <w:vAlign w:val="center"/>
            <w:hideMark/>
          </w:tcPr>
          <w:p w14:paraId="40993A63" w14:textId="77777777" w:rsidR="00EF6122" w:rsidRPr="00EF6122" w:rsidRDefault="00EF6122" w:rsidP="00015756">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1 559 035</w:t>
            </w:r>
          </w:p>
        </w:tc>
        <w:tc>
          <w:tcPr>
            <w:tcW w:w="503" w:type="pct"/>
            <w:tcBorders>
              <w:top w:val="nil"/>
              <w:left w:val="nil"/>
              <w:bottom w:val="nil"/>
              <w:right w:val="nil"/>
            </w:tcBorders>
            <w:shd w:val="clear" w:color="000000" w:fill="FFFFFF"/>
            <w:noWrap/>
            <w:vAlign w:val="center"/>
            <w:hideMark/>
          </w:tcPr>
          <w:p w14:paraId="5161C374" w14:textId="77777777" w:rsidR="00EF6122" w:rsidRPr="00EF6122" w:rsidRDefault="00EF6122" w:rsidP="00015756">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1 734 344</w:t>
            </w:r>
          </w:p>
        </w:tc>
        <w:tc>
          <w:tcPr>
            <w:tcW w:w="502" w:type="pct"/>
            <w:tcBorders>
              <w:top w:val="nil"/>
              <w:left w:val="nil"/>
              <w:bottom w:val="nil"/>
              <w:right w:val="nil"/>
            </w:tcBorders>
            <w:shd w:val="clear" w:color="000000" w:fill="FFFFFF"/>
            <w:noWrap/>
            <w:vAlign w:val="center"/>
            <w:hideMark/>
          </w:tcPr>
          <w:p w14:paraId="2E940AAA" w14:textId="77777777" w:rsidR="00EF6122" w:rsidRPr="00EF6122" w:rsidRDefault="00EF6122" w:rsidP="00015756">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2 186 721</w:t>
            </w:r>
          </w:p>
        </w:tc>
        <w:tc>
          <w:tcPr>
            <w:tcW w:w="502" w:type="pct"/>
            <w:tcBorders>
              <w:top w:val="nil"/>
              <w:left w:val="nil"/>
              <w:bottom w:val="nil"/>
              <w:right w:val="nil"/>
            </w:tcBorders>
            <w:shd w:val="clear" w:color="000000" w:fill="FFFFFF"/>
            <w:noWrap/>
            <w:vAlign w:val="center"/>
            <w:hideMark/>
          </w:tcPr>
          <w:p w14:paraId="0069E737" w14:textId="77777777" w:rsidR="00EF6122" w:rsidRPr="00EF6122" w:rsidRDefault="00EF6122" w:rsidP="00015756">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1 743 444</w:t>
            </w:r>
          </w:p>
        </w:tc>
        <w:tc>
          <w:tcPr>
            <w:tcW w:w="538" w:type="pct"/>
            <w:gridSpan w:val="2"/>
            <w:tcBorders>
              <w:top w:val="nil"/>
              <w:left w:val="nil"/>
              <w:bottom w:val="nil"/>
              <w:right w:val="nil"/>
            </w:tcBorders>
            <w:shd w:val="clear" w:color="000000" w:fill="FFFFFF"/>
            <w:noWrap/>
            <w:vAlign w:val="center"/>
            <w:hideMark/>
          </w:tcPr>
          <w:p w14:paraId="79D7D915" w14:textId="77777777" w:rsidR="00EF6122" w:rsidRPr="00EF6122" w:rsidRDefault="00EF6122" w:rsidP="00015756">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-443 277</w:t>
            </w:r>
          </w:p>
        </w:tc>
        <w:tc>
          <w:tcPr>
            <w:tcW w:w="351" w:type="pct"/>
            <w:tcBorders>
              <w:top w:val="nil"/>
              <w:left w:val="nil"/>
              <w:bottom w:val="nil"/>
              <w:right w:val="nil"/>
            </w:tcBorders>
            <w:shd w:val="clear" w:color="000000" w:fill="FFFFFF"/>
            <w:noWrap/>
            <w:vAlign w:val="center"/>
            <w:hideMark/>
          </w:tcPr>
          <w:p w14:paraId="68AFEBFF" w14:textId="77777777" w:rsidR="00EF6122" w:rsidRPr="00EF6122" w:rsidRDefault="00EF6122" w:rsidP="00015756">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-20,3</w:t>
            </w:r>
          </w:p>
        </w:tc>
      </w:tr>
      <w:tr w:rsidR="00EF6122" w:rsidRPr="00EF6122" w14:paraId="277BFF19" w14:textId="77777777" w:rsidTr="002C39DC">
        <w:trPr>
          <w:trHeight w:val="510"/>
        </w:trPr>
        <w:tc>
          <w:tcPr>
            <w:tcW w:w="2101" w:type="pct"/>
            <w:tcBorders>
              <w:top w:val="nil"/>
              <w:left w:val="nil"/>
              <w:bottom w:val="nil"/>
              <w:right w:val="nil"/>
            </w:tcBorders>
            <w:shd w:val="clear" w:color="000000" w:fill="FFFFFF"/>
            <w:vAlign w:val="center"/>
          </w:tcPr>
          <w:p w14:paraId="7AA079CF" w14:textId="4F635663" w:rsidR="00EF6122" w:rsidRPr="00EF6122" w:rsidRDefault="00EF6122" w:rsidP="00EF6122">
            <w:pPr>
              <w:spacing w:after="0" w:line="240" w:lineRule="auto"/>
              <w:jc w:val="left"/>
              <w:rPr>
                <w:rFonts w:eastAsia="Times New Roman" w:cs="Times New Roman"/>
                <w:color w:val="000000"/>
                <w:sz w:val="20"/>
                <w:szCs w:val="20"/>
                <w:lang w:eastAsia="sk-SK"/>
              </w:rPr>
            </w:pPr>
            <w:r w:rsidRPr="00EF6122">
              <w:rPr>
                <w:color w:val="000000"/>
                <w:sz w:val="20"/>
                <w:szCs w:val="20"/>
              </w:rPr>
              <w:t>Program Slovensko a Program Rybné hospodárstvo 4. programové obdobie</w:t>
            </w:r>
          </w:p>
        </w:tc>
        <w:tc>
          <w:tcPr>
            <w:tcW w:w="502" w:type="pct"/>
            <w:tcBorders>
              <w:top w:val="nil"/>
              <w:left w:val="nil"/>
              <w:bottom w:val="nil"/>
              <w:right w:val="nil"/>
            </w:tcBorders>
            <w:shd w:val="clear" w:color="auto" w:fill="auto"/>
            <w:noWrap/>
            <w:vAlign w:val="center"/>
          </w:tcPr>
          <w:p w14:paraId="796DF860" w14:textId="69EBA998" w:rsidR="00EF6122" w:rsidRPr="00EF6122" w:rsidRDefault="00EF6122" w:rsidP="00EF6122">
            <w:pPr>
              <w:spacing w:after="0" w:line="240" w:lineRule="auto"/>
              <w:jc w:val="right"/>
              <w:rPr>
                <w:color w:val="000000"/>
                <w:sz w:val="20"/>
                <w:szCs w:val="20"/>
              </w:rPr>
            </w:pPr>
            <w:r w:rsidRPr="00EF6122">
              <w:rPr>
                <w:color w:val="000000"/>
                <w:sz w:val="20"/>
                <w:szCs w:val="20"/>
              </w:rPr>
              <w:t>0</w:t>
            </w:r>
          </w:p>
        </w:tc>
        <w:tc>
          <w:tcPr>
            <w:tcW w:w="503" w:type="pct"/>
            <w:tcBorders>
              <w:top w:val="nil"/>
              <w:left w:val="nil"/>
              <w:bottom w:val="nil"/>
              <w:right w:val="nil"/>
            </w:tcBorders>
            <w:shd w:val="clear" w:color="000000" w:fill="FFFFFF"/>
            <w:noWrap/>
            <w:vAlign w:val="center"/>
          </w:tcPr>
          <w:p w14:paraId="0ADE8220" w14:textId="10D60AA2" w:rsidR="00EF6122" w:rsidRPr="00EF6122" w:rsidRDefault="00EF6122" w:rsidP="00EF6122">
            <w:pPr>
              <w:spacing w:after="0" w:line="240" w:lineRule="auto"/>
              <w:jc w:val="right"/>
              <w:rPr>
                <w:color w:val="000000"/>
                <w:sz w:val="20"/>
                <w:szCs w:val="20"/>
              </w:rPr>
            </w:pPr>
            <w:r w:rsidRPr="00EF6122">
              <w:rPr>
                <w:color w:val="000000"/>
                <w:sz w:val="20"/>
                <w:szCs w:val="20"/>
              </w:rPr>
              <w:t>0</w:t>
            </w:r>
          </w:p>
        </w:tc>
        <w:tc>
          <w:tcPr>
            <w:tcW w:w="502" w:type="pct"/>
            <w:tcBorders>
              <w:top w:val="nil"/>
              <w:left w:val="nil"/>
              <w:bottom w:val="nil"/>
              <w:right w:val="nil"/>
            </w:tcBorders>
            <w:shd w:val="clear" w:color="000000" w:fill="FFFFFF"/>
            <w:noWrap/>
            <w:vAlign w:val="center"/>
          </w:tcPr>
          <w:p w14:paraId="1532B3DC" w14:textId="7E62973B" w:rsidR="00EF6122" w:rsidRPr="00EF6122" w:rsidRDefault="00EF6122" w:rsidP="00EF6122">
            <w:pPr>
              <w:spacing w:after="0" w:line="240" w:lineRule="auto"/>
              <w:jc w:val="right"/>
              <w:rPr>
                <w:color w:val="000000"/>
                <w:sz w:val="20"/>
                <w:szCs w:val="20"/>
              </w:rPr>
            </w:pPr>
            <w:r w:rsidRPr="00EF6122">
              <w:rPr>
                <w:color w:val="000000"/>
                <w:sz w:val="20"/>
                <w:szCs w:val="20"/>
              </w:rPr>
              <w:t>52 305</w:t>
            </w:r>
          </w:p>
        </w:tc>
        <w:tc>
          <w:tcPr>
            <w:tcW w:w="502" w:type="pct"/>
            <w:tcBorders>
              <w:top w:val="nil"/>
              <w:left w:val="nil"/>
              <w:bottom w:val="nil"/>
              <w:right w:val="nil"/>
            </w:tcBorders>
            <w:shd w:val="clear" w:color="000000" w:fill="FFFFFF"/>
            <w:noWrap/>
            <w:vAlign w:val="center"/>
          </w:tcPr>
          <w:p w14:paraId="552AB52B" w14:textId="27509CFC" w:rsidR="00EF6122" w:rsidRPr="00EF6122" w:rsidRDefault="00EF6122" w:rsidP="00EF6122">
            <w:pPr>
              <w:spacing w:after="0" w:line="240" w:lineRule="auto"/>
              <w:jc w:val="right"/>
              <w:rPr>
                <w:color w:val="000000"/>
                <w:sz w:val="20"/>
                <w:szCs w:val="20"/>
              </w:rPr>
            </w:pPr>
            <w:r w:rsidRPr="00EF6122">
              <w:rPr>
                <w:color w:val="000000"/>
                <w:sz w:val="20"/>
                <w:szCs w:val="20"/>
              </w:rPr>
              <w:t>0</w:t>
            </w:r>
          </w:p>
        </w:tc>
        <w:tc>
          <w:tcPr>
            <w:tcW w:w="538" w:type="pct"/>
            <w:gridSpan w:val="2"/>
            <w:tcBorders>
              <w:top w:val="nil"/>
              <w:left w:val="nil"/>
              <w:bottom w:val="nil"/>
              <w:right w:val="nil"/>
            </w:tcBorders>
            <w:shd w:val="clear" w:color="000000" w:fill="FFFFFF"/>
            <w:noWrap/>
            <w:vAlign w:val="center"/>
          </w:tcPr>
          <w:p w14:paraId="62751FF1" w14:textId="525E53B4" w:rsidR="00EF6122" w:rsidRPr="00EF6122" w:rsidRDefault="00EF6122" w:rsidP="00EF6122">
            <w:pPr>
              <w:spacing w:after="0" w:line="240" w:lineRule="auto"/>
              <w:jc w:val="right"/>
              <w:rPr>
                <w:color w:val="000000"/>
                <w:sz w:val="20"/>
                <w:szCs w:val="20"/>
              </w:rPr>
            </w:pPr>
            <w:r>
              <w:rPr>
                <w:color w:val="000000"/>
                <w:sz w:val="20"/>
                <w:szCs w:val="20"/>
              </w:rPr>
              <w:t>-52 305</w:t>
            </w:r>
          </w:p>
        </w:tc>
        <w:tc>
          <w:tcPr>
            <w:tcW w:w="351" w:type="pct"/>
            <w:tcBorders>
              <w:top w:val="nil"/>
              <w:left w:val="nil"/>
              <w:bottom w:val="nil"/>
              <w:right w:val="nil"/>
            </w:tcBorders>
            <w:shd w:val="clear" w:color="000000" w:fill="FFFFFF"/>
            <w:noWrap/>
            <w:vAlign w:val="center"/>
          </w:tcPr>
          <w:p w14:paraId="42573AEA" w14:textId="32251BB4" w:rsidR="00EF6122" w:rsidRPr="00EF6122" w:rsidRDefault="00EF6122" w:rsidP="00EF6122">
            <w:pPr>
              <w:spacing w:after="0" w:line="240" w:lineRule="auto"/>
              <w:jc w:val="right"/>
              <w:rPr>
                <w:color w:val="000000"/>
                <w:sz w:val="20"/>
                <w:szCs w:val="20"/>
              </w:rPr>
            </w:pPr>
            <w:r>
              <w:rPr>
                <w:color w:val="000000"/>
                <w:sz w:val="20"/>
                <w:szCs w:val="20"/>
              </w:rPr>
              <w:t>-100</w:t>
            </w:r>
          </w:p>
        </w:tc>
      </w:tr>
      <w:tr w:rsidR="00EF6122" w:rsidRPr="00813772" w14:paraId="29567C4C" w14:textId="77777777" w:rsidTr="002C39DC">
        <w:trPr>
          <w:trHeight w:val="330"/>
        </w:trPr>
        <w:tc>
          <w:tcPr>
            <w:tcW w:w="2101" w:type="pct"/>
            <w:tcBorders>
              <w:top w:val="nil"/>
              <w:left w:val="nil"/>
              <w:bottom w:val="nil"/>
              <w:right w:val="nil"/>
            </w:tcBorders>
            <w:shd w:val="clear" w:color="000000" w:fill="FFFFFF"/>
            <w:vAlign w:val="center"/>
            <w:hideMark/>
          </w:tcPr>
          <w:p w14:paraId="3E865820" w14:textId="77777777" w:rsidR="00EF6122" w:rsidRPr="00813772" w:rsidRDefault="00EF6122" w:rsidP="00EF6122">
            <w:pPr>
              <w:spacing w:after="0" w:line="240" w:lineRule="auto"/>
              <w:jc w:val="left"/>
              <w:rPr>
                <w:rFonts w:eastAsia="Times New Roman" w:cs="Times New Roman"/>
                <w:color w:val="000000"/>
                <w:sz w:val="20"/>
                <w:szCs w:val="20"/>
                <w:lang w:eastAsia="sk-SK"/>
              </w:rPr>
            </w:pPr>
            <w:r w:rsidRPr="00813772">
              <w:rPr>
                <w:rFonts w:eastAsia="Times New Roman" w:cs="Times New Roman"/>
                <w:color w:val="000000"/>
                <w:sz w:val="20"/>
                <w:szCs w:val="20"/>
                <w:lang w:eastAsia="sk-SK"/>
              </w:rPr>
              <w:t>Programy EÚS 3. programové obdobie (CO MF SR)</w:t>
            </w:r>
          </w:p>
        </w:tc>
        <w:tc>
          <w:tcPr>
            <w:tcW w:w="502" w:type="pct"/>
            <w:tcBorders>
              <w:top w:val="nil"/>
              <w:left w:val="nil"/>
              <w:bottom w:val="nil"/>
              <w:right w:val="nil"/>
            </w:tcBorders>
            <w:shd w:val="clear" w:color="000000" w:fill="FFFFFF"/>
            <w:noWrap/>
            <w:vAlign w:val="center"/>
            <w:hideMark/>
          </w:tcPr>
          <w:p w14:paraId="42EFA6C1" w14:textId="6512C5E3"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26 119</w:t>
            </w:r>
          </w:p>
        </w:tc>
        <w:tc>
          <w:tcPr>
            <w:tcW w:w="503" w:type="pct"/>
            <w:tcBorders>
              <w:top w:val="nil"/>
              <w:left w:val="nil"/>
              <w:bottom w:val="nil"/>
              <w:right w:val="nil"/>
            </w:tcBorders>
            <w:shd w:val="clear" w:color="000000" w:fill="FFFFFF"/>
            <w:noWrap/>
            <w:vAlign w:val="center"/>
            <w:hideMark/>
          </w:tcPr>
          <w:p w14:paraId="7EDD1FDD" w14:textId="2434FE82"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28 711</w:t>
            </w:r>
          </w:p>
        </w:tc>
        <w:tc>
          <w:tcPr>
            <w:tcW w:w="502" w:type="pct"/>
            <w:tcBorders>
              <w:top w:val="nil"/>
              <w:left w:val="nil"/>
              <w:bottom w:val="nil"/>
              <w:right w:val="nil"/>
            </w:tcBorders>
            <w:shd w:val="clear" w:color="000000" w:fill="FFFFFF"/>
            <w:noWrap/>
            <w:vAlign w:val="center"/>
            <w:hideMark/>
          </w:tcPr>
          <w:p w14:paraId="041C54C1" w14:textId="4D82DB68"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41 299</w:t>
            </w:r>
          </w:p>
        </w:tc>
        <w:tc>
          <w:tcPr>
            <w:tcW w:w="502" w:type="pct"/>
            <w:tcBorders>
              <w:top w:val="nil"/>
              <w:left w:val="nil"/>
              <w:bottom w:val="nil"/>
              <w:right w:val="nil"/>
            </w:tcBorders>
            <w:shd w:val="clear" w:color="000000" w:fill="FFFFFF"/>
            <w:noWrap/>
            <w:vAlign w:val="center"/>
            <w:hideMark/>
          </w:tcPr>
          <w:p w14:paraId="4DEC2024" w14:textId="076BC1F1"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26 442</w:t>
            </w:r>
          </w:p>
        </w:tc>
        <w:tc>
          <w:tcPr>
            <w:tcW w:w="538" w:type="pct"/>
            <w:gridSpan w:val="2"/>
            <w:tcBorders>
              <w:top w:val="nil"/>
              <w:left w:val="nil"/>
              <w:bottom w:val="nil"/>
              <w:right w:val="nil"/>
            </w:tcBorders>
            <w:shd w:val="clear" w:color="000000" w:fill="FFFFFF"/>
            <w:noWrap/>
            <w:vAlign w:val="center"/>
            <w:hideMark/>
          </w:tcPr>
          <w:p w14:paraId="7699EF79" w14:textId="190FE96D"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-14 857</w:t>
            </w:r>
          </w:p>
        </w:tc>
        <w:tc>
          <w:tcPr>
            <w:tcW w:w="351" w:type="pct"/>
            <w:tcBorders>
              <w:top w:val="nil"/>
              <w:left w:val="nil"/>
              <w:bottom w:val="nil"/>
              <w:right w:val="nil"/>
            </w:tcBorders>
            <w:shd w:val="clear" w:color="000000" w:fill="FFFFFF"/>
            <w:noWrap/>
            <w:vAlign w:val="center"/>
            <w:hideMark/>
          </w:tcPr>
          <w:p w14:paraId="0A84F277" w14:textId="0AEFF87D"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-36,0</w:t>
            </w:r>
          </w:p>
        </w:tc>
      </w:tr>
      <w:tr w:rsidR="00EF6122" w:rsidRPr="00EF6122" w14:paraId="7F49F0D8" w14:textId="77777777" w:rsidTr="002C39DC">
        <w:trPr>
          <w:trHeight w:val="330"/>
        </w:trPr>
        <w:tc>
          <w:tcPr>
            <w:tcW w:w="2101" w:type="pct"/>
            <w:tcBorders>
              <w:top w:val="nil"/>
              <w:left w:val="nil"/>
              <w:bottom w:val="nil"/>
              <w:right w:val="nil"/>
            </w:tcBorders>
            <w:shd w:val="clear" w:color="000000" w:fill="FFFFFF"/>
            <w:vAlign w:val="center"/>
          </w:tcPr>
          <w:p w14:paraId="115734A4" w14:textId="2E0C359F" w:rsidR="00EF6122" w:rsidRPr="00EF6122" w:rsidRDefault="00EF6122" w:rsidP="00EF6122">
            <w:pPr>
              <w:spacing w:after="0" w:line="240" w:lineRule="auto"/>
              <w:jc w:val="left"/>
              <w:rPr>
                <w:rFonts w:eastAsia="Times New Roman" w:cs="Times New Roman"/>
                <w:color w:val="000000"/>
                <w:sz w:val="20"/>
                <w:szCs w:val="20"/>
                <w:lang w:eastAsia="sk-SK"/>
              </w:rPr>
            </w:pPr>
            <w:r w:rsidRPr="00EF6122">
              <w:rPr>
                <w:color w:val="000000"/>
                <w:sz w:val="20"/>
                <w:szCs w:val="20"/>
              </w:rPr>
              <w:t>Programy EÚS 4. programové obdobie (PO MF SR) **</w:t>
            </w:r>
          </w:p>
        </w:tc>
        <w:tc>
          <w:tcPr>
            <w:tcW w:w="502" w:type="pct"/>
            <w:tcBorders>
              <w:top w:val="nil"/>
              <w:left w:val="nil"/>
              <w:bottom w:val="nil"/>
              <w:right w:val="nil"/>
            </w:tcBorders>
            <w:shd w:val="clear" w:color="000000" w:fill="FFFFFF"/>
            <w:noWrap/>
            <w:vAlign w:val="center"/>
          </w:tcPr>
          <w:p w14:paraId="598B34DE" w14:textId="6808429E" w:rsidR="00EF6122" w:rsidRPr="00EF6122" w:rsidRDefault="00EF6122" w:rsidP="00EF6122">
            <w:pPr>
              <w:spacing w:after="0" w:line="240" w:lineRule="auto"/>
              <w:jc w:val="right"/>
              <w:rPr>
                <w:color w:val="000000"/>
                <w:sz w:val="20"/>
                <w:szCs w:val="20"/>
              </w:rPr>
            </w:pPr>
            <w:r w:rsidRPr="00EF6122">
              <w:rPr>
                <w:color w:val="000000"/>
                <w:sz w:val="20"/>
                <w:szCs w:val="20"/>
              </w:rPr>
              <w:t>0</w:t>
            </w:r>
          </w:p>
        </w:tc>
        <w:tc>
          <w:tcPr>
            <w:tcW w:w="503" w:type="pct"/>
            <w:tcBorders>
              <w:top w:val="nil"/>
              <w:left w:val="nil"/>
              <w:bottom w:val="nil"/>
              <w:right w:val="nil"/>
            </w:tcBorders>
            <w:shd w:val="clear" w:color="000000" w:fill="FFFFFF"/>
            <w:noWrap/>
            <w:vAlign w:val="center"/>
          </w:tcPr>
          <w:p w14:paraId="4C7818D1" w14:textId="1FF0A727" w:rsidR="00EF6122" w:rsidRPr="00EF6122" w:rsidRDefault="00EF6122" w:rsidP="00EF6122">
            <w:pPr>
              <w:spacing w:after="0" w:line="240" w:lineRule="auto"/>
              <w:jc w:val="right"/>
              <w:rPr>
                <w:color w:val="000000"/>
                <w:sz w:val="20"/>
                <w:szCs w:val="20"/>
              </w:rPr>
            </w:pPr>
            <w:r w:rsidRPr="00EF6122">
              <w:rPr>
                <w:color w:val="000000"/>
                <w:sz w:val="20"/>
                <w:szCs w:val="20"/>
              </w:rPr>
              <w:t>0</w:t>
            </w:r>
          </w:p>
        </w:tc>
        <w:tc>
          <w:tcPr>
            <w:tcW w:w="502" w:type="pct"/>
            <w:tcBorders>
              <w:top w:val="nil"/>
              <w:left w:val="nil"/>
              <w:bottom w:val="nil"/>
              <w:right w:val="nil"/>
            </w:tcBorders>
            <w:shd w:val="clear" w:color="000000" w:fill="FFFFFF"/>
            <w:noWrap/>
            <w:vAlign w:val="center"/>
          </w:tcPr>
          <w:p w14:paraId="365CE08B" w14:textId="6E495164" w:rsidR="00EF6122" w:rsidRPr="00EF6122" w:rsidRDefault="00EF6122" w:rsidP="00EF6122">
            <w:pPr>
              <w:spacing w:after="0" w:line="240" w:lineRule="auto"/>
              <w:jc w:val="right"/>
              <w:rPr>
                <w:color w:val="000000"/>
                <w:sz w:val="20"/>
                <w:szCs w:val="20"/>
              </w:rPr>
            </w:pPr>
            <w:r w:rsidRPr="00EF6122">
              <w:rPr>
                <w:color w:val="000000"/>
                <w:sz w:val="20"/>
                <w:szCs w:val="20"/>
              </w:rPr>
              <w:t>0</w:t>
            </w:r>
          </w:p>
        </w:tc>
        <w:tc>
          <w:tcPr>
            <w:tcW w:w="502" w:type="pct"/>
            <w:tcBorders>
              <w:top w:val="nil"/>
              <w:left w:val="nil"/>
              <w:bottom w:val="nil"/>
              <w:right w:val="nil"/>
            </w:tcBorders>
            <w:shd w:val="clear" w:color="000000" w:fill="FFFFFF"/>
            <w:noWrap/>
            <w:vAlign w:val="center"/>
          </w:tcPr>
          <w:p w14:paraId="241F0D70" w14:textId="0DC45B73" w:rsidR="00EF6122" w:rsidRPr="00EF6122" w:rsidRDefault="00EF6122" w:rsidP="00EF6122">
            <w:pPr>
              <w:spacing w:after="0" w:line="240" w:lineRule="auto"/>
              <w:jc w:val="right"/>
              <w:rPr>
                <w:color w:val="000000"/>
                <w:sz w:val="20"/>
                <w:szCs w:val="20"/>
              </w:rPr>
            </w:pPr>
            <w:r w:rsidRPr="00EF6122">
              <w:rPr>
                <w:color w:val="000000"/>
                <w:sz w:val="20"/>
                <w:szCs w:val="20"/>
              </w:rPr>
              <w:t>0</w:t>
            </w:r>
          </w:p>
        </w:tc>
        <w:tc>
          <w:tcPr>
            <w:tcW w:w="538" w:type="pct"/>
            <w:gridSpan w:val="2"/>
            <w:tcBorders>
              <w:top w:val="nil"/>
              <w:left w:val="nil"/>
              <w:bottom w:val="nil"/>
              <w:right w:val="nil"/>
            </w:tcBorders>
            <w:shd w:val="clear" w:color="000000" w:fill="FFFFFF"/>
            <w:noWrap/>
            <w:vAlign w:val="center"/>
          </w:tcPr>
          <w:p w14:paraId="56534C77" w14:textId="40F4F077" w:rsidR="00EF6122" w:rsidRPr="00EF6122" w:rsidRDefault="00EF6122" w:rsidP="00EF6122">
            <w:pPr>
              <w:spacing w:after="0" w:line="240" w:lineRule="auto"/>
              <w:jc w:val="right"/>
              <w:rPr>
                <w:color w:val="000000"/>
                <w:sz w:val="20"/>
                <w:szCs w:val="20"/>
              </w:rPr>
            </w:pPr>
            <w:r w:rsidRPr="00EF6122">
              <w:rPr>
                <w:color w:val="000000"/>
                <w:sz w:val="20"/>
                <w:szCs w:val="20"/>
              </w:rPr>
              <w:t>0</w:t>
            </w:r>
          </w:p>
        </w:tc>
        <w:tc>
          <w:tcPr>
            <w:tcW w:w="351" w:type="pct"/>
            <w:tcBorders>
              <w:top w:val="nil"/>
              <w:left w:val="nil"/>
              <w:bottom w:val="nil"/>
              <w:right w:val="nil"/>
            </w:tcBorders>
            <w:shd w:val="clear" w:color="000000" w:fill="FFFFFF"/>
            <w:noWrap/>
            <w:vAlign w:val="center"/>
          </w:tcPr>
          <w:p w14:paraId="54A955B5" w14:textId="0FB9ED16" w:rsidR="00EF6122" w:rsidRPr="00EF6122" w:rsidRDefault="00EF6122" w:rsidP="00EF6122">
            <w:pPr>
              <w:spacing w:after="0" w:line="240" w:lineRule="auto"/>
              <w:jc w:val="right"/>
              <w:rPr>
                <w:color w:val="000000"/>
                <w:sz w:val="20"/>
                <w:szCs w:val="20"/>
              </w:rPr>
            </w:pPr>
            <w:r w:rsidRPr="00EF6122">
              <w:rPr>
                <w:color w:val="000000"/>
                <w:sz w:val="20"/>
                <w:szCs w:val="20"/>
              </w:rPr>
              <w:t>0,0</w:t>
            </w:r>
          </w:p>
        </w:tc>
      </w:tr>
      <w:tr w:rsidR="00EF6122" w:rsidRPr="00813772" w14:paraId="20F7C949" w14:textId="77777777" w:rsidTr="002C39DC">
        <w:trPr>
          <w:trHeight w:val="330"/>
        </w:trPr>
        <w:tc>
          <w:tcPr>
            <w:tcW w:w="2101" w:type="pct"/>
            <w:tcBorders>
              <w:top w:val="nil"/>
              <w:left w:val="nil"/>
              <w:bottom w:val="nil"/>
              <w:right w:val="nil"/>
            </w:tcBorders>
            <w:shd w:val="clear" w:color="000000" w:fill="FFFFFF"/>
            <w:vAlign w:val="center"/>
            <w:hideMark/>
          </w:tcPr>
          <w:p w14:paraId="75EB4ADE" w14:textId="77777777" w:rsidR="00EF6122" w:rsidRPr="00813772" w:rsidRDefault="00EF6122" w:rsidP="00EF6122">
            <w:pPr>
              <w:spacing w:after="0" w:line="240" w:lineRule="auto"/>
              <w:jc w:val="left"/>
              <w:rPr>
                <w:rFonts w:eastAsia="Times New Roman" w:cs="Times New Roman"/>
                <w:b/>
                <w:bCs/>
                <w:color w:val="000000"/>
                <w:sz w:val="20"/>
                <w:szCs w:val="20"/>
                <w:lang w:eastAsia="sk-SK"/>
              </w:rPr>
            </w:pPr>
            <w:r w:rsidRPr="00813772">
              <w:rPr>
                <w:rFonts w:eastAsia="Times New Roman" w:cs="Times New Roman"/>
                <w:b/>
                <w:bCs/>
                <w:color w:val="000000"/>
                <w:sz w:val="20"/>
                <w:szCs w:val="20"/>
                <w:lang w:eastAsia="sk-SK"/>
              </w:rPr>
              <w:t>Štrukturálne operácie - MF SR</w:t>
            </w:r>
          </w:p>
        </w:tc>
        <w:tc>
          <w:tcPr>
            <w:tcW w:w="502" w:type="pct"/>
            <w:tcBorders>
              <w:top w:val="nil"/>
              <w:left w:val="nil"/>
              <w:bottom w:val="nil"/>
              <w:right w:val="nil"/>
            </w:tcBorders>
            <w:shd w:val="clear" w:color="000000" w:fill="FFFFFF"/>
            <w:noWrap/>
            <w:vAlign w:val="center"/>
            <w:hideMark/>
          </w:tcPr>
          <w:p w14:paraId="5EA42FFE" w14:textId="3882D3F8"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1 891 242</w:t>
            </w:r>
          </w:p>
        </w:tc>
        <w:tc>
          <w:tcPr>
            <w:tcW w:w="503" w:type="pct"/>
            <w:tcBorders>
              <w:top w:val="nil"/>
              <w:left w:val="nil"/>
              <w:bottom w:val="nil"/>
              <w:right w:val="nil"/>
            </w:tcBorders>
            <w:shd w:val="clear" w:color="000000" w:fill="FFFFFF"/>
            <w:noWrap/>
            <w:vAlign w:val="center"/>
            <w:hideMark/>
          </w:tcPr>
          <w:p w14:paraId="5BD1FB2A" w14:textId="49E7C906"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1 763 055</w:t>
            </w:r>
          </w:p>
        </w:tc>
        <w:tc>
          <w:tcPr>
            <w:tcW w:w="502" w:type="pct"/>
            <w:tcBorders>
              <w:top w:val="nil"/>
              <w:left w:val="nil"/>
              <w:bottom w:val="nil"/>
              <w:right w:val="nil"/>
            </w:tcBorders>
            <w:shd w:val="clear" w:color="auto" w:fill="auto"/>
            <w:noWrap/>
            <w:vAlign w:val="center"/>
            <w:hideMark/>
          </w:tcPr>
          <w:p w14:paraId="219D5692" w14:textId="157B532D"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2 280 325</w:t>
            </w:r>
          </w:p>
        </w:tc>
        <w:tc>
          <w:tcPr>
            <w:tcW w:w="502" w:type="pct"/>
            <w:tcBorders>
              <w:top w:val="nil"/>
              <w:left w:val="nil"/>
              <w:bottom w:val="nil"/>
              <w:right w:val="nil"/>
            </w:tcBorders>
            <w:shd w:val="clear" w:color="000000" w:fill="FFFFFF"/>
            <w:noWrap/>
            <w:vAlign w:val="center"/>
            <w:hideMark/>
          </w:tcPr>
          <w:p w14:paraId="2C0EF07D" w14:textId="2A3A928B"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1 772 672</w:t>
            </w:r>
          </w:p>
        </w:tc>
        <w:tc>
          <w:tcPr>
            <w:tcW w:w="538" w:type="pct"/>
            <w:gridSpan w:val="2"/>
            <w:tcBorders>
              <w:top w:val="nil"/>
              <w:left w:val="nil"/>
              <w:bottom w:val="nil"/>
              <w:right w:val="nil"/>
            </w:tcBorders>
            <w:shd w:val="clear" w:color="000000" w:fill="FFFFFF"/>
            <w:noWrap/>
            <w:vAlign w:val="center"/>
            <w:hideMark/>
          </w:tcPr>
          <w:p w14:paraId="542CAFE5" w14:textId="46EB4FB4"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-507 653</w:t>
            </w:r>
          </w:p>
        </w:tc>
        <w:tc>
          <w:tcPr>
            <w:tcW w:w="351" w:type="pct"/>
            <w:tcBorders>
              <w:top w:val="nil"/>
              <w:left w:val="nil"/>
              <w:bottom w:val="nil"/>
              <w:right w:val="nil"/>
            </w:tcBorders>
            <w:shd w:val="clear" w:color="000000" w:fill="FFFFFF"/>
            <w:noWrap/>
            <w:vAlign w:val="center"/>
            <w:hideMark/>
          </w:tcPr>
          <w:p w14:paraId="5164BEC7" w14:textId="3A49BEBD"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-22,3</w:t>
            </w:r>
          </w:p>
        </w:tc>
      </w:tr>
      <w:tr w:rsidR="00EF6122" w:rsidRPr="00813772" w14:paraId="1C11DB57" w14:textId="77777777" w:rsidTr="002C39DC">
        <w:trPr>
          <w:trHeight w:val="480"/>
        </w:trPr>
        <w:tc>
          <w:tcPr>
            <w:tcW w:w="2101" w:type="pct"/>
            <w:tcBorders>
              <w:top w:val="nil"/>
              <w:left w:val="nil"/>
              <w:bottom w:val="nil"/>
              <w:right w:val="nil"/>
            </w:tcBorders>
            <w:shd w:val="clear" w:color="000000" w:fill="FFFFFF"/>
            <w:vAlign w:val="center"/>
            <w:hideMark/>
          </w:tcPr>
          <w:p w14:paraId="5CF1CC0F" w14:textId="77777777" w:rsidR="00EF6122" w:rsidRPr="00EF6122" w:rsidRDefault="00EF6122" w:rsidP="00EF6122">
            <w:pPr>
              <w:spacing w:after="0" w:line="240" w:lineRule="auto"/>
              <w:jc w:val="left"/>
              <w:rPr>
                <w:rFonts w:eastAsia="Times New Roman" w:cs="Times New Roman"/>
                <w:color w:val="000000"/>
                <w:sz w:val="20"/>
                <w:szCs w:val="20"/>
                <w:lang w:eastAsia="sk-SK"/>
              </w:rPr>
            </w:pPr>
            <w:r w:rsidRPr="00EF6122">
              <w:rPr>
                <w:rFonts w:eastAsia="Times New Roman" w:cs="Times New Roman"/>
                <w:color w:val="000000"/>
                <w:sz w:val="20"/>
                <w:szCs w:val="20"/>
                <w:lang w:eastAsia="sk-SK"/>
              </w:rPr>
              <w:t>OP Sociálneho začlenenia najodkázanejších osôb</w:t>
            </w:r>
          </w:p>
        </w:tc>
        <w:tc>
          <w:tcPr>
            <w:tcW w:w="502" w:type="pct"/>
            <w:tcBorders>
              <w:top w:val="nil"/>
              <w:left w:val="nil"/>
              <w:bottom w:val="nil"/>
              <w:right w:val="nil"/>
            </w:tcBorders>
            <w:shd w:val="clear" w:color="000000" w:fill="FFFFFF"/>
            <w:noWrap/>
            <w:vAlign w:val="center"/>
            <w:hideMark/>
          </w:tcPr>
          <w:p w14:paraId="432E53C9" w14:textId="77064613"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5 793</w:t>
            </w:r>
          </w:p>
        </w:tc>
        <w:tc>
          <w:tcPr>
            <w:tcW w:w="503" w:type="pct"/>
            <w:tcBorders>
              <w:top w:val="nil"/>
              <w:left w:val="nil"/>
              <w:bottom w:val="nil"/>
              <w:right w:val="nil"/>
            </w:tcBorders>
            <w:shd w:val="clear" w:color="000000" w:fill="FFFFFF"/>
            <w:noWrap/>
            <w:vAlign w:val="center"/>
            <w:hideMark/>
          </w:tcPr>
          <w:p w14:paraId="635114EB" w14:textId="19532C2E"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10 554</w:t>
            </w:r>
          </w:p>
        </w:tc>
        <w:tc>
          <w:tcPr>
            <w:tcW w:w="502" w:type="pct"/>
            <w:tcBorders>
              <w:top w:val="nil"/>
              <w:left w:val="nil"/>
              <w:bottom w:val="nil"/>
              <w:right w:val="nil"/>
            </w:tcBorders>
            <w:shd w:val="clear" w:color="000000" w:fill="FFFFFF"/>
            <w:noWrap/>
            <w:vAlign w:val="center"/>
            <w:hideMark/>
          </w:tcPr>
          <w:p w14:paraId="389C5F7A" w14:textId="78915B56"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1 062</w:t>
            </w:r>
          </w:p>
        </w:tc>
        <w:tc>
          <w:tcPr>
            <w:tcW w:w="502" w:type="pct"/>
            <w:tcBorders>
              <w:top w:val="nil"/>
              <w:left w:val="nil"/>
              <w:bottom w:val="nil"/>
              <w:right w:val="nil"/>
            </w:tcBorders>
            <w:shd w:val="clear" w:color="auto" w:fill="auto"/>
            <w:noWrap/>
            <w:vAlign w:val="center"/>
            <w:hideMark/>
          </w:tcPr>
          <w:p w14:paraId="62079892" w14:textId="2BC022FE"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2 186</w:t>
            </w:r>
          </w:p>
        </w:tc>
        <w:tc>
          <w:tcPr>
            <w:tcW w:w="538" w:type="pct"/>
            <w:gridSpan w:val="2"/>
            <w:tcBorders>
              <w:top w:val="nil"/>
              <w:left w:val="nil"/>
              <w:bottom w:val="nil"/>
              <w:right w:val="nil"/>
            </w:tcBorders>
            <w:shd w:val="clear" w:color="000000" w:fill="FFFFFF"/>
            <w:noWrap/>
            <w:vAlign w:val="center"/>
            <w:hideMark/>
          </w:tcPr>
          <w:p w14:paraId="5874FD4B" w14:textId="181F0DCD"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1 124</w:t>
            </w:r>
          </w:p>
        </w:tc>
        <w:tc>
          <w:tcPr>
            <w:tcW w:w="351" w:type="pct"/>
            <w:tcBorders>
              <w:top w:val="nil"/>
              <w:left w:val="nil"/>
              <w:bottom w:val="nil"/>
              <w:right w:val="nil"/>
            </w:tcBorders>
            <w:shd w:val="clear" w:color="000000" w:fill="FFFFFF"/>
            <w:noWrap/>
            <w:vAlign w:val="center"/>
            <w:hideMark/>
          </w:tcPr>
          <w:p w14:paraId="1B260170" w14:textId="7ECFED8C"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color w:val="000000"/>
                <w:sz w:val="20"/>
                <w:szCs w:val="20"/>
              </w:rPr>
              <w:t>105,8</w:t>
            </w:r>
          </w:p>
        </w:tc>
      </w:tr>
      <w:tr w:rsidR="00EF6122" w:rsidRPr="00813772" w14:paraId="0D6C55CB" w14:textId="77777777" w:rsidTr="002C39DC">
        <w:trPr>
          <w:trHeight w:val="330"/>
        </w:trPr>
        <w:tc>
          <w:tcPr>
            <w:tcW w:w="2101" w:type="pct"/>
            <w:tcBorders>
              <w:top w:val="nil"/>
              <w:left w:val="nil"/>
              <w:bottom w:val="nil"/>
              <w:right w:val="nil"/>
            </w:tcBorders>
            <w:shd w:val="clear" w:color="000000" w:fill="FFFFFF"/>
            <w:vAlign w:val="center"/>
            <w:hideMark/>
          </w:tcPr>
          <w:p w14:paraId="74184E2D" w14:textId="77777777" w:rsidR="00EF6122" w:rsidRPr="00EF6122" w:rsidRDefault="00EF6122" w:rsidP="00EF6122">
            <w:pPr>
              <w:spacing w:after="0" w:line="240" w:lineRule="auto"/>
              <w:jc w:val="left"/>
              <w:rPr>
                <w:rFonts w:eastAsia="Times New Roman" w:cs="Times New Roman"/>
                <w:b/>
                <w:bCs/>
                <w:color w:val="000000"/>
                <w:sz w:val="20"/>
                <w:szCs w:val="20"/>
                <w:lang w:eastAsia="sk-SK"/>
              </w:rPr>
            </w:pPr>
            <w:r w:rsidRPr="00EF6122">
              <w:rPr>
                <w:rFonts w:eastAsia="Times New Roman" w:cs="Times New Roman"/>
                <w:b/>
                <w:bCs/>
                <w:color w:val="000000"/>
                <w:sz w:val="20"/>
                <w:szCs w:val="20"/>
                <w:lang w:eastAsia="sk-SK"/>
              </w:rPr>
              <w:t>Štrukturálne operácie - MPSVR SR</w:t>
            </w:r>
          </w:p>
        </w:tc>
        <w:tc>
          <w:tcPr>
            <w:tcW w:w="502" w:type="pct"/>
            <w:tcBorders>
              <w:top w:val="nil"/>
              <w:left w:val="nil"/>
              <w:bottom w:val="nil"/>
              <w:right w:val="nil"/>
            </w:tcBorders>
            <w:shd w:val="clear" w:color="000000" w:fill="FFFFFF"/>
            <w:noWrap/>
            <w:vAlign w:val="center"/>
            <w:hideMark/>
          </w:tcPr>
          <w:p w14:paraId="637C0FAE" w14:textId="39159BA2"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5 793</w:t>
            </w:r>
          </w:p>
        </w:tc>
        <w:tc>
          <w:tcPr>
            <w:tcW w:w="503" w:type="pct"/>
            <w:tcBorders>
              <w:top w:val="nil"/>
              <w:left w:val="nil"/>
              <w:bottom w:val="nil"/>
              <w:right w:val="nil"/>
            </w:tcBorders>
            <w:shd w:val="clear" w:color="000000" w:fill="FFFFFF"/>
            <w:noWrap/>
            <w:vAlign w:val="center"/>
            <w:hideMark/>
          </w:tcPr>
          <w:p w14:paraId="29725F74" w14:textId="60D018C1"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10 554</w:t>
            </w:r>
          </w:p>
        </w:tc>
        <w:tc>
          <w:tcPr>
            <w:tcW w:w="502" w:type="pct"/>
            <w:tcBorders>
              <w:top w:val="nil"/>
              <w:left w:val="nil"/>
              <w:bottom w:val="nil"/>
              <w:right w:val="nil"/>
            </w:tcBorders>
            <w:shd w:val="clear" w:color="auto" w:fill="auto"/>
            <w:noWrap/>
            <w:vAlign w:val="center"/>
            <w:hideMark/>
          </w:tcPr>
          <w:p w14:paraId="23C4A56E" w14:textId="39CDCA47"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1 062</w:t>
            </w:r>
          </w:p>
        </w:tc>
        <w:tc>
          <w:tcPr>
            <w:tcW w:w="502" w:type="pct"/>
            <w:tcBorders>
              <w:top w:val="nil"/>
              <w:left w:val="nil"/>
              <w:bottom w:val="nil"/>
              <w:right w:val="nil"/>
            </w:tcBorders>
            <w:shd w:val="clear" w:color="000000" w:fill="FFFFFF"/>
            <w:noWrap/>
            <w:vAlign w:val="center"/>
            <w:hideMark/>
          </w:tcPr>
          <w:p w14:paraId="4A0B40F5" w14:textId="76AED2FC"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2 186</w:t>
            </w:r>
          </w:p>
        </w:tc>
        <w:tc>
          <w:tcPr>
            <w:tcW w:w="538" w:type="pct"/>
            <w:gridSpan w:val="2"/>
            <w:tcBorders>
              <w:top w:val="nil"/>
              <w:left w:val="nil"/>
              <w:bottom w:val="nil"/>
              <w:right w:val="nil"/>
            </w:tcBorders>
            <w:shd w:val="clear" w:color="000000" w:fill="FFFFFF"/>
            <w:noWrap/>
            <w:vAlign w:val="center"/>
            <w:hideMark/>
          </w:tcPr>
          <w:p w14:paraId="2CC7C23C" w14:textId="7343D738"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1 124</w:t>
            </w:r>
          </w:p>
        </w:tc>
        <w:tc>
          <w:tcPr>
            <w:tcW w:w="351" w:type="pct"/>
            <w:tcBorders>
              <w:top w:val="nil"/>
              <w:left w:val="nil"/>
              <w:bottom w:val="nil"/>
              <w:right w:val="nil"/>
            </w:tcBorders>
            <w:shd w:val="clear" w:color="000000" w:fill="FFFFFF"/>
            <w:noWrap/>
            <w:vAlign w:val="center"/>
            <w:hideMark/>
          </w:tcPr>
          <w:p w14:paraId="0673395D" w14:textId="1C569FD9"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105,8</w:t>
            </w:r>
          </w:p>
        </w:tc>
      </w:tr>
      <w:tr w:rsidR="008909AC" w:rsidRPr="00EF6122" w14:paraId="71F82F3B" w14:textId="77777777" w:rsidTr="002C39DC">
        <w:trPr>
          <w:trHeight w:val="330"/>
        </w:trPr>
        <w:tc>
          <w:tcPr>
            <w:tcW w:w="2101" w:type="pct"/>
            <w:tcBorders>
              <w:top w:val="nil"/>
              <w:left w:val="nil"/>
              <w:bottom w:val="single" w:sz="4" w:space="0" w:color="auto"/>
              <w:right w:val="nil"/>
            </w:tcBorders>
            <w:shd w:val="clear" w:color="000000" w:fill="FFFFFF"/>
            <w:vAlign w:val="center"/>
            <w:hideMark/>
          </w:tcPr>
          <w:p w14:paraId="1023F848" w14:textId="67C29749" w:rsidR="008909AC" w:rsidRPr="00EF6122" w:rsidRDefault="008909AC" w:rsidP="008909AC">
            <w:pPr>
              <w:spacing w:after="0" w:line="240" w:lineRule="auto"/>
              <w:jc w:val="left"/>
              <w:rPr>
                <w:rFonts w:eastAsia="Times New Roman" w:cs="Times New Roman"/>
                <w:color w:val="000000"/>
                <w:sz w:val="20"/>
                <w:szCs w:val="20"/>
                <w:lang w:eastAsia="sk-SK"/>
              </w:rPr>
            </w:pPr>
            <w:r w:rsidRPr="00EF6122">
              <w:rPr>
                <w:color w:val="000000"/>
                <w:sz w:val="20"/>
                <w:szCs w:val="20"/>
              </w:rPr>
              <w:t>Fondy pre oblasť vnútorných záležitostí 2021 - 2027</w:t>
            </w:r>
          </w:p>
        </w:tc>
        <w:tc>
          <w:tcPr>
            <w:tcW w:w="502" w:type="pct"/>
            <w:tcBorders>
              <w:top w:val="nil"/>
              <w:left w:val="nil"/>
              <w:bottom w:val="single" w:sz="4" w:space="0" w:color="auto"/>
              <w:right w:val="nil"/>
            </w:tcBorders>
            <w:shd w:val="clear" w:color="000000" w:fill="FFFFFF"/>
            <w:noWrap/>
            <w:vAlign w:val="center"/>
            <w:hideMark/>
          </w:tcPr>
          <w:p w14:paraId="4EF8AA16" w14:textId="1E82D4B3" w:rsidR="008909AC" w:rsidRPr="008909AC" w:rsidRDefault="008909AC" w:rsidP="008909AC">
            <w:pPr>
              <w:spacing w:after="0" w:line="240" w:lineRule="auto"/>
              <w:jc w:val="right"/>
              <w:rPr>
                <w:rFonts w:eastAsia="Times New Roman" w:cs="Times New Roman"/>
                <w:color w:val="000000"/>
                <w:sz w:val="20"/>
                <w:szCs w:val="20"/>
                <w:highlight w:val="yellow"/>
                <w:lang w:eastAsia="sk-SK"/>
              </w:rPr>
            </w:pPr>
            <w:r w:rsidRPr="008909AC">
              <w:rPr>
                <w:color w:val="000000"/>
                <w:sz w:val="20"/>
                <w:szCs w:val="20"/>
              </w:rPr>
              <w:t>0</w:t>
            </w:r>
          </w:p>
        </w:tc>
        <w:tc>
          <w:tcPr>
            <w:tcW w:w="503" w:type="pct"/>
            <w:tcBorders>
              <w:top w:val="nil"/>
              <w:left w:val="nil"/>
              <w:bottom w:val="single" w:sz="4" w:space="0" w:color="auto"/>
              <w:right w:val="nil"/>
            </w:tcBorders>
            <w:shd w:val="clear" w:color="000000" w:fill="FFFFFF"/>
            <w:noWrap/>
            <w:vAlign w:val="center"/>
            <w:hideMark/>
          </w:tcPr>
          <w:p w14:paraId="34A1F638" w14:textId="10092C9B" w:rsidR="008909AC" w:rsidRPr="008909AC" w:rsidRDefault="008909AC" w:rsidP="008909AC">
            <w:pPr>
              <w:spacing w:after="0" w:line="240" w:lineRule="auto"/>
              <w:jc w:val="right"/>
              <w:rPr>
                <w:rFonts w:eastAsia="Times New Roman" w:cs="Times New Roman"/>
                <w:color w:val="000000"/>
                <w:sz w:val="20"/>
                <w:szCs w:val="20"/>
                <w:highlight w:val="yellow"/>
                <w:lang w:eastAsia="sk-SK"/>
              </w:rPr>
            </w:pPr>
            <w:r w:rsidRPr="008909AC">
              <w:rPr>
                <w:color w:val="000000"/>
                <w:sz w:val="20"/>
                <w:szCs w:val="20"/>
              </w:rPr>
              <w:t>0</w:t>
            </w:r>
          </w:p>
        </w:tc>
        <w:tc>
          <w:tcPr>
            <w:tcW w:w="502" w:type="pct"/>
            <w:tcBorders>
              <w:top w:val="nil"/>
              <w:left w:val="nil"/>
              <w:bottom w:val="single" w:sz="4" w:space="0" w:color="auto"/>
              <w:right w:val="nil"/>
            </w:tcBorders>
            <w:shd w:val="clear" w:color="000000" w:fill="FFFFFF"/>
            <w:noWrap/>
            <w:vAlign w:val="center"/>
            <w:hideMark/>
          </w:tcPr>
          <w:p w14:paraId="446F8F38" w14:textId="7BD963EA" w:rsidR="008909AC" w:rsidRPr="008909AC" w:rsidRDefault="008909AC" w:rsidP="008909AC">
            <w:pPr>
              <w:spacing w:after="0" w:line="240" w:lineRule="auto"/>
              <w:jc w:val="right"/>
              <w:rPr>
                <w:rFonts w:eastAsia="Times New Roman" w:cs="Times New Roman"/>
                <w:color w:val="000000"/>
                <w:sz w:val="20"/>
                <w:szCs w:val="20"/>
                <w:highlight w:val="yellow"/>
                <w:lang w:eastAsia="sk-SK"/>
              </w:rPr>
            </w:pPr>
            <w:r w:rsidRPr="008909AC">
              <w:rPr>
                <w:color w:val="000000"/>
                <w:sz w:val="20"/>
                <w:szCs w:val="20"/>
              </w:rPr>
              <w:t>11 641</w:t>
            </w:r>
          </w:p>
        </w:tc>
        <w:tc>
          <w:tcPr>
            <w:tcW w:w="502" w:type="pct"/>
            <w:tcBorders>
              <w:top w:val="nil"/>
              <w:left w:val="nil"/>
              <w:bottom w:val="single" w:sz="4" w:space="0" w:color="auto"/>
              <w:right w:val="nil"/>
            </w:tcBorders>
            <w:shd w:val="clear" w:color="000000" w:fill="FFFFFF"/>
            <w:noWrap/>
            <w:vAlign w:val="center"/>
            <w:hideMark/>
          </w:tcPr>
          <w:p w14:paraId="06D63F20" w14:textId="35B75E4C" w:rsidR="008909AC" w:rsidRPr="008909AC" w:rsidRDefault="008909AC" w:rsidP="008909AC">
            <w:pPr>
              <w:spacing w:after="0" w:line="240" w:lineRule="auto"/>
              <w:jc w:val="right"/>
              <w:rPr>
                <w:rFonts w:eastAsia="Times New Roman" w:cs="Times New Roman"/>
                <w:color w:val="000000"/>
                <w:sz w:val="20"/>
                <w:szCs w:val="20"/>
                <w:highlight w:val="yellow"/>
                <w:lang w:eastAsia="sk-SK"/>
              </w:rPr>
            </w:pPr>
            <w:r w:rsidRPr="008909AC">
              <w:rPr>
                <w:color w:val="000000"/>
                <w:sz w:val="20"/>
                <w:szCs w:val="20"/>
              </w:rPr>
              <w:t>0</w:t>
            </w:r>
          </w:p>
        </w:tc>
        <w:tc>
          <w:tcPr>
            <w:tcW w:w="538" w:type="pct"/>
            <w:gridSpan w:val="2"/>
            <w:tcBorders>
              <w:top w:val="nil"/>
              <w:left w:val="nil"/>
              <w:bottom w:val="single" w:sz="4" w:space="0" w:color="auto"/>
              <w:right w:val="nil"/>
            </w:tcBorders>
            <w:shd w:val="clear" w:color="000000" w:fill="FFFFFF"/>
            <w:noWrap/>
            <w:vAlign w:val="center"/>
            <w:hideMark/>
          </w:tcPr>
          <w:p w14:paraId="644051B1" w14:textId="3AD7AA45" w:rsidR="008909AC" w:rsidRPr="008909AC" w:rsidRDefault="008909AC" w:rsidP="008909AC">
            <w:pPr>
              <w:spacing w:after="0" w:line="240" w:lineRule="auto"/>
              <w:jc w:val="right"/>
              <w:rPr>
                <w:rFonts w:eastAsia="Times New Roman" w:cs="Times New Roman"/>
                <w:color w:val="000000"/>
                <w:sz w:val="20"/>
                <w:szCs w:val="20"/>
                <w:highlight w:val="yellow"/>
                <w:lang w:eastAsia="sk-SK"/>
              </w:rPr>
            </w:pPr>
            <w:r w:rsidRPr="008909AC">
              <w:rPr>
                <w:color w:val="000000"/>
                <w:sz w:val="20"/>
                <w:szCs w:val="20"/>
              </w:rPr>
              <w:t>-11 641</w:t>
            </w:r>
          </w:p>
        </w:tc>
        <w:tc>
          <w:tcPr>
            <w:tcW w:w="351" w:type="pct"/>
            <w:tcBorders>
              <w:top w:val="nil"/>
              <w:left w:val="nil"/>
              <w:bottom w:val="single" w:sz="4" w:space="0" w:color="auto"/>
              <w:right w:val="nil"/>
            </w:tcBorders>
            <w:shd w:val="clear" w:color="000000" w:fill="FFFFFF"/>
            <w:noWrap/>
            <w:vAlign w:val="center"/>
            <w:hideMark/>
          </w:tcPr>
          <w:p w14:paraId="128ACD71" w14:textId="248CEBB9" w:rsidR="008909AC" w:rsidRPr="008909AC" w:rsidRDefault="008909AC" w:rsidP="008909AC">
            <w:pPr>
              <w:spacing w:after="0" w:line="240" w:lineRule="auto"/>
              <w:jc w:val="right"/>
              <w:rPr>
                <w:rFonts w:eastAsia="Times New Roman" w:cs="Times New Roman"/>
                <w:color w:val="000000"/>
                <w:sz w:val="20"/>
                <w:szCs w:val="20"/>
                <w:highlight w:val="yellow"/>
                <w:lang w:eastAsia="sk-SK"/>
              </w:rPr>
            </w:pPr>
            <w:r w:rsidRPr="008909AC">
              <w:rPr>
                <w:color w:val="000000"/>
                <w:sz w:val="20"/>
                <w:szCs w:val="20"/>
              </w:rPr>
              <w:t>-100,0</w:t>
            </w:r>
          </w:p>
        </w:tc>
      </w:tr>
      <w:tr w:rsidR="002C39DC" w:rsidRPr="00813772" w14:paraId="14DD3718" w14:textId="77777777" w:rsidTr="002C39DC">
        <w:trPr>
          <w:trHeight w:val="330"/>
        </w:trPr>
        <w:tc>
          <w:tcPr>
            <w:tcW w:w="2101" w:type="pct"/>
            <w:tcBorders>
              <w:top w:val="single" w:sz="4" w:space="0" w:color="auto"/>
              <w:left w:val="nil"/>
              <w:right w:val="nil"/>
            </w:tcBorders>
            <w:shd w:val="clear" w:color="auto" w:fill="auto"/>
            <w:vAlign w:val="center"/>
            <w:hideMark/>
          </w:tcPr>
          <w:p w14:paraId="0CF19AB6" w14:textId="77777777" w:rsidR="002C39DC" w:rsidRPr="000461C0" w:rsidRDefault="002C39DC" w:rsidP="007475A0">
            <w:pPr>
              <w:spacing w:after="0" w:line="240" w:lineRule="auto"/>
              <w:jc w:val="left"/>
              <w:rPr>
                <w:rFonts w:eastAsia="Times New Roman" w:cs="Times New Roman"/>
                <w:b/>
                <w:bCs/>
                <w:sz w:val="20"/>
                <w:szCs w:val="20"/>
                <w:lang w:eastAsia="sk-SK"/>
              </w:rPr>
            </w:pPr>
            <w:r w:rsidRPr="000461C0">
              <w:rPr>
                <w:rFonts w:eastAsia="Times New Roman" w:cs="Times New Roman"/>
                <w:b/>
                <w:bCs/>
                <w:sz w:val="18"/>
                <w:szCs w:val="18"/>
                <w:lang w:eastAsia="sk-SK"/>
              </w:rPr>
              <w:t>v tis. eur</w:t>
            </w:r>
            <w:r w:rsidRPr="00813772">
              <w:rPr>
                <w:rFonts w:eastAsia="Times New Roman" w:cs="Times New Roman"/>
                <w:b/>
                <w:bCs/>
                <w:color w:val="FFFFFF"/>
                <w:sz w:val="20"/>
                <w:szCs w:val="20"/>
                <w:lang w:eastAsia="sk-SK"/>
              </w:rPr>
              <w:t> </w:t>
            </w:r>
          </w:p>
        </w:tc>
        <w:tc>
          <w:tcPr>
            <w:tcW w:w="502" w:type="pct"/>
            <w:tcBorders>
              <w:top w:val="single" w:sz="4" w:space="0" w:color="auto"/>
              <w:left w:val="nil"/>
              <w:bottom w:val="nil"/>
              <w:right w:val="nil"/>
            </w:tcBorders>
            <w:shd w:val="clear" w:color="auto" w:fill="auto"/>
            <w:vAlign w:val="center"/>
            <w:hideMark/>
          </w:tcPr>
          <w:p w14:paraId="2BC8E261" w14:textId="77777777" w:rsidR="002C39DC" w:rsidRPr="00813772" w:rsidRDefault="002C39DC" w:rsidP="007475A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2020 S</w:t>
            </w:r>
          </w:p>
        </w:tc>
        <w:tc>
          <w:tcPr>
            <w:tcW w:w="503" w:type="pct"/>
            <w:tcBorders>
              <w:top w:val="single" w:sz="4" w:space="0" w:color="auto"/>
              <w:left w:val="nil"/>
              <w:bottom w:val="nil"/>
              <w:right w:val="nil"/>
            </w:tcBorders>
            <w:shd w:val="clear" w:color="auto" w:fill="auto"/>
            <w:vAlign w:val="center"/>
            <w:hideMark/>
          </w:tcPr>
          <w:p w14:paraId="54A167CC" w14:textId="77777777" w:rsidR="002C39DC" w:rsidRPr="00813772" w:rsidRDefault="002C39DC" w:rsidP="007475A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2021 S</w:t>
            </w:r>
          </w:p>
        </w:tc>
        <w:tc>
          <w:tcPr>
            <w:tcW w:w="502" w:type="pct"/>
            <w:tcBorders>
              <w:top w:val="single" w:sz="4" w:space="0" w:color="auto"/>
              <w:left w:val="nil"/>
              <w:bottom w:val="nil"/>
              <w:right w:val="nil"/>
            </w:tcBorders>
            <w:shd w:val="clear" w:color="auto" w:fill="auto"/>
            <w:vAlign w:val="center"/>
            <w:hideMark/>
          </w:tcPr>
          <w:p w14:paraId="4F17DEAA" w14:textId="77777777" w:rsidR="002C39DC" w:rsidRPr="00813772" w:rsidRDefault="002C39DC" w:rsidP="007475A0">
            <w:pPr>
              <w:spacing w:after="0" w:line="240" w:lineRule="auto"/>
              <w:jc w:val="center"/>
              <w:rPr>
                <w:rFonts w:eastAsia="Times New Roman" w:cs="Times New Roman"/>
                <w:b/>
                <w:bCs/>
                <w:color w:val="000000"/>
                <w:sz w:val="20"/>
                <w:szCs w:val="20"/>
                <w:lang w:eastAsia="sk-SK"/>
              </w:rPr>
            </w:pPr>
            <w:r w:rsidRPr="00813772">
              <w:rPr>
                <w:rFonts w:eastAsia="Times New Roman" w:cs="Times New Roman"/>
                <w:b/>
                <w:bCs/>
                <w:color w:val="000000"/>
                <w:sz w:val="20"/>
                <w:szCs w:val="20"/>
                <w:lang w:eastAsia="sk-SK"/>
              </w:rPr>
              <w:t>202</w:t>
            </w:r>
            <w:r>
              <w:rPr>
                <w:rFonts w:eastAsia="Times New Roman" w:cs="Times New Roman"/>
                <w:b/>
                <w:bCs/>
                <w:color w:val="000000"/>
                <w:sz w:val="20"/>
                <w:szCs w:val="20"/>
                <w:lang w:eastAsia="sk-SK"/>
              </w:rPr>
              <w:t>2 R</w:t>
            </w:r>
          </w:p>
        </w:tc>
        <w:tc>
          <w:tcPr>
            <w:tcW w:w="502" w:type="pct"/>
            <w:tcBorders>
              <w:top w:val="single" w:sz="4" w:space="0" w:color="auto"/>
              <w:left w:val="nil"/>
              <w:bottom w:val="nil"/>
              <w:right w:val="nil"/>
            </w:tcBorders>
            <w:shd w:val="clear" w:color="auto" w:fill="auto"/>
            <w:vAlign w:val="center"/>
            <w:hideMark/>
          </w:tcPr>
          <w:p w14:paraId="61C60CA0" w14:textId="77777777" w:rsidR="002C39DC" w:rsidRPr="00813772" w:rsidRDefault="002C39DC" w:rsidP="007475A0">
            <w:pPr>
              <w:spacing w:after="0" w:line="240" w:lineRule="auto"/>
              <w:jc w:val="center"/>
              <w:rPr>
                <w:rFonts w:eastAsia="Times New Roman" w:cs="Times New Roman"/>
                <w:b/>
                <w:bCs/>
                <w:color w:val="000000"/>
                <w:sz w:val="20"/>
                <w:szCs w:val="20"/>
                <w:lang w:eastAsia="sk-SK"/>
              </w:rPr>
            </w:pPr>
            <w:r w:rsidRPr="00813772">
              <w:rPr>
                <w:rFonts w:eastAsia="Times New Roman" w:cs="Times New Roman"/>
                <w:b/>
                <w:bCs/>
                <w:color w:val="000000"/>
                <w:sz w:val="20"/>
                <w:szCs w:val="20"/>
                <w:lang w:eastAsia="sk-SK"/>
              </w:rPr>
              <w:t>202</w:t>
            </w:r>
            <w:r>
              <w:rPr>
                <w:rFonts w:eastAsia="Times New Roman" w:cs="Times New Roman"/>
                <w:b/>
                <w:bCs/>
                <w:color w:val="000000"/>
                <w:sz w:val="20"/>
                <w:szCs w:val="20"/>
                <w:lang w:eastAsia="sk-SK"/>
              </w:rPr>
              <w:t>2 S</w:t>
            </w:r>
          </w:p>
        </w:tc>
        <w:tc>
          <w:tcPr>
            <w:tcW w:w="463" w:type="pct"/>
            <w:tcBorders>
              <w:top w:val="single" w:sz="4" w:space="0" w:color="auto"/>
              <w:left w:val="nil"/>
              <w:bottom w:val="nil"/>
              <w:right w:val="nil"/>
            </w:tcBorders>
            <w:shd w:val="clear" w:color="auto" w:fill="auto"/>
            <w:vAlign w:val="center"/>
            <w:hideMark/>
          </w:tcPr>
          <w:p w14:paraId="05DF5369" w14:textId="77777777" w:rsidR="002C39DC" w:rsidRPr="00813772" w:rsidRDefault="002C39DC" w:rsidP="007475A0">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Rozdiel</w:t>
            </w:r>
          </w:p>
        </w:tc>
        <w:tc>
          <w:tcPr>
            <w:tcW w:w="426" w:type="pct"/>
            <w:gridSpan w:val="2"/>
            <w:tcBorders>
              <w:top w:val="single" w:sz="4" w:space="0" w:color="auto"/>
              <w:left w:val="nil"/>
              <w:bottom w:val="nil"/>
              <w:right w:val="nil"/>
            </w:tcBorders>
            <w:shd w:val="clear" w:color="auto" w:fill="auto"/>
            <w:vAlign w:val="center"/>
          </w:tcPr>
          <w:p w14:paraId="638F8B3B" w14:textId="77777777" w:rsidR="002C39DC" w:rsidRPr="00813772" w:rsidRDefault="002C39DC" w:rsidP="007475A0">
            <w:pPr>
              <w:spacing w:after="0" w:line="240" w:lineRule="auto"/>
              <w:jc w:val="center"/>
              <w:rPr>
                <w:rFonts w:eastAsia="Times New Roman" w:cs="Times New Roman"/>
                <w:b/>
                <w:bCs/>
                <w:color w:val="000000"/>
                <w:sz w:val="20"/>
                <w:szCs w:val="20"/>
                <w:lang w:eastAsia="sk-SK"/>
              </w:rPr>
            </w:pPr>
            <w:r w:rsidRPr="00813772">
              <w:rPr>
                <w:rFonts w:eastAsia="Times New Roman" w:cs="Times New Roman"/>
                <w:b/>
                <w:bCs/>
                <w:color w:val="000000"/>
                <w:sz w:val="20"/>
                <w:szCs w:val="20"/>
                <w:lang w:eastAsia="sk-SK"/>
              </w:rPr>
              <w:t>v %</w:t>
            </w:r>
          </w:p>
        </w:tc>
      </w:tr>
      <w:tr w:rsidR="002C39DC" w:rsidRPr="00813772" w14:paraId="797AA630" w14:textId="77777777" w:rsidTr="002C39DC">
        <w:trPr>
          <w:trHeight w:val="330"/>
        </w:trPr>
        <w:tc>
          <w:tcPr>
            <w:tcW w:w="2101" w:type="pct"/>
            <w:tcBorders>
              <w:top w:val="nil"/>
              <w:left w:val="nil"/>
              <w:bottom w:val="single" w:sz="4" w:space="0" w:color="auto"/>
              <w:right w:val="nil"/>
            </w:tcBorders>
            <w:shd w:val="clear" w:color="000000" w:fill="FFFFFF"/>
            <w:vAlign w:val="center"/>
          </w:tcPr>
          <w:p w14:paraId="1FCD0676" w14:textId="77777777" w:rsidR="002C39DC" w:rsidRPr="00EF6122" w:rsidRDefault="002C39DC" w:rsidP="002C39DC">
            <w:pPr>
              <w:spacing w:after="0" w:line="240" w:lineRule="auto"/>
              <w:jc w:val="left"/>
              <w:rPr>
                <w:b/>
                <w:color w:val="000000"/>
                <w:sz w:val="20"/>
                <w:szCs w:val="20"/>
              </w:rPr>
            </w:pPr>
          </w:p>
        </w:tc>
        <w:tc>
          <w:tcPr>
            <w:tcW w:w="502" w:type="pct"/>
            <w:tcBorders>
              <w:top w:val="nil"/>
              <w:left w:val="nil"/>
              <w:bottom w:val="single" w:sz="4" w:space="0" w:color="auto"/>
              <w:right w:val="nil"/>
            </w:tcBorders>
            <w:shd w:val="clear" w:color="000000" w:fill="FFFFFF"/>
            <w:noWrap/>
            <w:vAlign w:val="center"/>
          </w:tcPr>
          <w:p w14:paraId="177DB1FD" w14:textId="34BE9861" w:rsidR="002C39DC" w:rsidRPr="00EF6122" w:rsidRDefault="002C39DC" w:rsidP="002C39DC">
            <w:pPr>
              <w:spacing w:after="0" w:line="240" w:lineRule="auto"/>
              <w:jc w:val="right"/>
              <w:rPr>
                <w:b/>
                <w:color w:val="000000"/>
                <w:sz w:val="20"/>
                <w:szCs w:val="20"/>
              </w:rPr>
            </w:pPr>
            <w:r w:rsidRPr="00813772">
              <w:rPr>
                <w:rFonts w:eastAsia="Times New Roman" w:cs="Times New Roman"/>
                <w:b/>
                <w:bCs/>
                <w:sz w:val="20"/>
                <w:szCs w:val="20"/>
                <w:lang w:eastAsia="sk-SK"/>
              </w:rPr>
              <w:t>1</w:t>
            </w:r>
          </w:p>
        </w:tc>
        <w:tc>
          <w:tcPr>
            <w:tcW w:w="503" w:type="pct"/>
            <w:tcBorders>
              <w:top w:val="nil"/>
              <w:left w:val="nil"/>
              <w:bottom w:val="single" w:sz="4" w:space="0" w:color="auto"/>
              <w:right w:val="nil"/>
            </w:tcBorders>
            <w:shd w:val="clear" w:color="000000" w:fill="FFFFFF"/>
            <w:noWrap/>
            <w:vAlign w:val="center"/>
          </w:tcPr>
          <w:p w14:paraId="4C21F793" w14:textId="0EE89131" w:rsidR="002C39DC" w:rsidRPr="00EF6122" w:rsidRDefault="002C39DC" w:rsidP="002C39DC">
            <w:pPr>
              <w:spacing w:after="0" w:line="240" w:lineRule="auto"/>
              <w:jc w:val="right"/>
              <w:rPr>
                <w:b/>
                <w:color w:val="000000"/>
                <w:sz w:val="20"/>
                <w:szCs w:val="20"/>
              </w:rPr>
            </w:pPr>
            <w:r w:rsidRPr="00813772">
              <w:rPr>
                <w:rFonts w:eastAsia="Times New Roman" w:cs="Times New Roman"/>
                <w:b/>
                <w:bCs/>
                <w:sz w:val="20"/>
                <w:szCs w:val="20"/>
                <w:lang w:eastAsia="sk-SK"/>
              </w:rPr>
              <w:t>2</w:t>
            </w:r>
          </w:p>
        </w:tc>
        <w:tc>
          <w:tcPr>
            <w:tcW w:w="502" w:type="pct"/>
            <w:tcBorders>
              <w:top w:val="nil"/>
              <w:left w:val="nil"/>
              <w:bottom w:val="single" w:sz="4" w:space="0" w:color="auto"/>
              <w:right w:val="nil"/>
            </w:tcBorders>
            <w:shd w:val="clear" w:color="000000" w:fill="FFFFFF"/>
            <w:noWrap/>
            <w:vAlign w:val="center"/>
          </w:tcPr>
          <w:p w14:paraId="4E2392E0" w14:textId="0B16B103" w:rsidR="002C39DC" w:rsidRPr="00EF6122" w:rsidRDefault="002C39DC" w:rsidP="002C39DC">
            <w:pPr>
              <w:spacing w:after="0" w:line="240" w:lineRule="auto"/>
              <w:jc w:val="right"/>
              <w:rPr>
                <w:b/>
                <w:color w:val="000000"/>
                <w:sz w:val="20"/>
                <w:szCs w:val="20"/>
              </w:rPr>
            </w:pPr>
            <w:r w:rsidRPr="00813772">
              <w:rPr>
                <w:rFonts w:eastAsia="Times New Roman" w:cs="Times New Roman"/>
                <w:b/>
                <w:bCs/>
                <w:sz w:val="20"/>
                <w:szCs w:val="20"/>
                <w:lang w:eastAsia="sk-SK"/>
              </w:rPr>
              <w:t>3</w:t>
            </w:r>
          </w:p>
        </w:tc>
        <w:tc>
          <w:tcPr>
            <w:tcW w:w="502" w:type="pct"/>
            <w:tcBorders>
              <w:top w:val="nil"/>
              <w:left w:val="nil"/>
              <w:bottom w:val="single" w:sz="4" w:space="0" w:color="auto"/>
              <w:right w:val="nil"/>
            </w:tcBorders>
            <w:shd w:val="clear" w:color="auto" w:fill="auto"/>
            <w:noWrap/>
            <w:vAlign w:val="center"/>
          </w:tcPr>
          <w:p w14:paraId="45C6785C" w14:textId="00917A03" w:rsidR="002C39DC" w:rsidRPr="00EF6122" w:rsidRDefault="002C39DC" w:rsidP="002C39DC">
            <w:pPr>
              <w:spacing w:after="0" w:line="240" w:lineRule="auto"/>
              <w:jc w:val="right"/>
              <w:rPr>
                <w:b/>
                <w:color w:val="000000"/>
                <w:sz w:val="20"/>
                <w:szCs w:val="20"/>
              </w:rPr>
            </w:pPr>
            <w:r w:rsidRPr="00813772">
              <w:rPr>
                <w:rFonts w:eastAsia="Times New Roman" w:cs="Times New Roman"/>
                <w:b/>
                <w:bCs/>
                <w:sz w:val="20"/>
                <w:szCs w:val="20"/>
                <w:lang w:eastAsia="sk-SK"/>
              </w:rPr>
              <w:t>4</w:t>
            </w:r>
          </w:p>
        </w:tc>
        <w:tc>
          <w:tcPr>
            <w:tcW w:w="538" w:type="pct"/>
            <w:gridSpan w:val="2"/>
            <w:tcBorders>
              <w:top w:val="nil"/>
              <w:left w:val="nil"/>
              <w:bottom w:val="single" w:sz="4" w:space="0" w:color="auto"/>
              <w:right w:val="nil"/>
            </w:tcBorders>
            <w:shd w:val="clear" w:color="000000" w:fill="FFFFFF"/>
            <w:noWrap/>
            <w:vAlign w:val="center"/>
          </w:tcPr>
          <w:p w14:paraId="6A044B38" w14:textId="68028839" w:rsidR="002C39DC" w:rsidRPr="00EF6122" w:rsidRDefault="002C39DC" w:rsidP="002C39DC">
            <w:pPr>
              <w:spacing w:after="0" w:line="240" w:lineRule="auto"/>
              <w:jc w:val="right"/>
              <w:rPr>
                <w:b/>
                <w:color w:val="000000"/>
                <w:sz w:val="20"/>
                <w:szCs w:val="20"/>
              </w:rPr>
            </w:pPr>
            <w:r w:rsidRPr="00813772">
              <w:rPr>
                <w:rFonts w:eastAsia="Times New Roman" w:cs="Times New Roman"/>
                <w:b/>
                <w:bCs/>
                <w:sz w:val="20"/>
                <w:szCs w:val="20"/>
                <w:lang w:eastAsia="sk-SK"/>
              </w:rPr>
              <w:t>5=4-3</w:t>
            </w:r>
          </w:p>
        </w:tc>
        <w:tc>
          <w:tcPr>
            <w:tcW w:w="351" w:type="pct"/>
            <w:tcBorders>
              <w:top w:val="nil"/>
              <w:left w:val="nil"/>
              <w:bottom w:val="single" w:sz="4" w:space="0" w:color="auto"/>
              <w:right w:val="nil"/>
            </w:tcBorders>
            <w:shd w:val="clear" w:color="000000" w:fill="FFFFFF"/>
            <w:noWrap/>
            <w:vAlign w:val="center"/>
          </w:tcPr>
          <w:p w14:paraId="41C68F77" w14:textId="4430E952" w:rsidR="002C39DC" w:rsidRPr="00EF6122" w:rsidRDefault="002C39DC" w:rsidP="002C39DC">
            <w:pPr>
              <w:spacing w:after="0" w:line="240" w:lineRule="auto"/>
              <w:jc w:val="right"/>
              <w:rPr>
                <w:b/>
                <w:color w:val="000000"/>
                <w:sz w:val="20"/>
                <w:szCs w:val="20"/>
              </w:rPr>
            </w:pPr>
            <w:r w:rsidRPr="00813772">
              <w:rPr>
                <w:rFonts w:eastAsia="Times New Roman" w:cs="Times New Roman"/>
                <w:b/>
                <w:bCs/>
                <w:sz w:val="20"/>
                <w:szCs w:val="20"/>
                <w:lang w:eastAsia="sk-SK"/>
              </w:rPr>
              <w:t>6=4-3</w:t>
            </w:r>
          </w:p>
        </w:tc>
      </w:tr>
      <w:tr w:rsidR="00EF6122" w:rsidRPr="00813772" w14:paraId="5FC4B12E" w14:textId="77777777" w:rsidTr="002C39DC">
        <w:trPr>
          <w:trHeight w:val="330"/>
        </w:trPr>
        <w:tc>
          <w:tcPr>
            <w:tcW w:w="2101" w:type="pct"/>
            <w:tcBorders>
              <w:top w:val="single" w:sz="4" w:space="0" w:color="auto"/>
              <w:left w:val="nil"/>
              <w:bottom w:val="nil"/>
              <w:right w:val="nil"/>
            </w:tcBorders>
            <w:shd w:val="clear" w:color="000000" w:fill="FFFFFF"/>
            <w:vAlign w:val="center"/>
            <w:hideMark/>
          </w:tcPr>
          <w:p w14:paraId="5938D9B3" w14:textId="4E226D1D" w:rsidR="00EF6122" w:rsidRPr="00EF6122" w:rsidRDefault="00EF6122" w:rsidP="00EF6122">
            <w:pPr>
              <w:spacing w:after="0" w:line="240" w:lineRule="auto"/>
              <w:jc w:val="left"/>
              <w:rPr>
                <w:rFonts w:eastAsia="Times New Roman" w:cs="Times New Roman"/>
                <w:color w:val="000000"/>
                <w:sz w:val="20"/>
                <w:szCs w:val="20"/>
                <w:lang w:eastAsia="sk-SK"/>
              </w:rPr>
            </w:pPr>
            <w:r w:rsidRPr="00EF6122">
              <w:rPr>
                <w:b/>
                <w:color w:val="000000"/>
                <w:sz w:val="20"/>
                <w:szCs w:val="20"/>
              </w:rPr>
              <w:t>Štrukturálne operácie – MV SR</w:t>
            </w:r>
          </w:p>
        </w:tc>
        <w:tc>
          <w:tcPr>
            <w:tcW w:w="502" w:type="pct"/>
            <w:tcBorders>
              <w:top w:val="single" w:sz="4" w:space="0" w:color="auto"/>
              <w:left w:val="nil"/>
              <w:bottom w:val="nil"/>
              <w:right w:val="nil"/>
            </w:tcBorders>
            <w:shd w:val="clear" w:color="000000" w:fill="FFFFFF"/>
            <w:noWrap/>
            <w:vAlign w:val="center"/>
            <w:hideMark/>
          </w:tcPr>
          <w:p w14:paraId="75049E30" w14:textId="55A11E9C"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b/>
                <w:color w:val="000000"/>
                <w:sz w:val="20"/>
                <w:szCs w:val="20"/>
              </w:rPr>
              <w:t>0</w:t>
            </w:r>
          </w:p>
        </w:tc>
        <w:tc>
          <w:tcPr>
            <w:tcW w:w="503" w:type="pct"/>
            <w:tcBorders>
              <w:top w:val="single" w:sz="4" w:space="0" w:color="auto"/>
              <w:left w:val="nil"/>
              <w:bottom w:val="nil"/>
              <w:right w:val="nil"/>
            </w:tcBorders>
            <w:shd w:val="clear" w:color="000000" w:fill="FFFFFF"/>
            <w:noWrap/>
            <w:vAlign w:val="center"/>
            <w:hideMark/>
          </w:tcPr>
          <w:p w14:paraId="4D35826F" w14:textId="6C8E4517"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b/>
                <w:color w:val="000000"/>
                <w:sz w:val="20"/>
                <w:szCs w:val="20"/>
              </w:rPr>
              <w:t>0</w:t>
            </w:r>
          </w:p>
        </w:tc>
        <w:tc>
          <w:tcPr>
            <w:tcW w:w="502" w:type="pct"/>
            <w:tcBorders>
              <w:top w:val="single" w:sz="4" w:space="0" w:color="auto"/>
              <w:left w:val="nil"/>
              <w:bottom w:val="nil"/>
              <w:right w:val="nil"/>
            </w:tcBorders>
            <w:shd w:val="clear" w:color="000000" w:fill="FFFFFF"/>
            <w:noWrap/>
            <w:vAlign w:val="center"/>
            <w:hideMark/>
          </w:tcPr>
          <w:p w14:paraId="18D9C4DA" w14:textId="1E990EB3"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b/>
                <w:color w:val="000000"/>
                <w:sz w:val="20"/>
                <w:szCs w:val="20"/>
              </w:rPr>
              <w:t>11 641</w:t>
            </w:r>
          </w:p>
        </w:tc>
        <w:tc>
          <w:tcPr>
            <w:tcW w:w="502" w:type="pct"/>
            <w:tcBorders>
              <w:top w:val="single" w:sz="4" w:space="0" w:color="auto"/>
              <w:left w:val="nil"/>
              <w:bottom w:val="nil"/>
              <w:right w:val="nil"/>
            </w:tcBorders>
            <w:shd w:val="clear" w:color="auto" w:fill="auto"/>
            <w:noWrap/>
            <w:vAlign w:val="center"/>
            <w:hideMark/>
          </w:tcPr>
          <w:p w14:paraId="7561A194" w14:textId="4F2C63A9"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b/>
                <w:color w:val="000000"/>
                <w:sz w:val="20"/>
                <w:szCs w:val="20"/>
              </w:rPr>
              <w:t>0</w:t>
            </w:r>
          </w:p>
        </w:tc>
        <w:tc>
          <w:tcPr>
            <w:tcW w:w="538" w:type="pct"/>
            <w:gridSpan w:val="2"/>
            <w:tcBorders>
              <w:top w:val="single" w:sz="4" w:space="0" w:color="auto"/>
              <w:left w:val="nil"/>
              <w:bottom w:val="nil"/>
              <w:right w:val="nil"/>
            </w:tcBorders>
            <w:shd w:val="clear" w:color="000000" w:fill="FFFFFF"/>
            <w:noWrap/>
            <w:vAlign w:val="center"/>
            <w:hideMark/>
          </w:tcPr>
          <w:p w14:paraId="3D80A86C" w14:textId="723BF94E"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b/>
                <w:color w:val="000000"/>
                <w:sz w:val="20"/>
                <w:szCs w:val="20"/>
              </w:rPr>
              <w:t>-11 641</w:t>
            </w:r>
          </w:p>
        </w:tc>
        <w:tc>
          <w:tcPr>
            <w:tcW w:w="351" w:type="pct"/>
            <w:tcBorders>
              <w:top w:val="single" w:sz="4" w:space="0" w:color="auto"/>
              <w:left w:val="nil"/>
              <w:bottom w:val="nil"/>
              <w:right w:val="nil"/>
            </w:tcBorders>
            <w:shd w:val="clear" w:color="000000" w:fill="FFFFFF"/>
            <w:noWrap/>
            <w:vAlign w:val="center"/>
            <w:hideMark/>
          </w:tcPr>
          <w:p w14:paraId="0BCA023E" w14:textId="5BF6F2F3" w:rsidR="00EF6122" w:rsidRPr="00EF6122" w:rsidRDefault="00EF6122" w:rsidP="00EF6122">
            <w:pPr>
              <w:spacing w:after="0" w:line="240" w:lineRule="auto"/>
              <w:jc w:val="right"/>
              <w:rPr>
                <w:rFonts w:eastAsia="Times New Roman" w:cs="Times New Roman"/>
                <w:color w:val="000000"/>
                <w:sz w:val="20"/>
                <w:szCs w:val="20"/>
                <w:highlight w:val="yellow"/>
                <w:lang w:eastAsia="sk-SK"/>
              </w:rPr>
            </w:pPr>
            <w:r w:rsidRPr="00EF6122">
              <w:rPr>
                <w:b/>
                <w:color w:val="000000"/>
                <w:sz w:val="20"/>
                <w:szCs w:val="20"/>
              </w:rPr>
              <w:t>-100,0</w:t>
            </w:r>
          </w:p>
        </w:tc>
      </w:tr>
      <w:tr w:rsidR="00EF6122" w:rsidRPr="00813772" w14:paraId="76DEA71A" w14:textId="77777777" w:rsidTr="002C39DC">
        <w:trPr>
          <w:trHeight w:val="330"/>
        </w:trPr>
        <w:tc>
          <w:tcPr>
            <w:tcW w:w="2101" w:type="pct"/>
            <w:tcBorders>
              <w:top w:val="nil"/>
              <w:left w:val="nil"/>
              <w:bottom w:val="nil"/>
              <w:right w:val="nil"/>
            </w:tcBorders>
            <w:shd w:val="clear" w:color="000000" w:fill="FFFFFF"/>
            <w:vAlign w:val="center"/>
          </w:tcPr>
          <w:p w14:paraId="7860C5A0" w14:textId="57E5E206" w:rsidR="00EF6122" w:rsidRPr="00EF6122" w:rsidRDefault="00EF6122" w:rsidP="00EF6122">
            <w:pPr>
              <w:spacing w:after="0" w:line="240" w:lineRule="auto"/>
              <w:jc w:val="left"/>
              <w:rPr>
                <w:b/>
                <w:color w:val="000000"/>
                <w:sz w:val="20"/>
                <w:szCs w:val="20"/>
              </w:rPr>
            </w:pPr>
            <w:r w:rsidRPr="00EF6122">
              <w:rPr>
                <w:b/>
                <w:color w:val="000000"/>
                <w:sz w:val="20"/>
                <w:szCs w:val="20"/>
              </w:rPr>
              <w:t>Spolu zahraničné transfery – prostriedky EÚ</w:t>
            </w:r>
          </w:p>
        </w:tc>
        <w:tc>
          <w:tcPr>
            <w:tcW w:w="502" w:type="pct"/>
            <w:tcBorders>
              <w:top w:val="nil"/>
              <w:left w:val="nil"/>
              <w:bottom w:val="nil"/>
              <w:right w:val="nil"/>
            </w:tcBorders>
            <w:shd w:val="clear" w:color="000000" w:fill="FFFFFF"/>
            <w:noWrap/>
            <w:vAlign w:val="center"/>
          </w:tcPr>
          <w:p w14:paraId="338A966B" w14:textId="403B9F7A" w:rsidR="00EF6122" w:rsidRPr="00EF6122" w:rsidRDefault="00EF6122" w:rsidP="00EF6122">
            <w:pPr>
              <w:spacing w:after="0" w:line="240" w:lineRule="auto"/>
              <w:jc w:val="right"/>
              <w:rPr>
                <w:b/>
                <w:color w:val="000000"/>
                <w:sz w:val="20"/>
                <w:szCs w:val="20"/>
              </w:rPr>
            </w:pPr>
            <w:r w:rsidRPr="00EF6122">
              <w:rPr>
                <w:b/>
                <w:color w:val="000000"/>
                <w:sz w:val="20"/>
                <w:szCs w:val="20"/>
              </w:rPr>
              <w:t>2 551 329</w:t>
            </w:r>
          </w:p>
        </w:tc>
        <w:tc>
          <w:tcPr>
            <w:tcW w:w="503" w:type="pct"/>
            <w:tcBorders>
              <w:top w:val="nil"/>
              <w:left w:val="nil"/>
              <w:bottom w:val="nil"/>
              <w:right w:val="nil"/>
            </w:tcBorders>
            <w:shd w:val="clear" w:color="000000" w:fill="FFFFFF"/>
            <w:noWrap/>
            <w:vAlign w:val="center"/>
          </w:tcPr>
          <w:p w14:paraId="66B9541F" w14:textId="4A61EE13" w:rsidR="00EF6122" w:rsidRPr="00EF6122" w:rsidRDefault="00EF6122" w:rsidP="00EF6122">
            <w:pPr>
              <w:spacing w:after="0" w:line="240" w:lineRule="auto"/>
              <w:jc w:val="right"/>
              <w:rPr>
                <w:b/>
                <w:color w:val="000000"/>
                <w:sz w:val="20"/>
                <w:szCs w:val="20"/>
              </w:rPr>
            </w:pPr>
            <w:r w:rsidRPr="00EF6122">
              <w:rPr>
                <w:b/>
                <w:color w:val="000000"/>
                <w:sz w:val="20"/>
                <w:szCs w:val="20"/>
              </w:rPr>
              <w:t>2 269 707</w:t>
            </w:r>
          </w:p>
        </w:tc>
        <w:tc>
          <w:tcPr>
            <w:tcW w:w="502" w:type="pct"/>
            <w:tcBorders>
              <w:top w:val="nil"/>
              <w:left w:val="nil"/>
              <w:bottom w:val="nil"/>
              <w:right w:val="nil"/>
            </w:tcBorders>
            <w:shd w:val="clear" w:color="000000" w:fill="FFFFFF"/>
            <w:noWrap/>
            <w:vAlign w:val="center"/>
          </w:tcPr>
          <w:p w14:paraId="6EDD0D83" w14:textId="29F7382E" w:rsidR="00EF6122" w:rsidRPr="00EF6122" w:rsidRDefault="00EF6122" w:rsidP="00EF6122">
            <w:pPr>
              <w:spacing w:after="0" w:line="240" w:lineRule="auto"/>
              <w:jc w:val="right"/>
              <w:rPr>
                <w:b/>
                <w:color w:val="000000"/>
                <w:sz w:val="20"/>
                <w:szCs w:val="20"/>
              </w:rPr>
            </w:pPr>
            <w:r w:rsidRPr="00EF6122">
              <w:rPr>
                <w:b/>
                <w:color w:val="000000"/>
                <w:sz w:val="20"/>
                <w:szCs w:val="20"/>
              </w:rPr>
              <w:t>3 148 001</w:t>
            </w:r>
          </w:p>
        </w:tc>
        <w:tc>
          <w:tcPr>
            <w:tcW w:w="502" w:type="pct"/>
            <w:tcBorders>
              <w:top w:val="nil"/>
              <w:left w:val="nil"/>
              <w:bottom w:val="nil"/>
              <w:right w:val="nil"/>
            </w:tcBorders>
            <w:shd w:val="clear" w:color="auto" w:fill="auto"/>
            <w:noWrap/>
            <w:vAlign w:val="center"/>
          </w:tcPr>
          <w:p w14:paraId="315C5C24" w14:textId="0C32F80F" w:rsidR="00EF6122" w:rsidRPr="00EF6122" w:rsidRDefault="00EF6122" w:rsidP="00EF6122">
            <w:pPr>
              <w:spacing w:after="0" w:line="240" w:lineRule="auto"/>
              <w:jc w:val="right"/>
              <w:rPr>
                <w:b/>
                <w:color w:val="000000"/>
                <w:sz w:val="20"/>
                <w:szCs w:val="20"/>
              </w:rPr>
            </w:pPr>
            <w:r w:rsidRPr="00EF6122">
              <w:rPr>
                <w:b/>
                <w:color w:val="000000"/>
                <w:sz w:val="20"/>
                <w:szCs w:val="20"/>
              </w:rPr>
              <w:t>2 146 641</w:t>
            </w:r>
          </w:p>
        </w:tc>
        <w:tc>
          <w:tcPr>
            <w:tcW w:w="538" w:type="pct"/>
            <w:gridSpan w:val="2"/>
            <w:tcBorders>
              <w:top w:val="nil"/>
              <w:left w:val="nil"/>
              <w:bottom w:val="nil"/>
              <w:right w:val="nil"/>
            </w:tcBorders>
            <w:shd w:val="clear" w:color="000000" w:fill="FFFFFF"/>
            <w:noWrap/>
            <w:vAlign w:val="center"/>
          </w:tcPr>
          <w:p w14:paraId="3F47AD2A" w14:textId="1A630588" w:rsidR="00EF6122" w:rsidRPr="00EF6122" w:rsidRDefault="00EF6122" w:rsidP="00EF6122">
            <w:pPr>
              <w:spacing w:after="0" w:line="240" w:lineRule="auto"/>
              <w:jc w:val="right"/>
              <w:rPr>
                <w:b/>
                <w:color w:val="000000"/>
                <w:sz w:val="20"/>
                <w:szCs w:val="20"/>
              </w:rPr>
            </w:pPr>
            <w:r w:rsidRPr="00EF6122">
              <w:rPr>
                <w:b/>
                <w:color w:val="000000"/>
                <w:sz w:val="20"/>
                <w:szCs w:val="20"/>
              </w:rPr>
              <w:t>-1 001 360</w:t>
            </w:r>
          </w:p>
        </w:tc>
        <w:tc>
          <w:tcPr>
            <w:tcW w:w="351" w:type="pct"/>
            <w:tcBorders>
              <w:top w:val="nil"/>
              <w:left w:val="nil"/>
              <w:bottom w:val="nil"/>
              <w:right w:val="nil"/>
            </w:tcBorders>
            <w:shd w:val="clear" w:color="000000" w:fill="FFFFFF"/>
            <w:noWrap/>
            <w:vAlign w:val="center"/>
          </w:tcPr>
          <w:p w14:paraId="3BCB072A" w14:textId="63D80114" w:rsidR="00EF6122" w:rsidRPr="00EF6122" w:rsidRDefault="00EF6122" w:rsidP="00EF6122">
            <w:pPr>
              <w:spacing w:after="0" w:line="240" w:lineRule="auto"/>
              <w:jc w:val="right"/>
              <w:rPr>
                <w:b/>
                <w:color w:val="000000"/>
                <w:sz w:val="20"/>
                <w:szCs w:val="20"/>
              </w:rPr>
            </w:pPr>
            <w:r w:rsidRPr="00EF6122">
              <w:rPr>
                <w:b/>
                <w:color w:val="000000"/>
                <w:sz w:val="20"/>
                <w:szCs w:val="20"/>
              </w:rPr>
              <w:t>-31,8</w:t>
            </w:r>
          </w:p>
        </w:tc>
      </w:tr>
      <w:tr w:rsidR="00EF6122" w:rsidRPr="00813772" w14:paraId="2221C0A9" w14:textId="77777777" w:rsidTr="002C39DC">
        <w:trPr>
          <w:trHeight w:val="330"/>
        </w:trPr>
        <w:tc>
          <w:tcPr>
            <w:tcW w:w="2101" w:type="pct"/>
            <w:tcBorders>
              <w:top w:val="nil"/>
              <w:left w:val="nil"/>
              <w:bottom w:val="nil"/>
              <w:right w:val="nil"/>
            </w:tcBorders>
            <w:shd w:val="clear" w:color="000000" w:fill="FFFFFF"/>
            <w:vAlign w:val="center"/>
          </w:tcPr>
          <w:p w14:paraId="0A362E48" w14:textId="2C014D34" w:rsidR="00EF6122" w:rsidRPr="00EF6122" w:rsidRDefault="00EF6122" w:rsidP="00EF6122">
            <w:pPr>
              <w:spacing w:after="0" w:line="240" w:lineRule="auto"/>
              <w:jc w:val="left"/>
              <w:rPr>
                <w:color w:val="000000"/>
                <w:sz w:val="20"/>
                <w:szCs w:val="20"/>
              </w:rPr>
            </w:pPr>
            <w:r w:rsidRPr="00EF6122">
              <w:rPr>
                <w:color w:val="000000"/>
                <w:sz w:val="20"/>
                <w:szCs w:val="20"/>
              </w:rPr>
              <w:t>Zahraničné granty z rozpočtu EÚ</w:t>
            </w:r>
          </w:p>
        </w:tc>
        <w:tc>
          <w:tcPr>
            <w:tcW w:w="502" w:type="pct"/>
            <w:tcBorders>
              <w:top w:val="nil"/>
              <w:left w:val="nil"/>
              <w:bottom w:val="nil"/>
              <w:right w:val="nil"/>
            </w:tcBorders>
            <w:shd w:val="clear" w:color="000000" w:fill="FFFFFF"/>
            <w:noWrap/>
            <w:vAlign w:val="center"/>
          </w:tcPr>
          <w:p w14:paraId="5B9A3A39" w14:textId="1C6036B6" w:rsidR="00EF6122" w:rsidRPr="00EF6122" w:rsidRDefault="00EF6122" w:rsidP="00EF6122">
            <w:pPr>
              <w:spacing w:after="0" w:line="240" w:lineRule="auto"/>
              <w:jc w:val="right"/>
              <w:rPr>
                <w:b/>
                <w:color w:val="000000"/>
                <w:sz w:val="20"/>
                <w:szCs w:val="20"/>
              </w:rPr>
            </w:pPr>
            <w:r w:rsidRPr="00EF6122">
              <w:rPr>
                <w:color w:val="000000"/>
                <w:sz w:val="20"/>
                <w:szCs w:val="20"/>
              </w:rPr>
              <w:t>31</w:t>
            </w:r>
          </w:p>
        </w:tc>
        <w:tc>
          <w:tcPr>
            <w:tcW w:w="503" w:type="pct"/>
            <w:tcBorders>
              <w:top w:val="nil"/>
              <w:left w:val="nil"/>
              <w:bottom w:val="nil"/>
              <w:right w:val="nil"/>
            </w:tcBorders>
            <w:shd w:val="clear" w:color="000000" w:fill="FFFFFF"/>
            <w:noWrap/>
            <w:vAlign w:val="center"/>
          </w:tcPr>
          <w:p w14:paraId="46B89425" w14:textId="321FAA07" w:rsidR="00EF6122" w:rsidRPr="00EF6122" w:rsidRDefault="00EF6122" w:rsidP="00EF6122">
            <w:pPr>
              <w:spacing w:after="0" w:line="240" w:lineRule="auto"/>
              <w:jc w:val="right"/>
              <w:rPr>
                <w:b/>
                <w:color w:val="000000"/>
                <w:sz w:val="20"/>
                <w:szCs w:val="20"/>
              </w:rPr>
            </w:pPr>
            <w:r w:rsidRPr="00EF6122">
              <w:rPr>
                <w:color w:val="000000"/>
                <w:sz w:val="20"/>
                <w:szCs w:val="20"/>
              </w:rPr>
              <w:t>0</w:t>
            </w:r>
          </w:p>
        </w:tc>
        <w:tc>
          <w:tcPr>
            <w:tcW w:w="502" w:type="pct"/>
            <w:tcBorders>
              <w:top w:val="nil"/>
              <w:left w:val="nil"/>
              <w:bottom w:val="nil"/>
              <w:right w:val="nil"/>
            </w:tcBorders>
            <w:shd w:val="clear" w:color="000000" w:fill="FFFFFF"/>
            <w:noWrap/>
            <w:vAlign w:val="center"/>
          </w:tcPr>
          <w:p w14:paraId="32181773" w14:textId="03CA9415" w:rsidR="00EF6122" w:rsidRPr="00EF6122" w:rsidRDefault="00EF6122" w:rsidP="00EF6122">
            <w:pPr>
              <w:spacing w:after="0" w:line="240" w:lineRule="auto"/>
              <w:jc w:val="right"/>
              <w:rPr>
                <w:b/>
                <w:color w:val="000000"/>
                <w:sz w:val="20"/>
                <w:szCs w:val="20"/>
              </w:rPr>
            </w:pPr>
            <w:r w:rsidRPr="00EF6122">
              <w:rPr>
                <w:color w:val="000000"/>
                <w:sz w:val="20"/>
                <w:szCs w:val="20"/>
              </w:rPr>
              <w:t>0</w:t>
            </w:r>
          </w:p>
        </w:tc>
        <w:tc>
          <w:tcPr>
            <w:tcW w:w="502" w:type="pct"/>
            <w:tcBorders>
              <w:top w:val="nil"/>
              <w:left w:val="nil"/>
              <w:bottom w:val="nil"/>
              <w:right w:val="nil"/>
            </w:tcBorders>
            <w:shd w:val="clear" w:color="auto" w:fill="auto"/>
            <w:noWrap/>
            <w:vAlign w:val="center"/>
          </w:tcPr>
          <w:p w14:paraId="61485F9B" w14:textId="0D9F8C53" w:rsidR="00EF6122" w:rsidRPr="00EF6122" w:rsidRDefault="00EF6122" w:rsidP="00EF6122">
            <w:pPr>
              <w:spacing w:after="0" w:line="240" w:lineRule="auto"/>
              <w:jc w:val="right"/>
              <w:rPr>
                <w:b/>
                <w:color w:val="000000"/>
                <w:sz w:val="20"/>
                <w:szCs w:val="20"/>
              </w:rPr>
            </w:pPr>
            <w:r w:rsidRPr="00EF6122">
              <w:rPr>
                <w:color w:val="000000"/>
                <w:sz w:val="20"/>
                <w:szCs w:val="20"/>
              </w:rPr>
              <w:t>0</w:t>
            </w:r>
          </w:p>
        </w:tc>
        <w:tc>
          <w:tcPr>
            <w:tcW w:w="538" w:type="pct"/>
            <w:gridSpan w:val="2"/>
            <w:tcBorders>
              <w:top w:val="nil"/>
              <w:left w:val="nil"/>
              <w:bottom w:val="nil"/>
              <w:right w:val="nil"/>
            </w:tcBorders>
            <w:shd w:val="clear" w:color="000000" w:fill="FFFFFF"/>
            <w:noWrap/>
            <w:vAlign w:val="center"/>
          </w:tcPr>
          <w:p w14:paraId="3088AC6E" w14:textId="3CD70373" w:rsidR="00EF6122" w:rsidRPr="00EF6122" w:rsidRDefault="00EF6122" w:rsidP="00EF6122">
            <w:pPr>
              <w:spacing w:after="0" w:line="240" w:lineRule="auto"/>
              <w:jc w:val="right"/>
              <w:rPr>
                <w:b/>
                <w:color w:val="000000"/>
                <w:sz w:val="20"/>
                <w:szCs w:val="20"/>
              </w:rPr>
            </w:pPr>
            <w:r w:rsidRPr="00EF6122">
              <w:rPr>
                <w:color w:val="000000"/>
                <w:sz w:val="20"/>
                <w:szCs w:val="20"/>
              </w:rPr>
              <w:t>0</w:t>
            </w:r>
          </w:p>
        </w:tc>
        <w:tc>
          <w:tcPr>
            <w:tcW w:w="351" w:type="pct"/>
            <w:tcBorders>
              <w:top w:val="nil"/>
              <w:left w:val="nil"/>
              <w:bottom w:val="nil"/>
              <w:right w:val="nil"/>
            </w:tcBorders>
            <w:shd w:val="clear" w:color="000000" w:fill="FFFFFF"/>
            <w:noWrap/>
            <w:vAlign w:val="center"/>
          </w:tcPr>
          <w:p w14:paraId="064BB9C0" w14:textId="1FAC2E91" w:rsidR="00EF6122" w:rsidRPr="00EF6122" w:rsidRDefault="00EF6122" w:rsidP="00EF6122">
            <w:pPr>
              <w:spacing w:after="0" w:line="240" w:lineRule="auto"/>
              <w:jc w:val="right"/>
              <w:rPr>
                <w:b/>
                <w:color w:val="000000"/>
                <w:sz w:val="20"/>
                <w:szCs w:val="20"/>
              </w:rPr>
            </w:pPr>
            <w:r w:rsidRPr="00EF6122">
              <w:rPr>
                <w:color w:val="000000"/>
                <w:sz w:val="20"/>
                <w:szCs w:val="20"/>
              </w:rPr>
              <w:t>-</w:t>
            </w:r>
          </w:p>
        </w:tc>
      </w:tr>
      <w:tr w:rsidR="00EF6122" w:rsidRPr="00813772" w14:paraId="72FCCCD2" w14:textId="77777777" w:rsidTr="002C39DC">
        <w:trPr>
          <w:trHeight w:val="345"/>
        </w:trPr>
        <w:tc>
          <w:tcPr>
            <w:tcW w:w="2101" w:type="pct"/>
            <w:tcBorders>
              <w:top w:val="single" w:sz="4" w:space="0" w:color="auto"/>
              <w:left w:val="nil"/>
              <w:bottom w:val="single" w:sz="8" w:space="0" w:color="auto"/>
              <w:right w:val="nil"/>
            </w:tcBorders>
            <w:shd w:val="clear" w:color="000000" w:fill="FFFFFF"/>
            <w:vAlign w:val="center"/>
            <w:hideMark/>
          </w:tcPr>
          <w:p w14:paraId="17CE1571" w14:textId="77777777" w:rsidR="00EF6122" w:rsidRPr="00EF6122" w:rsidRDefault="00EF6122" w:rsidP="00EF6122">
            <w:pPr>
              <w:spacing w:after="0" w:line="240" w:lineRule="auto"/>
              <w:jc w:val="left"/>
              <w:rPr>
                <w:rFonts w:eastAsia="Times New Roman" w:cs="Times New Roman"/>
                <w:b/>
                <w:bCs/>
                <w:color w:val="000000"/>
                <w:sz w:val="20"/>
                <w:szCs w:val="20"/>
                <w:lang w:eastAsia="sk-SK"/>
              </w:rPr>
            </w:pPr>
            <w:r w:rsidRPr="00EF6122">
              <w:rPr>
                <w:rFonts w:eastAsia="Times New Roman" w:cs="Times New Roman"/>
                <w:b/>
                <w:bCs/>
                <w:color w:val="000000"/>
                <w:sz w:val="20"/>
                <w:szCs w:val="20"/>
                <w:lang w:eastAsia="sk-SK"/>
              </w:rPr>
              <w:t>Spolu príjmy z rozpočtu EÚ</w:t>
            </w:r>
          </w:p>
        </w:tc>
        <w:tc>
          <w:tcPr>
            <w:tcW w:w="502" w:type="pct"/>
            <w:tcBorders>
              <w:top w:val="single" w:sz="4" w:space="0" w:color="auto"/>
              <w:left w:val="nil"/>
              <w:bottom w:val="single" w:sz="8" w:space="0" w:color="auto"/>
              <w:right w:val="nil"/>
            </w:tcBorders>
            <w:shd w:val="clear" w:color="000000" w:fill="FFFFFF"/>
            <w:noWrap/>
            <w:vAlign w:val="center"/>
            <w:hideMark/>
          </w:tcPr>
          <w:p w14:paraId="581960D3" w14:textId="0EE85213"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2 551 360</w:t>
            </w:r>
          </w:p>
        </w:tc>
        <w:tc>
          <w:tcPr>
            <w:tcW w:w="503" w:type="pct"/>
            <w:tcBorders>
              <w:top w:val="single" w:sz="4" w:space="0" w:color="auto"/>
              <w:left w:val="nil"/>
              <w:bottom w:val="single" w:sz="8" w:space="0" w:color="auto"/>
              <w:right w:val="nil"/>
            </w:tcBorders>
            <w:shd w:val="clear" w:color="000000" w:fill="FFFFFF"/>
            <w:noWrap/>
            <w:vAlign w:val="center"/>
            <w:hideMark/>
          </w:tcPr>
          <w:p w14:paraId="60A45126" w14:textId="2719864A"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2 269 707</w:t>
            </w:r>
          </w:p>
        </w:tc>
        <w:tc>
          <w:tcPr>
            <w:tcW w:w="502" w:type="pct"/>
            <w:tcBorders>
              <w:top w:val="single" w:sz="4" w:space="0" w:color="auto"/>
              <w:left w:val="nil"/>
              <w:bottom w:val="single" w:sz="8" w:space="0" w:color="auto"/>
              <w:right w:val="nil"/>
            </w:tcBorders>
            <w:shd w:val="clear" w:color="000000" w:fill="FFFFFF"/>
            <w:noWrap/>
            <w:vAlign w:val="center"/>
            <w:hideMark/>
          </w:tcPr>
          <w:p w14:paraId="1AC9F81F" w14:textId="02AFDC33"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3 148 001</w:t>
            </w:r>
          </w:p>
        </w:tc>
        <w:tc>
          <w:tcPr>
            <w:tcW w:w="502" w:type="pct"/>
            <w:tcBorders>
              <w:top w:val="single" w:sz="4" w:space="0" w:color="auto"/>
              <w:left w:val="nil"/>
              <w:bottom w:val="single" w:sz="8" w:space="0" w:color="auto"/>
              <w:right w:val="nil"/>
            </w:tcBorders>
            <w:shd w:val="clear" w:color="000000" w:fill="FFFFFF"/>
            <w:noWrap/>
            <w:vAlign w:val="center"/>
            <w:hideMark/>
          </w:tcPr>
          <w:p w14:paraId="51408485" w14:textId="0AD4498E"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2 146 641</w:t>
            </w:r>
          </w:p>
        </w:tc>
        <w:tc>
          <w:tcPr>
            <w:tcW w:w="538" w:type="pct"/>
            <w:gridSpan w:val="2"/>
            <w:tcBorders>
              <w:top w:val="single" w:sz="4" w:space="0" w:color="auto"/>
              <w:left w:val="nil"/>
              <w:bottom w:val="single" w:sz="8" w:space="0" w:color="auto"/>
              <w:right w:val="nil"/>
            </w:tcBorders>
            <w:shd w:val="clear" w:color="000000" w:fill="FFFFFF"/>
            <w:noWrap/>
            <w:vAlign w:val="center"/>
            <w:hideMark/>
          </w:tcPr>
          <w:p w14:paraId="3328B231" w14:textId="350912BB"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-1 001 360</w:t>
            </w:r>
          </w:p>
        </w:tc>
        <w:tc>
          <w:tcPr>
            <w:tcW w:w="351" w:type="pct"/>
            <w:tcBorders>
              <w:top w:val="single" w:sz="4" w:space="0" w:color="auto"/>
              <w:left w:val="nil"/>
              <w:bottom w:val="single" w:sz="8" w:space="0" w:color="auto"/>
              <w:right w:val="nil"/>
            </w:tcBorders>
            <w:shd w:val="clear" w:color="000000" w:fill="FFFFFF"/>
            <w:noWrap/>
            <w:vAlign w:val="center"/>
            <w:hideMark/>
          </w:tcPr>
          <w:p w14:paraId="3B48CD67" w14:textId="4A328475" w:rsidR="00EF6122" w:rsidRPr="00EF6122" w:rsidRDefault="00EF6122" w:rsidP="00EF6122">
            <w:pPr>
              <w:spacing w:after="0" w:line="240" w:lineRule="auto"/>
              <w:jc w:val="right"/>
              <w:rPr>
                <w:rFonts w:eastAsia="Times New Roman" w:cs="Times New Roman"/>
                <w:b/>
                <w:bCs/>
                <w:color w:val="000000"/>
                <w:sz w:val="20"/>
                <w:szCs w:val="20"/>
                <w:highlight w:val="yellow"/>
                <w:lang w:eastAsia="sk-SK"/>
              </w:rPr>
            </w:pPr>
            <w:r w:rsidRPr="00EF6122">
              <w:rPr>
                <w:b/>
                <w:color w:val="000000"/>
                <w:sz w:val="20"/>
                <w:szCs w:val="20"/>
              </w:rPr>
              <w:t>-31,8</w:t>
            </w:r>
          </w:p>
        </w:tc>
      </w:tr>
    </w:tbl>
    <w:p w14:paraId="2BF1E161" w14:textId="77777777" w:rsidR="00B06AE8" w:rsidRDefault="00111CC0" w:rsidP="001C5135">
      <w:pPr>
        <w:spacing w:line="240" w:lineRule="auto"/>
        <w:rPr>
          <w:sz w:val="18"/>
          <w:szCs w:val="18"/>
        </w:rPr>
      </w:pPr>
      <w:r w:rsidRPr="00111CC0">
        <w:rPr>
          <w:sz w:val="18"/>
          <w:szCs w:val="18"/>
        </w:rPr>
        <w:t xml:space="preserve">*Do kategórie programov Európskej územnej spolupráce, </w:t>
      </w:r>
      <w:proofErr w:type="spellStart"/>
      <w:r w:rsidRPr="00111CC0">
        <w:rPr>
          <w:sz w:val="18"/>
          <w:szCs w:val="18"/>
        </w:rPr>
        <w:t>t.j</w:t>
      </w:r>
      <w:proofErr w:type="spellEnd"/>
      <w:r w:rsidRPr="00111CC0">
        <w:rPr>
          <w:sz w:val="18"/>
          <w:szCs w:val="18"/>
        </w:rPr>
        <w:t xml:space="preserve">. EÚS (CO MF SR) sú zaradené programy </w:t>
      </w:r>
      <w:proofErr w:type="spellStart"/>
      <w:r w:rsidRPr="00111CC0">
        <w:rPr>
          <w:sz w:val="18"/>
          <w:szCs w:val="18"/>
        </w:rPr>
        <w:t>Interreg</w:t>
      </w:r>
      <w:proofErr w:type="spellEnd"/>
      <w:r w:rsidRPr="00111CC0">
        <w:rPr>
          <w:sz w:val="18"/>
          <w:szCs w:val="18"/>
        </w:rPr>
        <w:t xml:space="preserve"> V-A SK-AT 2014-2020 a </w:t>
      </w:r>
      <w:proofErr w:type="spellStart"/>
      <w:r w:rsidRPr="00111CC0">
        <w:rPr>
          <w:sz w:val="18"/>
          <w:szCs w:val="18"/>
        </w:rPr>
        <w:t>Interreg</w:t>
      </w:r>
      <w:proofErr w:type="spellEnd"/>
      <w:r w:rsidRPr="00111CC0">
        <w:rPr>
          <w:sz w:val="18"/>
          <w:szCs w:val="18"/>
        </w:rPr>
        <w:t xml:space="preserve"> V-A SK-CZ 2014-2020.</w:t>
      </w:r>
    </w:p>
    <w:p w14:paraId="00DFFD2A" w14:textId="77777777" w:rsidR="00B06AE8" w:rsidRPr="00B06AE8" w:rsidRDefault="00B06AE8" w:rsidP="00B06AE8">
      <w:pPr>
        <w:spacing w:line="240" w:lineRule="auto"/>
        <w:rPr>
          <w:sz w:val="18"/>
          <w:szCs w:val="18"/>
        </w:rPr>
      </w:pPr>
      <w:r w:rsidRPr="00B06AE8">
        <w:rPr>
          <w:sz w:val="18"/>
          <w:szCs w:val="18"/>
        </w:rPr>
        <w:t>** programy cieľa Európska územná spolupráca, pre ktoré je MF SR platobným orgánom (</w:t>
      </w:r>
      <w:proofErr w:type="spellStart"/>
      <w:r w:rsidRPr="00B06AE8">
        <w:rPr>
          <w:sz w:val="18"/>
          <w:szCs w:val="18"/>
        </w:rPr>
        <w:t>Interreg</w:t>
      </w:r>
      <w:proofErr w:type="spellEnd"/>
      <w:r w:rsidRPr="00B06AE8">
        <w:rPr>
          <w:sz w:val="18"/>
          <w:szCs w:val="18"/>
        </w:rPr>
        <w:t xml:space="preserve"> VI-A SK-AT 2021-2027, </w:t>
      </w:r>
      <w:proofErr w:type="spellStart"/>
      <w:r w:rsidRPr="00B06AE8">
        <w:rPr>
          <w:sz w:val="18"/>
          <w:szCs w:val="18"/>
        </w:rPr>
        <w:t>Interreg</w:t>
      </w:r>
      <w:proofErr w:type="spellEnd"/>
      <w:r w:rsidRPr="00B06AE8">
        <w:rPr>
          <w:sz w:val="18"/>
          <w:szCs w:val="18"/>
        </w:rPr>
        <w:t xml:space="preserve"> VI-A SK-CZ 2021-2027)</w:t>
      </w:r>
    </w:p>
    <w:p w14:paraId="0A51EAE4" w14:textId="29C3131E" w:rsidR="007D12A6" w:rsidRDefault="00813772" w:rsidP="00B06AE8">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D12A6">
        <w:rPr>
          <w:sz w:val="18"/>
          <w:szCs w:val="18"/>
        </w:rPr>
        <w:tab/>
      </w:r>
      <w:r w:rsidR="007D12A6">
        <w:rPr>
          <w:sz w:val="18"/>
          <w:szCs w:val="18"/>
        </w:rPr>
        <w:tab/>
      </w:r>
      <w:r w:rsidR="007D12A6" w:rsidRPr="00111CC0">
        <w:rPr>
          <w:sz w:val="18"/>
          <w:szCs w:val="18"/>
        </w:rPr>
        <w:t>Zdroj: MF SR</w:t>
      </w:r>
    </w:p>
    <w:p w14:paraId="3BC1340D" w14:textId="77777777" w:rsidR="004A4621" w:rsidRPr="00111CC0" w:rsidRDefault="004A4621" w:rsidP="00B06AE8">
      <w:pPr>
        <w:spacing w:after="0" w:line="240" w:lineRule="auto"/>
        <w:rPr>
          <w:sz w:val="16"/>
          <w:szCs w:val="16"/>
        </w:rPr>
      </w:pPr>
    </w:p>
    <w:p w14:paraId="022C9398" w14:textId="3E0B7E78" w:rsidR="008254BE" w:rsidRPr="007D5989" w:rsidRDefault="008254BE" w:rsidP="00642B82">
      <w:pPr>
        <w:pStyle w:val="Nadpis3"/>
      </w:pPr>
      <w:bookmarkStart w:id="61" w:name="_Toc6415654"/>
      <w:bookmarkStart w:id="62" w:name="_Toc132929100"/>
      <w:r w:rsidRPr="007D5989">
        <w:t xml:space="preserve">Výdavky štátneho rozpočtu </w:t>
      </w:r>
      <w:r w:rsidRPr="00642B82">
        <w:t>rozpočtované</w:t>
      </w:r>
      <w:r w:rsidRPr="007D5989">
        <w:t xml:space="preserve"> vo väzbe na príjmy z </w:t>
      </w:r>
      <w:bookmarkEnd w:id="61"/>
      <w:r w:rsidR="00E936AB">
        <w:t>EÚ</w:t>
      </w:r>
      <w:bookmarkEnd w:id="62"/>
    </w:p>
    <w:p w14:paraId="030CF45E" w14:textId="41EE9D2C" w:rsidR="00813772" w:rsidRPr="00813772" w:rsidRDefault="00813772" w:rsidP="00813772">
      <w:pPr>
        <w:spacing w:line="240" w:lineRule="auto"/>
        <w:rPr>
          <w:sz w:val="24"/>
          <w:szCs w:val="24"/>
        </w:rPr>
      </w:pPr>
      <w:r w:rsidRPr="00813772">
        <w:rPr>
          <w:sz w:val="24"/>
          <w:szCs w:val="24"/>
        </w:rPr>
        <w:t>Vo väzbe na príjmy z</w:t>
      </w:r>
      <w:r w:rsidR="001103E0">
        <w:rPr>
          <w:sz w:val="24"/>
          <w:szCs w:val="24"/>
        </w:rPr>
        <w:t xml:space="preserve"> prostriedkov </w:t>
      </w:r>
      <w:r w:rsidRPr="00813772">
        <w:rPr>
          <w:sz w:val="24"/>
          <w:szCs w:val="24"/>
        </w:rPr>
        <w:t>Európskej únie sa v štátnom rozpočte rozpo</w:t>
      </w:r>
      <w:r w:rsidR="001103E0">
        <w:rPr>
          <w:sz w:val="24"/>
          <w:szCs w:val="24"/>
        </w:rPr>
        <w:t>čtujú výdavky za prostriedky EÚ a</w:t>
      </w:r>
      <w:r w:rsidRPr="00813772">
        <w:rPr>
          <w:sz w:val="24"/>
          <w:szCs w:val="24"/>
        </w:rPr>
        <w:t xml:space="preserve"> k nim zodpovedajúce výdavky na spolufinancovanie zo štátneho rozpočtu. </w:t>
      </w:r>
    </w:p>
    <w:p w14:paraId="2307774B" w14:textId="77777777" w:rsidR="00813772" w:rsidRPr="00813772" w:rsidRDefault="00813772" w:rsidP="00813772">
      <w:pPr>
        <w:spacing w:line="240" w:lineRule="auto"/>
        <w:rPr>
          <w:b/>
          <w:sz w:val="24"/>
          <w:szCs w:val="24"/>
        </w:rPr>
      </w:pPr>
      <w:r w:rsidRPr="00813772">
        <w:rPr>
          <w:b/>
          <w:sz w:val="24"/>
          <w:szCs w:val="24"/>
        </w:rPr>
        <w:t xml:space="preserve">Výdavky za prostriedky EÚ </w:t>
      </w:r>
    </w:p>
    <w:p w14:paraId="0D5097A1" w14:textId="1584A640" w:rsidR="001103E0" w:rsidRPr="001103E0" w:rsidRDefault="001103E0" w:rsidP="001103E0">
      <w:pPr>
        <w:spacing w:line="240" w:lineRule="auto"/>
        <w:rPr>
          <w:sz w:val="24"/>
          <w:szCs w:val="24"/>
        </w:rPr>
      </w:pPr>
      <w:r w:rsidRPr="001103E0">
        <w:rPr>
          <w:sz w:val="24"/>
          <w:szCs w:val="24"/>
        </w:rPr>
        <w:t>Výdavky za prostriedky EÚ boli na rok 2022 rozpočtované vo výške 3 148 001 tis. eur, teda v rovnakej výške ako príjmy z rozpočtu EÚ. Skutočné plneni</w:t>
      </w:r>
      <w:r>
        <w:rPr>
          <w:sz w:val="24"/>
          <w:szCs w:val="24"/>
        </w:rPr>
        <w:t>e výdavkov EÚ je vo výške 2 203 </w:t>
      </w:r>
      <w:r w:rsidRPr="001103E0">
        <w:rPr>
          <w:sz w:val="24"/>
          <w:szCs w:val="24"/>
        </w:rPr>
        <w:t>315 tis.</w:t>
      </w:r>
      <w:r>
        <w:rPr>
          <w:sz w:val="24"/>
          <w:szCs w:val="24"/>
        </w:rPr>
        <w:t> </w:t>
      </w:r>
      <w:r w:rsidRPr="001103E0">
        <w:rPr>
          <w:sz w:val="24"/>
          <w:szCs w:val="24"/>
        </w:rPr>
        <w:t>eur.</w:t>
      </w:r>
    </w:p>
    <w:p w14:paraId="67D5B99A" w14:textId="382F8644" w:rsidR="001103E0" w:rsidRPr="001103E0" w:rsidRDefault="001103E0" w:rsidP="001103E0">
      <w:pPr>
        <w:spacing w:line="240" w:lineRule="auto"/>
        <w:rPr>
          <w:sz w:val="24"/>
          <w:szCs w:val="24"/>
        </w:rPr>
      </w:pPr>
      <w:r w:rsidRPr="001103E0">
        <w:rPr>
          <w:sz w:val="24"/>
          <w:szCs w:val="24"/>
        </w:rPr>
        <w:t xml:space="preserve">Na rozdiel od schváleného rozpočtu výdavkov za prostriedky EÚ, ktoré boli zákonom o štátnom rozpočte na rok 2022 vyčlenené pre kapitoly, v ktorých sa nachádzajú platobné jednotky resp. </w:t>
      </w:r>
      <w:r w:rsidRPr="001103E0">
        <w:rPr>
          <w:sz w:val="24"/>
          <w:szCs w:val="24"/>
        </w:rPr>
        <w:lastRenderedPageBreak/>
        <w:t xml:space="preserve">ktoré sú riadiacim orgánom/sprostredkovateľským orgánom s platobnou funkciou, Pôdohospodárska platobná agentúra, MPSVR SR za Fond pre najodkázanejšie osoby a MV SR za Fondy pre oblasť vnútorných záležitostí, skutočné čerpanie výdavkov sa prejavuje tiež v rozpočtových kapitolách, v ktorých sa realizujú projekty na úrovni konečných prijímateľov. Na základe uvedeného sa v niektorých kapitolách prejavuje negatívne saldo príjmov a výdavkov za prostriedky EÚ. </w:t>
      </w:r>
    </w:p>
    <w:p w14:paraId="0D3E390B" w14:textId="3B9A5DD1" w:rsidR="001103E0" w:rsidRPr="001103E0" w:rsidRDefault="00FA4D00" w:rsidP="001103E0">
      <w:pPr>
        <w:spacing w:line="240" w:lineRule="auto"/>
        <w:rPr>
          <w:sz w:val="24"/>
          <w:szCs w:val="24"/>
        </w:rPr>
      </w:pPr>
      <w:r>
        <w:rPr>
          <w:sz w:val="24"/>
          <w:szCs w:val="24"/>
        </w:rPr>
        <w:t>Obdobne ako rozpočet príjmov, tak aj r</w:t>
      </w:r>
      <w:r w:rsidR="001103E0" w:rsidRPr="001103E0">
        <w:rPr>
          <w:sz w:val="24"/>
          <w:szCs w:val="24"/>
        </w:rPr>
        <w:t xml:space="preserve">ozpočet výdavkov za prostriedky EÚ bol v roku 2022 upravený v nadväznosti na vysporiadanie finančných prostriedkov za finančné opravy v zmysle § 15 </w:t>
      </w:r>
      <w:r w:rsidR="003E57B9" w:rsidRPr="00F42FB3">
        <w:rPr>
          <w:rFonts w:cs="Times New Roman"/>
          <w:color w:val="000000" w:themeColor="text1"/>
          <w:sz w:val="24"/>
          <w:szCs w:val="24"/>
        </w:rPr>
        <w:t xml:space="preserve">zákona </w:t>
      </w:r>
      <w:r w:rsidR="003E57B9">
        <w:rPr>
          <w:rFonts w:cs="Times New Roman"/>
          <w:color w:val="000000" w:themeColor="text1"/>
          <w:sz w:val="24"/>
          <w:szCs w:val="24"/>
        </w:rPr>
        <w:t>o rozpočtových pravidlách</w:t>
      </w:r>
      <w:r w:rsidR="001103E0" w:rsidRPr="001103E0">
        <w:rPr>
          <w:sz w:val="24"/>
          <w:szCs w:val="24"/>
        </w:rPr>
        <w:t xml:space="preserve">, v nadväznosti na prijaté oznámenia o výške prostriedkov, ktoré budú použité v nasledujúcich rokoch v zmysle § 8 </w:t>
      </w:r>
      <w:r w:rsidR="003E57B9" w:rsidRPr="00F42FB3">
        <w:rPr>
          <w:rFonts w:cs="Times New Roman"/>
          <w:color w:val="000000" w:themeColor="text1"/>
          <w:sz w:val="24"/>
          <w:szCs w:val="24"/>
        </w:rPr>
        <w:t xml:space="preserve">zákona </w:t>
      </w:r>
      <w:r w:rsidR="003E57B9">
        <w:rPr>
          <w:rFonts w:cs="Times New Roman"/>
          <w:color w:val="000000" w:themeColor="text1"/>
          <w:sz w:val="24"/>
          <w:szCs w:val="24"/>
        </w:rPr>
        <w:t>o rozpočtových pravidlách</w:t>
      </w:r>
      <w:r w:rsidR="001103E0" w:rsidRPr="001103E0">
        <w:rPr>
          <w:sz w:val="24"/>
          <w:szCs w:val="24"/>
        </w:rPr>
        <w:t xml:space="preserve"> a v nadväznosti na ostatné viazania prostriedkov v zmysle § 18 </w:t>
      </w:r>
      <w:r w:rsidR="003E57B9" w:rsidRPr="00F42FB3">
        <w:rPr>
          <w:rFonts w:cs="Times New Roman"/>
          <w:color w:val="000000" w:themeColor="text1"/>
          <w:sz w:val="24"/>
          <w:szCs w:val="24"/>
        </w:rPr>
        <w:t xml:space="preserve">zákona </w:t>
      </w:r>
      <w:r w:rsidR="003E57B9">
        <w:rPr>
          <w:rFonts w:cs="Times New Roman"/>
          <w:color w:val="000000" w:themeColor="text1"/>
          <w:sz w:val="24"/>
          <w:szCs w:val="24"/>
        </w:rPr>
        <w:t>o rozpočtových pravidlách</w:t>
      </w:r>
      <w:r w:rsidR="001103E0" w:rsidRPr="001103E0">
        <w:rPr>
          <w:sz w:val="24"/>
          <w:szCs w:val="24"/>
        </w:rPr>
        <w:t xml:space="preserve">. </w:t>
      </w:r>
    </w:p>
    <w:p w14:paraId="271F0449" w14:textId="3CF2364C" w:rsidR="001103E0" w:rsidRPr="001103E0" w:rsidRDefault="001103E0" w:rsidP="001103E0">
      <w:pPr>
        <w:spacing w:line="240" w:lineRule="auto"/>
        <w:rPr>
          <w:sz w:val="24"/>
          <w:szCs w:val="24"/>
        </w:rPr>
      </w:pPr>
      <w:r w:rsidRPr="001103E0">
        <w:rPr>
          <w:sz w:val="24"/>
          <w:szCs w:val="24"/>
        </w:rPr>
        <w:t>Po úpravách dosiahol rozpočet</w:t>
      </w:r>
      <w:r w:rsidR="00FA4D00">
        <w:rPr>
          <w:sz w:val="24"/>
          <w:szCs w:val="24"/>
        </w:rPr>
        <w:t xml:space="preserve"> výdavkov</w:t>
      </w:r>
      <w:r w:rsidRPr="001103E0">
        <w:rPr>
          <w:sz w:val="24"/>
          <w:szCs w:val="24"/>
        </w:rPr>
        <w:t xml:space="preserve"> úroveň 2 203 329 tis. eur, pričom celkové čerpanie výdavkov za prostriedky EÚ v roku 2022 je </w:t>
      </w:r>
      <w:r w:rsidR="00FA4D00">
        <w:rPr>
          <w:sz w:val="24"/>
          <w:szCs w:val="24"/>
        </w:rPr>
        <w:t>nepatrne</w:t>
      </w:r>
      <w:r w:rsidR="00FA4D00" w:rsidRPr="001103E0">
        <w:rPr>
          <w:sz w:val="24"/>
          <w:szCs w:val="24"/>
        </w:rPr>
        <w:t xml:space="preserve"> </w:t>
      </w:r>
      <w:r w:rsidRPr="001103E0">
        <w:rPr>
          <w:sz w:val="24"/>
          <w:szCs w:val="24"/>
        </w:rPr>
        <w:t xml:space="preserve">nižšie a to vo výške 2 203 315 tis. eur.. Nižšie čerpanie oproti upravenému rozpočtu sa prejavilo v kapitole ÚV SR, MO SR, MPSVR SR a MD SR vzhľadom k tomu, že kapitola nevyužila možnosť presunu prostriedkov v zmysle § 8 </w:t>
      </w:r>
      <w:r w:rsidR="003E57B9" w:rsidRPr="00F42FB3">
        <w:rPr>
          <w:rFonts w:cs="Times New Roman"/>
          <w:color w:val="000000" w:themeColor="text1"/>
          <w:sz w:val="24"/>
          <w:szCs w:val="24"/>
        </w:rPr>
        <w:t xml:space="preserve">zákona </w:t>
      </w:r>
      <w:r w:rsidR="003E57B9">
        <w:rPr>
          <w:rFonts w:cs="Times New Roman"/>
          <w:color w:val="000000" w:themeColor="text1"/>
          <w:sz w:val="24"/>
          <w:szCs w:val="24"/>
        </w:rPr>
        <w:t>o rozpočtových pravidlách</w:t>
      </w:r>
      <w:r w:rsidRPr="001103E0">
        <w:rPr>
          <w:sz w:val="24"/>
          <w:szCs w:val="24"/>
        </w:rPr>
        <w:t>.</w:t>
      </w:r>
    </w:p>
    <w:p w14:paraId="6BF41B37" w14:textId="146CDB79" w:rsidR="001103E0" w:rsidRPr="001103E0" w:rsidRDefault="001103E0" w:rsidP="001103E0">
      <w:pPr>
        <w:spacing w:line="240" w:lineRule="auto"/>
        <w:rPr>
          <w:sz w:val="24"/>
          <w:szCs w:val="24"/>
        </w:rPr>
      </w:pPr>
      <w:r w:rsidRPr="001103E0">
        <w:rPr>
          <w:sz w:val="24"/>
          <w:szCs w:val="24"/>
        </w:rPr>
        <w:t>Skutočné plnenie výdavkov za prostriedky EÚ vo výške 2 203 315 tis. eur predstavuje plnenie takmer na úrovni 100 % z upraveného rozpočtu. Výdavky za štrukturálne operácie, pri ktorých plní úlohu certifikačného orgánu, resp. platobného orgánu MF SR,</w:t>
      </w:r>
      <w:r>
        <w:rPr>
          <w:sz w:val="24"/>
          <w:szCs w:val="24"/>
        </w:rPr>
        <w:t xml:space="preserve"> sú vo výške 1 772 </w:t>
      </w:r>
      <w:r w:rsidRPr="001103E0">
        <w:rPr>
          <w:sz w:val="24"/>
          <w:szCs w:val="24"/>
        </w:rPr>
        <w:t>572</w:t>
      </w:r>
      <w:r>
        <w:rPr>
          <w:sz w:val="24"/>
          <w:szCs w:val="24"/>
        </w:rPr>
        <w:t xml:space="preserve"> tis. </w:t>
      </w:r>
      <w:r w:rsidRPr="001103E0">
        <w:rPr>
          <w:sz w:val="24"/>
          <w:szCs w:val="24"/>
        </w:rPr>
        <w:t xml:space="preserve">eur (z toho štrukturálne fondy 3. programového obdobia v sume 1 418 472 tis. eur a Kohézny fond 3. programového obdobia v sume 327 292 tis. eur). Výdavky za štrukturálne operácie, pri ktorých plní úlohu certifikačného orgánu MPSVR SR, sú v sume 1 188 tis. eur. Výdavky za štrukturálne operácie, pri ktorých plní úlohu certifikačného orgánu MV SR, sú v sume 0 tis. eur. Výdavky </w:t>
      </w:r>
      <w:r>
        <w:rPr>
          <w:sz w:val="24"/>
          <w:szCs w:val="24"/>
        </w:rPr>
        <w:t>za </w:t>
      </w:r>
      <w:r w:rsidRPr="001103E0">
        <w:rPr>
          <w:sz w:val="24"/>
          <w:szCs w:val="24"/>
        </w:rPr>
        <w:t>poľnohospodárske fondy sú vo výške 429</w:t>
      </w:r>
      <w:r>
        <w:rPr>
          <w:sz w:val="24"/>
          <w:szCs w:val="24"/>
        </w:rPr>
        <w:t> </w:t>
      </w:r>
      <w:r w:rsidRPr="001103E0">
        <w:rPr>
          <w:sz w:val="24"/>
          <w:szCs w:val="24"/>
        </w:rPr>
        <w:t>555</w:t>
      </w:r>
      <w:r>
        <w:rPr>
          <w:sz w:val="24"/>
          <w:szCs w:val="24"/>
        </w:rPr>
        <w:t> </w:t>
      </w:r>
      <w:r w:rsidRPr="001103E0">
        <w:rPr>
          <w:sz w:val="24"/>
          <w:szCs w:val="24"/>
        </w:rPr>
        <w:t>tis. eur (z toho za Európsky poľnohospodársky fond rozvoja vidieka v sume 141</w:t>
      </w:r>
      <w:r>
        <w:rPr>
          <w:sz w:val="24"/>
          <w:szCs w:val="24"/>
        </w:rPr>
        <w:t> </w:t>
      </w:r>
      <w:r w:rsidRPr="001103E0">
        <w:rPr>
          <w:sz w:val="24"/>
          <w:szCs w:val="24"/>
        </w:rPr>
        <w:t>823</w:t>
      </w:r>
      <w:r>
        <w:rPr>
          <w:sz w:val="24"/>
          <w:szCs w:val="24"/>
        </w:rPr>
        <w:t> </w:t>
      </w:r>
      <w:r w:rsidRPr="001103E0">
        <w:rPr>
          <w:sz w:val="24"/>
          <w:szCs w:val="24"/>
        </w:rPr>
        <w:t>tis. eur a za Európsky poľnohospodársky záručný fond v sume 287 732 tis. eur).</w:t>
      </w:r>
    </w:p>
    <w:tbl>
      <w:tblPr>
        <w:tblW w:w="5077" w:type="pct"/>
        <w:tblCellMar>
          <w:left w:w="70" w:type="dxa"/>
          <w:right w:w="70" w:type="dxa"/>
        </w:tblCellMar>
        <w:tblLook w:val="04A0" w:firstRow="1" w:lastRow="0" w:firstColumn="1" w:lastColumn="0" w:noHBand="0" w:noVBand="1"/>
      </w:tblPr>
      <w:tblGrid>
        <w:gridCol w:w="3751"/>
        <w:gridCol w:w="940"/>
        <w:gridCol w:w="940"/>
        <w:gridCol w:w="940"/>
        <w:gridCol w:w="1055"/>
        <w:gridCol w:w="881"/>
        <w:gridCol w:w="172"/>
        <w:gridCol w:w="677"/>
      </w:tblGrid>
      <w:tr w:rsidR="00377642" w:rsidRPr="00C442E3" w14:paraId="4608967D" w14:textId="77777777" w:rsidTr="00B56A1D">
        <w:trPr>
          <w:trHeight w:val="330"/>
        </w:trPr>
        <w:tc>
          <w:tcPr>
            <w:tcW w:w="2005" w:type="pct"/>
            <w:tcBorders>
              <w:top w:val="nil"/>
              <w:left w:val="nil"/>
              <w:bottom w:val="single" w:sz="4" w:space="0" w:color="auto"/>
              <w:right w:val="nil"/>
            </w:tcBorders>
            <w:shd w:val="clear" w:color="auto" w:fill="auto"/>
            <w:noWrap/>
            <w:vAlign w:val="bottom"/>
            <w:hideMark/>
          </w:tcPr>
          <w:p w14:paraId="27CC660A" w14:textId="1E66D06E" w:rsidR="00B44DE2" w:rsidRPr="00C442E3" w:rsidRDefault="006616A2" w:rsidP="00000201">
            <w:pPr>
              <w:spacing w:after="0" w:line="240" w:lineRule="auto"/>
              <w:jc w:val="left"/>
              <w:rPr>
                <w:rFonts w:eastAsia="Times New Roman" w:cs="Times New Roman"/>
                <w:b/>
                <w:bCs/>
                <w:color w:val="5B9BD5" w:themeColor="accent1"/>
                <w:sz w:val="20"/>
                <w:szCs w:val="20"/>
                <w:lang w:eastAsia="sk-SK"/>
              </w:rPr>
            </w:pPr>
            <w:r w:rsidRPr="00745CCE">
              <w:rPr>
                <w:rFonts w:eastAsia="Times New Roman" w:cs="Times New Roman"/>
                <w:b/>
                <w:bCs/>
                <w:color w:val="5B9BD5" w:themeColor="accent1"/>
                <w:sz w:val="20"/>
                <w:szCs w:val="20"/>
                <w:lang w:eastAsia="sk-SK"/>
              </w:rPr>
              <w:t xml:space="preserve">Tabuľka </w:t>
            </w:r>
            <w:r w:rsidR="006C0380">
              <w:rPr>
                <w:rFonts w:eastAsia="Times New Roman" w:cs="Times New Roman"/>
                <w:b/>
                <w:bCs/>
                <w:color w:val="5B9BD5" w:themeColor="accent1"/>
                <w:sz w:val="20"/>
                <w:szCs w:val="20"/>
                <w:lang w:eastAsia="sk-SK"/>
              </w:rPr>
              <w:t>6</w:t>
            </w:r>
            <w:r w:rsidR="00000201">
              <w:rPr>
                <w:rFonts w:eastAsia="Times New Roman" w:cs="Times New Roman"/>
                <w:b/>
                <w:bCs/>
                <w:color w:val="5B9BD5" w:themeColor="accent1"/>
                <w:sz w:val="20"/>
                <w:szCs w:val="20"/>
                <w:lang w:eastAsia="sk-SK"/>
              </w:rPr>
              <w:t>4</w:t>
            </w:r>
            <w:r>
              <w:rPr>
                <w:rFonts w:eastAsia="Times New Roman" w:cs="Times New Roman"/>
                <w:b/>
                <w:bCs/>
                <w:color w:val="5B9BD5" w:themeColor="accent1"/>
                <w:sz w:val="20"/>
                <w:szCs w:val="20"/>
                <w:lang w:eastAsia="sk-SK"/>
              </w:rPr>
              <w:t xml:space="preserve"> - </w:t>
            </w:r>
            <w:r w:rsidR="00B44DE2" w:rsidRPr="00C442E3">
              <w:rPr>
                <w:rFonts w:eastAsia="Times New Roman" w:cs="Times New Roman"/>
                <w:b/>
                <w:bCs/>
                <w:color w:val="5B9BD5" w:themeColor="accent1"/>
                <w:sz w:val="20"/>
                <w:szCs w:val="20"/>
                <w:lang w:eastAsia="sk-SK"/>
              </w:rPr>
              <w:t xml:space="preserve">Výdavky za prostriedky EÚ </w:t>
            </w:r>
          </w:p>
        </w:tc>
        <w:tc>
          <w:tcPr>
            <w:tcW w:w="502" w:type="pct"/>
            <w:tcBorders>
              <w:top w:val="nil"/>
              <w:left w:val="nil"/>
              <w:bottom w:val="single" w:sz="4" w:space="0" w:color="auto"/>
              <w:right w:val="nil"/>
            </w:tcBorders>
            <w:shd w:val="clear" w:color="auto" w:fill="auto"/>
            <w:noWrap/>
            <w:vAlign w:val="bottom"/>
            <w:hideMark/>
          </w:tcPr>
          <w:p w14:paraId="6773599C" w14:textId="77777777" w:rsidR="00B44DE2" w:rsidRPr="006616A2" w:rsidRDefault="00B44DE2" w:rsidP="00B44DE2">
            <w:pPr>
              <w:spacing w:after="0" w:line="240" w:lineRule="auto"/>
              <w:jc w:val="left"/>
              <w:rPr>
                <w:rFonts w:eastAsia="Times New Roman" w:cs="Times New Roman"/>
                <w:b/>
                <w:bCs/>
                <w:color w:val="5B9BD5" w:themeColor="accent1"/>
                <w:sz w:val="20"/>
                <w:szCs w:val="20"/>
                <w:lang w:eastAsia="sk-SK"/>
              </w:rPr>
            </w:pPr>
            <w:r w:rsidRPr="006616A2">
              <w:rPr>
                <w:rFonts w:eastAsia="Times New Roman" w:cs="Times New Roman"/>
                <w:b/>
                <w:bCs/>
                <w:color w:val="5B9BD5" w:themeColor="accent1"/>
                <w:sz w:val="20"/>
                <w:szCs w:val="20"/>
                <w:lang w:eastAsia="sk-SK"/>
              </w:rPr>
              <w:t> </w:t>
            </w:r>
          </w:p>
        </w:tc>
        <w:tc>
          <w:tcPr>
            <w:tcW w:w="502" w:type="pct"/>
            <w:tcBorders>
              <w:top w:val="nil"/>
              <w:left w:val="nil"/>
              <w:bottom w:val="single" w:sz="4" w:space="0" w:color="auto"/>
              <w:right w:val="nil"/>
            </w:tcBorders>
            <w:shd w:val="clear" w:color="auto" w:fill="auto"/>
            <w:noWrap/>
            <w:vAlign w:val="bottom"/>
            <w:hideMark/>
          </w:tcPr>
          <w:p w14:paraId="4F41968E" w14:textId="77777777" w:rsidR="00B44DE2" w:rsidRPr="00C442E3" w:rsidRDefault="00B44DE2" w:rsidP="00B44DE2">
            <w:pPr>
              <w:spacing w:after="0" w:line="240" w:lineRule="auto"/>
              <w:jc w:val="left"/>
              <w:rPr>
                <w:rFonts w:ascii="Arial Narrow" w:eastAsia="Times New Roman" w:hAnsi="Arial Narrow" w:cs="Times New Roman"/>
                <w:color w:val="5B9BD5" w:themeColor="accent1"/>
                <w:sz w:val="20"/>
                <w:szCs w:val="20"/>
                <w:lang w:eastAsia="sk-SK"/>
              </w:rPr>
            </w:pPr>
            <w:r w:rsidRPr="00C442E3">
              <w:rPr>
                <w:rFonts w:ascii="Arial Narrow" w:eastAsia="Times New Roman" w:hAnsi="Arial Narrow" w:cs="Times New Roman"/>
                <w:color w:val="5B9BD5" w:themeColor="accent1"/>
                <w:sz w:val="20"/>
                <w:szCs w:val="20"/>
                <w:lang w:eastAsia="sk-SK"/>
              </w:rPr>
              <w:t> </w:t>
            </w:r>
          </w:p>
        </w:tc>
        <w:tc>
          <w:tcPr>
            <w:tcW w:w="502" w:type="pct"/>
            <w:tcBorders>
              <w:top w:val="nil"/>
              <w:left w:val="nil"/>
              <w:bottom w:val="single" w:sz="4" w:space="0" w:color="auto"/>
              <w:right w:val="nil"/>
            </w:tcBorders>
            <w:shd w:val="clear" w:color="auto" w:fill="auto"/>
            <w:noWrap/>
            <w:vAlign w:val="bottom"/>
            <w:hideMark/>
          </w:tcPr>
          <w:p w14:paraId="22399A1B" w14:textId="77777777" w:rsidR="00B44DE2" w:rsidRPr="00C442E3" w:rsidRDefault="00B44DE2" w:rsidP="00B44DE2">
            <w:pPr>
              <w:spacing w:after="0" w:line="240" w:lineRule="auto"/>
              <w:jc w:val="left"/>
              <w:rPr>
                <w:rFonts w:ascii="Arial Narrow" w:eastAsia="Times New Roman" w:hAnsi="Arial Narrow" w:cs="Times New Roman"/>
                <w:color w:val="5B9BD5" w:themeColor="accent1"/>
                <w:sz w:val="20"/>
                <w:szCs w:val="20"/>
                <w:lang w:eastAsia="sk-SK"/>
              </w:rPr>
            </w:pPr>
            <w:r w:rsidRPr="00C442E3">
              <w:rPr>
                <w:rFonts w:ascii="Arial Narrow" w:eastAsia="Times New Roman" w:hAnsi="Arial Narrow" w:cs="Times New Roman"/>
                <w:color w:val="5B9BD5" w:themeColor="accent1"/>
                <w:sz w:val="20"/>
                <w:szCs w:val="20"/>
                <w:lang w:eastAsia="sk-SK"/>
              </w:rPr>
              <w:t> </w:t>
            </w:r>
          </w:p>
        </w:tc>
        <w:tc>
          <w:tcPr>
            <w:tcW w:w="564" w:type="pct"/>
            <w:tcBorders>
              <w:top w:val="nil"/>
              <w:left w:val="nil"/>
              <w:bottom w:val="single" w:sz="4" w:space="0" w:color="auto"/>
              <w:right w:val="nil"/>
            </w:tcBorders>
            <w:shd w:val="clear" w:color="auto" w:fill="auto"/>
            <w:noWrap/>
            <w:vAlign w:val="bottom"/>
            <w:hideMark/>
          </w:tcPr>
          <w:p w14:paraId="16D9D374" w14:textId="77777777" w:rsidR="00B44DE2" w:rsidRPr="00C442E3" w:rsidRDefault="00B44DE2" w:rsidP="00B44DE2">
            <w:pPr>
              <w:spacing w:after="0" w:line="240" w:lineRule="auto"/>
              <w:jc w:val="left"/>
              <w:rPr>
                <w:rFonts w:ascii="Arial Narrow" w:eastAsia="Times New Roman" w:hAnsi="Arial Narrow" w:cs="Times New Roman"/>
                <w:color w:val="5B9BD5" w:themeColor="accent1"/>
                <w:sz w:val="20"/>
                <w:szCs w:val="20"/>
                <w:lang w:eastAsia="sk-SK"/>
              </w:rPr>
            </w:pPr>
            <w:r w:rsidRPr="00C442E3">
              <w:rPr>
                <w:rFonts w:ascii="Arial Narrow" w:eastAsia="Times New Roman" w:hAnsi="Arial Narrow" w:cs="Times New Roman"/>
                <w:color w:val="5B9BD5" w:themeColor="accent1"/>
                <w:sz w:val="20"/>
                <w:szCs w:val="20"/>
                <w:lang w:eastAsia="sk-SK"/>
              </w:rPr>
              <w:t> </w:t>
            </w:r>
          </w:p>
        </w:tc>
        <w:tc>
          <w:tcPr>
            <w:tcW w:w="563" w:type="pct"/>
            <w:gridSpan w:val="2"/>
            <w:tcBorders>
              <w:top w:val="nil"/>
              <w:left w:val="nil"/>
              <w:bottom w:val="single" w:sz="4" w:space="0" w:color="auto"/>
              <w:right w:val="nil"/>
            </w:tcBorders>
            <w:shd w:val="clear" w:color="auto" w:fill="auto"/>
            <w:noWrap/>
            <w:vAlign w:val="bottom"/>
            <w:hideMark/>
          </w:tcPr>
          <w:p w14:paraId="3D91D438" w14:textId="77777777" w:rsidR="00B44DE2" w:rsidRPr="00C442E3" w:rsidRDefault="00B44DE2" w:rsidP="00B44DE2">
            <w:pPr>
              <w:spacing w:after="0" w:line="240" w:lineRule="auto"/>
              <w:jc w:val="left"/>
              <w:rPr>
                <w:rFonts w:ascii="Arial Narrow" w:eastAsia="Times New Roman" w:hAnsi="Arial Narrow" w:cs="Times New Roman"/>
                <w:color w:val="5B9BD5" w:themeColor="accent1"/>
                <w:sz w:val="20"/>
                <w:szCs w:val="20"/>
                <w:lang w:eastAsia="sk-SK"/>
              </w:rPr>
            </w:pPr>
            <w:r w:rsidRPr="00C442E3">
              <w:rPr>
                <w:rFonts w:ascii="Arial Narrow" w:eastAsia="Times New Roman" w:hAnsi="Arial Narrow" w:cs="Times New Roman"/>
                <w:color w:val="5B9BD5" w:themeColor="accent1"/>
                <w:sz w:val="20"/>
                <w:szCs w:val="20"/>
                <w:lang w:eastAsia="sk-SK"/>
              </w:rPr>
              <w:t> </w:t>
            </w:r>
          </w:p>
        </w:tc>
        <w:tc>
          <w:tcPr>
            <w:tcW w:w="362" w:type="pct"/>
            <w:tcBorders>
              <w:top w:val="nil"/>
              <w:left w:val="nil"/>
              <w:bottom w:val="single" w:sz="4" w:space="0" w:color="auto"/>
              <w:right w:val="nil"/>
            </w:tcBorders>
            <w:shd w:val="clear" w:color="auto" w:fill="auto"/>
            <w:noWrap/>
            <w:vAlign w:val="bottom"/>
          </w:tcPr>
          <w:p w14:paraId="1E874256" w14:textId="3D625764" w:rsidR="00B44DE2" w:rsidRPr="00C442E3" w:rsidRDefault="00B44DE2" w:rsidP="00B44DE2">
            <w:pPr>
              <w:spacing w:after="0" w:line="240" w:lineRule="auto"/>
              <w:jc w:val="left"/>
              <w:rPr>
                <w:rFonts w:eastAsia="Times New Roman" w:cs="Times New Roman"/>
                <w:b/>
                <w:bCs/>
                <w:color w:val="5B9BD5" w:themeColor="accent1"/>
                <w:sz w:val="20"/>
                <w:szCs w:val="20"/>
                <w:lang w:eastAsia="sk-SK"/>
              </w:rPr>
            </w:pPr>
          </w:p>
        </w:tc>
      </w:tr>
      <w:tr w:rsidR="001E2922" w:rsidRPr="001E2922" w14:paraId="7DD8C175" w14:textId="77777777" w:rsidTr="00B56A1D">
        <w:trPr>
          <w:trHeight w:val="330"/>
        </w:trPr>
        <w:tc>
          <w:tcPr>
            <w:tcW w:w="2005" w:type="pct"/>
            <w:tcBorders>
              <w:top w:val="single" w:sz="4" w:space="0" w:color="auto"/>
              <w:left w:val="nil"/>
              <w:bottom w:val="nil"/>
              <w:right w:val="nil"/>
            </w:tcBorders>
            <w:shd w:val="clear" w:color="auto" w:fill="auto"/>
            <w:vAlign w:val="bottom"/>
            <w:hideMark/>
          </w:tcPr>
          <w:p w14:paraId="2506B774" w14:textId="642EF506" w:rsidR="001E2922" w:rsidRPr="00B44DE2" w:rsidRDefault="001E2922" w:rsidP="00C442E3">
            <w:pPr>
              <w:spacing w:after="0" w:line="240" w:lineRule="auto"/>
              <w:jc w:val="left"/>
              <w:rPr>
                <w:rFonts w:eastAsia="Times New Roman" w:cs="Times New Roman"/>
                <w:b/>
                <w:bCs/>
                <w:sz w:val="20"/>
                <w:szCs w:val="20"/>
                <w:lang w:eastAsia="sk-SK"/>
              </w:rPr>
            </w:pPr>
            <w:r w:rsidRPr="00C442E3">
              <w:rPr>
                <w:rFonts w:eastAsia="Times New Roman" w:cs="Times New Roman"/>
                <w:b/>
                <w:bCs/>
                <w:sz w:val="20"/>
                <w:szCs w:val="20"/>
                <w:lang w:eastAsia="sk-SK"/>
              </w:rPr>
              <w:t>v tis. eur</w:t>
            </w:r>
          </w:p>
        </w:tc>
        <w:tc>
          <w:tcPr>
            <w:tcW w:w="502" w:type="pct"/>
            <w:tcBorders>
              <w:top w:val="single" w:sz="4" w:space="0" w:color="auto"/>
              <w:left w:val="nil"/>
              <w:bottom w:val="nil"/>
              <w:right w:val="nil"/>
            </w:tcBorders>
            <w:shd w:val="clear" w:color="auto" w:fill="auto"/>
            <w:vAlign w:val="center"/>
            <w:hideMark/>
          </w:tcPr>
          <w:p w14:paraId="0DB89078" w14:textId="5F1F0D4E" w:rsidR="001E2922" w:rsidRPr="001E2922" w:rsidRDefault="001E2922" w:rsidP="00AD5A41">
            <w:pPr>
              <w:spacing w:after="0" w:line="240" w:lineRule="auto"/>
              <w:jc w:val="center"/>
              <w:rPr>
                <w:rFonts w:eastAsia="Times New Roman" w:cs="Times New Roman"/>
                <w:b/>
                <w:bCs/>
                <w:sz w:val="20"/>
                <w:szCs w:val="20"/>
                <w:lang w:eastAsia="sk-SK"/>
              </w:rPr>
            </w:pPr>
            <w:r w:rsidRPr="001E2922">
              <w:rPr>
                <w:rFonts w:eastAsia="Times New Roman" w:cs="Times New Roman"/>
                <w:b/>
                <w:bCs/>
                <w:sz w:val="20"/>
                <w:szCs w:val="20"/>
                <w:lang w:eastAsia="sk-SK"/>
              </w:rPr>
              <w:t>20</w:t>
            </w:r>
            <w:r w:rsidR="00AD5A41">
              <w:rPr>
                <w:rFonts w:eastAsia="Times New Roman" w:cs="Times New Roman"/>
                <w:b/>
                <w:bCs/>
                <w:sz w:val="20"/>
                <w:szCs w:val="20"/>
                <w:lang w:eastAsia="sk-SK"/>
              </w:rPr>
              <w:t>20</w:t>
            </w:r>
            <w:r w:rsidRPr="001E2922">
              <w:rPr>
                <w:rFonts w:eastAsia="Times New Roman" w:cs="Times New Roman"/>
                <w:b/>
                <w:bCs/>
                <w:sz w:val="20"/>
                <w:szCs w:val="20"/>
                <w:lang w:eastAsia="sk-SK"/>
              </w:rPr>
              <w:t xml:space="preserve"> S</w:t>
            </w:r>
          </w:p>
        </w:tc>
        <w:tc>
          <w:tcPr>
            <w:tcW w:w="502" w:type="pct"/>
            <w:tcBorders>
              <w:top w:val="single" w:sz="4" w:space="0" w:color="auto"/>
              <w:left w:val="nil"/>
              <w:bottom w:val="nil"/>
              <w:right w:val="nil"/>
            </w:tcBorders>
            <w:shd w:val="clear" w:color="auto" w:fill="auto"/>
            <w:vAlign w:val="center"/>
            <w:hideMark/>
          </w:tcPr>
          <w:p w14:paraId="7C8B0F53" w14:textId="4A11C4F2" w:rsidR="001E2922" w:rsidRPr="001E2922" w:rsidRDefault="001E2922" w:rsidP="002633C2">
            <w:pPr>
              <w:spacing w:after="0" w:line="240" w:lineRule="auto"/>
              <w:jc w:val="center"/>
              <w:rPr>
                <w:rFonts w:eastAsia="Times New Roman" w:cs="Times New Roman"/>
                <w:b/>
                <w:bCs/>
                <w:sz w:val="20"/>
                <w:szCs w:val="20"/>
                <w:lang w:eastAsia="sk-SK"/>
              </w:rPr>
            </w:pPr>
            <w:r w:rsidRPr="001E2922">
              <w:rPr>
                <w:rFonts w:eastAsia="Times New Roman" w:cs="Times New Roman"/>
                <w:b/>
                <w:bCs/>
                <w:sz w:val="20"/>
                <w:szCs w:val="20"/>
                <w:lang w:eastAsia="sk-SK"/>
              </w:rPr>
              <w:t>2</w:t>
            </w:r>
            <w:r w:rsidR="00AD5A41">
              <w:rPr>
                <w:rFonts w:eastAsia="Times New Roman" w:cs="Times New Roman"/>
                <w:b/>
                <w:bCs/>
                <w:sz w:val="20"/>
                <w:szCs w:val="20"/>
                <w:lang w:eastAsia="sk-SK"/>
              </w:rPr>
              <w:t>021</w:t>
            </w:r>
            <w:r w:rsidRPr="001E2922">
              <w:rPr>
                <w:rFonts w:eastAsia="Times New Roman" w:cs="Times New Roman"/>
                <w:b/>
                <w:bCs/>
                <w:sz w:val="20"/>
                <w:szCs w:val="20"/>
                <w:lang w:eastAsia="sk-SK"/>
              </w:rPr>
              <w:t xml:space="preserve"> S</w:t>
            </w:r>
          </w:p>
        </w:tc>
        <w:tc>
          <w:tcPr>
            <w:tcW w:w="502" w:type="pct"/>
            <w:tcBorders>
              <w:top w:val="single" w:sz="4" w:space="0" w:color="auto"/>
              <w:left w:val="nil"/>
              <w:bottom w:val="nil"/>
              <w:right w:val="nil"/>
            </w:tcBorders>
            <w:shd w:val="clear" w:color="auto" w:fill="auto"/>
            <w:vAlign w:val="center"/>
            <w:hideMark/>
          </w:tcPr>
          <w:p w14:paraId="7DD7EB25" w14:textId="19737EE6" w:rsidR="001E2922" w:rsidRPr="001E2922" w:rsidRDefault="001E2922" w:rsidP="00AD5A41">
            <w:pPr>
              <w:spacing w:after="0" w:line="240" w:lineRule="auto"/>
              <w:jc w:val="center"/>
              <w:rPr>
                <w:rFonts w:eastAsia="Times New Roman" w:cs="Times New Roman"/>
                <w:b/>
                <w:bCs/>
                <w:sz w:val="20"/>
                <w:szCs w:val="20"/>
                <w:lang w:eastAsia="sk-SK"/>
              </w:rPr>
            </w:pPr>
            <w:r w:rsidRPr="001E2922">
              <w:rPr>
                <w:rFonts w:eastAsia="Times New Roman" w:cs="Times New Roman"/>
                <w:b/>
                <w:bCs/>
                <w:sz w:val="20"/>
                <w:szCs w:val="20"/>
                <w:lang w:eastAsia="sk-SK"/>
              </w:rPr>
              <w:t>202</w:t>
            </w:r>
            <w:r w:rsidR="00AD5A41">
              <w:rPr>
                <w:rFonts w:eastAsia="Times New Roman" w:cs="Times New Roman"/>
                <w:b/>
                <w:bCs/>
                <w:sz w:val="20"/>
                <w:szCs w:val="20"/>
                <w:lang w:eastAsia="sk-SK"/>
              </w:rPr>
              <w:t>2</w:t>
            </w:r>
            <w:r w:rsidRPr="001E2922">
              <w:rPr>
                <w:rFonts w:eastAsia="Times New Roman" w:cs="Times New Roman"/>
                <w:b/>
                <w:bCs/>
                <w:sz w:val="20"/>
                <w:szCs w:val="20"/>
                <w:lang w:eastAsia="sk-SK"/>
              </w:rPr>
              <w:t xml:space="preserve"> R</w:t>
            </w:r>
          </w:p>
        </w:tc>
        <w:tc>
          <w:tcPr>
            <w:tcW w:w="564" w:type="pct"/>
            <w:tcBorders>
              <w:top w:val="single" w:sz="4" w:space="0" w:color="auto"/>
              <w:left w:val="nil"/>
              <w:bottom w:val="nil"/>
              <w:right w:val="nil"/>
            </w:tcBorders>
            <w:shd w:val="clear" w:color="auto" w:fill="auto"/>
            <w:vAlign w:val="center"/>
            <w:hideMark/>
          </w:tcPr>
          <w:p w14:paraId="5F64DE5B" w14:textId="0DB6761F" w:rsidR="001E2922" w:rsidRPr="001E2922" w:rsidRDefault="001E2922" w:rsidP="00AD5A41">
            <w:pPr>
              <w:spacing w:after="0" w:line="240" w:lineRule="auto"/>
              <w:jc w:val="center"/>
              <w:rPr>
                <w:rFonts w:eastAsia="Times New Roman" w:cs="Times New Roman"/>
                <w:b/>
                <w:bCs/>
                <w:sz w:val="20"/>
                <w:szCs w:val="20"/>
                <w:lang w:eastAsia="sk-SK"/>
              </w:rPr>
            </w:pPr>
            <w:r w:rsidRPr="001E2922">
              <w:rPr>
                <w:rFonts w:eastAsia="Times New Roman" w:cs="Times New Roman"/>
                <w:b/>
                <w:bCs/>
                <w:sz w:val="20"/>
                <w:szCs w:val="20"/>
                <w:lang w:eastAsia="sk-SK"/>
              </w:rPr>
              <w:t>202</w:t>
            </w:r>
            <w:r w:rsidR="00AD5A41">
              <w:rPr>
                <w:rFonts w:eastAsia="Times New Roman" w:cs="Times New Roman"/>
                <w:b/>
                <w:bCs/>
                <w:sz w:val="20"/>
                <w:szCs w:val="20"/>
                <w:lang w:eastAsia="sk-SK"/>
              </w:rPr>
              <w:t>2</w:t>
            </w:r>
            <w:r w:rsidRPr="001E2922">
              <w:rPr>
                <w:rFonts w:eastAsia="Times New Roman" w:cs="Times New Roman"/>
                <w:b/>
                <w:bCs/>
                <w:sz w:val="20"/>
                <w:szCs w:val="20"/>
                <w:lang w:eastAsia="sk-SK"/>
              </w:rPr>
              <w:t xml:space="preserve"> S</w:t>
            </w:r>
          </w:p>
        </w:tc>
        <w:tc>
          <w:tcPr>
            <w:tcW w:w="471" w:type="pct"/>
            <w:tcBorders>
              <w:top w:val="single" w:sz="4" w:space="0" w:color="auto"/>
              <w:left w:val="nil"/>
              <w:bottom w:val="nil"/>
              <w:right w:val="nil"/>
            </w:tcBorders>
            <w:shd w:val="clear" w:color="auto" w:fill="auto"/>
            <w:vAlign w:val="center"/>
            <w:hideMark/>
          </w:tcPr>
          <w:p w14:paraId="3E85A164" w14:textId="2844C914" w:rsidR="001E2922" w:rsidRPr="001E2922" w:rsidRDefault="001E2922" w:rsidP="002633C2">
            <w:pPr>
              <w:spacing w:after="0" w:line="240" w:lineRule="auto"/>
              <w:jc w:val="center"/>
              <w:rPr>
                <w:rFonts w:eastAsia="Times New Roman" w:cs="Times New Roman"/>
                <w:b/>
                <w:bCs/>
                <w:sz w:val="20"/>
                <w:szCs w:val="20"/>
                <w:lang w:eastAsia="sk-SK"/>
              </w:rPr>
            </w:pPr>
            <w:r w:rsidRPr="001E2922">
              <w:rPr>
                <w:rFonts w:eastAsia="Times New Roman" w:cs="Times New Roman"/>
                <w:b/>
                <w:bCs/>
                <w:sz w:val="20"/>
                <w:szCs w:val="20"/>
                <w:lang w:eastAsia="sk-SK"/>
              </w:rPr>
              <w:t>Rozdiel</w:t>
            </w:r>
          </w:p>
        </w:tc>
        <w:tc>
          <w:tcPr>
            <w:tcW w:w="454" w:type="pct"/>
            <w:gridSpan w:val="2"/>
            <w:tcBorders>
              <w:top w:val="single" w:sz="4" w:space="0" w:color="auto"/>
              <w:left w:val="nil"/>
              <w:bottom w:val="nil"/>
              <w:right w:val="nil"/>
            </w:tcBorders>
            <w:shd w:val="clear" w:color="auto" w:fill="auto"/>
            <w:vAlign w:val="center"/>
          </w:tcPr>
          <w:p w14:paraId="624EA33A" w14:textId="2A8C1F90" w:rsidR="001E2922" w:rsidRPr="001E2922" w:rsidRDefault="001E2922" w:rsidP="002633C2">
            <w:pPr>
              <w:spacing w:after="0" w:line="240" w:lineRule="auto"/>
              <w:jc w:val="center"/>
              <w:rPr>
                <w:rFonts w:eastAsia="Times New Roman" w:cs="Times New Roman"/>
                <w:b/>
                <w:bCs/>
                <w:sz w:val="20"/>
                <w:szCs w:val="20"/>
                <w:lang w:eastAsia="sk-SK"/>
              </w:rPr>
            </w:pPr>
            <w:r w:rsidRPr="001E2922">
              <w:rPr>
                <w:rFonts w:eastAsia="Times New Roman" w:cs="Times New Roman"/>
                <w:b/>
                <w:bCs/>
                <w:sz w:val="20"/>
                <w:szCs w:val="20"/>
                <w:lang w:eastAsia="sk-SK"/>
              </w:rPr>
              <w:t>v %</w:t>
            </w:r>
          </w:p>
        </w:tc>
      </w:tr>
      <w:tr w:rsidR="00377642" w:rsidRPr="001E2922" w14:paraId="3C7999F8" w14:textId="77777777" w:rsidTr="00B56A1D">
        <w:trPr>
          <w:trHeight w:val="163"/>
        </w:trPr>
        <w:tc>
          <w:tcPr>
            <w:tcW w:w="2005" w:type="pct"/>
            <w:tcBorders>
              <w:top w:val="nil"/>
              <w:left w:val="nil"/>
              <w:bottom w:val="single" w:sz="8" w:space="0" w:color="auto"/>
              <w:right w:val="nil"/>
            </w:tcBorders>
            <w:shd w:val="clear" w:color="auto" w:fill="auto"/>
            <w:vAlign w:val="center"/>
            <w:hideMark/>
          </w:tcPr>
          <w:p w14:paraId="7F829A17" w14:textId="77777777" w:rsidR="00C442E3" w:rsidRPr="001E2922" w:rsidRDefault="00C442E3" w:rsidP="00C442E3">
            <w:pPr>
              <w:spacing w:after="0" w:line="240" w:lineRule="auto"/>
              <w:jc w:val="left"/>
              <w:rPr>
                <w:rFonts w:eastAsia="Times New Roman" w:cs="Times New Roman"/>
                <w:b/>
                <w:bCs/>
                <w:sz w:val="20"/>
                <w:szCs w:val="20"/>
                <w:lang w:eastAsia="sk-SK"/>
              </w:rPr>
            </w:pPr>
            <w:r w:rsidRPr="001E2922">
              <w:rPr>
                <w:rFonts w:eastAsia="Times New Roman" w:cs="Times New Roman"/>
                <w:b/>
                <w:bCs/>
                <w:sz w:val="20"/>
                <w:szCs w:val="20"/>
                <w:lang w:eastAsia="sk-SK"/>
              </w:rPr>
              <w:t> </w:t>
            </w:r>
          </w:p>
        </w:tc>
        <w:tc>
          <w:tcPr>
            <w:tcW w:w="502" w:type="pct"/>
            <w:tcBorders>
              <w:top w:val="nil"/>
              <w:left w:val="nil"/>
              <w:bottom w:val="single" w:sz="8" w:space="0" w:color="auto"/>
              <w:right w:val="nil"/>
            </w:tcBorders>
            <w:shd w:val="clear" w:color="auto" w:fill="auto"/>
            <w:vAlign w:val="center"/>
            <w:hideMark/>
          </w:tcPr>
          <w:p w14:paraId="505E5678" w14:textId="77777777" w:rsidR="00C442E3" w:rsidRPr="00B44DE2" w:rsidRDefault="00C442E3" w:rsidP="002633C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1</w:t>
            </w:r>
          </w:p>
        </w:tc>
        <w:tc>
          <w:tcPr>
            <w:tcW w:w="502" w:type="pct"/>
            <w:tcBorders>
              <w:top w:val="nil"/>
              <w:left w:val="nil"/>
              <w:bottom w:val="single" w:sz="8" w:space="0" w:color="auto"/>
              <w:right w:val="nil"/>
            </w:tcBorders>
            <w:shd w:val="clear" w:color="auto" w:fill="auto"/>
            <w:vAlign w:val="center"/>
            <w:hideMark/>
          </w:tcPr>
          <w:p w14:paraId="4E282C02" w14:textId="77777777" w:rsidR="00C442E3" w:rsidRPr="00B44DE2" w:rsidRDefault="00C442E3" w:rsidP="002633C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2</w:t>
            </w:r>
          </w:p>
        </w:tc>
        <w:tc>
          <w:tcPr>
            <w:tcW w:w="502" w:type="pct"/>
            <w:tcBorders>
              <w:top w:val="nil"/>
              <w:left w:val="nil"/>
              <w:bottom w:val="single" w:sz="8" w:space="0" w:color="auto"/>
              <w:right w:val="nil"/>
            </w:tcBorders>
            <w:shd w:val="clear" w:color="auto" w:fill="auto"/>
            <w:vAlign w:val="center"/>
            <w:hideMark/>
          </w:tcPr>
          <w:p w14:paraId="762D3093" w14:textId="77777777" w:rsidR="00C442E3" w:rsidRPr="00B44DE2" w:rsidRDefault="00C442E3" w:rsidP="002633C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3</w:t>
            </w:r>
          </w:p>
        </w:tc>
        <w:tc>
          <w:tcPr>
            <w:tcW w:w="564" w:type="pct"/>
            <w:tcBorders>
              <w:top w:val="nil"/>
              <w:left w:val="nil"/>
              <w:bottom w:val="single" w:sz="8" w:space="0" w:color="auto"/>
              <w:right w:val="nil"/>
            </w:tcBorders>
            <w:shd w:val="clear" w:color="auto" w:fill="auto"/>
            <w:vAlign w:val="center"/>
            <w:hideMark/>
          </w:tcPr>
          <w:p w14:paraId="3EAD6E2A" w14:textId="77777777" w:rsidR="00C442E3" w:rsidRPr="00B44DE2" w:rsidRDefault="00C442E3" w:rsidP="002633C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4</w:t>
            </w:r>
          </w:p>
        </w:tc>
        <w:tc>
          <w:tcPr>
            <w:tcW w:w="563" w:type="pct"/>
            <w:gridSpan w:val="2"/>
            <w:tcBorders>
              <w:top w:val="nil"/>
              <w:left w:val="nil"/>
              <w:bottom w:val="single" w:sz="8" w:space="0" w:color="auto"/>
              <w:right w:val="nil"/>
            </w:tcBorders>
            <w:shd w:val="clear" w:color="auto" w:fill="auto"/>
            <w:vAlign w:val="center"/>
            <w:hideMark/>
          </w:tcPr>
          <w:p w14:paraId="1E68175A" w14:textId="77777777" w:rsidR="00C442E3" w:rsidRPr="00B44DE2" w:rsidRDefault="00C442E3" w:rsidP="002633C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5=4-3</w:t>
            </w:r>
          </w:p>
        </w:tc>
        <w:tc>
          <w:tcPr>
            <w:tcW w:w="362" w:type="pct"/>
            <w:tcBorders>
              <w:top w:val="nil"/>
              <w:left w:val="nil"/>
              <w:bottom w:val="single" w:sz="8" w:space="0" w:color="auto"/>
              <w:right w:val="nil"/>
            </w:tcBorders>
            <w:shd w:val="clear" w:color="auto" w:fill="auto"/>
            <w:vAlign w:val="center"/>
            <w:hideMark/>
          </w:tcPr>
          <w:p w14:paraId="1A54A639" w14:textId="77777777" w:rsidR="00C442E3" w:rsidRPr="00B44DE2" w:rsidRDefault="00C442E3" w:rsidP="002633C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6=4-3</w:t>
            </w:r>
          </w:p>
        </w:tc>
      </w:tr>
      <w:tr w:rsidR="00AD5A41" w:rsidRPr="00AD5A41" w14:paraId="74DFC0C8" w14:textId="77777777" w:rsidTr="00B56A1D">
        <w:trPr>
          <w:trHeight w:val="330"/>
        </w:trPr>
        <w:tc>
          <w:tcPr>
            <w:tcW w:w="2005" w:type="pct"/>
            <w:tcBorders>
              <w:top w:val="nil"/>
              <w:left w:val="nil"/>
              <w:bottom w:val="nil"/>
              <w:right w:val="nil"/>
            </w:tcBorders>
            <w:shd w:val="clear" w:color="000000" w:fill="FFFFFF"/>
            <w:vAlign w:val="center"/>
            <w:hideMark/>
          </w:tcPr>
          <w:p w14:paraId="2014A0F4" w14:textId="77777777" w:rsidR="00AD5A41" w:rsidRPr="00AD5A41" w:rsidRDefault="00AD5A41" w:rsidP="00AD5A41">
            <w:pPr>
              <w:spacing w:after="0" w:line="240" w:lineRule="auto"/>
              <w:jc w:val="left"/>
              <w:rPr>
                <w:rFonts w:eastAsia="Times New Roman" w:cs="Times New Roman"/>
                <w:color w:val="000000"/>
                <w:sz w:val="20"/>
                <w:szCs w:val="20"/>
                <w:lang w:eastAsia="sk-SK"/>
              </w:rPr>
            </w:pPr>
            <w:r w:rsidRPr="00AD5A41">
              <w:rPr>
                <w:rFonts w:eastAsia="Times New Roman" w:cs="Times New Roman"/>
                <w:color w:val="000000"/>
                <w:sz w:val="20"/>
                <w:szCs w:val="20"/>
                <w:lang w:eastAsia="sk-SK"/>
              </w:rPr>
              <w:t>Poľnohospodárske fondy 3. programové obdobie</w:t>
            </w:r>
          </w:p>
        </w:tc>
        <w:tc>
          <w:tcPr>
            <w:tcW w:w="502" w:type="pct"/>
            <w:tcBorders>
              <w:top w:val="nil"/>
              <w:left w:val="nil"/>
              <w:bottom w:val="nil"/>
              <w:right w:val="nil"/>
            </w:tcBorders>
            <w:shd w:val="clear" w:color="000000" w:fill="FFFFFF"/>
            <w:noWrap/>
            <w:vAlign w:val="center"/>
            <w:hideMark/>
          </w:tcPr>
          <w:p w14:paraId="526F6CA8" w14:textId="40D941E5" w:rsidR="00AD5A41" w:rsidRPr="00AD5A41" w:rsidRDefault="00AD5A41" w:rsidP="00AD5A41">
            <w:pPr>
              <w:spacing w:after="0" w:line="240" w:lineRule="auto"/>
              <w:jc w:val="right"/>
              <w:rPr>
                <w:rFonts w:eastAsia="Times New Roman" w:cs="Times New Roman"/>
                <w:color w:val="000000"/>
                <w:sz w:val="20"/>
                <w:szCs w:val="20"/>
                <w:highlight w:val="yellow"/>
                <w:lang w:eastAsia="sk-SK"/>
              </w:rPr>
            </w:pPr>
            <w:r w:rsidRPr="00AD5A41">
              <w:rPr>
                <w:sz w:val="20"/>
                <w:szCs w:val="20"/>
              </w:rPr>
              <w:t>653 482</w:t>
            </w:r>
          </w:p>
        </w:tc>
        <w:tc>
          <w:tcPr>
            <w:tcW w:w="502" w:type="pct"/>
            <w:tcBorders>
              <w:top w:val="nil"/>
              <w:left w:val="nil"/>
              <w:bottom w:val="nil"/>
              <w:right w:val="nil"/>
            </w:tcBorders>
            <w:shd w:val="clear" w:color="000000" w:fill="FFFFFF"/>
            <w:noWrap/>
            <w:vAlign w:val="center"/>
            <w:hideMark/>
          </w:tcPr>
          <w:p w14:paraId="17A855D4" w14:textId="4829C357" w:rsidR="00AD5A41" w:rsidRPr="00AD5A41" w:rsidRDefault="00AD5A41" w:rsidP="00AD5A41">
            <w:pPr>
              <w:spacing w:after="0" w:line="240" w:lineRule="auto"/>
              <w:jc w:val="right"/>
              <w:rPr>
                <w:rFonts w:eastAsia="Times New Roman" w:cs="Times New Roman"/>
                <w:color w:val="000000"/>
                <w:sz w:val="20"/>
                <w:szCs w:val="20"/>
                <w:highlight w:val="yellow"/>
                <w:lang w:eastAsia="sk-SK"/>
              </w:rPr>
            </w:pPr>
            <w:r w:rsidRPr="00AD5A41">
              <w:rPr>
                <w:sz w:val="20"/>
                <w:szCs w:val="20"/>
              </w:rPr>
              <w:t>519 521</w:t>
            </w:r>
          </w:p>
        </w:tc>
        <w:tc>
          <w:tcPr>
            <w:tcW w:w="502" w:type="pct"/>
            <w:tcBorders>
              <w:top w:val="nil"/>
              <w:left w:val="nil"/>
              <w:bottom w:val="nil"/>
              <w:right w:val="nil"/>
            </w:tcBorders>
            <w:shd w:val="clear" w:color="000000" w:fill="FFFFFF"/>
            <w:noWrap/>
            <w:vAlign w:val="center"/>
            <w:hideMark/>
          </w:tcPr>
          <w:p w14:paraId="2FF175F7" w14:textId="455D4012" w:rsidR="00AD5A41" w:rsidRPr="00AD5A41" w:rsidRDefault="00AD5A41" w:rsidP="00AD5A41">
            <w:pPr>
              <w:spacing w:after="0" w:line="240" w:lineRule="auto"/>
              <w:jc w:val="right"/>
              <w:rPr>
                <w:rFonts w:eastAsia="Times New Roman" w:cs="Times New Roman"/>
                <w:color w:val="000000"/>
                <w:sz w:val="20"/>
                <w:szCs w:val="20"/>
                <w:highlight w:val="yellow"/>
                <w:lang w:eastAsia="sk-SK"/>
              </w:rPr>
            </w:pPr>
            <w:r w:rsidRPr="00AD5A41">
              <w:rPr>
                <w:sz w:val="20"/>
                <w:szCs w:val="20"/>
              </w:rPr>
              <w:t>854 973</w:t>
            </w:r>
          </w:p>
        </w:tc>
        <w:tc>
          <w:tcPr>
            <w:tcW w:w="564" w:type="pct"/>
            <w:tcBorders>
              <w:top w:val="nil"/>
              <w:left w:val="nil"/>
              <w:bottom w:val="nil"/>
              <w:right w:val="nil"/>
            </w:tcBorders>
            <w:shd w:val="clear" w:color="000000" w:fill="FFFFFF"/>
            <w:noWrap/>
            <w:vAlign w:val="center"/>
            <w:hideMark/>
          </w:tcPr>
          <w:p w14:paraId="5D47574D" w14:textId="4BCA04E0" w:rsidR="00AD5A41" w:rsidRPr="00AD5A41" w:rsidRDefault="00AD5A41" w:rsidP="00AD5A41">
            <w:pPr>
              <w:spacing w:after="0" w:line="240" w:lineRule="auto"/>
              <w:jc w:val="right"/>
              <w:rPr>
                <w:rFonts w:eastAsia="Times New Roman" w:cs="Times New Roman"/>
                <w:color w:val="000000"/>
                <w:sz w:val="20"/>
                <w:szCs w:val="20"/>
                <w:highlight w:val="yellow"/>
                <w:lang w:eastAsia="sk-SK"/>
              </w:rPr>
            </w:pPr>
            <w:r w:rsidRPr="00AD5A41">
              <w:rPr>
                <w:sz w:val="20"/>
                <w:szCs w:val="20"/>
              </w:rPr>
              <w:t>429 555</w:t>
            </w:r>
          </w:p>
        </w:tc>
        <w:tc>
          <w:tcPr>
            <w:tcW w:w="563" w:type="pct"/>
            <w:gridSpan w:val="2"/>
            <w:tcBorders>
              <w:top w:val="nil"/>
              <w:left w:val="nil"/>
              <w:bottom w:val="nil"/>
              <w:right w:val="nil"/>
            </w:tcBorders>
            <w:shd w:val="clear" w:color="000000" w:fill="FFFFFF"/>
            <w:noWrap/>
            <w:vAlign w:val="center"/>
            <w:hideMark/>
          </w:tcPr>
          <w:p w14:paraId="14ED0542" w14:textId="04C92B9A" w:rsidR="00AD5A41" w:rsidRPr="00AD5A41" w:rsidRDefault="00AD5A41" w:rsidP="00AD5A41">
            <w:pPr>
              <w:spacing w:after="0" w:line="240" w:lineRule="auto"/>
              <w:jc w:val="right"/>
              <w:rPr>
                <w:rFonts w:eastAsia="Times New Roman" w:cs="Times New Roman"/>
                <w:color w:val="000000"/>
                <w:sz w:val="20"/>
                <w:szCs w:val="20"/>
                <w:highlight w:val="yellow"/>
                <w:lang w:eastAsia="sk-SK"/>
              </w:rPr>
            </w:pPr>
            <w:r w:rsidRPr="00AD5A41">
              <w:rPr>
                <w:sz w:val="20"/>
                <w:szCs w:val="20"/>
              </w:rPr>
              <w:t>-425 418</w:t>
            </w:r>
          </w:p>
        </w:tc>
        <w:tc>
          <w:tcPr>
            <w:tcW w:w="362" w:type="pct"/>
            <w:tcBorders>
              <w:top w:val="nil"/>
              <w:left w:val="nil"/>
              <w:bottom w:val="nil"/>
              <w:right w:val="nil"/>
            </w:tcBorders>
            <w:shd w:val="clear" w:color="000000" w:fill="FFFFFF"/>
            <w:noWrap/>
            <w:vAlign w:val="center"/>
            <w:hideMark/>
          </w:tcPr>
          <w:p w14:paraId="63EF781C" w14:textId="1FBD2CEA" w:rsidR="00AD5A41" w:rsidRPr="00AD5A41" w:rsidRDefault="00AD5A41" w:rsidP="00AD5A41">
            <w:pPr>
              <w:spacing w:after="0" w:line="240" w:lineRule="auto"/>
              <w:jc w:val="right"/>
              <w:rPr>
                <w:rFonts w:eastAsia="Times New Roman" w:cs="Times New Roman"/>
                <w:color w:val="000000"/>
                <w:sz w:val="20"/>
                <w:szCs w:val="20"/>
                <w:highlight w:val="yellow"/>
                <w:lang w:eastAsia="sk-SK"/>
              </w:rPr>
            </w:pPr>
            <w:r w:rsidRPr="00AD5A41">
              <w:rPr>
                <w:sz w:val="20"/>
                <w:szCs w:val="20"/>
              </w:rPr>
              <w:t>-49,8</w:t>
            </w:r>
          </w:p>
        </w:tc>
      </w:tr>
      <w:tr w:rsidR="00AD5A41" w:rsidRPr="00245F8C" w14:paraId="2AF89F11" w14:textId="77777777" w:rsidTr="00B56A1D">
        <w:trPr>
          <w:trHeight w:val="330"/>
        </w:trPr>
        <w:tc>
          <w:tcPr>
            <w:tcW w:w="2005" w:type="pct"/>
            <w:tcBorders>
              <w:top w:val="nil"/>
              <w:left w:val="nil"/>
              <w:bottom w:val="nil"/>
              <w:right w:val="nil"/>
            </w:tcBorders>
            <w:shd w:val="clear" w:color="000000" w:fill="FFFFFF"/>
            <w:vAlign w:val="center"/>
          </w:tcPr>
          <w:p w14:paraId="4EBBCB9F" w14:textId="2969A06B" w:rsidR="00AD5A41" w:rsidRPr="00245F8C" w:rsidRDefault="00AD5A41" w:rsidP="00AD5A41">
            <w:pPr>
              <w:spacing w:after="0" w:line="240" w:lineRule="auto"/>
              <w:jc w:val="left"/>
              <w:rPr>
                <w:rFonts w:eastAsia="Times New Roman" w:cs="Times New Roman"/>
                <w:color w:val="000000"/>
                <w:sz w:val="20"/>
                <w:szCs w:val="20"/>
                <w:lang w:eastAsia="sk-SK"/>
              </w:rPr>
            </w:pPr>
            <w:r w:rsidRPr="00245F8C">
              <w:rPr>
                <w:rFonts w:cs="Times New Roman"/>
                <w:sz w:val="20"/>
                <w:szCs w:val="20"/>
              </w:rPr>
              <w:t>Poľnohospodárske fondy 4. programové obdobie</w:t>
            </w:r>
          </w:p>
        </w:tc>
        <w:tc>
          <w:tcPr>
            <w:tcW w:w="502" w:type="pct"/>
            <w:tcBorders>
              <w:top w:val="nil"/>
              <w:left w:val="nil"/>
              <w:bottom w:val="nil"/>
              <w:right w:val="nil"/>
            </w:tcBorders>
            <w:shd w:val="clear" w:color="000000" w:fill="FFFFFF"/>
            <w:noWrap/>
            <w:vAlign w:val="center"/>
          </w:tcPr>
          <w:p w14:paraId="157F84CE" w14:textId="411E1CE6" w:rsidR="00AD5A41" w:rsidRPr="00245F8C" w:rsidRDefault="00AD5A41" w:rsidP="00AD5A41">
            <w:pPr>
              <w:spacing w:after="0" w:line="240" w:lineRule="auto"/>
              <w:jc w:val="right"/>
              <w:rPr>
                <w:rFonts w:eastAsia="Times New Roman" w:cs="Times New Roman"/>
                <w:color w:val="000000"/>
                <w:sz w:val="20"/>
                <w:szCs w:val="20"/>
                <w:lang w:eastAsia="sk-SK"/>
              </w:rPr>
            </w:pPr>
            <w:r w:rsidRPr="00245F8C">
              <w:rPr>
                <w:rFonts w:cs="Times New Roman"/>
                <w:sz w:val="20"/>
                <w:szCs w:val="20"/>
              </w:rPr>
              <w:t>0</w:t>
            </w:r>
          </w:p>
        </w:tc>
        <w:tc>
          <w:tcPr>
            <w:tcW w:w="502" w:type="pct"/>
            <w:tcBorders>
              <w:top w:val="nil"/>
              <w:left w:val="nil"/>
              <w:bottom w:val="nil"/>
              <w:right w:val="nil"/>
            </w:tcBorders>
            <w:shd w:val="clear" w:color="000000" w:fill="FFFFFF"/>
            <w:noWrap/>
            <w:vAlign w:val="center"/>
          </w:tcPr>
          <w:p w14:paraId="581697D8" w14:textId="3B4780EA" w:rsidR="00AD5A41" w:rsidRPr="00245F8C" w:rsidRDefault="00AD5A41" w:rsidP="00AD5A41">
            <w:pPr>
              <w:spacing w:after="0" w:line="240" w:lineRule="auto"/>
              <w:jc w:val="right"/>
              <w:rPr>
                <w:rFonts w:eastAsia="Times New Roman" w:cs="Times New Roman"/>
                <w:color w:val="000000"/>
                <w:sz w:val="20"/>
                <w:szCs w:val="20"/>
                <w:lang w:eastAsia="sk-SK"/>
              </w:rPr>
            </w:pPr>
            <w:r w:rsidRPr="00245F8C">
              <w:rPr>
                <w:rFonts w:cs="Times New Roman"/>
                <w:sz w:val="20"/>
                <w:szCs w:val="20"/>
              </w:rPr>
              <w:t>0</w:t>
            </w:r>
          </w:p>
        </w:tc>
        <w:tc>
          <w:tcPr>
            <w:tcW w:w="502" w:type="pct"/>
            <w:tcBorders>
              <w:top w:val="nil"/>
              <w:left w:val="nil"/>
              <w:bottom w:val="nil"/>
              <w:right w:val="nil"/>
            </w:tcBorders>
            <w:shd w:val="clear" w:color="000000" w:fill="FFFFFF"/>
            <w:noWrap/>
            <w:vAlign w:val="center"/>
          </w:tcPr>
          <w:p w14:paraId="75CC1E78" w14:textId="41297749" w:rsidR="00AD5A41" w:rsidRPr="00245F8C" w:rsidRDefault="00AD5A41" w:rsidP="00AD5A41">
            <w:pPr>
              <w:spacing w:after="0" w:line="240" w:lineRule="auto"/>
              <w:jc w:val="right"/>
              <w:rPr>
                <w:rFonts w:eastAsia="Times New Roman" w:cs="Times New Roman"/>
                <w:color w:val="000000"/>
                <w:sz w:val="20"/>
                <w:szCs w:val="20"/>
                <w:lang w:eastAsia="sk-SK"/>
              </w:rPr>
            </w:pPr>
            <w:r w:rsidRPr="00245F8C">
              <w:rPr>
                <w:rFonts w:cs="Times New Roman"/>
                <w:sz w:val="20"/>
                <w:szCs w:val="20"/>
              </w:rPr>
              <w:t>0</w:t>
            </w:r>
          </w:p>
        </w:tc>
        <w:tc>
          <w:tcPr>
            <w:tcW w:w="564" w:type="pct"/>
            <w:tcBorders>
              <w:top w:val="nil"/>
              <w:left w:val="nil"/>
              <w:bottom w:val="nil"/>
              <w:right w:val="nil"/>
            </w:tcBorders>
            <w:shd w:val="clear" w:color="000000" w:fill="FFFFFF"/>
            <w:noWrap/>
            <w:vAlign w:val="center"/>
          </w:tcPr>
          <w:p w14:paraId="32B9DC1A" w14:textId="6ED20309" w:rsidR="00AD5A41" w:rsidRPr="00245F8C" w:rsidRDefault="00AD5A41" w:rsidP="00AD5A41">
            <w:pPr>
              <w:spacing w:after="0" w:line="240" w:lineRule="auto"/>
              <w:jc w:val="right"/>
              <w:rPr>
                <w:rFonts w:eastAsia="Times New Roman" w:cs="Times New Roman"/>
                <w:color w:val="000000"/>
                <w:sz w:val="20"/>
                <w:szCs w:val="20"/>
                <w:lang w:eastAsia="sk-SK"/>
              </w:rPr>
            </w:pPr>
            <w:r w:rsidRPr="00245F8C">
              <w:rPr>
                <w:rFonts w:cs="Times New Roman"/>
                <w:sz w:val="20"/>
                <w:szCs w:val="20"/>
              </w:rPr>
              <w:t>0</w:t>
            </w:r>
          </w:p>
        </w:tc>
        <w:tc>
          <w:tcPr>
            <w:tcW w:w="563" w:type="pct"/>
            <w:gridSpan w:val="2"/>
            <w:tcBorders>
              <w:top w:val="nil"/>
              <w:left w:val="nil"/>
              <w:bottom w:val="nil"/>
              <w:right w:val="nil"/>
            </w:tcBorders>
            <w:shd w:val="clear" w:color="000000" w:fill="FFFFFF"/>
            <w:noWrap/>
            <w:vAlign w:val="center"/>
          </w:tcPr>
          <w:p w14:paraId="1F3DAAB0" w14:textId="09CB501B" w:rsidR="00AD5A41" w:rsidRPr="00245F8C" w:rsidRDefault="00AD5A41" w:rsidP="00AD5A41">
            <w:pPr>
              <w:spacing w:after="0" w:line="240" w:lineRule="auto"/>
              <w:jc w:val="right"/>
              <w:rPr>
                <w:rFonts w:eastAsia="Times New Roman" w:cs="Times New Roman"/>
                <w:color w:val="000000"/>
                <w:sz w:val="20"/>
                <w:szCs w:val="20"/>
                <w:lang w:eastAsia="sk-SK"/>
              </w:rPr>
            </w:pPr>
            <w:r w:rsidRPr="00245F8C">
              <w:rPr>
                <w:rFonts w:cs="Times New Roman"/>
                <w:sz w:val="20"/>
                <w:szCs w:val="20"/>
              </w:rPr>
              <w:t>0</w:t>
            </w:r>
          </w:p>
        </w:tc>
        <w:tc>
          <w:tcPr>
            <w:tcW w:w="362" w:type="pct"/>
            <w:tcBorders>
              <w:top w:val="nil"/>
              <w:left w:val="nil"/>
              <w:bottom w:val="nil"/>
              <w:right w:val="nil"/>
            </w:tcBorders>
            <w:shd w:val="clear" w:color="000000" w:fill="FFFFFF"/>
            <w:noWrap/>
            <w:vAlign w:val="center"/>
          </w:tcPr>
          <w:p w14:paraId="1BC9E23A" w14:textId="57CCDB92" w:rsidR="00AD5A41" w:rsidRPr="00245F8C" w:rsidRDefault="00AD5A41" w:rsidP="00AD5A41">
            <w:pPr>
              <w:spacing w:after="0" w:line="240" w:lineRule="auto"/>
              <w:jc w:val="right"/>
              <w:rPr>
                <w:rFonts w:eastAsia="Times New Roman" w:cs="Times New Roman"/>
                <w:color w:val="000000"/>
                <w:sz w:val="20"/>
                <w:szCs w:val="20"/>
                <w:lang w:eastAsia="sk-SK"/>
              </w:rPr>
            </w:pPr>
            <w:r w:rsidRPr="00245F8C">
              <w:rPr>
                <w:rFonts w:cs="Times New Roman"/>
                <w:sz w:val="20"/>
                <w:szCs w:val="20"/>
              </w:rPr>
              <w:t>0,0 </w:t>
            </w:r>
          </w:p>
        </w:tc>
      </w:tr>
      <w:tr w:rsidR="00AD5A41" w:rsidRPr="00245F8C" w14:paraId="04A0A4FD" w14:textId="77777777" w:rsidTr="00B56A1D">
        <w:trPr>
          <w:trHeight w:val="330"/>
        </w:trPr>
        <w:tc>
          <w:tcPr>
            <w:tcW w:w="2005" w:type="pct"/>
            <w:tcBorders>
              <w:top w:val="nil"/>
              <w:left w:val="nil"/>
              <w:bottom w:val="nil"/>
              <w:right w:val="nil"/>
            </w:tcBorders>
            <w:shd w:val="clear" w:color="000000" w:fill="FFFFFF"/>
            <w:vAlign w:val="center"/>
            <w:hideMark/>
          </w:tcPr>
          <w:p w14:paraId="46F3A71A" w14:textId="77777777" w:rsidR="00AD5A41" w:rsidRPr="00245F8C" w:rsidRDefault="00AD5A41" w:rsidP="00AD5A41">
            <w:pPr>
              <w:spacing w:after="0" w:line="240" w:lineRule="auto"/>
              <w:jc w:val="left"/>
              <w:rPr>
                <w:rFonts w:eastAsia="Times New Roman" w:cs="Times New Roman"/>
                <w:b/>
                <w:bCs/>
                <w:color w:val="000000"/>
                <w:sz w:val="20"/>
                <w:szCs w:val="20"/>
                <w:lang w:eastAsia="sk-SK"/>
              </w:rPr>
            </w:pPr>
            <w:r w:rsidRPr="00245F8C">
              <w:rPr>
                <w:rFonts w:eastAsia="Times New Roman" w:cs="Times New Roman"/>
                <w:b/>
                <w:bCs/>
                <w:color w:val="000000"/>
                <w:sz w:val="20"/>
                <w:szCs w:val="20"/>
                <w:lang w:eastAsia="sk-SK"/>
              </w:rPr>
              <w:t>Poľnohospodárske fondy spolu - MPRV SR</w:t>
            </w:r>
          </w:p>
        </w:tc>
        <w:tc>
          <w:tcPr>
            <w:tcW w:w="502" w:type="pct"/>
            <w:tcBorders>
              <w:top w:val="nil"/>
              <w:left w:val="nil"/>
              <w:bottom w:val="nil"/>
              <w:right w:val="nil"/>
            </w:tcBorders>
            <w:shd w:val="clear" w:color="000000" w:fill="FFFFFF"/>
            <w:noWrap/>
            <w:vAlign w:val="center"/>
            <w:hideMark/>
          </w:tcPr>
          <w:p w14:paraId="0C5E6066" w14:textId="3F706833" w:rsidR="00AD5A41" w:rsidRPr="00245F8C" w:rsidRDefault="00AD5A41" w:rsidP="00AD5A41">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653 482</w:t>
            </w:r>
          </w:p>
        </w:tc>
        <w:tc>
          <w:tcPr>
            <w:tcW w:w="502" w:type="pct"/>
            <w:tcBorders>
              <w:top w:val="nil"/>
              <w:left w:val="nil"/>
              <w:bottom w:val="nil"/>
              <w:right w:val="nil"/>
            </w:tcBorders>
            <w:shd w:val="clear" w:color="000000" w:fill="FFFFFF"/>
            <w:noWrap/>
            <w:vAlign w:val="center"/>
            <w:hideMark/>
          </w:tcPr>
          <w:p w14:paraId="1BA4D544" w14:textId="5E282E64" w:rsidR="00AD5A41" w:rsidRPr="00245F8C" w:rsidRDefault="00AD5A41" w:rsidP="00AD5A41">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519 521</w:t>
            </w:r>
          </w:p>
        </w:tc>
        <w:tc>
          <w:tcPr>
            <w:tcW w:w="502" w:type="pct"/>
            <w:tcBorders>
              <w:top w:val="nil"/>
              <w:left w:val="nil"/>
              <w:bottom w:val="nil"/>
              <w:right w:val="nil"/>
            </w:tcBorders>
            <w:shd w:val="clear" w:color="000000" w:fill="FFFFFF"/>
            <w:noWrap/>
            <w:vAlign w:val="center"/>
            <w:hideMark/>
          </w:tcPr>
          <w:p w14:paraId="1D964BA0" w14:textId="01C084EA" w:rsidR="00AD5A41" w:rsidRPr="00245F8C" w:rsidRDefault="00AD5A41" w:rsidP="00AD5A41">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854 973</w:t>
            </w:r>
          </w:p>
        </w:tc>
        <w:tc>
          <w:tcPr>
            <w:tcW w:w="564" w:type="pct"/>
            <w:tcBorders>
              <w:top w:val="nil"/>
              <w:left w:val="nil"/>
              <w:bottom w:val="nil"/>
              <w:right w:val="nil"/>
            </w:tcBorders>
            <w:shd w:val="clear" w:color="000000" w:fill="FFFFFF"/>
            <w:noWrap/>
            <w:vAlign w:val="center"/>
            <w:hideMark/>
          </w:tcPr>
          <w:p w14:paraId="29DFFC43" w14:textId="109A79CF" w:rsidR="00AD5A41" w:rsidRPr="00245F8C" w:rsidRDefault="00AD5A41" w:rsidP="00AD5A41">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429 555</w:t>
            </w:r>
          </w:p>
        </w:tc>
        <w:tc>
          <w:tcPr>
            <w:tcW w:w="563" w:type="pct"/>
            <w:gridSpan w:val="2"/>
            <w:tcBorders>
              <w:top w:val="nil"/>
              <w:left w:val="nil"/>
              <w:bottom w:val="nil"/>
              <w:right w:val="nil"/>
            </w:tcBorders>
            <w:shd w:val="clear" w:color="000000" w:fill="FFFFFF"/>
            <w:noWrap/>
            <w:vAlign w:val="center"/>
            <w:hideMark/>
          </w:tcPr>
          <w:p w14:paraId="10DD6697" w14:textId="55DF1606" w:rsidR="00AD5A41" w:rsidRPr="00245F8C" w:rsidRDefault="00AD5A41" w:rsidP="00AD5A41">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-425 418</w:t>
            </w:r>
          </w:p>
        </w:tc>
        <w:tc>
          <w:tcPr>
            <w:tcW w:w="362" w:type="pct"/>
            <w:tcBorders>
              <w:top w:val="nil"/>
              <w:left w:val="nil"/>
              <w:bottom w:val="nil"/>
              <w:right w:val="nil"/>
            </w:tcBorders>
            <w:shd w:val="clear" w:color="000000" w:fill="FFFFFF"/>
            <w:noWrap/>
            <w:vAlign w:val="center"/>
            <w:hideMark/>
          </w:tcPr>
          <w:p w14:paraId="18B576F0" w14:textId="03E6EC80" w:rsidR="00AD5A41" w:rsidRPr="00245F8C" w:rsidRDefault="00AD5A41" w:rsidP="00AD5A41">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-49,8</w:t>
            </w:r>
          </w:p>
        </w:tc>
      </w:tr>
      <w:tr w:rsidR="00AD5A41" w:rsidRPr="00245F8C" w14:paraId="5C9856C9" w14:textId="77777777" w:rsidTr="00B56A1D">
        <w:trPr>
          <w:trHeight w:val="510"/>
        </w:trPr>
        <w:tc>
          <w:tcPr>
            <w:tcW w:w="2005" w:type="pct"/>
            <w:tcBorders>
              <w:top w:val="nil"/>
              <w:left w:val="nil"/>
              <w:bottom w:val="nil"/>
              <w:right w:val="nil"/>
            </w:tcBorders>
            <w:shd w:val="clear" w:color="000000" w:fill="FFFFFF"/>
            <w:vAlign w:val="center"/>
            <w:hideMark/>
          </w:tcPr>
          <w:p w14:paraId="21E6428C" w14:textId="77777777" w:rsidR="00AD5A41" w:rsidRPr="00245F8C" w:rsidRDefault="00AD5A41" w:rsidP="00AD5A41">
            <w:pPr>
              <w:spacing w:after="0" w:line="240" w:lineRule="auto"/>
              <w:jc w:val="left"/>
              <w:rPr>
                <w:rFonts w:eastAsia="Times New Roman" w:cs="Times New Roman"/>
                <w:color w:val="000000"/>
                <w:sz w:val="20"/>
                <w:szCs w:val="20"/>
                <w:lang w:eastAsia="sk-SK"/>
              </w:rPr>
            </w:pPr>
            <w:r w:rsidRPr="00245F8C">
              <w:rPr>
                <w:rFonts w:eastAsia="Times New Roman" w:cs="Times New Roman"/>
                <w:color w:val="000000"/>
                <w:sz w:val="20"/>
                <w:szCs w:val="20"/>
                <w:lang w:eastAsia="sk-SK"/>
              </w:rPr>
              <w:t xml:space="preserve">Štrukturálne fondy, Kohézny fond, Európsky fond pre rybné hospodárstvo 2. programové obdobie </w:t>
            </w:r>
          </w:p>
        </w:tc>
        <w:tc>
          <w:tcPr>
            <w:tcW w:w="502" w:type="pct"/>
            <w:tcBorders>
              <w:top w:val="nil"/>
              <w:left w:val="nil"/>
              <w:bottom w:val="nil"/>
              <w:right w:val="nil"/>
            </w:tcBorders>
            <w:shd w:val="clear" w:color="000000" w:fill="FFFFFF"/>
            <w:noWrap/>
            <w:vAlign w:val="center"/>
            <w:hideMark/>
          </w:tcPr>
          <w:p w14:paraId="1993B706" w14:textId="77777777"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eastAsia="Times New Roman" w:cs="Times New Roman"/>
                <w:color w:val="000000"/>
                <w:sz w:val="20"/>
                <w:szCs w:val="20"/>
                <w:lang w:eastAsia="sk-SK"/>
              </w:rPr>
              <w:t>0</w:t>
            </w:r>
          </w:p>
        </w:tc>
        <w:tc>
          <w:tcPr>
            <w:tcW w:w="502" w:type="pct"/>
            <w:tcBorders>
              <w:top w:val="nil"/>
              <w:left w:val="nil"/>
              <w:bottom w:val="nil"/>
              <w:right w:val="nil"/>
            </w:tcBorders>
            <w:shd w:val="clear" w:color="000000" w:fill="FFFFFF"/>
            <w:noWrap/>
            <w:vAlign w:val="center"/>
            <w:hideMark/>
          </w:tcPr>
          <w:p w14:paraId="52E12391" w14:textId="77777777"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eastAsia="Times New Roman" w:cs="Times New Roman"/>
                <w:color w:val="000000"/>
                <w:sz w:val="20"/>
                <w:szCs w:val="20"/>
                <w:lang w:eastAsia="sk-SK"/>
              </w:rPr>
              <w:t>0</w:t>
            </w:r>
          </w:p>
        </w:tc>
        <w:tc>
          <w:tcPr>
            <w:tcW w:w="502" w:type="pct"/>
            <w:tcBorders>
              <w:top w:val="nil"/>
              <w:left w:val="nil"/>
              <w:bottom w:val="nil"/>
              <w:right w:val="nil"/>
            </w:tcBorders>
            <w:shd w:val="clear" w:color="000000" w:fill="FFFFFF"/>
            <w:noWrap/>
            <w:vAlign w:val="center"/>
            <w:hideMark/>
          </w:tcPr>
          <w:p w14:paraId="221E48F8" w14:textId="77777777"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eastAsia="Times New Roman" w:cs="Times New Roman"/>
                <w:color w:val="000000"/>
                <w:sz w:val="20"/>
                <w:szCs w:val="20"/>
                <w:lang w:eastAsia="sk-SK"/>
              </w:rPr>
              <w:t>0</w:t>
            </w:r>
          </w:p>
        </w:tc>
        <w:tc>
          <w:tcPr>
            <w:tcW w:w="564" w:type="pct"/>
            <w:tcBorders>
              <w:top w:val="nil"/>
              <w:left w:val="nil"/>
              <w:bottom w:val="nil"/>
              <w:right w:val="nil"/>
            </w:tcBorders>
            <w:shd w:val="clear" w:color="000000" w:fill="FFFFFF"/>
            <w:noWrap/>
            <w:vAlign w:val="center"/>
            <w:hideMark/>
          </w:tcPr>
          <w:p w14:paraId="7EE21D05" w14:textId="77777777"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eastAsia="Times New Roman" w:cs="Times New Roman"/>
                <w:color w:val="000000"/>
                <w:sz w:val="20"/>
                <w:szCs w:val="20"/>
                <w:lang w:eastAsia="sk-SK"/>
              </w:rPr>
              <w:t>0</w:t>
            </w:r>
          </w:p>
        </w:tc>
        <w:tc>
          <w:tcPr>
            <w:tcW w:w="563" w:type="pct"/>
            <w:gridSpan w:val="2"/>
            <w:tcBorders>
              <w:top w:val="nil"/>
              <w:left w:val="nil"/>
              <w:bottom w:val="nil"/>
              <w:right w:val="nil"/>
            </w:tcBorders>
            <w:shd w:val="clear" w:color="000000" w:fill="FFFFFF"/>
            <w:noWrap/>
            <w:vAlign w:val="center"/>
            <w:hideMark/>
          </w:tcPr>
          <w:p w14:paraId="43803B3B" w14:textId="77777777"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eastAsia="Times New Roman" w:cs="Times New Roman"/>
                <w:color w:val="000000"/>
                <w:sz w:val="20"/>
                <w:szCs w:val="20"/>
                <w:lang w:eastAsia="sk-SK"/>
              </w:rPr>
              <w:t>0</w:t>
            </w:r>
          </w:p>
        </w:tc>
        <w:tc>
          <w:tcPr>
            <w:tcW w:w="362" w:type="pct"/>
            <w:tcBorders>
              <w:top w:val="nil"/>
              <w:left w:val="nil"/>
              <w:bottom w:val="nil"/>
              <w:right w:val="nil"/>
            </w:tcBorders>
            <w:shd w:val="clear" w:color="000000" w:fill="FFFFFF"/>
            <w:noWrap/>
            <w:vAlign w:val="center"/>
            <w:hideMark/>
          </w:tcPr>
          <w:p w14:paraId="296D2E5C" w14:textId="77777777"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eastAsia="Times New Roman" w:cs="Times New Roman"/>
                <w:color w:val="000000"/>
                <w:sz w:val="20"/>
                <w:szCs w:val="20"/>
                <w:lang w:eastAsia="sk-SK"/>
              </w:rPr>
              <w:t>-</w:t>
            </w:r>
          </w:p>
        </w:tc>
      </w:tr>
      <w:tr w:rsidR="00AD5A41" w:rsidRPr="00245F8C" w14:paraId="3D1570A4" w14:textId="77777777" w:rsidTr="00B56A1D">
        <w:trPr>
          <w:trHeight w:val="615"/>
        </w:trPr>
        <w:tc>
          <w:tcPr>
            <w:tcW w:w="2005" w:type="pct"/>
            <w:tcBorders>
              <w:top w:val="nil"/>
              <w:left w:val="nil"/>
              <w:bottom w:val="nil"/>
              <w:right w:val="nil"/>
            </w:tcBorders>
            <w:shd w:val="clear" w:color="000000" w:fill="FFFFFF"/>
            <w:vAlign w:val="center"/>
            <w:hideMark/>
          </w:tcPr>
          <w:p w14:paraId="5B465547" w14:textId="77777777" w:rsidR="00AD5A41" w:rsidRPr="00245F8C" w:rsidRDefault="00AD5A41" w:rsidP="00AD5A41">
            <w:pPr>
              <w:spacing w:after="0" w:line="240" w:lineRule="auto"/>
              <w:jc w:val="left"/>
              <w:rPr>
                <w:rFonts w:eastAsia="Times New Roman" w:cs="Times New Roman"/>
                <w:color w:val="000000"/>
                <w:sz w:val="20"/>
                <w:szCs w:val="20"/>
                <w:lang w:eastAsia="sk-SK"/>
              </w:rPr>
            </w:pPr>
            <w:r w:rsidRPr="00245F8C">
              <w:rPr>
                <w:rFonts w:eastAsia="Times New Roman" w:cs="Times New Roman"/>
                <w:color w:val="000000"/>
                <w:sz w:val="20"/>
                <w:szCs w:val="20"/>
                <w:lang w:eastAsia="sk-SK"/>
              </w:rPr>
              <w:t xml:space="preserve">Štrukturálne fondy, Kohézny fond, Európsky námorný a rybársky fond 3. programové obdobie </w:t>
            </w:r>
          </w:p>
        </w:tc>
        <w:tc>
          <w:tcPr>
            <w:tcW w:w="502" w:type="pct"/>
            <w:tcBorders>
              <w:top w:val="nil"/>
              <w:left w:val="nil"/>
              <w:bottom w:val="nil"/>
              <w:right w:val="nil"/>
            </w:tcBorders>
            <w:shd w:val="clear" w:color="000000" w:fill="FFFFFF"/>
            <w:noWrap/>
            <w:vAlign w:val="center"/>
            <w:hideMark/>
          </w:tcPr>
          <w:p w14:paraId="34427317" w14:textId="38327D2D"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1 642 695</w:t>
            </w:r>
          </w:p>
        </w:tc>
        <w:tc>
          <w:tcPr>
            <w:tcW w:w="502" w:type="pct"/>
            <w:tcBorders>
              <w:top w:val="nil"/>
              <w:left w:val="nil"/>
              <w:bottom w:val="nil"/>
              <w:right w:val="nil"/>
            </w:tcBorders>
            <w:shd w:val="clear" w:color="000000" w:fill="FFFFFF"/>
            <w:noWrap/>
            <w:vAlign w:val="center"/>
            <w:hideMark/>
          </w:tcPr>
          <w:p w14:paraId="7445FB37" w14:textId="7F064A44"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1 809 832</w:t>
            </w:r>
          </w:p>
        </w:tc>
        <w:tc>
          <w:tcPr>
            <w:tcW w:w="502" w:type="pct"/>
            <w:tcBorders>
              <w:top w:val="nil"/>
              <w:left w:val="nil"/>
              <w:bottom w:val="nil"/>
              <w:right w:val="nil"/>
            </w:tcBorders>
            <w:shd w:val="clear" w:color="000000" w:fill="FFFFFF"/>
            <w:noWrap/>
            <w:vAlign w:val="center"/>
            <w:hideMark/>
          </w:tcPr>
          <w:p w14:paraId="3BC36039" w14:textId="7A599F82"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2 186 721</w:t>
            </w:r>
          </w:p>
        </w:tc>
        <w:tc>
          <w:tcPr>
            <w:tcW w:w="564" w:type="pct"/>
            <w:tcBorders>
              <w:top w:val="nil"/>
              <w:left w:val="nil"/>
              <w:bottom w:val="nil"/>
              <w:right w:val="nil"/>
            </w:tcBorders>
            <w:shd w:val="clear" w:color="000000" w:fill="FFFFFF"/>
            <w:noWrap/>
            <w:vAlign w:val="center"/>
            <w:hideMark/>
          </w:tcPr>
          <w:p w14:paraId="514F2C45" w14:textId="226E84FC"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1 746 097</w:t>
            </w:r>
          </w:p>
        </w:tc>
        <w:tc>
          <w:tcPr>
            <w:tcW w:w="563" w:type="pct"/>
            <w:gridSpan w:val="2"/>
            <w:tcBorders>
              <w:top w:val="nil"/>
              <w:left w:val="nil"/>
              <w:bottom w:val="nil"/>
              <w:right w:val="nil"/>
            </w:tcBorders>
            <w:shd w:val="clear" w:color="000000" w:fill="FFFFFF"/>
            <w:noWrap/>
            <w:vAlign w:val="center"/>
            <w:hideMark/>
          </w:tcPr>
          <w:p w14:paraId="65622A6E" w14:textId="19F28C91"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-440 624</w:t>
            </w:r>
          </w:p>
        </w:tc>
        <w:tc>
          <w:tcPr>
            <w:tcW w:w="362" w:type="pct"/>
            <w:tcBorders>
              <w:top w:val="nil"/>
              <w:left w:val="nil"/>
              <w:bottom w:val="nil"/>
              <w:right w:val="nil"/>
            </w:tcBorders>
            <w:shd w:val="clear" w:color="000000" w:fill="FFFFFF"/>
            <w:noWrap/>
            <w:vAlign w:val="center"/>
            <w:hideMark/>
          </w:tcPr>
          <w:p w14:paraId="0202B63A" w14:textId="76E87505" w:rsidR="00AD5A41" w:rsidRPr="00245F8C" w:rsidRDefault="00AD5A41" w:rsidP="00AD5A41">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-20,1</w:t>
            </w:r>
          </w:p>
        </w:tc>
      </w:tr>
      <w:tr w:rsidR="00245F8C" w:rsidRPr="00245F8C" w14:paraId="0489B97C" w14:textId="77777777" w:rsidTr="00B56A1D">
        <w:trPr>
          <w:trHeight w:val="615"/>
        </w:trPr>
        <w:tc>
          <w:tcPr>
            <w:tcW w:w="2005" w:type="pct"/>
            <w:tcBorders>
              <w:top w:val="nil"/>
              <w:left w:val="nil"/>
              <w:bottom w:val="nil"/>
              <w:right w:val="nil"/>
            </w:tcBorders>
            <w:shd w:val="clear" w:color="000000" w:fill="FFFFFF"/>
            <w:vAlign w:val="center"/>
          </w:tcPr>
          <w:p w14:paraId="316647C1" w14:textId="4B7672E4" w:rsidR="00245F8C" w:rsidRPr="00245F8C" w:rsidRDefault="00245F8C" w:rsidP="00245F8C">
            <w:pPr>
              <w:spacing w:after="0" w:line="240" w:lineRule="auto"/>
              <w:jc w:val="left"/>
              <w:rPr>
                <w:rFonts w:eastAsia="Times New Roman" w:cs="Times New Roman"/>
                <w:color w:val="000000"/>
                <w:sz w:val="20"/>
                <w:szCs w:val="20"/>
                <w:lang w:eastAsia="sk-SK"/>
              </w:rPr>
            </w:pPr>
            <w:r w:rsidRPr="00245F8C">
              <w:rPr>
                <w:rFonts w:cs="Times New Roman"/>
                <w:sz w:val="20"/>
                <w:szCs w:val="20"/>
              </w:rPr>
              <w:t>Program Slovensko a Európsky námorný, rybolovný a </w:t>
            </w:r>
            <w:proofErr w:type="spellStart"/>
            <w:r w:rsidRPr="00245F8C">
              <w:rPr>
                <w:rFonts w:cs="Times New Roman"/>
                <w:sz w:val="20"/>
                <w:szCs w:val="20"/>
              </w:rPr>
              <w:t>akvakultúrny</w:t>
            </w:r>
            <w:proofErr w:type="spellEnd"/>
            <w:r w:rsidRPr="00245F8C">
              <w:rPr>
                <w:rFonts w:cs="Times New Roman"/>
                <w:sz w:val="20"/>
                <w:szCs w:val="20"/>
              </w:rPr>
              <w:t xml:space="preserve"> fond 4. programové obdobie</w:t>
            </w:r>
          </w:p>
        </w:tc>
        <w:tc>
          <w:tcPr>
            <w:tcW w:w="502" w:type="pct"/>
            <w:tcBorders>
              <w:top w:val="nil"/>
              <w:left w:val="nil"/>
              <w:bottom w:val="nil"/>
              <w:right w:val="nil"/>
            </w:tcBorders>
            <w:shd w:val="clear" w:color="000000" w:fill="FFFFFF"/>
            <w:noWrap/>
            <w:vAlign w:val="center"/>
          </w:tcPr>
          <w:p w14:paraId="3BDB8DA8" w14:textId="57B7C06D" w:rsidR="00245F8C" w:rsidRPr="00245F8C" w:rsidRDefault="00245F8C" w:rsidP="00245F8C">
            <w:pPr>
              <w:spacing w:after="0" w:line="240" w:lineRule="auto"/>
              <w:jc w:val="right"/>
              <w:rPr>
                <w:rFonts w:cs="Times New Roman"/>
                <w:sz w:val="20"/>
                <w:szCs w:val="20"/>
              </w:rPr>
            </w:pPr>
            <w:r w:rsidRPr="00245F8C">
              <w:rPr>
                <w:rFonts w:cs="Times New Roman"/>
                <w:sz w:val="20"/>
                <w:szCs w:val="20"/>
              </w:rPr>
              <w:t>0</w:t>
            </w:r>
          </w:p>
        </w:tc>
        <w:tc>
          <w:tcPr>
            <w:tcW w:w="502" w:type="pct"/>
            <w:tcBorders>
              <w:top w:val="nil"/>
              <w:left w:val="nil"/>
              <w:bottom w:val="nil"/>
              <w:right w:val="nil"/>
            </w:tcBorders>
            <w:shd w:val="clear" w:color="000000" w:fill="FFFFFF"/>
            <w:noWrap/>
            <w:vAlign w:val="center"/>
          </w:tcPr>
          <w:p w14:paraId="70D63800" w14:textId="3F5E0C36" w:rsidR="00245F8C" w:rsidRPr="00245F8C" w:rsidRDefault="00245F8C" w:rsidP="00245F8C">
            <w:pPr>
              <w:spacing w:after="0" w:line="240" w:lineRule="auto"/>
              <w:jc w:val="right"/>
              <w:rPr>
                <w:rFonts w:cs="Times New Roman"/>
                <w:sz w:val="20"/>
                <w:szCs w:val="20"/>
              </w:rPr>
            </w:pPr>
            <w:r w:rsidRPr="00245F8C">
              <w:rPr>
                <w:rFonts w:cs="Times New Roman"/>
                <w:sz w:val="20"/>
                <w:szCs w:val="20"/>
              </w:rPr>
              <w:t>0</w:t>
            </w:r>
          </w:p>
        </w:tc>
        <w:tc>
          <w:tcPr>
            <w:tcW w:w="502" w:type="pct"/>
            <w:tcBorders>
              <w:top w:val="nil"/>
              <w:left w:val="nil"/>
              <w:bottom w:val="nil"/>
              <w:right w:val="nil"/>
            </w:tcBorders>
            <w:shd w:val="clear" w:color="000000" w:fill="FFFFFF"/>
            <w:noWrap/>
            <w:vAlign w:val="center"/>
          </w:tcPr>
          <w:p w14:paraId="652F4D43" w14:textId="16073BB3" w:rsidR="00245F8C" w:rsidRPr="00245F8C" w:rsidRDefault="00245F8C" w:rsidP="00245F8C">
            <w:pPr>
              <w:spacing w:after="0" w:line="240" w:lineRule="auto"/>
              <w:jc w:val="right"/>
              <w:rPr>
                <w:rFonts w:cs="Times New Roman"/>
                <w:sz w:val="20"/>
                <w:szCs w:val="20"/>
              </w:rPr>
            </w:pPr>
            <w:r w:rsidRPr="00245F8C">
              <w:rPr>
                <w:rFonts w:cs="Times New Roman"/>
                <w:sz w:val="20"/>
                <w:szCs w:val="20"/>
              </w:rPr>
              <w:t>52 305</w:t>
            </w:r>
          </w:p>
        </w:tc>
        <w:tc>
          <w:tcPr>
            <w:tcW w:w="564" w:type="pct"/>
            <w:tcBorders>
              <w:top w:val="nil"/>
              <w:left w:val="nil"/>
              <w:bottom w:val="nil"/>
              <w:right w:val="nil"/>
            </w:tcBorders>
            <w:shd w:val="clear" w:color="000000" w:fill="FFFFFF"/>
            <w:noWrap/>
            <w:vAlign w:val="center"/>
          </w:tcPr>
          <w:p w14:paraId="62B3E784" w14:textId="2E8A11D4" w:rsidR="00245F8C" w:rsidRPr="00245F8C" w:rsidRDefault="00245F8C" w:rsidP="00245F8C">
            <w:pPr>
              <w:spacing w:after="0" w:line="240" w:lineRule="auto"/>
              <w:jc w:val="right"/>
              <w:rPr>
                <w:rFonts w:cs="Times New Roman"/>
                <w:sz w:val="20"/>
                <w:szCs w:val="20"/>
              </w:rPr>
            </w:pPr>
            <w:r w:rsidRPr="00245F8C">
              <w:rPr>
                <w:rFonts w:cs="Times New Roman"/>
                <w:sz w:val="20"/>
                <w:szCs w:val="20"/>
              </w:rPr>
              <w:t>0</w:t>
            </w:r>
          </w:p>
        </w:tc>
        <w:tc>
          <w:tcPr>
            <w:tcW w:w="563" w:type="pct"/>
            <w:gridSpan w:val="2"/>
            <w:tcBorders>
              <w:top w:val="nil"/>
              <w:left w:val="nil"/>
              <w:bottom w:val="nil"/>
              <w:right w:val="nil"/>
            </w:tcBorders>
            <w:shd w:val="clear" w:color="000000" w:fill="FFFFFF"/>
            <w:noWrap/>
            <w:vAlign w:val="center"/>
          </w:tcPr>
          <w:p w14:paraId="2AC5AD8A" w14:textId="01DAB6A7" w:rsidR="00245F8C" w:rsidRPr="00245F8C" w:rsidRDefault="00245F8C" w:rsidP="00245F8C">
            <w:pPr>
              <w:spacing w:after="0" w:line="240" w:lineRule="auto"/>
              <w:jc w:val="right"/>
              <w:rPr>
                <w:rFonts w:cs="Times New Roman"/>
                <w:sz w:val="20"/>
                <w:szCs w:val="20"/>
              </w:rPr>
            </w:pPr>
            <w:r w:rsidRPr="00245F8C">
              <w:rPr>
                <w:rFonts w:cs="Times New Roman"/>
                <w:sz w:val="20"/>
                <w:szCs w:val="20"/>
              </w:rPr>
              <w:t>-52 305</w:t>
            </w:r>
          </w:p>
        </w:tc>
        <w:tc>
          <w:tcPr>
            <w:tcW w:w="362" w:type="pct"/>
            <w:tcBorders>
              <w:top w:val="nil"/>
              <w:left w:val="nil"/>
              <w:bottom w:val="nil"/>
              <w:right w:val="nil"/>
            </w:tcBorders>
            <w:shd w:val="clear" w:color="000000" w:fill="FFFFFF"/>
            <w:noWrap/>
            <w:vAlign w:val="center"/>
          </w:tcPr>
          <w:p w14:paraId="7C9F40E6" w14:textId="3E9DE6D4" w:rsidR="00245F8C" w:rsidRPr="00245F8C" w:rsidRDefault="00245F8C" w:rsidP="00245F8C">
            <w:pPr>
              <w:spacing w:after="0" w:line="240" w:lineRule="auto"/>
              <w:jc w:val="right"/>
              <w:rPr>
                <w:rFonts w:cs="Times New Roman"/>
                <w:sz w:val="20"/>
                <w:szCs w:val="20"/>
              </w:rPr>
            </w:pPr>
            <w:r w:rsidRPr="00245F8C">
              <w:rPr>
                <w:rFonts w:cs="Times New Roman"/>
                <w:sz w:val="20"/>
                <w:szCs w:val="20"/>
              </w:rPr>
              <w:t>-100,0</w:t>
            </w:r>
          </w:p>
        </w:tc>
      </w:tr>
      <w:tr w:rsidR="00245F8C" w:rsidRPr="00245F8C" w14:paraId="67389101" w14:textId="77777777" w:rsidTr="00B56A1D">
        <w:trPr>
          <w:trHeight w:val="330"/>
        </w:trPr>
        <w:tc>
          <w:tcPr>
            <w:tcW w:w="2005" w:type="pct"/>
            <w:tcBorders>
              <w:top w:val="nil"/>
              <w:left w:val="nil"/>
              <w:bottom w:val="nil"/>
              <w:right w:val="nil"/>
            </w:tcBorders>
            <w:shd w:val="clear" w:color="000000" w:fill="FFFFFF"/>
            <w:vAlign w:val="center"/>
            <w:hideMark/>
          </w:tcPr>
          <w:p w14:paraId="7A8F0570" w14:textId="77777777" w:rsidR="00245F8C" w:rsidRPr="00245F8C" w:rsidRDefault="00245F8C" w:rsidP="00245F8C">
            <w:pPr>
              <w:spacing w:after="0" w:line="240" w:lineRule="auto"/>
              <w:jc w:val="left"/>
              <w:rPr>
                <w:rFonts w:eastAsia="Times New Roman" w:cs="Times New Roman"/>
                <w:color w:val="000000"/>
                <w:sz w:val="20"/>
                <w:szCs w:val="20"/>
                <w:lang w:eastAsia="sk-SK"/>
              </w:rPr>
            </w:pPr>
            <w:r w:rsidRPr="00245F8C">
              <w:rPr>
                <w:rFonts w:eastAsia="Times New Roman" w:cs="Times New Roman"/>
                <w:color w:val="000000"/>
                <w:sz w:val="20"/>
                <w:szCs w:val="20"/>
                <w:lang w:eastAsia="sk-SK"/>
              </w:rPr>
              <w:t>Programy EÚS 3. programové obdobie (CO MF SR)</w:t>
            </w:r>
          </w:p>
        </w:tc>
        <w:tc>
          <w:tcPr>
            <w:tcW w:w="502" w:type="pct"/>
            <w:tcBorders>
              <w:top w:val="nil"/>
              <w:left w:val="nil"/>
              <w:bottom w:val="nil"/>
              <w:right w:val="nil"/>
            </w:tcBorders>
            <w:shd w:val="clear" w:color="000000" w:fill="FFFFFF"/>
            <w:noWrap/>
            <w:vAlign w:val="center"/>
            <w:hideMark/>
          </w:tcPr>
          <w:p w14:paraId="5BD0A3EE" w14:textId="03CEF168"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26 092</w:t>
            </w:r>
          </w:p>
        </w:tc>
        <w:tc>
          <w:tcPr>
            <w:tcW w:w="502" w:type="pct"/>
            <w:tcBorders>
              <w:top w:val="nil"/>
              <w:left w:val="nil"/>
              <w:bottom w:val="nil"/>
              <w:right w:val="nil"/>
            </w:tcBorders>
            <w:shd w:val="clear" w:color="000000" w:fill="FFFFFF"/>
            <w:noWrap/>
            <w:vAlign w:val="center"/>
            <w:hideMark/>
          </w:tcPr>
          <w:p w14:paraId="6E2DC03E" w14:textId="397F0BF6"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28 405</w:t>
            </w:r>
          </w:p>
        </w:tc>
        <w:tc>
          <w:tcPr>
            <w:tcW w:w="502" w:type="pct"/>
            <w:tcBorders>
              <w:top w:val="nil"/>
              <w:left w:val="nil"/>
              <w:bottom w:val="nil"/>
              <w:right w:val="nil"/>
            </w:tcBorders>
            <w:shd w:val="clear" w:color="000000" w:fill="FFFFFF"/>
            <w:noWrap/>
            <w:vAlign w:val="center"/>
            <w:hideMark/>
          </w:tcPr>
          <w:p w14:paraId="6C35021B" w14:textId="033B14C6"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41 299</w:t>
            </w:r>
          </w:p>
        </w:tc>
        <w:tc>
          <w:tcPr>
            <w:tcW w:w="564" w:type="pct"/>
            <w:tcBorders>
              <w:top w:val="nil"/>
              <w:left w:val="nil"/>
              <w:bottom w:val="nil"/>
              <w:right w:val="nil"/>
            </w:tcBorders>
            <w:shd w:val="clear" w:color="000000" w:fill="FFFFFF"/>
            <w:noWrap/>
            <w:vAlign w:val="center"/>
            <w:hideMark/>
          </w:tcPr>
          <w:p w14:paraId="489EC21D" w14:textId="5620A5B2"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26 475</w:t>
            </w:r>
          </w:p>
        </w:tc>
        <w:tc>
          <w:tcPr>
            <w:tcW w:w="563" w:type="pct"/>
            <w:gridSpan w:val="2"/>
            <w:tcBorders>
              <w:top w:val="nil"/>
              <w:left w:val="nil"/>
              <w:bottom w:val="nil"/>
              <w:right w:val="nil"/>
            </w:tcBorders>
            <w:shd w:val="clear" w:color="000000" w:fill="FFFFFF"/>
            <w:noWrap/>
            <w:vAlign w:val="center"/>
            <w:hideMark/>
          </w:tcPr>
          <w:p w14:paraId="0D89B991" w14:textId="2E4A3D90"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-14 824</w:t>
            </w:r>
          </w:p>
        </w:tc>
        <w:tc>
          <w:tcPr>
            <w:tcW w:w="362" w:type="pct"/>
            <w:tcBorders>
              <w:top w:val="nil"/>
              <w:left w:val="nil"/>
              <w:bottom w:val="nil"/>
              <w:right w:val="nil"/>
            </w:tcBorders>
            <w:shd w:val="clear" w:color="000000" w:fill="FFFFFF"/>
            <w:noWrap/>
            <w:vAlign w:val="center"/>
            <w:hideMark/>
          </w:tcPr>
          <w:p w14:paraId="77A099C8" w14:textId="3BBD360A"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-35,9</w:t>
            </w:r>
          </w:p>
        </w:tc>
      </w:tr>
      <w:tr w:rsidR="00245F8C" w:rsidRPr="00245F8C" w14:paraId="4DC315BA" w14:textId="77777777" w:rsidTr="00B56A1D">
        <w:trPr>
          <w:trHeight w:val="330"/>
        </w:trPr>
        <w:tc>
          <w:tcPr>
            <w:tcW w:w="2005" w:type="pct"/>
            <w:tcBorders>
              <w:top w:val="nil"/>
              <w:left w:val="nil"/>
              <w:bottom w:val="nil"/>
              <w:right w:val="nil"/>
            </w:tcBorders>
            <w:shd w:val="clear" w:color="000000" w:fill="FFFFFF"/>
            <w:vAlign w:val="center"/>
          </w:tcPr>
          <w:p w14:paraId="6638D250" w14:textId="15AD7033" w:rsidR="00245F8C" w:rsidRPr="00245F8C" w:rsidRDefault="00245F8C" w:rsidP="00245F8C">
            <w:pPr>
              <w:spacing w:after="0" w:line="240" w:lineRule="auto"/>
              <w:jc w:val="left"/>
              <w:rPr>
                <w:rFonts w:eastAsia="Times New Roman" w:cs="Times New Roman"/>
                <w:color w:val="000000"/>
                <w:sz w:val="20"/>
                <w:szCs w:val="20"/>
                <w:lang w:eastAsia="sk-SK"/>
              </w:rPr>
            </w:pPr>
            <w:r w:rsidRPr="00245F8C">
              <w:rPr>
                <w:rFonts w:cs="Times New Roman"/>
                <w:sz w:val="20"/>
                <w:szCs w:val="20"/>
              </w:rPr>
              <w:t>Programy EÚS 4. programové obdobie (PO MF SR)</w:t>
            </w:r>
          </w:p>
        </w:tc>
        <w:tc>
          <w:tcPr>
            <w:tcW w:w="502" w:type="pct"/>
            <w:tcBorders>
              <w:top w:val="nil"/>
              <w:left w:val="nil"/>
              <w:bottom w:val="nil"/>
              <w:right w:val="nil"/>
            </w:tcBorders>
            <w:shd w:val="clear" w:color="000000" w:fill="FFFFFF"/>
            <w:noWrap/>
            <w:vAlign w:val="center"/>
          </w:tcPr>
          <w:p w14:paraId="2CE933C9" w14:textId="2C844BA6" w:rsidR="00245F8C" w:rsidRPr="00245F8C" w:rsidRDefault="00245F8C" w:rsidP="00245F8C">
            <w:pPr>
              <w:spacing w:after="0" w:line="240" w:lineRule="auto"/>
              <w:jc w:val="right"/>
              <w:rPr>
                <w:rFonts w:cs="Times New Roman"/>
                <w:sz w:val="20"/>
                <w:szCs w:val="20"/>
              </w:rPr>
            </w:pPr>
            <w:r w:rsidRPr="00245F8C">
              <w:rPr>
                <w:rFonts w:cs="Times New Roman"/>
                <w:sz w:val="20"/>
                <w:szCs w:val="20"/>
              </w:rPr>
              <w:t>0</w:t>
            </w:r>
          </w:p>
        </w:tc>
        <w:tc>
          <w:tcPr>
            <w:tcW w:w="502" w:type="pct"/>
            <w:tcBorders>
              <w:top w:val="nil"/>
              <w:left w:val="nil"/>
              <w:bottom w:val="nil"/>
              <w:right w:val="nil"/>
            </w:tcBorders>
            <w:shd w:val="clear" w:color="000000" w:fill="FFFFFF"/>
            <w:noWrap/>
            <w:vAlign w:val="center"/>
          </w:tcPr>
          <w:p w14:paraId="09746F01" w14:textId="6A56E8A8" w:rsidR="00245F8C" w:rsidRPr="00245F8C" w:rsidRDefault="00245F8C" w:rsidP="00245F8C">
            <w:pPr>
              <w:spacing w:after="0" w:line="240" w:lineRule="auto"/>
              <w:jc w:val="right"/>
              <w:rPr>
                <w:rFonts w:cs="Times New Roman"/>
                <w:sz w:val="20"/>
                <w:szCs w:val="20"/>
              </w:rPr>
            </w:pPr>
            <w:r w:rsidRPr="00245F8C">
              <w:rPr>
                <w:rFonts w:cs="Times New Roman"/>
                <w:sz w:val="20"/>
                <w:szCs w:val="20"/>
              </w:rPr>
              <w:t>0</w:t>
            </w:r>
          </w:p>
        </w:tc>
        <w:tc>
          <w:tcPr>
            <w:tcW w:w="502" w:type="pct"/>
            <w:tcBorders>
              <w:top w:val="nil"/>
              <w:left w:val="nil"/>
              <w:bottom w:val="nil"/>
              <w:right w:val="nil"/>
            </w:tcBorders>
            <w:shd w:val="clear" w:color="000000" w:fill="FFFFFF"/>
            <w:noWrap/>
            <w:vAlign w:val="center"/>
          </w:tcPr>
          <w:p w14:paraId="52D329B1" w14:textId="23286E91" w:rsidR="00245F8C" w:rsidRPr="00245F8C" w:rsidRDefault="00245F8C" w:rsidP="00245F8C">
            <w:pPr>
              <w:spacing w:after="0" w:line="240" w:lineRule="auto"/>
              <w:jc w:val="right"/>
              <w:rPr>
                <w:rFonts w:cs="Times New Roman"/>
                <w:sz w:val="20"/>
                <w:szCs w:val="20"/>
              </w:rPr>
            </w:pPr>
            <w:r w:rsidRPr="00245F8C">
              <w:rPr>
                <w:rFonts w:cs="Times New Roman"/>
                <w:sz w:val="20"/>
                <w:szCs w:val="20"/>
              </w:rPr>
              <w:t>0</w:t>
            </w:r>
          </w:p>
        </w:tc>
        <w:tc>
          <w:tcPr>
            <w:tcW w:w="564" w:type="pct"/>
            <w:tcBorders>
              <w:top w:val="nil"/>
              <w:left w:val="nil"/>
              <w:bottom w:val="nil"/>
              <w:right w:val="nil"/>
            </w:tcBorders>
            <w:shd w:val="clear" w:color="000000" w:fill="FFFFFF"/>
            <w:noWrap/>
            <w:vAlign w:val="center"/>
          </w:tcPr>
          <w:p w14:paraId="09F34B36" w14:textId="61267BFA" w:rsidR="00245F8C" w:rsidRPr="00245F8C" w:rsidRDefault="00245F8C" w:rsidP="00245F8C">
            <w:pPr>
              <w:spacing w:after="0" w:line="240" w:lineRule="auto"/>
              <w:jc w:val="right"/>
              <w:rPr>
                <w:rFonts w:cs="Times New Roman"/>
                <w:sz w:val="20"/>
                <w:szCs w:val="20"/>
              </w:rPr>
            </w:pPr>
            <w:r w:rsidRPr="00245F8C">
              <w:rPr>
                <w:rFonts w:cs="Times New Roman"/>
                <w:sz w:val="20"/>
                <w:szCs w:val="20"/>
              </w:rPr>
              <w:t>0</w:t>
            </w:r>
          </w:p>
        </w:tc>
        <w:tc>
          <w:tcPr>
            <w:tcW w:w="563" w:type="pct"/>
            <w:gridSpan w:val="2"/>
            <w:tcBorders>
              <w:top w:val="nil"/>
              <w:left w:val="nil"/>
              <w:bottom w:val="nil"/>
              <w:right w:val="nil"/>
            </w:tcBorders>
            <w:shd w:val="clear" w:color="000000" w:fill="FFFFFF"/>
            <w:noWrap/>
            <w:vAlign w:val="center"/>
          </w:tcPr>
          <w:p w14:paraId="55991D46" w14:textId="1C6F14B7" w:rsidR="00245F8C" w:rsidRPr="00245F8C" w:rsidRDefault="00245F8C" w:rsidP="00245F8C">
            <w:pPr>
              <w:spacing w:after="0" w:line="240" w:lineRule="auto"/>
              <w:jc w:val="right"/>
              <w:rPr>
                <w:rFonts w:cs="Times New Roman"/>
                <w:sz w:val="20"/>
                <w:szCs w:val="20"/>
              </w:rPr>
            </w:pPr>
            <w:r w:rsidRPr="00245F8C">
              <w:rPr>
                <w:rFonts w:cs="Times New Roman"/>
                <w:sz w:val="20"/>
                <w:szCs w:val="20"/>
              </w:rPr>
              <w:t>0</w:t>
            </w:r>
          </w:p>
        </w:tc>
        <w:tc>
          <w:tcPr>
            <w:tcW w:w="362" w:type="pct"/>
            <w:tcBorders>
              <w:top w:val="nil"/>
              <w:left w:val="nil"/>
              <w:bottom w:val="nil"/>
              <w:right w:val="nil"/>
            </w:tcBorders>
            <w:shd w:val="clear" w:color="000000" w:fill="FFFFFF"/>
            <w:noWrap/>
            <w:vAlign w:val="center"/>
          </w:tcPr>
          <w:p w14:paraId="6E04EB48" w14:textId="6C7A83B9" w:rsidR="00245F8C" w:rsidRPr="00245F8C" w:rsidRDefault="00245F8C" w:rsidP="00245F8C">
            <w:pPr>
              <w:spacing w:after="0" w:line="240" w:lineRule="auto"/>
              <w:jc w:val="right"/>
              <w:rPr>
                <w:rFonts w:cs="Times New Roman"/>
                <w:sz w:val="20"/>
                <w:szCs w:val="20"/>
              </w:rPr>
            </w:pPr>
            <w:r w:rsidRPr="00245F8C">
              <w:rPr>
                <w:rFonts w:cs="Times New Roman"/>
                <w:sz w:val="20"/>
                <w:szCs w:val="20"/>
              </w:rPr>
              <w:t>0,0 </w:t>
            </w:r>
          </w:p>
        </w:tc>
      </w:tr>
      <w:tr w:rsidR="00245F8C" w:rsidRPr="00245F8C" w14:paraId="48B88310" w14:textId="77777777" w:rsidTr="00B56A1D">
        <w:trPr>
          <w:trHeight w:val="330"/>
        </w:trPr>
        <w:tc>
          <w:tcPr>
            <w:tcW w:w="2005" w:type="pct"/>
            <w:tcBorders>
              <w:top w:val="nil"/>
              <w:left w:val="nil"/>
              <w:bottom w:val="nil"/>
              <w:right w:val="nil"/>
            </w:tcBorders>
            <w:shd w:val="clear" w:color="000000" w:fill="FFFFFF"/>
            <w:vAlign w:val="center"/>
            <w:hideMark/>
          </w:tcPr>
          <w:p w14:paraId="001FBD3E" w14:textId="77777777" w:rsidR="00245F8C" w:rsidRPr="00245F8C" w:rsidRDefault="00245F8C" w:rsidP="00245F8C">
            <w:pPr>
              <w:spacing w:after="0" w:line="240" w:lineRule="auto"/>
              <w:jc w:val="left"/>
              <w:rPr>
                <w:rFonts w:eastAsia="Times New Roman" w:cs="Times New Roman"/>
                <w:b/>
                <w:bCs/>
                <w:color w:val="000000"/>
                <w:sz w:val="20"/>
                <w:szCs w:val="20"/>
                <w:lang w:eastAsia="sk-SK"/>
              </w:rPr>
            </w:pPr>
            <w:r w:rsidRPr="00245F8C">
              <w:rPr>
                <w:rFonts w:eastAsia="Times New Roman" w:cs="Times New Roman"/>
                <w:b/>
                <w:bCs/>
                <w:color w:val="000000"/>
                <w:sz w:val="20"/>
                <w:szCs w:val="20"/>
                <w:lang w:eastAsia="sk-SK"/>
              </w:rPr>
              <w:t>Štrukturálne operácie - MF SR</w:t>
            </w:r>
          </w:p>
        </w:tc>
        <w:tc>
          <w:tcPr>
            <w:tcW w:w="502" w:type="pct"/>
            <w:tcBorders>
              <w:top w:val="nil"/>
              <w:left w:val="nil"/>
              <w:bottom w:val="nil"/>
              <w:right w:val="nil"/>
            </w:tcBorders>
            <w:shd w:val="clear" w:color="000000" w:fill="FFFFFF"/>
            <w:noWrap/>
            <w:vAlign w:val="center"/>
            <w:hideMark/>
          </w:tcPr>
          <w:p w14:paraId="5CAB99E3" w14:textId="4B60C303"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1 668 787</w:t>
            </w:r>
          </w:p>
        </w:tc>
        <w:tc>
          <w:tcPr>
            <w:tcW w:w="502" w:type="pct"/>
            <w:tcBorders>
              <w:top w:val="nil"/>
              <w:left w:val="nil"/>
              <w:bottom w:val="nil"/>
              <w:right w:val="nil"/>
            </w:tcBorders>
            <w:shd w:val="clear" w:color="000000" w:fill="FFFFFF"/>
            <w:noWrap/>
            <w:vAlign w:val="center"/>
            <w:hideMark/>
          </w:tcPr>
          <w:p w14:paraId="3E3B734E" w14:textId="03124096"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1 838 237</w:t>
            </w:r>
          </w:p>
        </w:tc>
        <w:tc>
          <w:tcPr>
            <w:tcW w:w="502" w:type="pct"/>
            <w:tcBorders>
              <w:top w:val="nil"/>
              <w:left w:val="nil"/>
              <w:bottom w:val="nil"/>
              <w:right w:val="nil"/>
            </w:tcBorders>
            <w:shd w:val="clear" w:color="000000" w:fill="FFFFFF"/>
            <w:noWrap/>
            <w:vAlign w:val="center"/>
            <w:hideMark/>
          </w:tcPr>
          <w:p w14:paraId="09C35766" w14:textId="53274A2A"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2 280 325</w:t>
            </w:r>
          </w:p>
        </w:tc>
        <w:tc>
          <w:tcPr>
            <w:tcW w:w="564" w:type="pct"/>
            <w:tcBorders>
              <w:top w:val="nil"/>
              <w:left w:val="nil"/>
              <w:bottom w:val="nil"/>
              <w:right w:val="nil"/>
            </w:tcBorders>
            <w:shd w:val="clear" w:color="000000" w:fill="FFFFFF"/>
            <w:noWrap/>
            <w:vAlign w:val="center"/>
            <w:hideMark/>
          </w:tcPr>
          <w:p w14:paraId="25FC924A" w14:textId="48BC2A3D"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1 772 572</w:t>
            </w:r>
          </w:p>
        </w:tc>
        <w:tc>
          <w:tcPr>
            <w:tcW w:w="563" w:type="pct"/>
            <w:gridSpan w:val="2"/>
            <w:tcBorders>
              <w:top w:val="nil"/>
              <w:left w:val="nil"/>
              <w:bottom w:val="nil"/>
              <w:right w:val="nil"/>
            </w:tcBorders>
            <w:shd w:val="clear" w:color="000000" w:fill="FFFFFF"/>
            <w:noWrap/>
            <w:vAlign w:val="center"/>
            <w:hideMark/>
          </w:tcPr>
          <w:p w14:paraId="6584D721" w14:textId="1299D062"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-507 753</w:t>
            </w:r>
          </w:p>
        </w:tc>
        <w:tc>
          <w:tcPr>
            <w:tcW w:w="362" w:type="pct"/>
            <w:tcBorders>
              <w:top w:val="nil"/>
              <w:left w:val="nil"/>
              <w:bottom w:val="nil"/>
              <w:right w:val="nil"/>
            </w:tcBorders>
            <w:shd w:val="clear" w:color="000000" w:fill="FFFFFF"/>
            <w:noWrap/>
            <w:vAlign w:val="center"/>
            <w:hideMark/>
          </w:tcPr>
          <w:p w14:paraId="343DFA4F" w14:textId="5D8A9DA0"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-22,3</w:t>
            </w:r>
          </w:p>
        </w:tc>
      </w:tr>
      <w:tr w:rsidR="00245F8C" w:rsidRPr="00245F8C" w14:paraId="0906DF90" w14:textId="77777777" w:rsidTr="00B56A1D">
        <w:trPr>
          <w:trHeight w:val="330"/>
        </w:trPr>
        <w:tc>
          <w:tcPr>
            <w:tcW w:w="2005" w:type="pct"/>
            <w:tcBorders>
              <w:top w:val="nil"/>
              <w:left w:val="nil"/>
              <w:bottom w:val="nil"/>
              <w:right w:val="nil"/>
            </w:tcBorders>
            <w:shd w:val="clear" w:color="000000" w:fill="FFFFFF"/>
            <w:vAlign w:val="center"/>
            <w:hideMark/>
          </w:tcPr>
          <w:p w14:paraId="6988D8E6" w14:textId="77777777" w:rsidR="00245F8C" w:rsidRPr="00245F8C" w:rsidRDefault="00245F8C" w:rsidP="00245F8C">
            <w:pPr>
              <w:spacing w:after="0" w:line="240" w:lineRule="auto"/>
              <w:jc w:val="left"/>
              <w:rPr>
                <w:rFonts w:eastAsia="Times New Roman" w:cs="Times New Roman"/>
                <w:color w:val="000000"/>
                <w:sz w:val="20"/>
                <w:szCs w:val="20"/>
                <w:lang w:eastAsia="sk-SK"/>
              </w:rPr>
            </w:pPr>
            <w:r w:rsidRPr="00245F8C">
              <w:rPr>
                <w:rFonts w:eastAsia="Times New Roman" w:cs="Times New Roman"/>
                <w:color w:val="000000"/>
                <w:sz w:val="20"/>
                <w:szCs w:val="20"/>
                <w:lang w:eastAsia="sk-SK"/>
              </w:rPr>
              <w:lastRenderedPageBreak/>
              <w:t>OP Sociálneho začlenenia najodkázanejších osôb</w:t>
            </w:r>
          </w:p>
        </w:tc>
        <w:tc>
          <w:tcPr>
            <w:tcW w:w="502" w:type="pct"/>
            <w:tcBorders>
              <w:top w:val="nil"/>
              <w:left w:val="nil"/>
              <w:bottom w:val="nil"/>
              <w:right w:val="nil"/>
            </w:tcBorders>
            <w:shd w:val="clear" w:color="000000" w:fill="FFFFFF"/>
            <w:noWrap/>
            <w:vAlign w:val="center"/>
            <w:hideMark/>
          </w:tcPr>
          <w:p w14:paraId="41F5D276" w14:textId="28070030"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4 636</w:t>
            </w:r>
          </w:p>
        </w:tc>
        <w:tc>
          <w:tcPr>
            <w:tcW w:w="502" w:type="pct"/>
            <w:tcBorders>
              <w:top w:val="nil"/>
              <w:left w:val="nil"/>
              <w:bottom w:val="nil"/>
              <w:right w:val="nil"/>
            </w:tcBorders>
            <w:shd w:val="clear" w:color="000000" w:fill="FFFFFF"/>
            <w:noWrap/>
            <w:vAlign w:val="center"/>
            <w:hideMark/>
          </w:tcPr>
          <w:p w14:paraId="0E97C9B8" w14:textId="02108506"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438</w:t>
            </w:r>
          </w:p>
        </w:tc>
        <w:tc>
          <w:tcPr>
            <w:tcW w:w="502" w:type="pct"/>
            <w:tcBorders>
              <w:top w:val="nil"/>
              <w:left w:val="nil"/>
              <w:bottom w:val="nil"/>
              <w:right w:val="nil"/>
            </w:tcBorders>
            <w:shd w:val="clear" w:color="000000" w:fill="FFFFFF"/>
            <w:noWrap/>
            <w:vAlign w:val="center"/>
            <w:hideMark/>
          </w:tcPr>
          <w:p w14:paraId="70224AF1" w14:textId="7E74D208"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1 062</w:t>
            </w:r>
          </w:p>
        </w:tc>
        <w:tc>
          <w:tcPr>
            <w:tcW w:w="564" w:type="pct"/>
            <w:tcBorders>
              <w:top w:val="nil"/>
              <w:left w:val="nil"/>
              <w:bottom w:val="nil"/>
              <w:right w:val="nil"/>
            </w:tcBorders>
            <w:shd w:val="clear" w:color="000000" w:fill="FFFFFF"/>
            <w:noWrap/>
            <w:vAlign w:val="center"/>
            <w:hideMark/>
          </w:tcPr>
          <w:p w14:paraId="6EA1FB1B" w14:textId="41748E28"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1 188</w:t>
            </w:r>
          </w:p>
        </w:tc>
        <w:tc>
          <w:tcPr>
            <w:tcW w:w="563" w:type="pct"/>
            <w:gridSpan w:val="2"/>
            <w:tcBorders>
              <w:top w:val="nil"/>
              <w:left w:val="nil"/>
              <w:bottom w:val="nil"/>
              <w:right w:val="nil"/>
            </w:tcBorders>
            <w:shd w:val="clear" w:color="000000" w:fill="FFFFFF"/>
            <w:noWrap/>
            <w:vAlign w:val="center"/>
            <w:hideMark/>
          </w:tcPr>
          <w:p w14:paraId="572B28E1" w14:textId="22318F1B"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126</w:t>
            </w:r>
          </w:p>
        </w:tc>
        <w:tc>
          <w:tcPr>
            <w:tcW w:w="362" w:type="pct"/>
            <w:tcBorders>
              <w:top w:val="nil"/>
              <w:left w:val="nil"/>
              <w:bottom w:val="nil"/>
              <w:right w:val="nil"/>
            </w:tcBorders>
            <w:shd w:val="clear" w:color="000000" w:fill="FFFFFF"/>
            <w:noWrap/>
            <w:vAlign w:val="center"/>
            <w:hideMark/>
          </w:tcPr>
          <w:p w14:paraId="2DCC1323" w14:textId="0FC3AC83" w:rsidR="00245F8C" w:rsidRPr="00245F8C" w:rsidRDefault="00245F8C" w:rsidP="00245F8C">
            <w:pPr>
              <w:spacing w:after="0" w:line="240" w:lineRule="auto"/>
              <w:jc w:val="right"/>
              <w:rPr>
                <w:rFonts w:eastAsia="Times New Roman" w:cs="Times New Roman"/>
                <w:color w:val="000000"/>
                <w:sz w:val="20"/>
                <w:szCs w:val="20"/>
                <w:highlight w:val="yellow"/>
                <w:lang w:eastAsia="sk-SK"/>
              </w:rPr>
            </w:pPr>
            <w:r w:rsidRPr="00245F8C">
              <w:rPr>
                <w:rFonts w:cs="Times New Roman"/>
                <w:sz w:val="20"/>
                <w:szCs w:val="20"/>
              </w:rPr>
              <w:t>11,9</w:t>
            </w:r>
          </w:p>
        </w:tc>
      </w:tr>
      <w:tr w:rsidR="00245F8C" w:rsidRPr="00245F8C" w14:paraId="6A7C010E" w14:textId="77777777" w:rsidTr="00B56A1D">
        <w:trPr>
          <w:trHeight w:val="330"/>
        </w:trPr>
        <w:tc>
          <w:tcPr>
            <w:tcW w:w="2005" w:type="pct"/>
            <w:tcBorders>
              <w:top w:val="nil"/>
              <w:left w:val="nil"/>
              <w:bottom w:val="nil"/>
              <w:right w:val="nil"/>
            </w:tcBorders>
            <w:shd w:val="clear" w:color="000000" w:fill="FFFFFF"/>
            <w:vAlign w:val="center"/>
            <w:hideMark/>
          </w:tcPr>
          <w:p w14:paraId="67BB537A" w14:textId="77777777" w:rsidR="00245F8C" w:rsidRPr="00245F8C" w:rsidRDefault="00245F8C" w:rsidP="00245F8C">
            <w:pPr>
              <w:spacing w:after="0" w:line="240" w:lineRule="auto"/>
              <w:jc w:val="left"/>
              <w:rPr>
                <w:rFonts w:eastAsia="Times New Roman" w:cs="Times New Roman"/>
                <w:b/>
                <w:bCs/>
                <w:color w:val="000000"/>
                <w:sz w:val="20"/>
                <w:szCs w:val="20"/>
                <w:lang w:eastAsia="sk-SK"/>
              </w:rPr>
            </w:pPr>
            <w:r w:rsidRPr="00245F8C">
              <w:rPr>
                <w:rFonts w:eastAsia="Times New Roman" w:cs="Times New Roman"/>
                <w:b/>
                <w:bCs/>
                <w:color w:val="000000"/>
                <w:sz w:val="20"/>
                <w:szCs w:val="20"/>
                <w:lang w:eastAsia="sk-SK"/>
              </w:rPr>
              <w:t>Štrukturálne operácie - MPSVR SR</w:t>
            </w:r>
          </w:p>
        </w:tc>
        <w:tc>
          <w:tcPr>
            <w:tcW w:w="502" w:type="pct"/>
            <w:tcBorders>
              <w:top w:val="nil"/>
              <w:left w:val="nil"/>
              <w:bottom w:val="nil"/>
              <w:right w:val="nil"/>
            </w:tcBorders>
            <w:shd w:val="clear" w:color="000000" w:fill="FFFFFF"/>
            <w:noWrap/>
            <w:vAlign w:val="center"/>
            <w:hideMark/>
          </w:tcPr>
          <w:p w14:paraId="187E6A0E" w14:textId="0DB98F09"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4 636</w:t>
            </w:r>
          </w:p>
        </w:tc>
        <w:tc>
          <w:tcPr>
            <w:tcW w:w="502" w:type="pct"/>
            <w:tcBorders>
              <w:top w:val="nil"/>
              <w:left w:val="nil"/>
              <w:bottom w:val="nil"/>
              <w:right w:val="nil"/>
            </w:tcBorders>
            <w:shd w:val="clear" w:color="000000" w:fill="FFFFFF"/>
            <w:noWrap/>
            <w:vAlign w:val="center"/>
            <w:hideMark/>
          </w:tcPr>
          <w:p w14:paraId="44B762CB" w14:textId="7E7D8F75"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438</w:t>
            </w:r>
          </w:p>
        </w:tc>
        <w:tc>
          <w:tcPr>
            <w:tcW w:w="502" w:type="pct"/>
            <w:tcBorders>
              <w:top w:val="nil"/>
              <w:left w:val="nil"/>
              <w:bottom w:val="nil"/>
              <w:right w:val="nil"/>
            </w:tcBorders>
            <w:shd w:val="clear" w:color="000000" w:fill="FFFFFF"/>
            <w:noWrap/>
            <w:vAlign w:val="center"/>
            <w:hideMark/>
          </w:tcPr>
          <w:p w14:paraId="4A55D911" w14:textId="2F391BB7"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1 062</w:t>
            </w:r>
          </w:p>
        </w:tc>
        <w:tc>
          <w:tcPr>
            <w:tcW w:w="564" w:type="pct"/>
            <w:tcBorders>
              <w:top w:val="nil"/>
              <w:left w:val="nil"/>
              <w:bottom w:val="nil"/>
              <w:right w:val="nil"/>
            </w:tcBorders>
            <w:shd w:val="clear" w:color="auto" w:fill="auto"/>
            <w:noWrap/>
            <w:vAlign w:val="center"/>
            <w:hideMark/>
          </w:tcPr>
          <w:p w14:paraId="5A753A6A" w14:textId="52E6F35A"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1 188</w:t>
            </w:r>
          </w:p>
        </w:tc>
        <w:tc>
          <w:tcPr>
            <w:tcW w:w="563" w:type="pct"/>
            <w:gridSpan w:val="2"/>
            <w:tcBorders>
              <w:top w:val="nil"/>
              <w:left w:val="nil"/>
              <w:bottom w:val="nil"/>
              <w:right w:val="nil"/>
            </w:tcBorders>
            <w:shd w:val="clear" w:color="000000" w:fill="FFFFFF"/>
            <w:noWrap/>
            <w:vAlign w:val="center"/>
            <w:hideMark/>
          </w:tcPr>
          <w:p w14:paraId="5E4EDB28" w14:textId="42354250"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126</w:t>
            </w:r>
          </w:p>
        </w:tc>
        <w:tc>
          <w:tcPr>
            <w:tcW w:w="362" w:type="pct"/>
            <w:tcBorders>
              <w:top w:val="nil"/>
              <w:left w:val="nil"/>
              <w:bottom w:val="nil"/>
              <w:right w:val="nil"/>
            </w:tcBorders>
            <w:shd w:val="clear" w:color="000000" w:fill="FFFFFF"/>
            <w:noWrap/>
            <w:vAlign w:val="center"/>
            <w:hideMark/>
          </w:tcPr>
          <w:p w14:paraId="123A87E4" w14:textId="2DD4B2F2" w:rsidR="00245F8C" w:rsidRPr="00245F8C" w:rsidRDefault="00245F8C" w:rsidP="00245F8C">
            <w:pPr>
              <w:spacing w:after="0" w:line="240" w:lineRule="auto"/>
              <w:jc w:val="right"/>
              <w:rPr>
                <w:rFonts w:eastAsia="Times New Roman" w:cs="Times New Roman"/>
                <w:b/>
                <w:bCs/>
                <w:color w:val="000000"/>
                <w:sz w:val="20"/>
                <w:szCs w:val="20"/>
                <w:highlight w:val="yellow"/>
                <w:lang w:eastAsia="sk-SK"/>
              </w:rPr>
            </w:pPr>
            <w:r w:rsidRPr="00245F8C">
              <w:rPr>
                <w:rFonts w:cs="Times New Roman"/>
                <w:b/>
                <w:sz w:val="20"/>
                <w:szCs w:val="20"/>
              </w:rPr>
              <w:t>11,9</w:t>
            </w:r>
          </w:p>
        </w:tc>
      </w:tr>
      <w:tr w:rsidR="00245F8C" w:rsidRPr="00245F8C" w14:paraId="0F59A004" w14:textId="77777777" w:rsidTr="00B56A1D">
        <w:trPr>
          <w:trHeight w:val="330"/>
        </w:trPr>
        <w:tc>
          <w:tcPr>
            <w:tcW w:w="2005" w:type="pct"/>
            <w:tcBorders>
              <w:top w:val="nil"/>
              <w:left w:val="nil"/>
              <w:bottom w:val="nil"/>
              <w:right w:val="nil"/>
            </w:tcBorders>
            <w:shd w:val="clear" w:color="000000" w:fill="FFFFFF"/>
            <w:vAlign w:val="center"/>
          </w:tcPr>
          <w:p w14:paraId="097ADB73" w14:textId="268B4488" w:rsidR="00245F8C" w:rsidRPr="00245F8C" w:rsidRDefault="00245F8C" w:rsidP="00245F8C">
            <w:pPr>
              <w:spacing w:after="0" w:line="240" w:lineRule="auto"/>
              <w:jc w:val="left"/>
              <w:rPr>
                <w:rFonts w:eastAsia="Times New Roman" w:cs="Times New Roman"/>
                <w:b/>
                <w:bCs/>
                <w:color w:val="000000"/>
                <w:sz w:val="20"/>
                <w:szCs w:val="20"/>
                <w:lang w:eastAsia="sk-SK"/>
              </w:rPr>
            </w:pPr>
            <w:r w:rsidRPr="00245F8C">
              <w:rPr>
                <w:rFonts w:cs="Times New Roman"/>
                <w:sz w:val="20"/>
                <w:szCs w:val="20"/>
              </w:rPr>
              <w:t>Fondy pre oblasť vnútorných záležitostí 2021 - 2027</w:t>
            </w:r>
          </w:p>
        </w:tc>
        <w:tc>
          <w:tcPr>
            <w:tcW w:w="502" w:type="pct"/>
            <w:tcBorders>
              <w:top w:val="nil"/>
              <w:left w:val="nil"/>
              <w:bottom w:val="nil"/>
              <w:right w:val="nil"/>
            </w:tcBorders>
            <w:shd w:val="clear" w:color="000000" w:fill="FFFFFF"/>
            <w:noWrap/>
            <w:vAlign w:val="center"/>
          </w:tcPr>
          <w:p w14:paraId="49418F56" w14:textId="090678F9" w:rsidR="00245F8C" w:rsidRPr="00245F8C" w:rsidRDefault="00245F8C" w:rsidP="00245F8C">
            <w:pPr>
              <w:spacing w:after="0" w:line="240" w:lineRule="auto"/>
              <w:jc w:val="right"/>
              <w:rPr>
                <w:rFonts w:cs="Times New Roman"/>
                <w:b/>
                <w:sz w:val="20"/>
                <w:szCs w:val="20"/>
              </w:rPr>
            </w:pPr>
            <w:r w:rsidRPr="00245F8C">
              <w:rPr>
                <w:rFonts w:cs="Times New Roman"/>
                <w:sz w:val="20"/>
                <w:szCs w:val="20"/>
              </w:rPr>
              <w:t>0</w:t>
            </w:r>
          </w:p>
        </w:tc>
        <w:tc>
          <w:tcPr>
            <w:tcW w:w="502" w:type="pct"/>
            <w:tcBorders>
              <w:top w:val="nil"/>
              <w:left w:val="nil"/>
              <w:bottom w:val="nil"/>
              <w:right w:val="nil"/>
            </w:tcBorders>
            <w:shd w:val="clear" w:color="000000" w:fill="FFFFFF"/>
            <w:noWrap/>
            <w:vAlign w:val="center"/>
          </w:tcPr>
          <w:p w14:paraId="7324B7CC" w14:textId="585BA91E" w:rsidR="00245F8C" w:rsidRPr="00245F8C" w:rsidRDefault="00245F8C" w:rsidP="00245F8C">
            <w:pPr>
              <w:spacing w:after="0" w:line="240" w:lineRule="auto"/>
              <w:jc w:val="right"/>
              <w:rPr>
                <w:rFonts w:cs="Times New Roman"/>
                <w:b/>
                <w:sz w:val="20"/>
                <w:szCs w:val="20"/>
              </w:rPr>
            </w:pPr>
            <w:r w:rsidRPr="00245F8C">
              <w:rPr>
                <w:rFonts w:cs="Times New Roman"/>
                <w:sz w:val="20"/>
                <w:szCs w:val="20"/>
              </w:rPr>
              <w:t>0</w:t>
            </w:r>
          </w:p>
        </w:tc>
        <w:tc>
          <w:tcPr>
            <w:tcW w:w="502" w:type="pct"/>
            <w:tcBorders>
              <w:top w:val="nil"/>
              <w:left w:val="nil"/>
              <w:bottom w:val="nil"/>
              <w:right w:val="nil"/>
            </w:tcBorders>
            <w:shd w:val="clear" w:color="000000" w:fill="FFFFFF"/>
            <w:noWrap/>
            <w:vAlign w:val="center"/>
          </w:tcPr>
          <w:p w14:paraId="62ABF9FA" w14:textId="4F73DABC" w:rsidR="00245F8C" w:rsidRPr="00245F8C" w:rsidRDefault="00245F8C" w:rsidP="00245F8C">
            <w:pPr>
              <w:spacing w:after="0" w:line="240" w:lineRule="auto"/>
              <w:jc w:val="right"/>
              <w:rPr>
                <w:rFonts w:cs="Times New Roman"/>
                <w:b/>
                <w:sz w:val="20"/>
                <w:szCs w:val="20"/>
              </w:rPr>
            </w:pPr>
            <w:r w:rsidRPr="00245F8C">
              <w:rPr>
                <w:rFonts w:cs="Times New Roman"/>
                <w:sz w:val="20"/>
                <w:szCs w:val="20"/>
              </w:rPr>
              <w:t>11 641</w:t>
            </w:r>
          </w:p>
        </w:tc>
        <w:tc>
          <w:tcPr>
            <w:tcW w:w="564" w:type="pct"/>
            <w:tcBorders>
              <w:top w:val="nil"/>
              <w:left w:val="nil"/>
              <w:bottom w:val="nil"/>
              <w:right w:val="nil"/>
            </w:tcBorders>
            <w:shd w:val="clear" w:color="auto" w:fill="auto"/>
            <w:noWrap/>
            <w:vAlign w:val="center"/>
          </w:tcPr>
          <w:p w14:paraId="7AA1E92C" w14:textId="2A9B3B49" w:rsidR="00245F8C" w:rsidRPr="00245F8C" w:rsidRDefault="00245F8C" w:rsidP="00245F8C">
            <w:pPr>
              <w:spacing w:after="0" w:line="240" w:lineRule="auto"/>
              <w:jc w:val="right"/>
              <w:rPr>
                <w:rFonts w:cs="Times New Roman"/>
                <w:b/>
                <w:sz w:val="20"/>
                <w:szCs w:val="20"/>
              </w:rPr>
            </w:pPr>
            <w:r w:rsidRPr="00245F8C">
              <w:rPr>
                <w:rFonts w:cs="Times New Roman"/>
                <w:sz w:val="20"/>
                <w:szCs w:val="20"/>
              </w:rPr>
              <w:t>0</w:t>
            </w:r>
          </w:p>
        </w:tc>
        <w:tc>
          <w:tcPr>
            <w:tcW w:w="563" w:type="pct"/>
            <w:gridSpan w:val="2"/>
            <w:tcBorders>
              <w:top w:val="nil"/>
              <w:left w:val="nil"/>
              <w:bottom w:val="nil"/>
              <w:right w:val="nil"/>
            </w:tcBorders>
            <w:shd w:val="clear" w:color="000000" w:fill="FFFFFF"/>
            <w:noWrap/>
            <w:vAlign w:val="center"/>
          </w:tcPr>
          <w:p w14:paraId="307B38C4" w14:textId="203E22F5" w:rsidR="00245F8C" w:rsidRPr="00245F8C" w:rsidRDefault="00245F8C" w:rsidP="00245F8C">
            <w:pPr>
              <w:spacing w:after="0" w:line="240" w:lineRule="auto"/>
              <w:jc w:val="right"/>
              <w:rPr>
                <w:rFonts w:cs="Times New Roman"/>
                <w:b/>
                <w:sz w:val="20"/>
                <w:szCs w:val="20"/>
              </w:rPr>
            </w:pPr>
            <w:r w:rsidRPr="00245F8C">
              <w:rPr>
                <w:rFonts w:cs="Times New Roman"/>
                <w:sz w:val="20"/>
                <w:szCs w:val="20"/>
              </w:rPr>
              <w:t>-11 641 </w:t>
            </w:r>
          </w:p>
        </w:tc>
        <w:tc>
          <w:tcPr>
            <w:tcW w:w="362" w:type="pct"/>
            <w:tcBorders>
              <w:top w:val="nil"/>
              <w:left w:val="nil"/>
              <w:bottom w:val="nil"/>
              <w:right w:val="nil"/>
            </w:tcBorders>
            <w:shd w:val="clear" w:color="000000" w:fill="FFFFFF"/>
            <w:noWrap/>
            <w:vAlign w:val="center"/>
          </w:tcPr>
          <w:p w14:paraId="023D93BE" w14:textId="0ACFD6C4" w:rsidR="00245F8C" w:rsidRPr="00245F8C" w:rsidRDefault="00245F8C" w:rsidP="00245F8C">
            <w:pPr>
              <w:spacing w:after="0" w:line="240" w:lineRule="auto"/>
              <w:jc w:val="right"/>
              <w:rPr>
                <w:rFonts w:cs="Times New Roman"/>
                <w:b/>
                <w:sz w:val="20"/>
                <w:szCs w:val="20"/>
              </w:rPr>
            </w:pPr>
            <w:r w:rsidRPr="00245F8C">
              <w:rPr>
                <w:rFonts w:cs="Times New Roman"/>
                <w:sz w:val="20"/>
                <w:szCs w:val="20"/>
              </w:rPr>
              <w:t>-100,0</w:t>
            </w:r>
          </w:p>
        </w:tc>
      </w:tr>
      <w:tr w:rsidR="00245F8C" w:rsidRPr="00245F8C" w14:paraId="7F493BCF" w14:textId="77777777" w:rsidTr="00B56A1D">
        <w:trPr>
          <w:trHeight w:val="330"/>
        </w:trPr>
        <w:tc>
          <w:tcPr>
            <w:tcW w:w="2005" w:type="pct"/>
            <w:tcBorders>
              <w:top w:val="nil"/>
              <w:left w:val="nil"/>
              <w:bottom w:val="nil"/>
              <w:right w:val="nil"/>
            </w:tcBorders>
            <w:shd w:val="clear" w:color="000000" w:fill="FFFFFF"/>
            <w:vAlign w:val="center"/>
          </w:tcPr>
          <w:p w14:paraId="3A3AD2D0" w14:textId="63B394D5" w:rsidR="00245F8C" w:rsidRPr="00245F8C" w:rsidRDefault="00245F8C" w:rsidP="00245F8C">
            <w:pPr>
              <w:spacing w:after="0" w:line="240" w:lineRule="auto"/>
              <w:jc w:val="left"/>
              <w:rPr>
                <w:rFonts w:eastAsia="Times New Roman" w:cs="Times New Roman"/>
                <w:b/>
                <w:bCs/>
                <w:color w:val="000000"/>
                <w:sz w:val="20"/>
                <w:szCs w:val="20"/>
                <w:lang w:eastAsia="sk-SK"/>
              </w:rPr>
            </w:pPr>
            <w:r w:rsidRPr="00245F8C">
              <w:rPr>
                <w:rFonts w:cs="Times New Roman"/>
                <w:b/>
                <w:sz w:val="20"/>
                <w:szCs w:val="20"/>
              </w:rPr>
              <w:t>Štrukturálne operácie – MV SR</w:t>
            </w:r>
          </w:p>
        </w:tc>
        <w:tc>
          <w:tcPr>
            <w:tcW w:w="502" w:type="pct"/>
            <w:tcBorders>
              <w:top w:val="nil"/>
              <w:left w:val="nil"/>
              <w:bottom w:val="nil"/>
              <w:right w:val="nil"/>
            </w:tcBorders>
            <w:shd w:val="clear" w:color="000000" w:fill="FFFFFF"/>
            <w:noWrap/>
            <w:vAlign w:val="center"/>
          </w:tcPr>
          <w:p w14:paraId="7DB658FD" w14:textId="106B2098" w:rsidR="00245F8C" w:rsidRPr="00245F8C" w:rsidRDefault="00245F8C" w:rsidP="00245F8C">
            <w:pPr>
              <w:spacing w:after="0" w:line="240" w:lineRule="auto"/>
              <w:jc w:val="right"/>
              <w:rPr>
                <w:rFonts w:cs="Times New Roman"/>
                <w:b/>
                <w:sz w:val="20"/>
                <w:szCs w:val="20"/>
              </w:rPr>
            </w:pPr>
            <w:r w:rsidRPr="00245F8C">
              <w:rPr>
                <w:rFonts w:cs="Times New Roman"/>
                <w:b/>
                <w:sz w:val="20"/>
                <w:szCs w:val="20"/>
              </w:rPr>
              <w:t>0</w:t>
            </w:r>
          </w:p>
        </w:tc>
        <w:tc>
          <w:tcPr>
            <w:tcW w:w="502" w:type="pct"/>
            <w:tcBorders>
              <w:top w:val="nil"/>
              <w:left w:val="nil"/>
              <w:bottom w:val="nil"/>
              <w:right w:val="nil"/>
            </w:tcBorders>
            <w:shd w:val="clear" w:color="000000" w:fill="FFFFFF"/>
            <w:noWrap/>
            <w:vAlign w:val="center"/>
          </w:tcPr>
          <w:p w14:paraId="5780E389" w14:textId="78CE1CF0" w:rsidR="00245F8C" w:rsidRPr="00245F8C" w:rsidRDefault="00245F8C" w:rsidP="00245F8C">
            <w:pPr>
              <w:spacing w:after="0" w:line="240" w:lineRule="auto"/>
              <w:jc w:val="right"/>
              <w:rPr>
                <w:rFonts w:cs="Times New Roman"/>
                <w:b/>
                <w:sz w:val="20"/>
                <w:szCs w:val="20"/>
              </w:rPr>
            </w:pPr>
            <w:r w:rsidRPr="00245F8C">
              <w:rPr>
                <w:rFonts w:cs="Times New Roman"/>
                <w:b/>
                <w:sz w:val="20"/>
                <w:szCs w:val="20"/>
              </w:rPr>
              <w:t>0</w:t>
            </w:r>
          </w:p>
        </w:tc>
        <w:tc>
          <w:tcPr>
            <w:tcW w:w="502" w:type="pct"/>
            <w:tcBorders>
              <w:top w:val="nil"/>
              <w:left w:val="nil"/>
              <w:bottom w:val="nil"/>
              <w:right w:val="nil"/>
            </w:tcBorders>
            <w:shd w:val="clear" w:color="000000" w:fill="FFFFFF"/>
            <w:noWrap/>
            <w:vAlign w:val="center"/>
          </w:tcPr>
          <w:p w14:paraId="06A5E1E7" w14:textId="16392C76" w:rsidR="00245F8C" w:rsidRPr="00245F8C" w:rsidRDefault="00245F8C" w:rsidP="00245F8C">
            <w:pPr>
              <w:spacing w:after="0" w:line="240" w:lineRule="auto"/>
              <w:jc w:val="right"/>
              <w:rPr>
                <w:rFonts w:cs="Times New Roman"/>
                <w:b/>
                <w:sz w:val="20"/>
                <w:szCs w:val="20"/>
              </w:rPr>
            </w:pPr>
            <w:r w:rsidRPr="00245F8C">
              <w:rPr>
                <w:rFonts w:cs="Times New Roman"/>
                <w:b/>
                <w:sz w:val="20"/>
                <w:szCs w:val="20"/>
              </w:rPr>
              <w:t>11 641</w:t>
            </w:r>
          </w:p>
        </w:tc>
        <w:tc>
          <w:tcPr>
            <w:tcW w:w="564" w:type="pct"/>
            <w:tcBorders>
              <w:top w:val="nil"/>
              <w:left w:val="nil"/>
              <w:bottom w:val="nil"/>
              <w:right w:val="nil"/>
            </w:tcBorders>
            <w:shd w:val="clear" w:color="auto" w:fill="auto"/>
            <w:noWrap/>
            <w:vAlign w:val="center"/>
          </w:tcPr>
          <w:p w14:paraId="24D81A4F" w14:textId="2A6B555A" w:rsidR="00245F8C" w:rsidRPr="00245F8C" w:rsidRDefault="00245F8C" w:rsidP="00245F8C">
            <w:pPr>
              <w:spacing w:after="0" w:line="240" w:lineRule="auto"/>
              <w:jc w:val="right"/>
              <w:rPr>
                <w:rFonts w:cs="Times New Roman"/>
                <w:b/>
                <w:sz w:val="20"/>
                <w:szCs w:val="20"/>
              </w:rPr>
            </w:pPr>
            <w:r w:rsidRPr="00245F8C">
              <w:rPr>
                <w:rFonts w:cs="Times New Roman"/>
                <w:b/>
                <w:sz w:val="20"/>
                <w:szCs w:val="20"/>
              </w:rPr>
              <w:t>0</w:t>
            </w:r>
          </w:p>
        </w:tc>
        <w:tc>
          <w:tcPr>
            <w:tcW w:w="563" w:type="pct"/>
            <w:gridSpan w:val="2"/>
            <w:tcBorders>
              <w:top w:val="nil"/>
              <w:left w:val="nil"/>
              <w:bottom w:val="nil"/>
              <w:right w:val="nil"/>
            </w:tcBorders>
            <w:shd w:val="clear" w:color="000000" w:fill="FFFFFF"/>
            <w:noWrap/>
            <w:vAlign w:val="center"/>
          </w:tcPr>
          <w:p w14:paraId="117615CE" w14:textId="72B63728" w:rsidR="00245F8C" w:rsidRPr="00245F8C" w:rsidRDefault="00245F8C" w:rsidP="00245F8C">
            <w:pPr>
              <w:spacing w:after="0" w:line="240" w:lineRule="auto"/>
              <w:jc w:val="right"/>
              <w:rPr>
                <w:rFonts w:cs="Times New Roman"/>
                <w:b/>
                <w:sz w:val="20"/>
                <w:szCs w:val="20"/>
              </w:rPr>
            </w:pPr>
            <w:r w:rsidRPr="00245F8C">
              <w:rPr>
                <w:rFonts w:cs="Times New Roman"/>
                <w:b/>
                <w:sz w:val="20"/>
                <w:szCs w:val="20"/>
              </w:rPr>
              <w:t>-11 641</w:t>
            </w:r>
          </w:p>
        </w:tc>
        <w:tc>
          <w:tcPr>
            <w:tcW w:w="362" w:type="pct"/>
            <w:tcBorders>
              <w:top w:val="nil"/>
              <w:left w:val="nil"/>
              <w:bottom w:val="nil"/>
              <w:right w:val="nil"/>
            </w:tcBorders>
            <w:shd w:val="clear" w:color="000000" w:fill="FFFFFF"/>
            <w:noWrap/>
            <w:vAlign w:val="center"/>
          </w:tcPr>
          <w:p w14:paraId="7A2F2FC9" w14:textId="536EF516" w:rsidR="00245F8C" w:rsidRPr="00245F8C" w:rsidRDefault="00245F8C" w:rsidP="00245F8C">
            <w:pPr>
              <w:spacing w:after="0" w:line="240" w:lineRule="auto"/>
              <w:jc w:val="right"/>
              <w:rPr>
                <w:rFonts w:cs="Times New Roman"/>
                <w:b/>
                <w:sz w:val="20"/>
                <w:szCs w:val="20"/>
              </w:rPr>
            </w:pPr>
            <w:r w:rsidRPr="00245F8C">
              <w:rPr>
                <w:rFonts w:cs="Times New Roman"/>
                <w:b/>
                <w:sz w:val="20"/>
                <w:szCs w:val="20"/>
              </w:rPr>
              <w:t>-100,0</w:t>
            </w:r>
          </w:p>
        </w:tc>
      </w:tr>
      <w:tr w:rsidR="00245F8C" w:rsidRPr="00B44DE2" w14:paraId="2BFE9C22" w14:textId="77777777" w:rsidTr="00B56A1D">
        <w:trPr>
          <w:trHeight w:val="345"/>
        </w:trPr>
        <w:tc>
          <w:tcPr>
            <w:tcW w:w="2005" w:type="pct"/>
            <w:tcBorders>
              <w:top w:val="single" w:sz="4" w:space="0" w:color="auto"/>
              <w:left w:val="nil"/>
              <w:bottom w:val="single" w:sz="8" w:space="0" w:color="auto"/>
              <w:right w:val="nil"/>
            </w:tcBorders>
            <w:shd w:val="clear" w:color="000000" w:fill="FFFFFF"/>
            <w:vAlign w:val="center"/>
            <w:hideMark/>
          </w:tcPr>
          <w:p w14:paraId="32415E03" w14:textId="77777777" w:rsidR="00245F8C" w:rsidRPr="00B44DE2" w:rsidRDefault="00245F8C" w:rsidP="00245F8C">
            <w:pPr>
              <w:spacing w:after="0" w:line="240" w:lineRule="auto"/>
              <w:jc w:val="left"/>
              <w:rPr>
                <w:rFonts w:eastAsia="Times New Roman" w:cs="Times New Roman"/>
                <w:b/>
                <w:bCs/>
                <w:color w:val="000000"/>
                <w:sz w:val="20"/>
                <w:szCs w:val="20"/>
                <w:lang w:eastAsia="sk-SK"/>
              </w:rPr>
            </w:pPr>
            <w:r w:rsidRPr="00B44DE2">
              <w:rPr>
                <w:rFonts w:eastAsia="Times New Roman" w:cs="Times New Roman"/>
                <w:b/>
                <w:bCs/>
                <w:color w:val="000000"/>
                <w:sz w:val="20"/>
                <w:szCs w:val="20"/>
                <w:lang w:eastAsia="sk-SK"/>
              </w:rPr>
              <w:t>Spolu výdavky za prostriedky EÚ</w:t>
            </w:r>
          </w:p>
        </w:tc>
        <w:tc>
          <w:tcPr>
            <w:tcW w:w="502" w:type="pct"/>
            <w:tcBorders>
              <w:top w:val="single" w:sz="4" w:space="0" w:color="auto"/>
              <w:left w:val="nil"/>
              <w:bottom w:val="single" w:sz="8" w:space="0" w:color="auto"/>
              <w:right w:val="nil"/>
            </w:tcBorders>
            <w:shd w:val="clear" w:color="000000" w:fill="FFFFFF"/>
            <w:noWrap/>
            <w:vAlign w:val="center"/>
            <w:hideMark/>
          </w:tcPr>
          <w:p w14:paraId="10C07076" w14:textId="5FD83C6D" w:rsidR="00245F8C" w:rsidRPr="00AD5A41" w:rsidRDefault="00245F8C" w:rsidP="00245F8C">
            <w:pPr>
              <w:spacing w:after="0" w:line="240" w:lineRule="auto"/>
              <w:jc w:val="right"/>
              <w:rPr>
                <w:rFonts w:eastAsia="Times New Roman" w:cs="Times New Roman"/>
                <w:b/>
                <w:bCs/>
                <w:color w:val="000000"/>
                <w:sz w:val="20"/>
                <w:szCs w:val="20"/>
                <w:highlight w:val="yellow"/>
                <w:lang w:eastAsia="sk-SK"/>
              </w:rPr>
            </w:pPr>
            <w:r w:rsidRPr="00AD5A41">
              <w:rPr>
                <w:b/>
                <w:sz w:val="20"/>
                <w:szCs w:val="20"/>
              </w:rPr>
              <w:t>2 326 905</w:t>
            </w:r>
          </w:p>
        </w:tc>
        <w:tc>
          <w:tcPr>
            <w:tcW w:w="502" w:type="pct"/>
            <w:tcBorders>
              <w:top w:val="single" w:sz="4" w:space="0" w:color="auto"/>
              <w:left w:val="nil"/>
              <w:bottom w:val="single" w:sz="8" w:space="0" w:color="auto"/>
              <w:right w:val="nil"/>
            </w:tcBorders>
            <w:shd w:val="clear" w:color="000000" w:fill="FFFFFF"/>
            <w:noWrap/>
            <w:vAlign w:val="center"/>
            <w:hideMark/>
          </w:tcPr>
          <w:p w14:paraId="41A70A67" w14:textId="76D83A69" w:rsidR="00245F8C" w:rsidRPr="00AD5A41" w:rsidRDefault="00245F8C" w:rsidP="00245F8C">
            <w:pPr>
              <w:spacing w:after="0" w:line="240" w:lineRule="auto"/>
              <w:jc w:val="right"/>
              <w:rPr>
                <w:rFonts w:eastAsia="Times New Roman" w:cs="Times New Roman"/>
                <w:b/>
                <w:bCs/>
                <w:color w:val="000000"/>
                <w:sz w:val="20"/>
                <w:szCs w:val="20"/>
                <w:highlight w:val="yellow"/>
                <w:lang w:eastAsia="sk-SK"/>
              </w:rPr>
            </w:pPr>
            <w:r w:rsidRPr="00AD5A41">
              <w:rPr>
                <w:b/>
                <w:sz w:val="20"/>
                <w:szCs w:val="20"/>
              </w:rPr>
              <w:t>2 358 196</w:t>
            </w:r>
          </w:p>
        </w:tc>
        <w:tc>
          <w:tcPr>
            <w:tcW w:w="502" w:type="pct"/>
            <w:tcBorders>
              <w:top w:val="single" w:sz="4" w:space="0" w:color="auto"/>
              <w:left w:val="nil"/>
              <w:bottom w:val="single" w:sz="8" w:space="0" w:color="auto"/>
              <w:right w:val="nil"/>
            </w:tcBorders>
            <w:shd w:val="clear" w:color="auto" w:fill="auto"/>
            <w:noWrap/>
            <w:vAlign w:val="center"/>
            <w:hideMark/>
          </w:tcPr>
          <w:p w14:paraId="4046D959" w14:textId="71015E64" w:rsidR="00245F8C" w:rsidRPr="00AD5A41" w:rsidRDefault="00245F8C" w:rsidP="00245F8C">
            <w:pPr>
              <w:spacing w:after="0" w:line="240" w:lineRule="auto"/>
              <w:jc w:val="right"/>
              <w:rPr>
                <w:rFonts w:eastAsia="Times New Roman" w:cs="Times New Roman"/>
                <w:b/>
                <w:bCs/>
                <w:color w:val="000000"/>
                <w:sz w:val="20"/>
                <w:szCs w:val="20"/>
                <w:highlight w:val="yellow"/>
                <w:lang w:eastAsia="sk-SK"/>
              </w:rPr>
            </w:pPr>
            <w:r w:rsidRPr="00AD5A41">
              <w:rPr>
                <w:b/>
                <w:sz w:val="20"/>
                <w:szCs w:val="20"/>
              </w:rPr>
              <w:t>3 148 001</w:t>
            </w:r>
          </w:p>
        </w:tc>
        <w:tc>
          <w:tcPr>
            <w:tcW w:w="564" w:type="pct"/>
            <w:tcBorders>
              <w:top w:val="single" w:sz="4" w:space="0" w:color="auto"/>
              <w:left w:val="nil"/>
              <w:bottom w:val="single" w:sz="8" w:space="0" w:color="auto"/>
              <w:right w:val="nil"/>
            </w:tcBorders>
            <w:shd w:val="clear" w:color="000000" w:fill="FFFFFF"/>
            <w:noWrap/>
            <w:vAlign w:val="center"/>
            <w:hideMark/>
          </w:tcPr>
          <w:p w14:paraId="790D138E" w14:textId="7635DAE1" w:rsidR="00245F8C" w:rsidRPr="00AD5A41" w:rsidRDefault="00245F8C" w:rsidP="00245F8C">
            <w:pPr>
              <w:spacing w:after="0" w:line="240" w:lineRule="auto"/>
              <w:jc w:val="right"/>
              <w:rPr>
                <w:rFonts w:eastAsia="Times New Roman" w:cs="Times New Roman"/>
                <w:b/>
                <w:bCs/>
                <w:color w:val="000000"/>
                <w:sz w:val="20"/>
                <w:szCs w:val="20"/>
                <w:highlight w:val="yellow"/>
                <w:lang w:eastAsia="sk-SK"/>
              </w:rPr>
            </w:pPr>
            <w:r w:rsidRPr="00AD5A41">
              <w:rPr>
                <w:b/>
                <w:sz w:val="20"/>
                <w:szCs w:val="20"/>
              </w:rPr>
              <w:t>2 203 315</w:t>
            </w:r>
          </w:p>
        </w:tc>
        <w:tc>
          <w:tcPr>
            <w:tcW w:w="563" w:type="pct"/>
            <w:gridSpan w:val="2"/>
            <w:tcBorders>
              <w:top w:val="single" w:sz="4" w:space="0" w:color="auto"/>
              <w:left w:val="nil"/>
              <w:bottom w:val="single" w:sz="8" w:space="0" w:color="auto"/>
              <w:right w:val="nil"/>
            </w:tcBorders>
            <w:shd w:val="clear" w:color="000000" w:fill="FFFFFF"/>
            <w:noWrap/>
            <w:vAlign w:val="center"/>
            <w:hideMark/>
          </w:tcPr>
          <w:p w14:paraId="05B421D4" w14:textId="1E5D649D" w:rsidR="00245F8C" w:rsidRPr="00AD5A41" w:rsidRDefault="00245F8C" w:rsidP="00245F8C">
            <w:pPr>
              <w:spacing w:after="0" w:line="240" w:lineRule="auto"/>
              <w:jc w:val="right"/>
              <w:rPr>
                <w:rFonts w:eastAsia="Times New Roman" w:cs="Times New Roman"/>
                <w:b/>
                <w:bCs/>
                <w:color w:val="000000"/>
                <w:sz w:val="20"/>
                <w:szCs w:val="20"/>
                <w:highlight w:val="yellow"/>
                <w:lang w:eastAsia="sk-SK"/>
              </w:rPr>
            </w:pPr>
            <w:r w:rsidRPr="00AD5A41">
              <w:rPr>
                <w:b/>
                <w:sz w:val="20"/>
                <w:szCs w:val="20"/>
              </w:rPr>
              <w:t>-944 686</w:t>
            </w:r>
          </w:p>
        </w:tc>
        <w:tc>
          <w:tcPr>
            <w:tcW w:w="362" w:type="pct"/>
            <w:tcBorders>
              <w:top w:val="single" w:sz="4" w:space="0" w:color="auto"/>
              <w:left w:val="nil"/>
              <w:bottom w:val="single" w:sz="8" w:space="0" w:color="auto"/>
              <w:right w:val="nil"/>
            </w:tcBorders>
            <w:shd w:val="clear" w:color="000000" w:fill="FFFFFF"/>
            <w:noWrap/>
            <w:vAlign w:val="center"/>
            <w:hideMark/>
          </w:tcPr>
          <w:p w14:paraId="6A828393" w14:textId="40770D75" w:rsidR="00245F8C" w:rsidRPr="00AD5A41" w:rsidRDefault="00245F8C" w:rsidP="00245F8C">
            <w:pPr>
              <w:spacing w:after="0" w:line="240" w:lineRule="auto"/>
              <w:jc w:val="right"/>
              <w:rPr>
                <w:rFonts w:eastAsia="Times New Roman" w:cs="Times New Roman"/>
                <w:b/>
                <w:bCs/>
                <w:color w:val="000000"/>
                <w:sz w:val="20"/>
                <w:szCs w:val="20"/>
                <w:highlight w:val="yellow"/>
                <w:lang w:eastAsia="sk-SK"/>
              </w:rPr>
            </w:pPr>
            <w:r w:rsidRPr="00AD5A41">
              <w:rPr>
                <w:b/>
                <w:sz w:val="20"/>
                <w:szCs w:val="20"/>
              </w:rPr>
              <w:t>-30,0</w:t>
            </w:r>
          </w:p>
        </w:tc>
      </w:tr>
    </w:tbl>
    <w:p w14:paraId="78A7AB55" w14:textId="77777777" w:rsidR="00111CC0" w:rsidRPr="00111CC0" w:rsidRDefault="00111CC0" w:rsidP="00111CC0">
      <w:pPr>
        <w:jc w:val="right"/>
        <w:rPr>
          <w:rFonts w:eastAsia="Times New Roman" w:cs="Times New Roman"/>
          <w:b/>
          <w:lang w:eastAsia="sk-SK"/>
        </w:rPr>
      </w:pPr>
      <w:r w:rsidRPr="00111CC0">
        <w:rPr>
          <w:rFonts w:eastAsia="Times New Roman" w:cs="Times New Roman"/>
          <w:sz w:val="18"/>
          <w:szCs w:val="18"/>
          <w:lang w:eastAsia="sk-SK"/>
        </w:rPr>
        <w:t>Zdroj: MF SR</w:t>
      </w:r>
      <w:r w:rsidRPr="00111CC0">
        <w:rPr>
          <w:rFonts w:eastAsia="Times New Roman" w:cs="Times New Roman"/>
          <w:b/>
          <w:lang w:eastAsia="sk-SK"/>
        </w:rPr>
        <w:t xml:space="preserve"> </w:t>
      </w:r>
    </w:p>
    <w:p w14:paraId="5364C142" w14:textId="77777777" w:rsidR="00111CC0" w:rsidRPr="00D715AF" w:rsidRDefault="00111CC0" w:rsidP="008D4C2B">
      <w:pPr>
        <w:tabs>
          <w:tab w:val="left" w:pos="284"/>
        </w:tabs>
        <w:spacing w:line="240" w:lineRule="auto"/>
        <w:rPr>
          <w:rFonts w:eastAsia="Times New Roman" w:cs="Times New Roman"/>
          <w:b/>
          <w:sz w:val="24"/>
          <w:szCs w:val="24"/>
          <w:lang w:eastAsia="sk-SK"/>
        </w:rPr>
      </w:pPr>
      <w:r w:rsidRPr="00D715AF">
        <w:rPr>
          <w:rFonts w:eastAsia="Times New Roman" w:cs="Times New Roman"/>
          <w:b/>
          <w:sz w:val="24"/>
          <w:szCs w:val="24"/>
          <w:lang w:eastAsia="sk-SK"/>
        </w:rPr>
        <w:t xml:space="preserve">Výdavky na spolufinancovanie zo ŠR </w:t>
      </w:r>
    </w:p>
    <w:p w14:paraId="6A026487" w14:textId="709D8CDA" w:rsidR="00245F8C" w:rsidRPr="00245F8C" w:rsidRDefault="00245F8C" w:rsidP="00245F8C">
      <w:pPr>
        <w:spacing w:line="240" w:lineRule="auto"/>
        <w:rPr>
          <w:sz w:val="24"/>
          <w:szCs w:val="24"/>
        </w:rPr>
      </w:pPr>
      <w:r w:rsidRPr="00245F8C">
        <w:rPr>
          <w:sz w:val="24"/>
          <w:szCs w:val="24"/>
        </w:rPr>
        <w:t>Výdavky na spolufinancovanie zo ŠR boli na rok 2022 rozpočtované vo výške 604 219 tis. eur, z toho prostriedky na spolufinancovanie zo ŠR k prostriedkom EÚ vo výške 589 713 tis. eur, prostriedky na spolufinancovanie k zahraničným grantom z prostriedkov EÚ a zahraničným grantom poskytnutým na základe medzinárodných zmlúv vo výške 14</w:t>
      </w:r>
      <w:r w:rsidR="0041022D">
        <w:rPr>
          <w:sz w:val="24"/>
          <w:szCs w:val="24"/>
        </w:rPr>
        <w:t> </w:t>
      </w:r>
      <w:r w:rsidRPr="00245F8C">
        <w:rPr>
          <w:sz w:val="24"/>
          <w:szCs w:val="24"/>
        </w:rPr>
        <w:t>156</w:t>
      </w:r>
      <w:r w:rsidR="0041022D">
        <w:rPr>
          <w:sz w:val="24"/>
          <w:szCs w:val="24"/>
        </w:rPr>
        <w:t> </w:t>
      </w:r>
      <w:r w:rsidRPr="00245F8C">
        <w:rPr>
          <w:sz w:val="24"/>
          <w:szCs w:val="24"/>
        </w:rPr>
        <w:t>tis. eur a</w:t>
      </w:r>
      <w:r w:rsidR="0041022D">
        <w:rPr>
          <w:sz w:val="24"/>
          <w:szCs w:val="24"/>
        </w:rPr>
        <w:t xml:space="preserve"> </w:t>
      </w:r>
      <w:r w:rsidRPr="00245F8C">
        <w:rPr>
          <w:sz w:val="24"/>
          <w:szCs w:val="24"/>
        </w:rPr>
        <w:t xml:space="preserve">prostriedky na spolufinancovanie vnútorných politík v sume 350 tis. eur. Skutočné plnenie výdavkov na spolufinancovanie zo ŠR </w:t>
      </w:r>
      <w:r w:rsidR="0041022D">
        <w:rPr>
          <w:sz w:val="24"/>
          <w:szCs w:val="24"/>
        </w:rPr>
        <w:t xml:space="preserve">je vo výške </w:t>
      </w:r>
      <w:r w:rsidRPr="00245F8C">
        <w:rPr>
          <w:sz w:val="24"/>
          <w:szCs w:val="24"/>
        </w:rPr>
        <w:t>409 495 tis. eur, z toho prostriedky na spolufinancovanie zo ŠR k prostriedkom EÚ vo výške 396</w:t>
      </w:r>
      <w:r w:rsidR="0041022D">
        <w:rPr>
          <w:sz w:val="24"/>
          <w:szCs w:val="24"/>
        </w:rPr>
        <w:t> </w:t>
      </w:r>
      <w:r w:rsidRPr="00245F8C">
        <w:rPr>
          <w:sz w:val="24"/>
          <w:szCs w:val="24"/>
        </w:rPr>
        <w:t>427</w:t>
      </w:r>
      <w:r w:rsidR="0041022D">
        <w:rPr>
          <w:sz w:val="24"/>
          <w:szCs w:val="24"/>
        </w:rPr>
        <w:t> </w:t>
      </w:r>
      <w:r w:rsidRPr="00245F8C">
        <w:rPr>
          <w:sz w:val="24"/>
          <w:szCs w:val="24"/>
        </w:rPr>
        <w:t>tis. eur, prostriedky na spolufinancovanie k zahraničným grantom z prostriedkov EÚ a zahraničným grantom poskytnutým na základe medzinárodných zmlúv vo výške 8 392 tis. eur a prostriedky na spolufinancovanie vnútorných politík v sume 4</w:t>
      </w:r>
      <w:r w:rsidR="0041022D">
        <w:rPr>
          <w:sz w:val="24"/>
          <w:szCs w:val="24"/>
        </w:rPr>
        <w:t> </w:t>
      </w:r>
      <w:r w:rsidRPr="00245F8C">
        <w:rPr>
          <w:sz w:val="24"/>
          <w:szCs w:val="24"/>
        </w:rPr>
        <w:t>676</w:t>
      </w:r>
      <w:r w:rsidR="0041022D">
        <w:rPr>
          <w:sz w:val="24"/>
          <w:szCs w:val="24"/>
        </w:rPr>
        <w:t> </w:t>
      </w:r>
      <w:r w:rsidRPr="00245F8C">
        <w:rPr>
          <w:sz w:val="24"/>
          <w:szCs w:val="24"/>
        </w:rPr>
        <w:t>tis. eur.</w:t>
      </w:r>
    </w:p>
    <w:p w14:paraId="2CB6A560" w14:textId="77777777" w:rsidR="00111CC0" w:rsidRPr="00D715AF" w:rsidRDefault="00111CC0" w:rsidP="00547C43">
      <w:pPr>
        <w:numPr>
          <w:ilvl w:val="0"/>
          <w:numId w:val="2"/>
        </w:numPr>
        <w:tabs>
          <w:tab w:val="left" w:pos="284"/>
        </w:tabs>
        <w:spacing w:line="240" w:lineRule="auto"/>
        <w:ind w:left="0" w:firstLine="0"/>
        <w:jc w:val="left"/>
        <w:rPr>
          <w:rFonts w:eastAsia="Times New Roman" w:cs="Times New Roman"/>
          <w:b/>
          <w:sz w:val="24"/>
          <w:szCs w:val="24"/>
          <w:lang w:eastAsia="sk-SK"/>
        </w:rPr>
      </w:pPr>
      <w:r w:rsidRPr="00D715AF">
        <w:rPr>
          <w:rFonts w:eastAsia="Times New Roman" w:cs="Times New Roman"/>
          <w:b/>
          <w:sz w:val="24"/>
          <w:szCs w:val="24"/>
          <w:lang w:eastAsia="sk-SK"/>
        </w:rPr>
        <w:t>Spolufinancovanie zo štátneho rozpočtu k prostriedkom EÚ</w:t>
      </w:r>
    </w:p>
    <w:p w14:paraId="77A1C096" w14:textId="7D39E61F" w:rsidR="00245F8C" w:rsidRPr="00245F8C" w:rsidRDefault="00245F8C" w:rsidP="00245F8C">
      <w:pPr>
        <w:spacing w:line="240" w:lineRule="auto"/>
        <w:rPr>
          <w:sz w:val="24"/>
          <w:szCs w:val="24"/>
        </w:rPr>
      </w:pPr>
      <w:r w:rsidRPr="00245F8C">
        <w:rPr>
          <w:sz w:val="24"/>
          <w:szCs w:val="24"/>
        </w:rPr>
        <w:t xml:space="preserve">Z rovnakého dôvodu ako pri úprave výdavkov za prostriedky EÚ došlo k úprave rozpočtu na spolufinancovanie zo štátneho rozpočtu k prostriedkom EÚ. </w:t>
      </w:r>
    </w:p>
    <w:p w14:paraId="13662C76" w14:textId="3960246C" w:rsidR="00245F8C" w:rsidRPr="001006BF" w:rsidRDefault="00245F8C" w:rsidP="00245F8C">
      <w:pPr>
        <w:spacing w:line="240" w:lineRule="auto"/>
        <w:rPr>
          <w:sz w:val="24"/>
          <w:szCs w:val="24"/>
        </w:rPr>
      </w:pPr>
      <w:r w:rsidRPr="00245F8C">
        <w:rPr>
          <w:sz w:val="24"/>
          <w:szCs w:val="24"/>
        </w:rPr>
        <w:t>Čerpanie výdavkov na spolufinancovanie zo ŠR k prostriedkom EÚ v roku 2022 za štrukturálne operácie je mierne nižšie ako upravený rozpočet a predstavuje sumu</w:t>
      </w:r>
      <w:r w:rsidRPr="0073749C">
        <w:t xml:space="preserve"> </w:t>
      </w:r>
      <w:r w:rsidRPr="002E111D">
        <w:t>328</w:t>
      </w:r>
      <w:r w:rsidR="0041022D">
        <w:t> </w:t>
      </w:r>
      <w:r>
        <w:t>085</w:t>
      </w:r>
      <w:r w:rsidRPr="00384D83">
        <w:t xml:space="preserve"> tis</w:t>
      </w:r>
      <w:r w:rsidRPr="00EC540D">
        <w:t xml:space="preserve">. eur. </w:t>
      </w:r>
      <w:r w:rsidRPr="00E75AF3">
        <w:t xml:space="preserve">Nižšie </w:t>
      </w:r>
      <w:r w:rsidRPr="001006BF">
        <w:rPr>
          <w:sz w:val="24"/>
          <w:szCs w:val="24"/>
        </w:rPr>
        <w:t xml:space="preserve">čerpanie oproti upravenému rozpočtu sa prejavilo v kapitole ÚV SR, MO SR, MS SR, MPSVR SR a MD SR </w:t>
      </w:r>
      <w:r w:rsidRPr="001006BF">
        <w:rPr>
          <w:b/>
          <w:sz w:val="24"/>
          <w:szCs w:val="24"/>
        </w:rPr>
        <w:t>z rovnakého dôvodu, ako pri výdavkoch za prostriedky EÚ.</w:t>
      </w:r>
    </w:p>
    <w:p w14:paraId="51C468FB" w14:textId="32F6EC04" w:rsidR="00245F8C" w:rsidRPr="00245F8C" w:rsidRDefault="00245F8C" w:rsidP="00245F8C">
      <w:pPr>
        <w:spacing w:line="240" w:lineRule="auto"/>
        <w:rPr>
          <w:sz w:val="24"/>
          <w:szCs w:val="24"/>
        </w:rPr>
      </w:pPr>
      <w:r w:rsidRPr="00245F8C">
        <w:rPr>
          <w:sz w:val="24"/>
          <w:szCs w:val="24"/>
        </w:rPr>
        <w:t>Skutočné plnenie výdavkov na spolufinancovanie zo ŠR k prostriedkom EÚ vo výške 396</w:t>
      </w:r>
      <w:r>
        <w:rPr>
          <w:sz w:val="24"/>
          <w:szCs w:val="24"/>
        </w:rPr>
        <w:t> </w:t>
      </w:r>
      <w:r w:rsidRPr="00245F8C">
        <w:rPr>
          <w:sz w:val="24"/>
          <w:szCs w:val="24"/>
        </w:rPr>
        <w:t>427</w:t>
      </w:r>
      <w:r>
        <w:rPr>
          <w:sz w:val="24"/>
          <w:szCs w:val="24"/>
        </w:rPr>
        <w:t> </w:t>
      </w:r>
      <w:r w:rsidRPr="00245F8C">
        <w:rPr>
          <w:sz w:val="24"/>
          <w:szCs w:val="24"/>
        </w:rPr>
        <w:t>tis. eur predstavuje plnenie takmer na úrovni 100 % z upraveného rozpočtu. Výdavky za štrukturálne operácie, pri ktorých plní úlohu certifikačného orgánu resp. platobného orgánu MF SR, sú vo výške 327 875 tis. eur (z toho štrukturálne fondy 3. programového obdobia v sume 273 602 tis. eur a Kohézny fond 3. programového obdobia v sume 52</w:t>
      </w:r>
      <w:r>
        <w:rPr>
          <w:sz w:val="24"/>
          <w:szCs w:val="24"/>
        </w:rPr>
        <w:t> </w:t>
      </w:r>
      <w:r w:rsidRPr="00245F8C">
        <w:rPr>
          <w:sz w:val="24"/>
          <w:szCs w:val="24"/>
        </w:rPr>
        <w:t>512</w:t>
      </w:r>
      <w:r>
        <w:rPr>
          <w:sz w:val="24"/>
          <w:szCs w:val="24"/>
        </w:rPr>
        <w:t> </w:t>
      </w:r>
      <w:r w:rsidRPr="00245F8C">
        <w:rPr>
          <w:sz w:val="24"/>
          <w:szCs w:val="24"/>
        </w:rPr>
        <w:t>tis. eur). Výdavky za štrukturálne operácie, pri ktorých plní úlohu certifikačného orgánu MPSVR SR, sú v sume 210</w:t>
      </w:r>
      <w:r>
        <w:rPr>
          <w:sz w:val="24"/>
          <w:szCs w:val="24"/>
        </w:rPr>
        <w:t> </w:t>
      </w:r>
      <w:r w:rsidRPr="00245F8C">
        <w:rPr>
          <w:sz w:val="24"/>
          <w:szCs w:val="24"/>
        </w:rPr>
        <w:t>tis. eur. Výdavky za štrukturálne operácie, pri ktorých plní úlohu certifikačného orgánu MV SR, sú v sume 0 tis. eur. Výdavky za poľnohospodárske fondy boli vo výške 68</w:t>
      </w:r>
      <w:r>
        <w:rPr>
          <w:sz w:val="24"/>
          <w:szCs w:val="24"/>
        </w:rPr>
        <w:t> </w:t>
      </w:r>
      <w:r w:rsidRPr="00245F8C">
        <w:rPr>
          <w:sz w:val="24"/>
          <w:szCs w:val="24"/>
        </w:rPr>
        <w:t xml:space="preserve">342 tis. eur </w:t>
      </w:r>
      <w:r>
        <w:rPr>
          <w:sz w:val="24"/>
          <w:szCs w:val="24"/>
        </w:rPr>
        <w:t>(z </w:t>
      </w:r>
      <w:r w:rsidRPr="00245F8C">
        <w:rPr>
          <w:sz w:val="24"/>
          <w:szCs w:val="24"/>
        </w:rPr>
        <w:t>toho za Európsky poľnohospodársky fond rozvoja vidieka v sume 46</w:t>
      </w:r>
      <w:r>
        <w:rPr>
          <w:sz w:val="24"/>
          <w:szCs w:val="24"/>
        </w:rPr>
        <w:t> </w:t>
      </w:r>
      <w:r w:rsidRPr="00245F8C">
        <w:rPr>
          <w:sz w:val="24"/>
          <w:szCs w:val="24"/>
        </w:rPr>
        <w:t>507</w:t>
      </w:r>
      <w:r>
        <w:rPr>
          <w:sz w:val="24"/>
          <w:szCs w:val="24"/>
        </w:rPr>
        <w:t> tis. </w:t>
      </w:r>
      <w:r w:rsidRPr="00245F8C">
        <w:rPr>
          <w:sz w:val="24"/>
          <w:szCs w:val="24"/>
        </w:rPr>
        <w:t xml:space="preserve">eur a za Európsky poľnohospodársky záručný fond v sume </w:t>
      </w:r>
      <w:r>
        <w:rPr>
          <w:sz w:val="24"/>
          <w:szCs w:val="24"/>
        </w:rPr>
        <w:t>21 835 </w:t>
      </w:r>
      <w:r w:rsidRPr="00245F8C">
        <w:rPr>
          <w:sz w:val="24"/>
          <w:szCs w:val="24"/>
        </w:rPr>
        <w:t>tis</w:t>
      </w:r>
      <w:r>
        <w:rPr>
          <w:sz w:val="24"/>
          <w:szCs w:val="24"/>
        </w:rPr>
        <w:t>. </w:t>
      </w:r>
      <w:r w:rsidRPr="00245F8C">
        <w:rPr>
          <w:sz w:val="24"/>
          <w:szCs w:val="24"/>
        </w:rPr>
        <w:t>eur).</w:t>
      </w:r>
    </w:p>
    <w:tbl>
      <w:tblPr>
        <w:tblW w:w="5072" w:type="pct"/>
        <w:tblLayout w:type="fixed"/>
        <w:tblCellMar>
          <w:left w:w="70" w:type="dxa"/>
          <w:right w:w="70" w:type="dxa"/>
        </w:tblCellMar>
        <w:tblLook w:val="04A0" w:firstRow="1" w:lastRow="0" w:firstColumn="1" w:lastColumn="0" w:noHBand="0" w:noVBand="1"/>
      </w:tblPr>
      <w:tblGrid>
        <w:gridCol w:w="3589"/>
        <w:gridCol w:w="862"/>
        <w:gridCol w:w="862"/>
        <w:gridCol w:w="1004"/>
        <w:gridCol w:w="1148"/>
        <w:gridCol w:w="860"/>
        <w:gridCol w:w="108"/>
        <w:gridCol w:w="753"/>
        <w:gridCol w:w="161"/>
      </w:tblGrid>
      <w:tr w:rsidR="006616A2" w:rsidRPr="00A2483A" w14:paraId="51678E40" w14:textId="77777777" w:rsidTr="006616A2">
        <w:trPr>
          <w:trHeight w:val="236"/>
        </w:trPr>
        <w:tc>
          <w:tcPr>
            <w:tcW w:w="3379" w:type="pct"/>
            <w:gridSpan w:val="4"/>
            <w:tcBorders>
              <w:top w:val="nil"/>
              <w:left w:val="nil"/>
              <w:bottom w:val="single" w:sz="4" w:space="0" w:color="auto"/>
              <w:right w:val="nil"/>
            </w:tcBorders>
            <w:shd w:val="clear" w:color="auto" w:fill="auto"/>
            <w:noWrap/>
            <w:vAlign w:val="bottom"/>
            <w:hideMark/>
          </w:tcPr>
          <w:p w14:paraId="0E722D92" w14:textId="77777777" w:rsidR="00B56A1D" w:rsidRDefault="00B56A1D" w:rsidP="006616A2">
            <w:pPr>
              <w:spacing w:after="0" w:line="240" w:lineRule="auto"/>
              <w:jc w:val="left"/>
            </w:pPr>
          </w:p>
          <w:p w14:paraId="0063F0CA" w14:textId="6E450B7F" w:rsidR="006616A2" w:rsidRPr="00A2483A" w:rsidRDefault="00B56A1D" w:rsidP="00000201">
            <w:pPr>
              <w:spacing w:after="0" w:line="240" w:lineRule="auto"/>
              <w:jc w:val="left"/>
              <w:rPr>
                <w:rFonts w:ascii="Arial Narrow" w:eastAsia="Times New Roman" w:hAnsi="Arial Narrow" w:cs="Times New Roman"/>
                <w:color w:val="5B9BD5" w:themeColor="accent1"/>
                <w:sz w:val="20"/>
                <w:szCs w:val="20"/>
                <w:lang w:eastAsia="sk-SK"/>
              </w:rPr>
            </w:pPr>
            <w:r>
              <w:br w:type="page"/>
            </w:r>
            <w:r w:rsidR="006616A2" w:rsidRPr="00745CCE">
              <w:rPr>
                <w:rFonts w:eastAsia="Times New Roman" w:cs="Times New Roman"/>
                <w:b/>
                <w:bCs/>
                <w:color w:val="5B9BD5" w:themeColor="accent1"/>
                <w:sz w:val="20"/>
                <w:szCs w:val="20"/>
                <w:lang w:eastAsia="sk-SK"/>
              </w:rPr>
              <w:t xml:space="preserve">Tabuľka </w:t>
            </w:r>
            <w:r w:rsidR="006C0380">
              <w:rPr>
                <w:rFonts w:eastAsia="Times New Roman" w:cs="Times New Roman"/>
                <w:b/>
                <w:bCs/>
                <w:color w:val="5B9BD5" w:themeColor="accent1"/>
                <w:sz w:val="20"/>
                <w:szCs w:val="20"/>
                <w:lang w:eastAsia="sk-SK"/>
              </w:rPr>
              <w:t>6</w:t>
            </w:r>
            <w:r w:rsidR="00000201">
              <w:rPr>
                <w:rFonts w:eastAsia="Times New Roman" w:cs="Times New Roman"/>
                <w:b/>
                <w:bCs/>
                <w:color w:val="5B9BD5" w:themeColor="accent1"/>
                <w:sz w:val="20"/>
                <w:szCs w:val="20"/>
                <w:lang w:eastAsia="sk-SK"/>
              </w:rPr>
              <w:t>5</w:t>
            </w:r>
            <w:r w:rsidR="006616A2">
              <w:rPr>
                <w:rFonts w:eastAsia="Times New Roman" w:cs="Times New Roman"/>
                <w:b/>
                <w:bCs/>
                <w:color w:val="5B9BD5" w:themeColor="accent1"/>
                <w:sz w:val="20"/>
                <w:szCs w:val="20"/>
                <w:lang w:eastAsia="sk-SK"/>
              </w:rPr>
              <w:t xml:space="preserve"> - </w:t>
            </w:r>
            <w:r w:rsidR="006616A2" w:rsidRPr="00A2483A">
              <w:rPr>
                <w:rFonts w:eastAsia="Times New Roman" w:cs="Times New Roman"/>
                <w:b/>
                <w:bCs/>
                <w:color w:val="5B9BD5" w:themeColor="accent1"/>
                <w:sz w:val="20"/>
                <w:szCs w:val="20"/>
                <w:lang w:eastAsia="sk-SK"/>
              </w:rPr>
              <w:t>Výdavky spolufinancovania zo ŠR k prostriedkom EÚ</w:t>
            </w:r>
          </w:p>
        </w:tc>
        <w:tc>
          <w:tcPr>
            <w:tcW w:w="614" w:type="pct"/>
            <w:tcBorders>
              <w:top w:val="nil"/>
              <w:left w:val="nil"/>
              <w:bottom w:val="single" w:sz="4" w:space="0" w:color="auto"/>
              <w:right w:val="nil"/>
            </w:tcBorders>
            <w:shd w:val="clear" w:color="auto" w:fill="auto"/>
            <w:noWrap/>
            <w:vAlign w:val="bottom"/>
            <w:hideMark/>
          </w:tcPr>
          <w:p w14:paraId="15191FA5" w14:textId="77777777" w:rsidR="006616A2" w:rsidRPr="00A2483A" w:rsidRDefault="006616A2" w:rsidP="00A2483A">
            <w:pPr>
              <w:spacing w:after="0" w:line="240" w:lineRule="auto"/>
              <w:jc w:val="left"/>
              <w:rPr>
                <w:rFonts w:ascii="Arial Narrow" w:eastAsia="Times New Roman" w:hAnsi="Arial Narrow" w:cs="Times New Roman"/>
                <w:color w:val="5B9BD5" w:themeColor="accent1"/>
                <w:sz w:val="20"/>
                <w:szCs w:val="20"/>
                <w:lang w:eastAsia="sk-SK"/>
              </w:rPr>
            </w:pPr>
          </w:p>
        </w:tc>
        <w:tc>
          <w:tcPr>
            <w:tcW w:w="921" w:type="pct"/>
            <w:gridSpan w:val="3"/>
            <w:tcBorders>
              <w:top w:val="nil"/>
              <w:left w:val="nil"/>
              <w:bottom w:val="single" w:sz="4" w:space="0" w:color="auto"/>
              <w:right w:val="nil"/>
            </w:tcBorders>
            <w:shd w:val="clear" w:color="auto" w:fill="auto"/>
            <w:noWrap/>
            <w:vAlign w:val="bottom"/>
            <w:hideMark/>
          </w:tcPr>
          <w:p w14:paraId="7FDFC180" w14:textId="771DB13D" w:rsidR="006616A2" w:rsidRPr="00A2483A" w:rsidRDefault="006616A2" w:rsidP="00A2483A">
            <w:pPr>
              <w:spacing w:after="0" w:line="240" w:lineRule="auto"/>
              <w:jc w:val="left"/>
              <w:rPr>
                <w:rFonts w:eastAsia="Times New Roman" w:cs="Times New Roman"/>
                <w:b/>
                <w:bCs/>
                <w:color w:val="5B9BD5" w:themeColor="accent1"/>
                <w:sz w:val="20"/>
                <w:szCs w:val="20"/>
                <w:lang w:eastAsia="sk-SK"/>
              </w:rPr>
            </w:pPr>
          </w:p>
        </w:tc>
        <w:tc>
          <w:tcPr>
            <w:tcW w:w="86" w:type="pct"/>
            <w:tcBorders>
              <w:top w:val="nil"/>
              <w:left w:val="nil"/>
              <w:bottom w:val="single" w:sz="4" w:space="0" w:color="auto"/>
              <w:right w:val="nil"/>
            </w:tcBorders>
            <w:shd w:val="clear" w:color="auto" w:fill="auto"/>
            <w:noWrap/>
            <w:vAlign w:val="bottom"/>
            <w:hideMark/>
          </w:tcPr>
          <w:p w14:paraId="460F3B6D" w14:textId="77777777" w:rsidR="006616A2" w:rsidRPr="00A2483A" w:rsidRDefault="006616A2" w:rsidP="00A2483A">
            <w:pPr>
              <w:spacing w:after="0" w:line="240" w:lineRule="auto"/>
              <w:jc w:val="left"/>
              <w:rPr>
                <w:rFonts w:eastAsia="Times New Roman" w:cs="Times New Roman"/>
                <w:b/>
                <w:bCs/>
                <w:color w:val="5B9BD5" w:themeColor="accent1"/>
                <w:sz w:val="20"/>
                <w:szCs w:val="20"/>
                <w:lang w:eastAsia="sk-SK"/>
              </w:rPr>
            </w:pPr>
          </w:p>
        </w:tc>
      </w:tr>
      <w:tr w:rsidR="001E2922" w:rsidRPr="00B44DE2" w14:paraId="06347D2E" w14:textId="77777777" w:rsidTr="001E2922">
        <w:trPr>
          <w:trHeight w:val="236"/>
        </w:trPr>
        <w:tc>
          <w:tcPr>
            <w:tcW w:w="1920" w:type="pct"/>
            <w:vMerge w:val="restart"/>
            <w:tcBorders>
              <w:top w:val="nil"/>
              <w:left w:val="nil"/>
              <w:right w:val="nil"/>
            </w:tcBorders>
            <w:shd w:val="clear" w:color="auto" w:fill="auto"/>
            <w:vAlign w:val="center"/>
            <w:hideMark/>
          </w:tcPr>
          <w:p w14:paraId="4BC5820B" w14:textId="5CEEBC5B" w:rsidR="001E2922" w:rsidRPr="00B44DE2" w:rsidRDefault="001E2922" w:rsidP="0062195B">
            <w:pPr>
              <w:spacing w:after="0" w:line="240" w:lineRule="auto"/>
              <w:jc w:val="left"/>
              <w:rPr>
                <w:rFonts w:eastAsia="Times New Roman" w:cs="Times New Roman"/>
                <w:b/>
                <w:bCs/>
                <w:sz w:val="20"/>
                <w:szCs w:val="20"/>
                <w:lang w:eastAsia="sk-SK"/>
              </w:rPr>
            </w:pPr>
            <w:r w:rsidRPr="00A2483A">
              <w:rPr>
                <w:rFonts w:eastAsia="Times New Roman" w:cs="Times New Roman"/>
                <w:b/>
                <w:bCs/>
                <w:sz w:val="20"/>
                <w:szCs w:val="20"/>
                <w:lang w:eastAsia="sk-SK"/>
              </w:rPr>
              <w:t>v tis. eur</w:t>
            </w:r>
          </w:p>
        </w:tc>
        <w:tc>
          <w:tcPr>
            <w:tcW w:w="461" w:type="pct"/>
            <w:tcBorders>
              <w:top w:val="nil"/>
              <w:left w:val="nil"/>
              <w:right w:val="nil"/>
            </w:tcBorders>
            <w:shd w:val="clear" w:color="auto" w:fill="auto"/>
            <w:vAlign w:val="center"/>
            <w:hideMark/>
          </w:tcPr>
          <w:p w14:paraId="731AC05A" w14:textId="16E632A4" w:rsidR="001E2922" w:rsidRPr="00B44DE2" w:rsidRDefault="001E2922" w:rsidP="0041022D">
            <w:pPr>
              <w:spacing w:after="0" w:line="240" w:lineRule="auto"/>
              <w:jc w:val="center"/>
              <w:rPr>
                <w:rFonts w:eastAsia="Times New Roman" w:cs="Times New Roman"/>
                <w:b/>
                <w:bCs/>
                <w:color w:val="000000"/>
                <w:sz w:val="20"/>
                <w:szCs w:val="20"/>
                <w:lang w:eastAsia="sk-SK"/>
              </w:rPr>
            </w:pPr>
            <w:r w:rsidRPr="00B44DE2">
              <w:rPr>
                <w:rFonts w:eastAsia="Times New Roman" w:cs="Times New Roman"/>
                <w:b/>
                <w:bCs/>
                <w:color w:val="000000"/>
                <w:sz w:val="20"/>
                <w:szCs w:val="20"/>
                <w:lang w:eastAsia="sk-SK"/>
              </w:rPr>
              <w:t>20</w:t>
            </w:r>
            <w:r w:rsidR="0041022D">
              <w:rPr>
                <w:rFonts w:eastAsia="Times New Roman" w:cs="Times New Roman"/>
                <w:b/>
                <w:bCs/>
                <w:color w:val="000000"/>
                <w:sz w:val="20"/>
                <w:szCs w:val="20"/>
                <w:lang w:eastAsia="sk-SK"/>
              </w:rPr>
              <w:t>20</w:t>
            </w:r>
            <w:r>
              <w:rPr>
                <w:rFonts w:eastAsia="Times New Roman" w:cs="Times New Roman"/>
                <w:b/>
                <w:bCs/>
                <w:color w:val="000000"/>
                <w:sz w:val="20"/>
                <w:szCs w:val="20"/>
                <w:lang w:eastAsia="sk-SK"/>
              </w:rPr>
              <w:t xml:space="preserve"> S</w:t>
            </w:r>
          </w:p>
        </w:tc>
        <w:tc>
          <w:tcPr>
            <w:tcW w:w="461" w:type="pct"/>
            <w:tcBorders>
              <w:top w:val="nil"/>
              <w:left w:val="nil"/>
              <w:right w:val="nil"/>
            </w:tcBorders>
            <w:shd w:val="clear" w:color="auto" w:fill="auto"/>
            <w:vAlign w:val="center"/>
            <w:hideMark/>
          </w:tcPr>
          <w:p w14:paraId="64522D29" w14:textId="007D5D11" w:rsidR="001E2922" w:rsidRPr="00B44DE2" w:rsidRDefault="001E2922" w:rsidP="0041022D">
            <w:pPr>
              <w:spacing w:after="0" w:line="240" w:lineRule="auto"/>
              <w:jc w:val="center"/>
              <w:rPr>
                <w:rFonts w:eastAsia="Times New Roman" w:cs="Times New Roman"/>
                <w:b/>
                <w:bCs/>
                <w:color w:val="000000"/>
                <w:sz w:val="20"/>
                <w:szCs w:val="20"/>
                <w:lang w:eastAsia="sk-SK"/>
              </w:rPr>
            </w:pPr>
            <w:r w:rsidRPr="00B44DE2">
              <w:rPr>
                <w:rFonts w:eastAsia="Times New Roman" w:cs="Times New Roman"/>
                <w:b/>
                <w:bCs/>
                <w:color w:val="000000"/>
                <w:sz w:val="20"/>
                <w:szCs w:val="20"/>
                <w:lang w:eastAsia="sk-SK"/>
              </w:rPr>
              <w:t>202</w:t>
            </w:r>
            <w:r w:rsidR="0041022D">
              <w:rPr>
                <w:rFonts w:eastAsia="Times New Roman" w:cs="Times New Roman"/>
                <w:b/>
                <w:bCs/>
                <w:color w:val="000000"/>
                <w:sz w:val="20"/>
                <w:szCs w:val="20"/>
                <w:lang w:eastAsia="sk-SK"/>
              </w:rPr>
              <w:t>1</w:t>
            </w:r>
            <w:r>
              <w:rPr>
                <w:rFonts w:eastAsia="Times New Roman" w:cs="Times New Roman"/>
                <w:b/>
                <w:bCs/>
                <w:color w:val="000000"/>
                <w:sz w:val="20"/>
                <w:szCs w:val="20"/>
                <w:lang w:eastAsia="sk-SK"/>
              </w:rPr>
              <w:t xml:space="preserve"> S</w:t>
            </w:r>
          </w:p>
        </w:tc>
        <w:tc>
          <w:tcPr>
            <w:tcW w:w="537" w:type="pct"/>
            <w:tcBorders>
              <w:top w:val="nil"/>
              <w:left w:val="nil"/>
              <w:right w:val="nil"/>
            </w:tcBorders>
            <w:shd w:val="clear" w:color="auto" w:fill="auto"/>
            <w:vAlign w:val="center"/>
            <w:hideMark/>
          </w:tcPr>
          <w:p w14:paraId="3F9B7076" w14:textId="5A3A77AC" w:rsidR="001E2922" w:rsidRPr="00B44DE2" w:rsidRDefault="001E2922" w:rsidP="0041022D">
            <w:pPr>
              <w:spacing w:after="0" w:line="240" w:lineRule="auto"/>
              <w:jc w:val="center"/>
              <w:rPr>
                <w:rFonts w:eastAsia="Times New Roman" w:cs="Times New Roman"/>
                <w:b/>
                <w:bCs/>
                <w:color w:val="000000"/>
                <w:sz w:val="20"/>
                <w:szCs w:val="20"/>
                <w:lang w:eastAsia="sk-SK"/>
              </w:rPr>
            </w:pPr>
            <w:r w:rsidRPr="00B44DE2">
              <w:rPr>
                <w:rFonts w:eastAsia="Times New Roman" w:cs="Times New Roman"/>
                <w:b/>
                <w:bCs/>
                <w:color w:val="000000"/>
                <w:sz w:val="20"/>
                <w:szCs w:val="20"/>
                <w:lang w:eastAsia="sk-SK"/>
              </w:rPr>
              <w:t>202</w:t>
            </w:r>
            <w:r w:rsidR="0041022D">
              <w:rPr>
                <w:rFonts w:eastAsia="Times New Roman" w:cs="Times New Roman"/>
                <w:b/>
                <w:bCs/>
                <w:color w:val="000000"/>
                <w:sz w:val="20"/>
                <w:szCs w:val="20"/>
                <w:lang w:eastAsia="sk-SK"/>
              </w:rPr>
              <w:t>2</w:t>
            </w:r>
            <w:r>
              <w:rPr>
                <w:rFonts w:eastAsia="Times New Roman" w:cs="Times New Roman"/>
                <w:b/>
                <w:bCs/>
                <w:color w:val="000000"/>
                <w:sz w:val="20"/>
                <w:szCs w:val="20"/>
                <w:lang w:eastAsia="sk-SK"/>
              </w:rPr>
              <w:t xml:space="preserve"> R</w:t>
            </w:r>
          </w:p>
        </w:tc>
        <w:tc>
          <w:tcPr>
            <w:tcW w:w="614" w:type="pct"/>
            <w:tcBorders>
              <w:top w:val="nil"/>
              <w:left w:val="nil"/>
              <w:right w:val="nil"/>
            </w:tcBorders>
            <w:shd w:val="clear" w:color="auto" w:fill="auto"/>
            <w:vAlign w:val="center"/>
            <w:hideMark/>
          </w:tcPr>
          <w:p w14:paraId="49362E4A" w14:textId="62BBCEEB" w:rsidR="001E2922" w:rsidRPr="00B44DE2" w:rsidRDefault="001E2922" w:rsidP="0041022D">
            <w:pPr>
              <w:spacing w:after="0" w:line="240" w:lineRule="auto"/>
              <w:jc w:val="center"/>
              <w:rPr>
                <w:rFonts w:eastAsia="Times New Roman" w:cs="Times New Roman"/>
                <w:b/>
                <w:bCs/>
                <w:color w:val="000000"/>
                <w:sz w:val="20"/>
                <w:szCs w:val="20"/>
                <w:lang w:eastAsia="sk-SK"/>
              </w:rPr>
            </w:pPr>
            <w:r w:rsidRPr="00B44DE2">
              <w:rPr>
                <w:rFonts w:eastAsia="Times New Roman" w:cs="Times New Roman"/>
                <w:b/>
                <w:bCs/>
                <w:color w:val="000000"/>
                <w:sz w:val="20"/>
                <w:szCs w:val="20"/>
                <w:lang w:eastAsia="sk-SK"/>
              </w:rPr>
              <w:t>202</w:t>
            </w:r>
            <w:r w:rsidR="0041022D">
              <w:rPr>
                <w:rFonts w:eastAsia="Times New Roman" w:cs="Times New Roman"/>
                <w:b/>
                <w:bCs/>
                <w:color w:val="000000"/>
                <w:sz w:val="20"/>
                <w:szCs w:val="20"/>
                <w:lang w:eastAsia="sk-SK"/>
              </w:rPr>
              <w:t>2</w:t>
            </w:r>
            <w:r>
              <w:rPr>
                <w:rFonts w:eastAsia="Times New Roman" w:cs="Times New Roman"/>
                <w:b/>
                <w:bCs/>
                <w:color w:val="000000"/>
                <w:sz w:val="20"/>
                <w:szCs w:val="20"/>
                <w:lang w:eastAsia="sk-SK"/>
              </w:rPr>
              <w:t xml:space="preserve"> S</w:t>
            </w:r>
          </w:p>
        </w:tc>
        <w:tc>
          <w:tcPr>
            <w:tcW w:w="460" w:type="pct"/>
            <w:tcBorders>
              <w:top w:val="nil"/>
              <w:left w:val="nil"/>
              <w:right w:val="nil"/>
            </w:tcBorders>
            <w:shd w:val="clear" w:color="auto" w:fill="auto"/>
            <w:vAlign w:val="center"/>
            <w:hideMark/>
          </w:tcPr>
          <w:p w14:paraId="2365B1D5" w14:textId="77777777" w:rsidR="001E2922" w:rsidRPr="00B44DE2" w:rsidRDefault="001E2922" w:rsidP="00B44DE2">
            <w:pPr>
              <w:spacing w:after="0" w:line="240" w:lineRule="auto"/>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Rozdiel</w:t>
            </w:r>
          </w:p>
        </w:tc>
        <w:tc>
          <w:tcPr>
            <w:tcW w:w="461" w:type="pct"/>
            <w:gridSpan w:val="2"/>
            <w:tcBorders>
              <w:top w:val="nil"/>
              <w:left w:val="nil"/>
              <w:right w:val="nil"/>
            </w:tcBorders>
            <w:shd w:val="clear" w:color="auto" w:fill="auto"/>
            <w:vAlign w:val="center"/>
          </w:tcPr>
          <w:p w14:paraId="5114352F" w14:textId="6A2DF96C" w:rsidR="001E2922" w:rsidRPr="00B44DE2" w:rsidRDefault="001E2922" w:rsidP="00B44DE2">
            <w:pPr>
              <w:spacing w:after="0" w:line="240" w:lineRule="auto"/>
              <w:jc w:val="center"/>
              <w:rPr>
                <w:rFonts w:eastAsia="Times New Roman" w:cs="Times New Roman"/>
                <w:b/>
                <w:bCs/>
                <w:color w:val="000000"/>
                <w:sz w:val="20"/>
                <w:szCs w:val="20"/>
                <w:lang w:eastAsia="sk-SK"/>
              </w:rPr>
            </w:pPr>
            <w:r w:rsidRPr="00B44DE2">
              <w:rPr>
                <w:rFonts w:eastAsia="Times New Roman" w:cs="Times New Roman"/>
                <w:b/>
                <w:bCs/>
                <w:color w:val="000000"/>
                <w:sz w:val="20"/>
                <w:szCs w:val="20"/>
                <w:lang w:eastAsia="sk-SK"/>
              </w:rPr>
              <w:t>v %</w:t>
            </w:r>
          </w:p>
        </w:tc>
        <w:tc>
          <w:tcPr>
            <w:tcW w:w="86" w:type="pct"/>
            <w:tcBorders>
              <w:top w:val="nil"/>
              <w:left w:val="nil"/>
              <w:right w:val="nil"/>
            </w:tcBorders>
            <w:shd w:val="clear" w:color="auto" w:fill="auto"/>
            <w:noWrap/>
            <w:vAlign w:val="bottom"/>
            <w:hideMark/>
          </w:tcPr>
          <w:p w14:paraId="0F4932F4" w14:textId="77777777" w:rsidR="001E2922" w:rsidRPr="00B44DE2" w:rsidRDefault="001E2922" w:rsidP="00B44DE2">
            <w:pPr>
              <w:spacing w:after="0" w:line="240" w:lineRule="auto"/>
              <w:jc w:val="center"/>
              <w:rPr>
                <w:rFonts w:eastAsia="Times New Roman" w:cs="Times New Roman"/>
                <w:b/>
                <w:bCs/>
                <w:color w:val="000000"/>
                <w:sz w:val="20"/>
                <w:szCs w:val="20"/>
                <w:lang w:eastAsia="sk-SK"/>
              </w:rPr>
            </w:pPr>
          </w:p>
        </w:tc>
      </w:tr>
      <w:tr w:rsidR="001E2922" w:rsidRPr="00B44DE2" w14:paraId="5B0448A9" w14:textId="77777777" w:rsidTr="00015756">
        <w:trPr>
          <w:trHeight w:val="247"/>
        </w:trPr>
        <w:tc>
          <w:tcPr>
            <w:tcW w:w="1920" w:type="pct"/>
            <w:vMerge/>
            <w:tcBorders>
              <w:left w:val="nil"/>
              <w:bottom w:val="single" w:sz="4" w:space="0" w:color="auto"/>
              <w:right w:val="nil"/>
            </w:tcBorders>
            <w:shd w:val="clear" w:color="auto" w:fill="auto"/>
            <w:vAlign w:val="center"/>
            <w:hideMark/>
          </w:tcPr>
          <w:p w14:paraId="26B30C94" w14:textId="79CBEEE7" w:rsidR="001E2922" w:rsidRPr="00B44DE2" w:rsidRDefault="001E2922" w:rsidP="00B44DE2">
            <w:pPr>
              <w:spacing w:after="0" w:line="240" w:lineRule="auto"/>
              <w:jc w:val="left"/>
              <w:rPr>
                <w:rFonts w:eastAsia="Times New Roman" w:cs="Times New Roman"/>
                <w:b/>
                <w:bCs/>
                <w:color w:val="FFFFFF"/>
                <w:sz w:val="20"/>
                <w:szCs w:val="20"/>
                <w:lang w:eastAsia="sk-SK"/>
              </w:rPr>
            </w:pPr>
          </w:p>
        </w:tc>
        <w:tc>
          <w:tcPr>
            <w:tcW w:w="461" w:type="pct"/>
            <w:tcBorders>
              <w:top w:val="nil"/>
              <w:left w:val="nil"/>
              <w:bottom w:val="single" w:sz="4" w:space="0" w:color="auto"/>
              <w:right w:val="nil"/>
            </w:tcBorders>
            <w:shd w:val="clear" w:color="auto" w:fill="auto"/>
            <w:vAlign w:val="center"/>
            <w:hideMark/>
          </w:tcPr>
          <w:p w14:paraId="3DF64C74" w14:textId="77777777" w:rsidR="001E2922" w:rsidRPr="00B44DE2" w:rsidRDefault="001E2922" w:rsidP="00B44DE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1</w:t>
            </w:r>
          </w:p>
        </w:tc>
        <w:tc>
          <w:tcPr>
            <w:tcW w:w="461" w:type="pct"/>
            <w:tcBorders>
              <w:top w:val="nil"/>
              <w:left w:val="nil"/>
              <w:bottom w:val="single" w:sz="4" w:space="0" w:color="auto"/>
              <w:right w:val="nil"/>
            </w:tcBorders>
            <w:shd w:val="clear" w:color="auto" w:fill="auto"/>
            <w:vAlign w:val="center"/>
            <w:hideMark/>
          </w:tcPr>
          <w:p w14:paraId="2CDFCAF2" w14:textId="77777777" w:rsidR="001E2922" w:rsidRPr="00B44DE2" w:rsidRDefault="001E2922" w:rsidP="00B44DE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2</w:t>
            </w:r>
          </w:p>
        </w:tc>
        <w:tc>
          <w:tcPr>
            <w:tcW w:w="537" w:type="pct"/>
            <w:tcBorders>
              <w:top w:val="nil"/>
              <w:left w:val="nil"/>
              <w:bottom w:val="single" w:sz="4" w:space="0" w:color="auto"/>
              <w:right w:val="nil"/>
            </w:tcBorders>
            <w:shd w:val="clear" w:color="auto" w:fill="auto"/>
            <w:vAlign w:val="center"/>
            <w:hideMark/>
          </w:tcPr>
          <w:p w14:paraId="2079605C" w14:textId="77777777" w:rsidR="001E2922" w:rsidRPr="00B44DE2" w:rsidRDefault="001E2922" w:rsidP="00B44DE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3</w:t>
            </w:r>
          </w:p>
        </w:tc>
        <w:tc>
          <w:tcPr>
            <w:tcW w:w="614" w:type="pct"/>
            <w:tcBorders>
              <w:top w:val="nil"/>
              <w:left w:val="nil"/>
              <w:bottom w:val="single" w:sz="4" w:space="0" w:color="auto"/>
              <w:right w:val="nil"/>
            </w:tcBorders>
            <w:shd w:val="clear" w:color="auto" w:fill="auto"/>
            <w:vAlign w:val="center"/>
            <w:hideMark/>
          </w:tcPr>
          <w:p w14:paraId="6B7276F8" w14:textId="77777777" w:rsidR="001E2922" w:rsidRPr="00B44DE2" w:rsidRDefault="001E2922" w:rsidP="00B44DE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4</w:t>
            </w:r>
          </w:p>
        </w:tc>
        <w:tc>
          <w:tcPr>
            <w:tcW w:w="518" w:type="pct"/>
            <w:gridSpan w:val="2"/>
            <w:tcBorders>
              <w:top w:val="nil"/>
              <w:left w:val="nil"/>
              <w:bottom w:val="single" w:sz="4" w:space="0" w:color="auto"/>
              <w:right w:val="nil"/>
            </w:tcBorders>
            <w:shd w:val="clear" w:color="auto" w:fill="auto"/>
            <w:vAlign w:val="center"/>
            <w:hideMark/>
          </w:tcPr>
          <w:p w14:paraId="214B0839" w14:textId="77777777" w:rsidR="001E2922" w:rsidRPr="00B44DE2" w:rsidRDefault="001E2922" w:rsidP="00B44DE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5=4-3</w:t>
            </w:r>
          </w:p>
        </w:tc>
        <w:tc>
          <w:tcPr>
            <w:tcW w:w="403" w:type="pct"/>
            <w:tcBorders>
              <w:top w:val="nil"/>
              <w:left w:val="nil"/>
              <w:bottom w:val="single" w:sz="4" w:space="0" w:color="auto"/>
              <w:right w:val="nil"/>
            </w:tcBorders>
            <w:shd w:val="clear" w:color="auto" w:fill="auto"/>
            <w:vAlign w:val="center"/>
            <w:hideMark/>
          </w:tcPr>
          <w:p w14:paraId="56873D8F" w14:textId="77777777" w:rsidR="001E2922" w:rsidRPr="00B44DE2" w:rsidRDefault="001E2922" w:rsidP="00B44DE2">
            <w:pPr>
              <w:spacing w:after="0" w:line="240" w:lineRule="auto"/>
              <w:jc w:val="center"/>
              <w:rPr>
                <w:rFonts w:eastAsia="Times New Roman" w:cs="Times New Roman"/>
                <w:b/>
                <w:bCs/>
                <w:sz w:val="20"/>
                <w:szCs w:val="20"/>
                <w:lang w:eastAsia="sk-SK"/>
              </w:rPr>
            </w:pPr>
            <w:r w:rsidRPr="00B44DE2">
              <w:rPr>
                <w:rFonts w:eastAsia="Times New Roman" w:cs="Times New Roman"/>
                <w:b/>
                <w:bCs/>
                <w:sz w:val="20"/>
                <w:szCs w:val="20"/>
                <w:lang w:eastAsia="sk-SK"/>
              </w:rPr>
              <w:t>6=4-3</w:t>
            </w:r>
          </w:p>
        </w:tc>
        <w:tc>
          <w:tcPr>
            <w:tcW w:w="86" w:type="pct"/>
            <w:tcBorders>
              <w:top w:val="nil"/>
              <w:left w:val="nil"/>
              <w:bottom w:val="single" w:sz="4" w:space="0" w:color="auto"/>
              <w:right w:val="nil"/>
            </w:tcBorders>
            <w:shd w:val="clear" w:color="auto" w:fill="auto"/>
            <w:noWrap/>
            <w:vAlign w:val="bottom"/>
            <w:hideMark/>
          </w:tcPr>
          <w:p w14:paraId="1D518266" w14:textId="77777777" w:rsidR="001E2922" w:rsidRPr="00B44DE2" w:rsidRDefault="001E2922" w:rsidP="00B44DE2">
            <w:pPr>
              <w:spacing w:after="0" w:line="240" w:lineRule="auto"/>
              <w:jc w:val="center"/>
              <w:rPr>
                <w:rFonts w:eastAsia="Times New Roman" w:cs="Times New Roman"/>
                <w:b/>
                <w:bCs/>
                <w:sz w:val="20"/>
                <w:szCs w:val="20"/>
                <w:lang w:eastAsia="sk-SK"/>
              </w:rPr>
            </w:pPr>
          </w:p>
        </w:tc>
      </w:tr>
      <w:tr w:rsidR="0041022D" w:rsidRPr="00015756" w14:paraId="1BF985F2" w14:textId="77777777" w:rsidTr="00015756">
        <w:trPr>
          <w:trHeight w:val="236"/>
        </w:trPr>
        <w:tc>
          <w:tcPr>
            <w:tcW w:w="1920" w:type="pct"/>
            <w:tcBorders>
              <w:top w:val="single" w:sz="4" w:space="0" w:color="auto"/>
              <w:left w:val="nil"/>
              <w:right w:val="nil"/>
            </w:tcBorders>
            <w:shd w:val="clear" w:color="000000" w:fill="FFFFFF"/>
            <w:vAlign w:val="center"/>
            <w:hideMark/>
          </w:tcPr>
          <w:p w14:paraId="4E6471C8" w14:textId="77777777" w:rsidR="0041022D" w:rsidRPr="00015756" w:rsidRDefault="0041022D" w:rsidP="0041022D">
            <w:pPr>
              <w:spacing w:after="0" w:line="240" w:lineRule="auto"/>
              <w:jc w:val="left"/>
              <w:rPr>
                <w:rFonts w:eastAsia="Times New Roman" w:cs="Times New Roman"/>
                <w:color w:val="000000"/>
                <w:sz w:val="20"/>
                <w:szCs w:val="20"/>
                <w:lang w:eastAsia="sk-SK"/>
              </w:rPr>
            </w:pPr>
            <w:r w:rsidRPr="00015756">
              <w:rPr>
                <w:rFonts w:eastAsia="Times New Roman" w:cs="Times New Roman"/>
                <w:color w:val="000000"/>
                <w:sz w:val="20"/>
                <w:szCs w:val="20"/>
                <w:lang w:eastAsia="sk-SK"/>
              </w:rPr>
              <w:t>Poľnohospodárske fondy 3. programové obdobie</w:t>
            </w:r>
          </w:p>
        </w:tc>
        <w:tc>
          <w:tcPr>
            <w:tcW w:w="461" w:type="pct"/>
            <w:tcBorders>
              <w:top w:val="single" w:sz="4" w:space="0" w:color="auto"/>
              <w:left w:val="nil"/>
              <w:right w:val="nil"/>
            </w:tcBorders>
            <w:shd w:val="clear" w:color="000000" w:fill="FFFFFF"/>
            <w:noWrap/>
            <w:vAlign w:val="center"/>
            <w:hideMark/>
          </w:tcPr>
          <w:p w14:paraId="7E6DDF31" w14:textId="6265B412" w:rsidR="0041022D" w:rsidRPr="00015756" w:rsidRDefault="0041022D" w:rsidP="0041022D">
            <w:pPr>
              <w:spacing w:after="0" w:line="240" w:lineRule="auto"/>
              <w:jc w:val="right"/>
              <w:rPr>
                <w:rFonts w:eastAsia="Times New Roman" w:cs="Times New Roman"/>
                <w:color w:val="000000"/>
                <w:sz w:val="20"/>
                <w:szCs w:val="20"/>
                <w:lang w:eastAsia="sk-SK"/>
              </w:rPr>
            </w:pPr>
            <w:r w:rsidRPr="00015756">
              <w:rPr>
                <w:rFonts w:cs="Times New Roman"/>
                <w:sz w:val="20"/>
                <w:szCs w:val="20"/>
              </w:rPr>
              <w:t>74 455</w:t>
            </w:r>
          </w:p>
        </w:tc>
        <w:tc>
          <w:tcPr>
            <w:tcW w:w="461" w:type="pct"/>
            <w:tcBorders>
              <w:top w:val="single" w:sz="4" w:space="0" w:color="auto"/>
              <w:left w:val="nil"/>
              <w:right w:val="nil"/>
            </w:tcBorders>
            <w:shd w:val="clear" w:color="000000" w:fill="FFFFFF"/>
            <w:noWrap/>
            <w:vAlign w:val="center"/>
            <w:hideMark/>
          </w:tcPr>
          <w:p w14:paraId="58185D53" w14:textId="64417426" w:rsidR="0041022D" w:rsidRPr="00015756" w:rsidRDefault="0041022D" w:rsidP="0041022D">
            <w:pPr>
              <w:spacing w:after="0" w:line="240" w:lineRule="auto"/>
              <w:jc w:val="right"/>
              <w:rPr>
                <w:rFonts w:eastAsia="Times New Roman" w:cs="Times New Roman"/>
                <w:color w:val="000000"/>
                <w:sz w:val="20"/>
                <w:szCs w:val="20"/>
                <w:lang w:eastAsia="sk-SK"/>
              </w:rPr>
            </w:pPr>
            <w:r w:rsidRPr="00015756">
              <w:rPr>
                <w:rFonts w:cs="Times New Roman"/>
                <w:sz w:val="20"/>
                <w:szCs w:val="20"/>
              </w:rPr>
              <w:t>52 029</w:t>
            </w:r>
          </w:p>
        </w:tc>
        <w:tc>
          <w:tcPr>
            <w:tcW w:w="537" w:type="pct"/>
            <w:tcBorders>
              <w:top w:val="single" w:sz="4" w:space="0" w:color="auto"/>
              <w:left w:val="nil"/>
              <w:right w:val="nil"/>
            </w:tcBorders>
            <w:shd w:val="clear" w:color="000000" w:fill="FFFFFF"/>
            <w:noWrap/>
            <w:vAlign w:val="center"/>
            <w:hideMark/>
          </w:tcPr>
          <w:p w14:paraId="39C1232D" w14:textId="480A98EC" w:rsidR="0041022D" w:rsidRPr="00015756" w:rsidRDefault="0041022D" w:rsidP="0041022D">
            <w:pPr>
              <w:spacing w:after="0" w:line="240" w:lineRule="auto"/>
              <w:jc w:val="right"/>
              <w:rPr>
                <w:rFonts w:eastAsia="Times New Roman" w:cs="Times New Roman"/>
                <w:color w:val="000000"/>
                <w:sz w:val="20"/>
                <w:szCs w:val="20"/>
                <w:lang w:eastAsia="sk-SK"/>
              </w:rPr>
            </w:pPr>
            <w:r w:rsidRPr="00015756">
              <w:rPr>
                <w:rFonts w:cs="Times New Roman"/>
                <w:sz w:val="20"/>
                <w:szCs w:val="20"/>
              </w:rPr>
              <w:t>175 976</w:t>
            </w:r>
          </w:p>
        </w:tc>
        <w:tc>
          <w:tcPr>
            <w:tcW w:w="614" w:type="pct"/>
            <w:tcBorders>
              <w:top w:val="single" w:sz="4" w:space="0" w:color="auto"/>
              <w:left w:val="nil"/>
              <w:right w:val="nil"/>
            </w:tcBorders>
            <w:shd w:val="clear" w:color="000000" w:fill="FFFFFF"/>
            <w:noWrap/>
            <w:vAlign w:val="center"/>
            <w:hideMark/>
          </w:tcPr>
          <w:p w14:paraId="416F5003" w14:textId="6FDB5ABE" w:rsidR="0041022D" w:rsidRPr="00015756" w:rsidRDefault="0041022D" w:rsidP="0041022D">
            <w:pPr>
              <w:spacing w:after="0" w:line="240" w:lineRule="auto"/>
              <w:jc w:val="right"/>
              <w:rPr>
                <w:rFonts w:eastAsia="Times New Roman" w:cs="Times New Roman"/>
                <w:color w:val="000000"/>
                <w:sz w:val="20"/>
                <w:szCs w:val="20"/>
                <w:lang w:eastAsia="sk-SK"/>
              </w:rPr>
            </w:pPr>
            <w:r w:rsidRPr="00015756">
              <w:rPr>
                <w:rFonts w:cs="Times New Roman"/>
                <w:sz w:val="20"/>
                <w:szCs w:val="20"/>
              </w:rPr>
              <w:t>68 342</w:t>
            </w:r>
          </w:p>
        </w:tc>
        <w:tc>
          <w:tcPr>
            <w:tcW w:w="518" w:type="pct"/>
            <w:gridSpan w:val="2"/>
            <w:tcBorders>
              <w:top w:val="single" w:sz="4" w:space="0" w:color="auto"/>
              <w:left w:val="nil"/>
              <w:right w:val="nil"/>
            </w:tcBorders>
            <w:shd w:val="clear" w:color="000000" w:fill="FFFFFF"/>
            <w:noWrap/>
            <w:vAlign w:val="center"/>
            <w:hideMark/>
          </w:tcPr>
          <w:p w14:paraId="665D54AF" w14:textId="09723CB8" w:rsidR="0041022D" w:rsidRPr="00015756" w:rsidRDefault="0041022D" w:rsidP="0041022D">
            <w:pPr>
              <w:spacing w:after="0" w:line="240" w:lineRule="auto"/>
              <w:jc w:val="right"/>
              <w:rPr>
                <w:rFonts w:eastAsia="Times New Roman" w:cs="Times New Roman"/>
                <w:color w:val="000000"/>
                <w:sz w:val="20"/>
                <w:szCs w:val="20"/>
                <w:lang w:eastAsia="sk-SK"/>
              </w:rPr>
            </w:pPr>
            <w:r w:rsidRPr="00015756">
              <w:rPr>
                <w:rFonts w:cs="Times New Roman"/>
                <w:sz w:val="20"/>
                <w:szCs w:val="20"/>
              </w:rPr>
              <w:t>-107 633</w:t>
            </w:r>
          </w:p>
        </w:tc>
        <w:tc>
          <w:tcPr>
            <w:tcW w:w="403" w:type="pct"/>
            <w:tcBorders>
              <w:top w:val="single" w:sz="4" w:space="0" w:color="auto"/>
              <w:left w:val="nil"/>
              <w:right w:val="nil"/>
            </w:tcBorders>
            <w:shd w:val="clear" w:color="000000" w:fill="FFFFFF"/>
            <w:noWrap/>
            <w:vAlign w:val="center"/>
            <w:hideMark/>
          </w:tcPr>
          <w:p w14:paraId="2586B65C" w14:textId="7B0FA372" w:rsidR="0041022D" w:rsidRPr="00015756" w:rsidRDefault="0041022D" w:rsidP="0041022D">
            <w:pPr>
              <w:spacing w:after="0" w:line="240" w:lineRule="auto"/>
              <w:jc w:val="right"/>
              <w:rPr>
                <w:rFonts w:eastAsia="Times New Roman" w:cs="Times New Roman"/>
                <w:color w:val="000000"/>
                <w:sz w:val="20"/>
                <w:szCs w:val="20"/>
                <w:lang w:eastAsia="sk-SK"/>
              </w:rPr>
            </w:pPr>
            <w:r w:rsidRPr="00015756">
              <w:rPr>
                <w:rFonts w:cs="Times New Roman"/>
                <w:sz w:val="20"/>
                <w:szCs w:val="20"/>
              </w:rPr>
              <w:t>-61,2</w:t>
            </w:r>
          </w:p>
        </w:tc>
        <w:tc>
          <w:tcPr>
            <w:tcW w:w="86" w:type="pct"/>
            <w:tcBorders>
              <w:top w:val="single" w:sz="4" w:space="0" w:color="auto"/>
              <w:left w:val="nil"/>
              <w:right w:val="nil"/>
            </w:tcBorders>
            <w:shd w:val="clear" w:color="auto" w:fill="auto"/>
            <w:noWrap/>
            <w:vAlign w:val="bottom"/>
            <w:hideMark/>
          </w:tcPr>
          <w:p w14:paraId="3C0EB9C5" w14:textId="77777777" w:rsidR="0041022D" w:rsidRPr="00015756" w:rsidRDefault="0041022D" w:rsidP="0041022D">
            <w:pPr>
              <w:spacing w:after="0" w:line="240" w:lineRule="auto"/>
              <w:jc w:val="right"/>
              <w:rPr>
                <w:rFonts w:eastAsia="Times New Roman" w:cs="Times New Roman"/>
                <w:color w:val="000000"/>
                <w:sz w:val="20"/>
                <w:szCs w:val="20"/>
                <w:lang w:eastAsia="sk-SK"/>
              </w:rPr>
            </w:pPr>
          </w:p>
        </w:tc>
      </w:tr>
      <w:tr w:rsidR="00015756" w:rsidRPr="00015756" w14:paraId="5EFA305F" w14:textId="77777777" w:rsidTr="00015756">
        <w:trPr>
          <w:trHeight w:val="236"/>
        </w:trPr>
        <w:tc>
          <w:tcPr>
            <w:tcW w:w="1920" w:type="pct"/>
            <w:tcBorders>
              <w:left w:val="nil"/>
              <w:bottom w:val="nil"/>
              <w:right w:val="nil"/>
            </w:tcBorders>
            <w:shd w:val="clear" w:color="000000" w:fill="FFFFFF"/>
            <w:vAlign w:val="center"/>
          </w:tcPr>
          <w:p w14:paraId="00C68138" w14:textId="0560FB43" w:rsidR="00015756" w:rsidRPr="00015756" w:rsidRDefault="00015756" w:rsidP="00015756">
            <w:pPr>
              <w:spacing w:after="0" w:line="240" w:lineRule="auto"/>
              <w:jc w:val="left"/>
              <w:rPr>
                <w:rFonts w:eastAsia="Times New Roman" w:cs="Times New Roman"/>
                <w:color w:val="000000"/>
                <w:sz w:val="20"/>
                <w:szCs w:val="20"/>
                <w:lang w:eastAsia="sk-SK"/>
              </w:rPr>
            </w:pPr>
            <w:r w:rsidRPr="00015756">
              <w:rPr>
                <w:rFonts w:cs="Times New Roman"/>
                <w:sz w:val="20"/>
                <w:szCs w:val="20"/>
              </w:rPr>
              <w:t>Poľnohospodárske fondy 4. programové obdobie</w:t>
            </w:r>
          </w:p>
        </w:tc>
        <w:tc>
          <w:tcPr>
            <w:tcW w:w="461" w:type="pct"/>
            <w:tcBorders>
              <w:left w:val="nil"/>
              <w:bottom w:val="nil"/>
              <w:right w:val="nil"/>
            </w:tcBorders>
            <w:shd w:val="clear" w:color="000000" w:fill="FFFFFF"/>
            <w:noWrap/>
            <w:vAlign w:val="center"/>
          </w:tcPr>
          <w:p w14:paraId="5A57E0AA" w14:textId="1F9887BE"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461" w:type="pct"/>
            <w:tcBorders>
              <w:left w:val="nil"/>
              <w:bottom w:val="nil"/>
              <w:right w:val="nil"/>
            </w:tcBorders>
            <w:shd w:val="clear" w:color="000000" w:fill="FFFFFF"/>
            <w:noWrap/>
            <w:vAlign w:val="center"/>
          </w:tcPr>
          <w:p w14:paraId="7852B0BF" w14:textId="399C53FA"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537" w:type="pct"/>
            <w:tcBorders>
              <w:left w:val="nil"/>
              <w:bottom w:val="nil"/>
              <w:right w:val="nil"/>
            </w:tcBorders>
            <w:shd w:val="clear" w:color="000000" w:fill="FFFFFF"/>
            <w:noWrap/>
            <w:vAlign w:val="center"/>
          </w:tcPr>
          <w:p w14:paraId="175396A3" w14:textId="3D4E6108"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614" w:type="pct"/>
            <w:tcBorders>
              <w:left w:val="nil"/>
              <w:bottom w:val="nil"/>
              <w:right w:val="nil"/>
            </w:tcBorders>
            <w:shd w:val="clear" w:color="000000" w:fill="FFFFFF"/>
            <w:noWrap/>
            <w:vAlign w:val="center"/>
          </w:tcPr>
          <w:p w14:paraId="7CC69971" w14:textId="02ED4720"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518" w:type="pct"/>
            <w:gridSpan w:val="2"/>
            <w:tcBorders>
              <w:left w:val="nil"/>
              <w:bottom w:val="nil"/>
              <w:right w:val="nil"/>
            </w:tcBorders>
            <w:shd w:val="clear" w:color="000000" w:fill="FFFFFF"/>
            <w:noWrap/>
            <w:vAlign w:val="center"/>
          </w:tcPr>
          <w:p w14:paraId="69F98706" w14:textId="63CE5A95"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403" w:type="pct"/>
            <w:tcBorders>
              <w:left w:val="nil"/>
              <w:bottom w:val="nil"/>
              <w:right w:val="nil"/>
            </w:tcBorders>
            <w:shd w:val="clear" w:color="000000" w:fill="FFFFFF"/>
            <w:noWrap/>
            <w:vAlign w:val="center"/>
          </w:tcPr>
          <w:p w14:paraId="24BDDE81" w14:textId="7E75FCAA" w:rsidR="00015756" w:rsidRPr="00015756" w:rsidRDefault="00015756" w:rsidP="00015756">
            <w:pPr>
              <w:spacing w:after="0" w:line="240" w:lineRule="auto"/>
              <w:jc w:val="right"/>
              <w:rPr>
                <w:rFonts w:cs="Times New Roman"/>
                <w:sz w:val="20"/>
                <w:szCs w:val="20"/>
              </w:rPr>
            </w:pPr>
            <w:r w:rsidRPr="00015756">
              <w:rPr>
                <w:rFonts w:cs="Times New Roman"/>
                <w:sz w:val="20"/>
                <w:szCs w:val="20"/>
              </w:rPr>
              <w:t xml:space="preserve"> 0,0</w:t>
            </w:r>
          </w:p>
        </w:tc>
        <w:tc>
          <w:tcPr>
            <w:tcW w:w="86" w:type="pct"/>
            <w:tcBorders>
              <w:left w:val="nil"/>
              <w:bottom w:val="nil"/>
              <w:right w:val="nil"/>
            </w:tcBorders>
            <w:shd w:val="clear" w:color="auto" w:fill="auto"/>
            <w:noWrap/>
            <w:vAlign w:val="bottom"/>
          </w:tcPr>
          <w:p w14:paraId="230DAEDE" w14:textId="77777777" w:rsidR="00015756" w:rsidRPr="00015756" w:rsidRDefault="00015756" w:rsidP="00015756">
            <w:pPr>
              <w:spacing w:after="0" w:line="240" w:lineRule="auto"/>
              <w:jc w:val="right"/>
              <w:rPr>
                <w:rFonts w:eastAsia="Times New Roman" w:cs="Times New Roman"/>
                <w:color w:val="000000"/>
                <w:sz w:val="20"/>
                <w:szCs w:val="20"/>
                <w:lang w:eastAsia="sk-SK"/>
              </w:rPr>
            </w:pPr>
          </w:p>
        </w:tc>
      </w:tr>
      <w:tr w:rsidR="00015756" w:rsidRPr="00015756" w14:paraId="54DC63DA" w14:textId="77777777" w:rsidTr="00A2483A">
        <w:trPr>
          <w:trHeight w:val="236"/>
        </w:trPr>
        <w:tc>
          <w:tcPr>
            <w:tcW w:w="1920" w:type="pct"/>
            <w:tcBorders>
              <w:top w:val="nil"/>
              <w:left w:val="nil"/>
              <w:bottom w:val="nil"/>
              <w:right w:val="nil"/>
            </w:tcBorders>
            <w:shd w:val="clear" w:color="000000" w:fill="FFFFFF"/>
            <w:vAlign w:val="center"/>
            <w:hideMark/>
          </w:tcPr>
          <w:p w14:paraId="4E94646A" w14:textId="77777777" w:rsidR="00015756" w:rsidRPr="00015756" w:rsidRDefault="00015756" w:rsidP="00015756">
            <w:pPr>
              <w:spacing w:after="0" w:line="240" w:lineRule="auto"/>
              <w:jc w:val="left"/>
              <w:rPr>
                <w:rFonts w:eastAsia="Times New Roman" w:cs="Times New Roman"/>
                <w:b/>
                <w:bCs/>
                <w:color w:val="000000"/>
                <w:sz w:val="20"/>
                <w:szCs w:val="20"/>
                <w:lang w:eastAsia="sk-SK"/>
              </w:rPr>
            </w:pPr>
            <w:r w:rsidRPr="00015756">
              <w:rPr>
                <w:rFonts w:eastAsia="Times New Roman" w:cs="Times New Roman"/>
                <w:b/>
                <w:bCs/>
                <w:color w:val="000000"/>
                <w:sz w:val="20"/>
                <w:szCs w:val="20"/>
                <w:lang w:eastAsia="sk-SK"/>
              </w:rPr>
              <w:t>Poľnohospodárske fondy spolu - MPRV SR</w:t>
            </w:r>
          </w:p>
        </w:tc>
        <w:tc>
          <w:tcPr>
            <w:tcW w:w="461" w:type="pct"/>
            <w:tcBorders>
              <w:top w:val="nil"/>
              <w:left w:val="nil"/>
              <w:bottom w:val="nil"/>
              <w:right w:val="nil"/>
            </w:tcBorders>
            <w:shd w:val="clear" w:color="000000" w:fill="FFFFFF"/>
            <w:noWrap/>
            <w:vAlign w:val="center"/>
            <w:hideMark/>
          </w:tcPr>
          <w:p w14:paraId="2DDD05A2" w14:textId="26CBE834"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74 455</w:t>
            </w:r>
          </w:p>
        </w:tc>
        <w:tc>
          <w:tcPr>
            <w:tcW w:w="461" w:type="pct"/>
            <w:tcBorders>
              <w:top w:val="nil"/>
              <w:left w:val="nil"/>
              <w:bottom w:val="nil"/>
              <w:right w:val="nil"/>
            </w:tcBorders>
            <w:shd w:val="clear" w:color="000000" w:fill="FFFFFF"/>
            <w:noWrap/>
            <w:vAlign w:val="center"/>
            <w:hideMark/>
          </w:tcPr>
          <w:p w14:paraId="132DEA80" w14:textId="158C1B48"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52 029</w:t>
            </w:r>
          </w:p>
        </w:tc>
        <w:tc>
          <w:tcPr>
            <w:tcW w:w="537" w:type="pct"/>
            <w:tcBorders>
              <w:top w:val="nil"/>
              <w:left w:val="nil"/>
              <w:bottom w:val="nil"/>
              <w:right w:val="nil"/>
            </w:tcBorders>
            <w:shd w:val="clear" w:color="000000" w:fill="FFFFFF"/>
            <w:noWrap/>
            <w:vAlign w:val="center"/>
            <w:hideMark/>
          </w:tcPr>
          <w:p w14:paraId="6389F163" w14:textId="736483E5"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175 976</w:t>
            </w:r>
          </w:p>
        </w:tc>
        <w:tc>
          <w:tcPr>
            <w:tcW w:w="614" w:type="pct"/>
            <w:tcBorders>
              <w:top w:val="nil"/>
              <w:left w:val="nil"/>
              <w:bottom w:val="nil"/>
              <w:right w:val="nil"/>
            </w:tcBorders>
            <w:shd w:val="clear" w:color="000000" w:fill="FFFFFF"/>
            <w:noWrap/>
            <w:vAlign w:val="center"/>
            <w:hideMark/>
          </w:tcPr>
          <w:p w14:paraId="3DFE4858" w14:textId="0AA41715"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68 342</w:t>
            </w:r>
          </w:p>
        </w:tc>
        <w:tc>
          <w:tcPr>
            <w:tcW w:w="518" w:type="pct"/>
            <w:gridSpan w:val="2"/>
            <w:tcBorders>
              <w:top w:val="nil"/>
              <w:left w:val="nil"/>
              <w:bottom w:val="nil"/>
              <w:right w:val="nil"/>
            </w:tcBorders>
            <w:shd w:val="clear" w:color="000000" w:fill="FFFFFF"/>
            <w:noWrap/>
            <w:vAlign w:val="center"/>
            <w:hideMark/>
          </w:tcPr>
          <w:p w14:paraId="5F2A2897" w14:textId="74946D90"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-107 633</w:t>
            </w:r>
          </w:p>
        </w:tc>
        <w:tc>
          <w:tcPr>
            <w:tcW w:w="403" w:type="pct"/>
            <w:tcBorders>
              <w:top w:val="nil"/>
              <w:left w:val="nil"/>
              <w:bottom w:val="nil"/>
              <w:right w:val="nil"/>
            </w:tcBorders>
            <w:shd w:val="clear" w:color="000000" w:fill="FFFFFF"/>
            <w:noWrap/>
            <w:vAlign w:val="center"/>
            <w:hideMark/>
          </w:tcPr>
          <w:p w14:paraId="6F6413C7" w14:textId="057A976F"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-61,2</w:t>
            </w:r>
          </w:p>
        </w:tc>
        <w:tc>
          <w:tcPr>
            <w:tcW w:w="86" w:type="pct"/>
            <w:tcBorders>
              <w:top w:val="nil"/>
              <w:left w:val="nil"/>
              <w:bottom w:val="nil"/>
              <w:right w:val="nil"/>
            </w:tcBorders>
            <w:shd w:val="clear" w:color="auto" w:fill="auto"/>
            <w:noWrap/>
            <w:vAlign w:val="bottom"/>
            <w:hideMark/>
          </w:tcPr>
          <w:p w14:paraId="6D579AD9" w14:textId="77777777" w:rsidR="00015756" w:rsidRPr="00015756" w:rsidRDefault="00015756" w:rsidP="00015756">
            <w:pPr>
              <w:spacing w:after="0" w:line="240" w:lineRule="auto"/>
              <w:jc w:val="right"/>
              <w:rPr>
                <w:rFonts w:eastAsia="Times New Roman" w:cs="Times New Roman"/>
                <w:b/>
                <w:bCs/>
                <w:color w:val="000000"/>
                <w:sz w:val="20"/>
                <w:szCs w:val="20"/>
                <w:lang w:eastAsia="sk-SK"/>
              </w:rPr>
            </w:pPr>
          </w:p>
        </w:tc>
      </w:tr>
      <w:tr w:rsidR="00015756" w:rsidRPr="00015756" w14:paraId="6E8B7B11" w14:textId="77777777" w:rsidTr="00A2483A">
        <w:trPr>
          <w:trHeight w:val="366"/>
        </w:trPr>
        <w:tc>
          <w:tcPr>
            <w:tcW w:w="1920" w:type="pct"/>
            <w:tcBorders>
              <w:top w:val="nil"/>
              <w:left w:val="nil"/>
              <w:bottom w:val="nil"/>
              <w:right w:val="nil"/>
            </w:tcBorders>
            <w:shd w:val="clear" w:color="000000" w:fill="FFFFFF"/>
            <w:vAlign w:val="center"/>
            <w:hideMark/>
          </w:tcPr>
          <w:p w14:paraId="25EF8720" w14:textId="77777777" w:rsidR="00015756" w:rsidRPr="00015756" w:rsidRDefault="00015756" w:rsidP="00015756">
            <w:pPr>
              <w:spacing w:after="0" w:line="240" w:lineRule="auto"/>
              <w:jc w:val="left"/>
              <w:rPr>
                <w:rFonts w:eastAsia="Times New Roman" w:cs="Times New Roman"/>
                <w:color w:val="000000"/>
                <w:sz w:val="20"/>
                <w:szCs w:val="20"/>
                <w:lang w:eastAsia="sk-SK"/>
              </w:rPr>
            </w:pPr>
            <w:r w:rsidRPr="00015756">
              <w:rPr>
                <w:rFonts w:eastAsia="Times New Roman" w:cs="Times New Roman"/>
                <w:color w:val="000000"/>
                <w:sz w:val="20"/>
                <w:szCs w:val="20"/>
                <w:lang w:eastAsia="sk-SK"/>
              </w:rPr>
              <w:t xml:space="preserve">Štrukturálne fondy, Kohézny fond, Európsky fond pre rybné hospodárstvo 2. programové obdobie </w:t>
            </w:r>
          </w:p>
        </w:tc>
        <w:tc>
          <w:tcPr>
            <w:tcW w:w="461" w:type="pct"/>
            <w:tcBorders>
              <w:top w:val="nil"/>
              <w:left w:val="nil"/>
              <w:bottom w:val="nil"/>
              <w:right w:val="nil"/>
            </w:tcBorders>
            <w:shd w:val="clear" w:color="000000" w:fill="FFFFFF"/>
            <w:noWrap/>
            <w:vAlign w:val="center"/>
            <w:hideMark/>
          </w:tcPr>
          <w:p w14:paraId="711FA3CC" w14:textId="2D805990"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0</w:t>
            </w:r>
          </w:p>
        </w:tc>
        <w:tc>
          <w:tcPr>
            <w:tcW w:w="461" w:type="pct"/>
            <w:tcBorders>
              <w:top w:val="nil"/>
              <w:left w:val="nil"/>
              <w:bottom w:val="nil"/>
              <w:right w:val="nil"/>
            </w:tcBorders>
            <w:shd w:val="clear" w:color="000000" w:fill="FFFFFF"/>
            <w:noWrap/>
            <w:vAlign w:val="center"/>
            <w:hideMark/>
          </w:tcPr>
          <w:p w14:paraId="65DBCCC2" w14:textId="72F97CA4"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0</w:t>
            </w:r>
          </w:p>
        </w:tc>
        <w:tc>
          <w:tcPr>
            <w:tcW w:w="537" w:type="pct"/>
            <w:tcBorders>
              <w:top w:val="nil"/>
              <w:left w:val="nil"/>
              <w:bottom w:val="nil"/>
              <w:right w:val="nil"/>
            </w:tcBorders>
            <w:shd w:val="clear" w:color="000000" w:fill="FFFFFF"/>
            <w:noWrap/>
            <w:vAlign w:val="center"/>
            <w:hideMark/>
          </w:tcPr>
          <w:p w14:paraId="3C4B0DDC" w14:textId="068D27EC"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0</w:t>
            </w:r>
          </w:p>
        </w:tc>
        <w:tc>
          <w:tcPr>
            <w:tcW w:w="614" w:type="pct"/>
            <w:tcBorders>
              <w:top w:val="nil"/>
              <w:left w:val="nil"/>
              <w:bottom w:val="nil"/>
              <w:right w:val="nil"/>
            </w:tcBorders>
            <w:shd w:val="clear" w:color="auto" w:fill="auto"/>
            <w:noWrap/>
            <w:vAlign w:val="center"/>
            <w:hideMark/>
          </w:tcPr>
          <w:p w14:paraId="265F9388" w14:textId="1025E703"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0</w:t>
            </w:r>
          </w:p>
        </w:tc>
        <w:tc>
          <w:tcPr>
            <w:tcW w:w="518" w:type="pct"/>
            <w:gridSpan w:val="2"/>
            <w:tcBorders>
              <w:top w:val="nil"/>
              <w:left w:val="nil"/>
              <w:bottom w:val="nil"/>
              <w:right w:val="nil"/>
            </w:tcBorders>
            <w:shd w:val="clear" w:color="000000" w:fill="FFFFFF"/>
            <w:noWrap/>
            <w:vAlign w:val="center"/>
            <w:hideMark/>
          </w:tcPr>
          <w:p w14:paraId="3BAB7D62" w14:textId="632B8CBF"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0</w:t>
            </w:r>
          </w:p>
        </w:tc>
        <w:tc>
          <w:tcPr>
            <w:tcW w:w="403" w:type="pct"/>
            <w:tcBorders>
              <w:top w:val="nil"/>
              <w:left w:val="nil"/>
              <w:bottom w:val="nil"/>
              <w:right w:val="nil"/>
            </w:tcBorders>
            <w:shd w:val="clear" w:color="000000" w:fill="FFFFFF"/>
            <w:noWrap/>
            <w:vAlign w:val="center"/>
            <w:hideMark/>
          </w:tcPr>
          <w:p w14:paraId="3CF5DC30" w14:textId="193EDD05"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0,0</w:t>
            </w:r>
          </w:p>
        </w:tc>
        <w:tc>
          <w:tcPr>
            <w:tcW w:w="86" w:type="pct"/>
            <w:tcBorders>
              <w:top w:val="nil"/>
              <w:left w:val="nil"/>
              <w:bottom w:val="nil"/>
              <w:right w:val="nil"/>
            </w:tcBorders>
            <w:shd w:val="clear" w:color="auto" w:fill="auto"/>
            <w:noWrap/>
            <w:vAlign w:val="bottom"/>
            <w:hideMark/>
          </w:tcPr>
          <w:p w14:paraId="3F0CF122" w14:textId="77777777" w:rsidR="00015756" w:rsidRPr="00015756" w:rsidRDefault="00015756" w:rsidP="00015756">
            <w:pPr>
              <w:spacing w:after="0" w:line="240" w:lineRule="auto"/>
              <w:jc w:val="right"/>
              <w:rPr>
                <w:rFonts w:eastAsia="Times New Roman" w:cs="Times New Roman"/>
                <w:color w:val="000000"/>
                <w:sz w:val="20"/>
                <w:szCs w:val="20"/>
                <w:lang w:eastAsia="sk-SK"/>
              </w:rPr>
            </w:pPr>
          </w:p>
        </w:tc>
      </w:tr>
      <w:tr w:rsidR="00015756" w:rsidRPr="00015756" w14:paraId="52870688" w14:textId="77777777" w:rsidTr="00A2483A">
        <w:trPr>
          <w:trHeight w:val="366"/>
        </w:trPr>
        <w:tc>
          <w:tcPr>
            <w:tcW w:w="1920" w:type="pct"/>
            <w:tcBorders>
              <w:top w:val="nil"/>
              <w:left w:val="nil"/>
              <w:bottom w:val="nil"/>
              <w:right w:val="nil"/>
            </w:tcBorders>
            <w:shd w:val="clear" w:color="000000" w:fill="FFFFFF"/>
            <w:vAlign w:val="center"/>
            <w:hideMark/>
          </w:tcPr>
          <w:p w14:paraId="77FD3395" w14:textId="77777777" w:rsidR="00015756" w:rsidRPr="00015756" w:rsidRDefault="00015756" w:rsidP="00015756">
            <w:pPr>
              <w:spacing w:after="0" w:line="240" w:lineRule="auto"/>
              <w:jc w:val="left"/>
              <w:rPr>
                <w:rFonts w:eastAsia="Times New Roman" w:cs="Times New Roman"/>
                <w:color w:val="000000"/>
                <w:sz w:val="20"/>
                <w:szCs w:val="20"/>
                <w:lang w:eastAsia="sk-SK"/>
              </w:rPr>
            </w:pPr>
            <w:r w:rsidRPr="00015756">
              <w:rPr>
                <w:rFonts w:eastAsia="Times New Roman" w:cs="Times New Roman"/>
                <w:color w:val="000000"/>
                <w:sz w:val="20"/>
                <w:szCs w:val="20"/>
                <w:lang w:eastAsia="sk-SK"/>
              </w:rPr>
              <w:lastRenderedPageBreak/>
              <w:t xml:space="preserve">Štrukturálne fondy, Kohézny fond, Európsky námorný a rybársky fond 3. programové obdobie </w:t>
            </w:r>
          </w:p>
        </w:tc>
        <w:tc>
          <w:tcPr>
            <w:tcW w:w="461" w:type="pct"/>
            <w:tcBorders>
              <w:top w:val="nil"/>
              <w:left w:val="nil"/>
              <w:bottom w:val="nil"/>
              <w:right w:val="nil"/>
            </w:tcBorders>
            <w:shd w:val="clear" w:color="000000" w:fill="FFFFFF"/>
            <w:noWrap/>
            <w:vAlign w:val="center"/>
            <w:hideMark/>
          </w:tcPr>
          <w:p w14:paraId="47B0D76F" w14:textId="087525C0"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301 319</w:t>
            </w:r>
          </w:p>
        </w:tc>
        <w:tc>
          <w:tcPr>
            <w:tcW w:w="461" w:type="pct"/>
            <w:tcBorders>
              <w:top w:val="nil"/>
              <w:left w:val="nil"/>
              <w:bottom w:val="nil"/>
              <w:right w:val="nil"/>
            </w:tcBorders>
            <w:shd w:val="clear" w:color="000000" w:fill="FFFFFF"/>
            <w:noWrap/>
            <w:vAlign w:val="center"/>
            <w:hideMark/>
          </w:tcPr>
          <w:p w14:paraId="6645A459" w14:textId="5F13A5F6"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317 755</w:t>
            </w:r>
          </w:p>
        </w:tc>
        <w:tc>
          <w:tcPr>
            <w:tcW w:w="537" w:type="pct"/>
            <w:tcBorders>
              <w:top w:val="nil"/>
              <w:left w:val="nil"/>
              <w:bottom w:val="nil"/>
              <w:right w:val="nil"/>
            </w:tcBorders>
            <w:shd w:val="clear" w:color="000000" w:fill="FFFFFF"/>
            <w:noWrap/>
            <w:vAlign w:val="center"/>
            <w:hideMark/>
          </w:tcPr>
          <w:p w14:paraId="18BEE12C" w14:textId="21F8AEFE"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392 967</w:t>
            </w:r>
          </w:p>
        </w:tc>
        <w:tc>
          <w:tcPr>
            <w:tcW w:w="614" w:type="pct"/>
            <w:tcBorders>
              <w:top w:val="nil"/>
              <w:left w:val="nil"/>
              <w:bottom w:val="nil"/>
              <w:right w:val="nil"/>
            </w:tcBorders>
            <w:shd w:val="clear" w:color="000000" w:fill="FFFFFF"/>
            <w:noWrap/>
            <w:vAlign w:val="center"/>
            <w:hideMark/>
          </w:tcPr>
          <w:p w14:paraId="6DD10B9B" w14:textId="20C6986F"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326 225</w:t>
            </w:r>
          </w:p>
        </w:tc>
        <w:tc>
          <w:tcPr>
            <w:tcW w:w="518" w:type="pct"/>
            <w:gridSpan w:val="2"/>
            <w:tcBorders>
              <w:top w:val="nil"/>
              <w:left w:val="nil"/>
              <w:bottom w:val="nil"/>
              <w:right w:val="nil"/>
            </w:tcBorders>
            <w:shd w:val="clear" w:color="000000" w:fill="FFFFFF"/>
            <w:noWrap/>
            <w:vAlign w:val="center"/>
            <w:hideMark/>
          </w:tcPr>
          <w:p w14:paraId="07B7231C" w14:textId="16370DDD"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-66 743</w:t>
            </w:r>
          </w:p>
        </w:tc>
        <w:tc>
          <w:tcPr>
            <w:tcW w:w="403" w:type="pct"/>
            <w:tcBorders>
              <w:top w:val="nil"/>
              <w:left w:val="nil"/>
              <w:bottom w:val="nil"/>
              <w:right w:val="nil"/>
            </w:tcBorders>
            <w:shd w:val="clear" w:color="000000" w:fill="FFFFFF"/>
            <w:noWrap/>
            <w:vAlign w:val="center"/>
            <w:hideMark/>
          </w:tcPr>
          <w:p w14:paraId="17CAAEEF" w14:textId="14DFFBE3"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-17,0</w:t>
            </w:r>
          </w:p>
        </w:tc>
        <w:tc>
          <w:tcPr>
            <w:tcW w:w="86" w:type="pct"/>
            <w:tcBorders>
              <w:top w:val="nil"/>
              <w:left w:val="nil"/>
              <w:bottom w:val="nil"/>
              <w:right w:val="nil"/>
            </w:tcBorders>
            <w:shd w:val="clear" w:color="auto" w:fill="auto"/>
            <w:noWrap/>
            <w:vAlign w:val="bottom"/>
            <w:hideMark/>
          </w:tcPr>
          <w:p w14:paraId="55A5BE6C" w14:textId="77777777" w:rsidR="00015756" w:rsidRPr="00015756" w:rsidRDefault="00015756" w:rsidP="00015756">
            <w:pPr>
              <w:spacing w:after="0" w:line="240" w:lineRule="auto"/>
              <w:jc w:val="right"/>
              <w:rPr>
                <w:rFonts w:eastAsia="Times New Roman" w:cs="Times New Roman"/>
                <w:color w:val="000000"/>
                <w:sz w:val="20"/>
                <w:szCs w:val="20"/>
                <w:lang w:eastAsia="sk-SK"/>
              </w:rPr>
            </w:pPr>
          </w:p>
        </w:tc>
      </w:tr>
      <w:tr w:rsidR="00015756" w:rsidRPr="00015756" w14:paraId="25F82E00" w14:textId="77777777" w:rsidTr="00A2483A">
        <w:trPr>
          <w:trHeight w:val="366"/>
        </w:trPr>
        <w:tc>
          <w:tcPr>
            <w:tcW w:w="1920" w:type="pct"/>
            <w:tcBorders>
              <w:top w:val="nil"/>
              <w:left w:val="nil"/>
              <w:bottom w:val="nil"/>
              <w:right w:val="nil"/>
            </w:tcBorders>
            <w:shd w:val="clear" w:color="000000" w:fill="FFFFFF"/>
            <w:vAlign w:val="center"/>
          </w:tcPr>
          <w:p w14:paraId="623FC0D0" w14:textId="47FF13F8" w:rsidR="00015756" w:rsidRPr="00015756" w:rsidRDefault="00015756" w:rsidP="00015756">
            <w:pPr>
              <w:spacing w:after="0" w:line="240" w:lineRule="auto"/>
              <w:jc w:val="left"/>
              <w:rPr>
                <w:rFonts w:eastAsia="Times New Roman" w:cs="Times New Roman"/>
                <w:color w:val="000000"/>
                <w:sz w:val="20"/>
                <w:szCs w:val="20"/>
                <w:lang w:eastAsia="sk-SK"/>
              </w:rPr>
            </w:pPr>
            <w:r w:rsidRPr="00015756">
              <w:rPr>
                <w:rFonts w:cs="Times New Roman"/>
                <w:sz w:val="20"/>
                <w:szCs w:val="20"/>
              </w:rPr>
              <w:t>Program Slovensko a Európsky námorný, rybolovný a </w:t>
            </w:r>
            <w:proofErr w:type="spellStart"/>
            <w:r w:rsidRPr="00015756">
              <w:rPr>
                <w:rFonts w:cs="Times New Roman"/>
                <w:sz w:val="20"/>
                <w:szCs w:val="20"/>
              </w:rPr>
              <w:t>akvakultúrny</w:t>
            </w:r>
            <w:proofErr w:type="spellEnd"/>
            <w:r w:rsidRPr="00015756">
              <w:rPr>
                <w:rFonts w:cs="Times New Roman"/>
                <w:sz w:val="20"/>
                <w:szCs w:val="20"/>
              </w:rPr>
              <w:t xml:space="preserve"> fond 4. programové obdobie</w:t>
            </w:r>
          </w:p>
        </w:tc>
        <w:tc>
          <w:tcPr>
            <w:tcW w:w="461" w:type="pct"/>
            <w:tcBorders>
              <w:top w:val="nil"/>
              <w:left w:val="nil"/>
              <w:bottom w:val="nil"/>
              <w:right w:val="nil"/>
            </w:tcBorders>
            <w:shd w:val="clear" w:color="000000" w:fill="FFFFFF"/>
            <w:noWrap/>
            <w:vAlign w:val="center"/>
          </w:tcPr>
          <w:p w14:paraId="42D4D24A" w14:textId="17113232"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461" w:type="pct"/>
            <w:tcBorders>
              <w:top w:val="nil"/>
              <w:left w:val="nil"/>
              <w:bottom w:val="nil"/>
              <w:right w:val="nil"/>
            </w:tcBorders>
            <w:shd w:val="clear" w:color="000000" w:fill="FFFFFF"/>
            <w:noWrap/>
            <w:vAlign w:val="center"/>
          </w:tcPr>
          <w:p w14:paraId="79943BD8" w14:textId="09BF575F"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537" w:type="pct"/>
            <w:tcBorders>
              <w:top w:val="nil"/>
              <w:left w:val="nil"/>
              <w:bottom w:val="nil"/>
              <w:right w:val="nil"/>
            </w:tcBorders>
            <w:shd w:val="clear" w:color="000000" w:fill="FFFFFF"/>
            <w:noWrap/>
            <w:vAlign w:val="center"/>
          </w:tcPr>
          <w:p w14:paraId="46C8BAF0" w14:textId="0C879BA0" w:rsidR="00015756" w:rsidRPr="00015756" w:rsidRDefault="00015756" w:rsidP="00015756">
            <w:pPr>
              <w:spacing w:after="0" w:line="240" w:lineRule="auto"/>
              <w:jc w:val="right"/>
              <w:rPr>
                <w:rFonts w:cs="Times New Roman"/>
                <w:sz w:val="20"/>
                <w:szCs w:val="20"/>
              </w:rPr>
            </w:pPr>
            <w:r w:rsidRPr="00015756">
              <w:rPr>
                <w:rFonts w:cs="Times New Roman"/>
                <w:sz w:val="20"/>
                <w:szCs w:val="20"/>
              </w:rPr>
              <w:t>14 966</w:t>
            </w:r>
          </w:p>
        </w:tc>
        <w:tc>
          <w:tcPr>
            <w:tcW w:w="614" w:type="pct"/>
            <w:tcBorders>
              <w:top w:val="nil"/>
              <w:left w:val="nil"/>
              <w:bottom w:val="nil"/>
              <w:right w:val="nil"/>
            </w:tcBorders>
            <w:shd w:val="clear" w:color="000000" w:fill="FFFFFF"/>
            <w:noWrap/>
            <w:vAlign w:val="center"/>
          </w:tcPr>
          <w:p w14:paraId="1DB87191" w14:textId="496A00DF"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518" w:type="pct"/>
            <w:gridSpan w:val="2"/>
            <w:tcBorders>
              <w:top w:val="nil"/>
              <w:left w:val="nil"/>
              <w:bottom w:val="nil"/>
              <w:right w:val="nil"/>
            </w:tcBorders>
            <w:shd w:val="clear" w:color="000000" w:fill="FFFFFF"/>
            <w:noWrap/>
            <w:vAlign w:val="center"/>
          </w:tcPr>
          <w:p w14:paraId="47E97C20" w14:textId="02B04A40" w:rsidR="00015756" w:rsidRPr="00015756" w:rsidRDefault="00015756" w:rsidP="00015756">
            <w:pPr>
              <w:spacing w:after="0" w:line="240" w:lineRule="auto"/>
              <w:jc w:val="right"/>
              <w:rPr>
                <w:rFonts w:cs="Times New Roman"/>
                <w:sz w:val="20"/>
                <w:szCs w:val="20"/>
              </w:rPr>
            </w:pPr>
            <w:r w:rsidRPr="00015756">
              <w:rPr>
                <w:rFonts w:cs="Times New Roman"/>
                <w:sz w:val="20"/>
                <w:szCs w:val="20"/>
              </w:rPr>
              <w:t>-14 966</w:t>
            </w:r>
          </w:p>
        </w:tc>
        <w:tc>
          <w:tcPr>
            <w:tcW w:w="403" w:type="pct"/>
            <w:tcBorders>
              <w:top w:val="nil"/>
              <w:left w:val="nil"/>
              <w:bottom w:val="nil"/>
              <w:right w:val="nil"/>
            </w:tcBorders>
            <w:shd w:val="clear" w:color="000000" w:fill="FFFFFF"/>
            <w:noWrap/>
            <w:vAlign w:val="center"/>
          </w:tcPr>
          <w:p w14:paraId="634BB728" w14:textId="401D278E" w:rsidR="00015756" w:rsidRPr="00015756" w:rsidRDefault="00015756" w:rsidP="00015756">
            <w:pPr>
              <w:spacing w:after="0" w:line="240" w:lineRule="auto"/>
              <w:jc w:val="right"/>
              <w:rPr>
                <w:rFonts w:cs="Times New Roman"/>
                <w:sz w:val="20"/>
                <w:szCs w:val="20"/>
              </w:rPr>
            </w:pPr>
            <w:r w:rsidRPr="00015756">
              <w:rPr>
                <w:rFonts w:cs="Times New Roman"/>
                <w:sz w:val="20"/>
                <w:szCs w:val="20"/>
              </w:rPr>
              <w:t>-100,0</w:t>
            </w:r>
          </w:p>
        </w:tc>
        <w:tc>
          <w:tcPr>
            <w:tcW w:w="86" w:type="pct"/>
            <w:tcBorders>
              <w:top w:val="nil"/>
              <w:left w:val="nil"/>
              <w:bottom w:val="nil"/>
              <w:right w:val="nil"/>
            </w:tcBorders>
            <w:shd w:val="clear" w:color="auto" w:fill="auto"/>
            <w:noWrap/>
            <w:vAlign w:val="bottom"/>
          </w:tcPr>
          <w:p w14:paraId="6ABE6A12" w14:textId="77777777" w:rsidR="00015756" w:rsidRPr="00015756" w:rsidRDefault="00015756" w:rsidP="00015756">
            <w:pPr>
              <w:spacing w:after="0" w:line="240" w:lineRule="auto"/>
              <w:jc w:val="right"/>
              <w:rPr>
                <w:rFonts w:eastAsia="Times New Roman" w:cs="Times New Roman"/>
                <w:color w:val="000000"/>
                <w:sz w:val="20"/>
                <w:szCs w:val="20"/>
                <w:lang w:eastAsia="sk-SK"/>
              </w:rPr>
            </w:pPr>
          </w:p>
        </w:tc>
      </w:tr>
      <w:tr w:rsidR="00015756" w:rsidRPr="00015756" w14:paraId="6233EAD4" w14:textId="77777777" w:rsidTr="00A2483A">
        <w:trPr>
          <w:trHeight w:val="236"/>
        </w:trPr>
        <w:tc>
          <w:tcPr>
            <w:tcW w:w="1920" w:type="pct"/>
            <w:tcBorders>
              <w:top w:val="nil"/>
              <w:left w:val="nil"/>
              <w:bottom w:val="nil"/>
              <w:right w:val="nil"/>
            </w:tcBorders>
            <w:shd w:val="clear" w:color="000000" w:fill="FFFFFF"/>
            <w:vAlign w:val="center"/>
            <w:hideMark/>
          </w:tcPr>
          <w:p w14:paraId="21126C52" w14:textId="77777777" w:rsidR="00015756" w:rsidRPr="00015756" w:rsidRDefault="00015756" w:rsidP="00015756">
            <w:pPr>
              <w:spacing w:after="0" w:line="240" w:lineRule="auto"/>
              <w:jc w:val="left"/>
              <w:rPr>
                <w:rFonts w:eastAsia="Times New Roman" w:cs="Times New Roman"/>
                <w:color w:val="000000"/>
                <w:sz w:val="20"/>
                <w:szCs w:val="20"/>
                <w:lang w:eastAsia="sk-SK"/>
              </w:rPr>
            </w:pPr>
            <w:r w:rsidRPr="00015756">
              <w:rPr>
                <w:rFonts w:eastAsia="Times New Roman" w:cs="Times New Roman"/>
                <w:color w:val="000000"/>
                <w:sz w:val="20"/>
                <w:szCs w:val="20"/>
                <w:lang w:eastAsia="sk-SK"/>
              </w:rPr>
              <w:t>Programy EÚS 3. programové obdobie (CO MF SR)</w:t>
            </w:r>
          </w:p>
        </w:tc>
        <w:tc>
          <w:tcPr>
            <w:tcW w:w="461" w:type="pct"/>
            <w:tcBorders>
              <w:top w:val="nil"/>
              <w:left w:val="nil"/>
              <w:bottom w:val="nil"/>
              <w:right w:val="nil"/>
            </w:tcBorders>
            <w:shd w:val="clear" w:color="000000" w:fill="FFFFFF"/>
            <w:noWrap/>
            <w:vAlign w:val="center"/>
            <w:hideMark/>
          </w:tcPr>
          <w:p w14:paraId="5AD24241" w14:textId="6C654465"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1 459</w:t>
            </w:r>
          </w:p>
        </w:tc>
        <w:tc>
          <w:tcPr>
            <w:tcW w:w="461" w:type="pct"/>
            <w:tcBorders>
              <w:top w:val="nil"/>
              <w:left w:val="nil"/>
              <w:bottom w:val="nil"/>
              <w:right w:val="nil"/>
            </w:tcBorders>
            <w:shd w:val="clear" w:color="000000" w:fill="FFFFFF"/>
            <w:noWrap/>
            <w:vAlign w:val="center"/>
            <w:hideMark/>
          </w:tcPr>
          <w:p w14:paraId="4F44A7DB" w14:textId="3755D88D"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1 523</w:t>
            </w:r>
          </w:p>
        </w:tc>
        <w:tc>
          <w:tcPr>
            <w:tcW w:w="537" w:type="pct"/>
            <w:tcBorders>
              <w:top w:val="nil"/>
              <w:left w:val="nil"/>
              <w:bottom w:val="nil"/>
              <w:right w:val="nil"/>
            </w:tcBorders>
            <w:shd w:val="clear" w:color="000000" w:fill="FFFFFF"/>
            <w:noWrap/>
            <w:vAlign w:val="center"/>
            <w:hideMark/>
          </w:tcPr>
          <w:p w14:paraId="17E85A26" w14:textId="78DC08C5"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1 969</w:t>
            </w:r>
          </w:p>
        </w:tc>
        <w:tc>
          <w:tcPr>
            <w:tcW w:w="614" w:type="pct"/>
            <w:tcBorders>
              <w:top w:val="nil"/>
              <w:left w:val="nil"/>
              <w:bottom w:val="nil"/>
              <w:right w:val="nil"/>
            </w:tcBorders>
            <w:shd w:val="clear" w:color="000000" w:fill="FFFFFF"/>
            <w:noWrap/>
            <w:vAlign w:val="center"/>
            <w:hideMark/>
          </w:tcPr>
          <w:p w14:paraId="47D71243" w14:textId="18B1688E"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1 650</w:t>
            </w:r>
          </w:p>
        </w:tc>
        <w:tc>
          <w:tcPr>
            <w:tcW w:w="518" w:type="pct"/>
            <w:gridSpan w:val="2"/>
            <w:tcBorders>
              <w:top w:val="nil"/>
              <w:left w:val="nil"/>
              <w:bottom w:val="nil"/>
              <w:right w:val="nil"/>
            </w:tcBorders>
            <w:shd w:val="clear" w:color="000000" w:fill="FFFFFF"/>
            <w:noWrap/>
            <w:vAlign w:val="center"/>
            <w:hideMark/>
          </w:tcPr>
          <w:p w14:paraId="20E45F7F" w14:textId="7AE67E80"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-319</w:t>
            </w:r>
          </w:p>
        </w:tc>
        <w:tc>
          <w:tcPr>
            <w:tcW w:w="403" w:type="pct"/>
            <w:tcBorders>
              <w:top w:val="nil"/>
              <w:left w:val="nil"/>
              <w:bottom w:val="nil"/>
              <w:right w:val="nil"/>
            </w:tcBorders>
            <w:shd w:val="clear" w:color="000000" w:fill="FFFFFF"/>
            <w:noWrap/>
            <w:vAlign w:val="center"/>
            <w:hideMark/>
          </w:tcPr>
          <w:p w14:paraId="743045BA" w14:textId="6971C623"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-16,2</w:t>
            </w:r>
          </w:p>
        </w:tc>
        <w:tc>
          <w:tcPr>
            <w:tcW w:w="86" w:type="pct"/>
            <w:tcBorders>
              <w:top w:val="nil"/>
              <w:left w:val="nil"/>
              <w:bottom w:val="nil"/>
              <w:right w:val="nil"/>
            </w:tcBorders>
            <w:shd w:val="clear" w:color="auto" w:fill="auto"/>
            <w:noWrap/>
            <w:vAlign w:val="bottom"/>
            <w:hideMark/>
          </w:tcPr>
          <w:p w14:paraId="7AEFF26B" w14:textId="77777777" w:rsidR="00015756" w:rsidRPr="00015756" w:rsidRDefault="00015756" w:rsidP="00015756">
            <w:pPr>
              <w:spacing w:after="0" w:line="240" w:lineRule="auto"/>
              <w:jc w:val="right"/>
              <w:rPr>
                <w:rFonts w:eastAsia="Times New Roman" w:cs="Times New Roman"/>
                <w:color w:val="000000"/>
                <w:sz w:val="20"/>
                <w:szCs w:val="20"/>
                <w:lang w:eastAsia="sk-SK"/>
              </w:rPr>
            </w:pPr>
          </w:p>
        </w:tc>
      </w:tr>
      <w:tr w:rsidR="00015756" w:rsidRPr="00015756" w14:paraId="5D8F11F0" w14:textId="77777777" w:rsidTr="00A2483A">
        <w:trPr>
          <w:trHeight w:val="236"/>
        </w:trPr>
        <w:tc>
          <w:tcPr>
            <w:tcW w:w="1920" w:type="pct"/>
            <w:tcBorders>
              <w:top w:val="nil"/>
              <w:left w:val="nil"/>
              <w:bottom w:val="nil"/>
              <w:right w:val="nil"/>
            </w:tcBorders>
            <w:shd w:val="clear" w:color="000000" w:fill="FFFFFF"/>
            <w:vAlign w:val="center"/>
          </w:tcPr>
          <w:p w14:paraId="6C6F6C74" w14:textId="243ACD4A" w:rsidR="00015756" w:rsidRPr="00015756" w:rsidRDefault="00015756" w:rsidP="00015756">
            <w:pPr>
              <w:spacing w:after="0" w:line="240" w:lineRule="auto"/>
              <w:jc w:val="left"/>
              <w:rPr>
                <w:rFonts w:eastAsia="Times New Roman" w:cs="Times New Roman"/>
                <w:color w:val="000000"/>
                <w:sz w:val="20"/>
                <w:szCs w:val="20"/>
                <w:lang w:eastAsia="sk-SK"/>
              </w:rPr>
            </w:pPr>
            <w:r w:rsidRPr="00015756">
              <w:rPr>
                <w:rFonts w:cs="Times New Roman"/>
                <w:sz w:val="20"/>
                <w:szCs w:val="20"/>
              </w:rPr>
              <w:t>Programy EÚS 4. programové obdobie (PO MF SR)</w:t>
            </w:r>
          </w:p>
        </w:tc>
        <w:tc>
          <w:tcPr>
            <w:tcW w:w="461" w:type="pct"/>
            <w:tcBorders>
              <w:top w:val="nil"/>
              <w:left w:val="nil"/>
              <w:bottom w:val="nil"/>
              <w:right w:val="nil"/>
            </w:tcBorders>
            <w:shd w:val="clear" w:color="000000" w:fill="FFFFFF"/>
            <w:noWrap/>
            <w:vAlign w:val="center"/>
          </w:tcPr>
          <w:p w14:paraId="09A07FC7" w14:textId="51780681"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461" w:type="pct"/>
            <w:tcBorders>
              <w:top w:val="nil"/>
              <w:left w:val="nil"/>
              <w:bottom w:val="nil"/>
              <w:right w:val="nil"/>
            </w:tcBorders>
            <w:shd w:val="clear" w:color="000000" w:fill="FFFFFF"/>
            <w:noWrap/>
            <w:vAlign w:val="center"/>
          </w:tcPr>
          <w:p w14:paraId="6D52A804" w14:textId="049E56A3"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537" w:type="pct"/>
            <w:tcBorders>
              <w:top w:val="nil"/>
              <w:left w:val="nil"/>
              <w:bottom w:val="nil"/>
              <w:right w:val="nil"/>
            </w:tcBorders>
            <w:shd w:val="clear" w:color="000000" w:fill="FFFFFF"/>
            <w:noWrap/>
            <w:vAlign w:val="center"/>
          </w:tcPr>
          <w:p w14:paraId="1704A089" w14:textId="496E618A"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614" w:type="pct"/>
            <w:tcBorders>
              <w:top w:val="nil"/>
              <w:left w:val="nil"/>
              <w:bottom w:val="nil"/>
              <w:right w:val="nil"/>
            </w:tcBorders>
            <w:shd w:val="clear" w:color="000000" w:fill="FFFFFF"/>
            <w:noWrap/>
            <w:vAlign w:val="center"/>
          </w:tcPr>
          <w:p w14:paraId="278F5DA5" w14:textId="2AA0B90F"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518" w:type="pct"/>
            <w:gridSpan w:val="2"/>
            <w:tcBorders>
              <w:top w:val="nil"/>
              <w:left w:val="nil"/>
              <w:bottom w:val="nil"/>
              <w:right w:val="nil"/>
            </w:tcBorders>
            <w:shd w:val="clear" w:color="000000" w:fill="FFFFFF"/>
            <w:noWrap/>
            <w:vAlign w:val="center"/>
          </w:tcPr>
          <w:p w14:paraId="42084D6C" w14:textId="72E84AB0" w:rsidR="00015756" w:rsidRPr="00015756" w:rsidRDefault="00015756" w:rsidP="00015756">
            <w:pPr>
              <w:spacing w:after="0" w:line="240" w:lineRule="auto"/>
              <w:jc w:val="right"/>
              <w:rPr>
                <w:rFonts w:cs="Times New Roman"/>
                <w:sz w:val="20"/>
                <w:szCs w:val="20"/>
              </w:rPr>
            </w:pPr>
            <w:r w:rsidRPr="00015756">
              <w:rPr>
                <w:rFonts w:cs="Times New Roman"/>
                <w:sz w:val="20"/>
                <w:szCs w:val="20"/>
              </w:rPr>
              <w:t>0</w:t>
            </w:r>
          </w:p>
        </w:tc>
        <w:tc>
          <w:tcPr>
            <w:tcW w:w="403" w:type="pct"/>
            <w:tcBorders>
              <w:top w:val="nil"/>
              <w:left w:val="nil"/>
              <w:bottom w:val="nil"/>
              <w:right w:val="nil"/>
            </w:tcBorders>
            <w:shd w:val="clear" w:color="000000" w:fill="FFFFFF"/>
            <w:noWrap/>
            <w:vAlign w:val="center"/>
          </w:tcPr>
          <w:p w14:paraId="538EF0D7" w14:textId="548644C3" w:rsidR="00015756" w:rsidRPr="00015756" w:rsidRDefault="00015756" w:rsidP="00015756">
            <w:pPr>
              <w:spacing w:after="0" w:line="240" w:lineRule="auto"/>
              <w:jc w:val="right"/>
              <w:rPr>
                <w:rFonts w:cs="Times New Roman"/>
                <w:sz w:val="20"/>
                <w:szCs w:val="20"/>
              </w:rPr>
            </w:pPr>
            <w:r w:rsidRPr="00015756">
              <w:rPr>
                <w:rFonts w:cs="Times New Roman"/>
                <w:sz w:val="20"/>
                <w:szCs w:val="20"/>
              </w:rPr>
              <w:t>0,0</w:t>
            </w:r>
          </w:p>
        </w:tc>
        <w:tc>
          <w:tcPr>
            <w:tcW w:w="86" w:type="pct"/>
            <w:tcBorders>
              <w:top w:val="nil"/>
              <w:left w:val="nil"/>
              <w:bottom w:val="nil"/>
              <w:right w:val="nil"/>
            </w:tcBorders>
            <w:shd w:val="clear" w:color="auto" w:fill="auto"/>
            <w:noWrap/>
            <w:vAlign w:val="bottom"/>
          </w:tcPr>
          <w:p w14:paraId="2DBA4252" w14:textId="77777777" w:rsidR="00015756" w:rsidRPr="00015756" w:rsidRDefault="00015756" w:rsidP="00015756">
            <w:pPr>
              <w:spacing w:after="0" w:line="240" w:lineRule="auto"/>
              <w:jc w:val="right"/>
              <w:rPr>
                <w:rFonts w:eastAsia="Times New Roman" w:cs="Times New Roman"/>
                <w:color w:val="000000"/>
                <w:sz w:val="20"/>
                <w:szCs w:val="20"/>
                <w:lang w:eastAsia="sk-SK"/>
              </w:rPr>
            </w:pPr>
          </w:p>
        </w:tc>
      </w:tr>
      <w:tr w:rsidR="00015756" w:rsidRPr="00015756" w14:paraId="24CB5675" w14:textId="77777777" w:rsidTr="00A2483A">
        <w:trPr>
          <w:trHeight w:val="236"/>
        </w:trPr>
        <w:tc>
          <w:tcPr>
            <w:tcW w:w="1920" w:type="pct"/>
            <w:tcBorders>
              <w:top w:val="nil"/>
              <w:left w:val="nil"/>
              <w:bottom w:val="nil"/>
              <w:right w:val="nil"/>
            </w:tcBorders>
            <w:shd w:val="clear" w:color="000000" w:fill="FFFFFF"/>
            <w:vAlign w:val="center"/>
            <w:hideMark/>
          </w:tcPr>
          <w:p w14:paraId="7CC4BFDF" w14:textId="77777777" w:rsidR="00015756" w:rsidRPr="00015756" w:rsidRDefault="00015756" w:rsidP="00015756">
            <w:pPr>
              <w:spacing w:after="0" w:line="240" w:lineRule="auto"/>
              <w:jc w:val="left"/>
              <w:rPr>
                <w:rFonts w:eastAsia="Times New Roman" w:cs="Times New Roman"/>
                <w:b/>
                <w:bCs/>
                <w:color w:val="000000"/>
                <w:sz w:val="20"/>
                <w:szCs w:val="20"/>
                <w:lang w:eastAsia="sk-SK"/>
              </w:rPr>
            </w:pPr>
            <w:r w:rsidRPr="00015756">
              <w:rPr>
                <w:rFonts w:eastAsia="Times New Roman" w:cs="Times New Roman"/>
                <w:b/>
                <w:bCs/>
                <w:color w:val="000000"/>
                <w:sz w:val="20"/>
                <w:szCs w:val="20"/>
                <w:lang w:eastAsia="sk-SK"/>
              </w:rPr>
              <w:t>Štrukturálne operácie - MF SR</w:t>
            </w:r>
          </w:p>
        </w:tc>
        <w:tc>
          <w:tcPr>
            <w:tcW w:w="461" w:type="pct"/>
            <w:tcBorders>
              <w:top w:val="nil"/>
              <w:left w:val="nil"/>
              <w:bottom w:val="nil"/>
              <w:right w:val="nil"/>
            </w:tcBorders>
            <w:shd w:val="clear" w:color="000000" w:fill="FFFFFF"/>
            <w:noWrap/>
            <w:vAlign w:val="center"/>
            <w:hideMark/>
          </w:tcPr>
          <w:p w14:paraId="2301CDB1" w14:textId="019491A3"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302 778</w:t>
            </w:r>
          </w:p>
        </w:tc>
        <w:tc>
          <w:tcPr>
            <w:tcW w:w="461" w:type="pct"/>
            <w:tcBorders>
              <w:top w:val="nil"/>
              <w:left w:val="nil"/>
              <w:bottom w:val="nil"/>
              <w:right w:val="nil"/>
            </w:tcBorders>
            <w:shd w:val="clear" w:color="000000" w:fill="FFFFFF"/>
            <w:noWrap/>
            <w:vAlign w:val="center"/>
            <w:hideMark/>
          </w:tcPr>
          <w:p w14:paraId="173CC68F" w14:textId="15EBB2EB"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319 278</w:t>
            </w:r>
          </w:p>
        </w:tc>
        <w:tc>
          <w:tcPr>
            <w:tcW w:w="537" w:type="pct"/>
            <w:tcBorders>
              <w:top w:val="nil"/>
              <w:left w:val="nil"/>
              <w:bottom w:val="nil"/>
              <w:right w:val="nil"/>
            </w:tcBorders>
            <w:shd w:val="clear" w:color="000000" w:fill="FFFFFF"/>
            <w:noWrap/>
            <w:vAlign w:val="center"/>
            <w:hideMark/>
          </w:tcPr>
          <w:p w14:paraId="119A2BD3" w14:textId="1E34A13B"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409 902</w:t>
            </w:r>
          </w:p>
        </w:tc>
        <w:tc>
          <w:tcPr>
            <w:tcW w:w="614" w:type="pct"/>
            <w:tcBorders>
              <w:top w:val="nil"/>
              <w:left w:val="nil"/>
              <w:bottom w:val="nil"/>
              <w:right w:val="nil"/>
            </w:tcBorders>
            <w:shd w:val="clear" w:color="000000" w:fill="FFFFFF"/>
            <w:noWrap/>
            <w:vAlign w:val="center"/>
            <w:hideMark/>
          </w:tcPr>
          <w:p w14:paraId="62900941" w14:textId="58FB614B"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327 875</w:t>
            </w:r>
          </w:p>
        </w:tc>
        <w:tc>
          <w:tcPr>
            <w:tcW w:w="518" w:type="pct"/>
            <w:gridSpan w:val="2"/>
            <w:tcBorders>
              <w:top w:val="nil"/>
              <w:left w:val="nil"/>
              <w:bottom w:val="nil"/>
              <w:right w:val="nil"/>
            </w:tcBorders>
            <w:shd w:val="clear" w:color="000000" w:fill="FFFFFF"/>
            <w:noWrap/>
            <w:vAlign w:val="center"/>
            <w:hideMark/>
          </w:tcPr>
          <w:p w14:paraId="4ABFE704" w14:textId="5B8C86C3"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-82 028</w:t>
            </w:r>
          </w:p>
        </w:tc>
        <w:tc>
          <w:tcPr>
            <w:tcW w:w="403" w:type="pct"/>
            <w:tcBorders>
              <w:top w:val="nil"/>
              <w:left w:val="nil"/>
              <w:bottom w:val="nil"/>
              <w:right w:val="nil"/>
            </w:tcBorders>
            <w:shd w:val="clear" w:color="000000" w:fill="FFFFFF"/>
            <w:noWrap/>
            <w:vAlign w:val="center"/>
            <w:hideMark/>
          </w:tcPr>
          <w:p w14:paraId="3F0E6D94" w14:textId="56133A34"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-20,0</w:t>
            </w:r>
          </w:p>
        </w:tc>
        <w:tc>
          <w:tcPr>
            <w:tcW w:w="86" w:type="pct"/>
            <w:tcBorders>
              <w:top w:val="nil"/>
              <w:left w:val="nil"/>
              <w:bottom w:val="nil"/>
              <w:right w:val="nil"/>
            </w:tcBorders>
            <w:shd w:val="clear" w:color="auto" w:fill="auto"/>
            <w:noWrap/>
            <w:vAlign w:val="bottom"/>
            <w:hideMark/>
          </w:tcPr>
          <w:p w14:paraId="278E9A8A" w14:textId="77777777" w:rsidR="00015756" w:rsidRPr="00015756" w:rsidRDefault="00015756" w:rsidP="00015756">
            <w:pPr>
              <w:spacing w:after="0" w:line="240" w:lineRule="auto"/>
              <w:jc w:val="right"/>
              <w:rPr>
                <w:rFonts w:eastAsia="Times New Roman" w:cs="Times New Roman"/>
                <w:b/>
                <w:bCs/>
                <w:color w:val="000000"/>
                <w:sz w:val="20"/>
                <w:szCs w:val="20"/>
                <w:lang w:eastAsia="sk-SK"/>
              </w:rPr>
            </w:pPr>
          </w:p>
        </w:tc>
      </w:tr>
      <w:tr w:rsidR="00015756" w:rsidRPr="00015756" w14:paraId="28A86BAD" w14:textId="77777777" w:rsidTr="00A2483A">
        <w:trPr>
          <w:trHeight w:val="236"/>
        </w:trPr>
        <w:tc>
          <w:tcPr>
            <w:tcW w:w="1920" w:type="pct"/>
            <w:tcBorders>
              <w:top w:val="nil"/>
              <w:left w:val="nil"/>
              <w:bottom w:val="nil"/>
              <w:right w:val="nil"/>
            </w:tcBorders>
            <w:shd w:val="clear" w:color="000000" w:fill="FFFFFF"/>
            <w:vAlign w:val="center"/>
            <w:hideMark/>
          </w:tcPr>
          <w:p w14:paraId="27C0946E" w14:textId="77777777" w:rsidR="00015756" w:rsidRPr="00015756" w:rsidRDefault="00015756" w:rsidP="00015756">
            <w:pPr>
              <w:spacing w:after="0" w:line="240" w:lineRule="auto"/>
              <w:jc w:val="left"/>
              <w:rPr>
                <w:rFonts w:eastAsia="Times New Roman" w:cs="Times New Roman"/>
                <w:color w:val="000000"/>
                <w:sz w:val="20"/>
                <w:szCs w:val="20"/>
                <w:lang w:eastAsia="sk-SK"/>
              </w:rPr>
            </w:pPr>
            <w:r w:rsidRPr="00015756">
              <w:rPr>
                <w:rFonts w:eastAsia="Times New Roman" w:cs="Times New Roman"/>
                <w:color w:val="000000"/>
                <w:sz w:val="20"/>
                <w:szCs w:val="20"/>
                <w:lang w:eastAsia="sk-SK"/>
              </w:rPr>
              <w:t>OP Sociálneho začlenenia najodkázanejších osôb</w:t>
            </w:r>
          </w:p>
        </w:tc>
        <w:tc>
          <w:tcPr>
            <w:tcW w:w="461" w:type="pct"/>
            <w:tcBorders>
              <w:top w:val="nil"/>
              <w:left w:val="nil"/>
              <w:bottom w:val="nil"/>
              <w:right w:val="nil"/>
            </w:tcBorders>
            <w:shd w:val="clear" w:color="000000" w:fill="FFFFFF"/>
            <w:noWrap/>
            <w:vAlign w:val="center"/>
            <w:hideMark/>
          </w:tcPr>
          <w:p w14:paraId="220B1635" w14:textId="7A6F181B"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818</w:t>
            </w:r>
          </w:p>
        </w:tc>
        <w:tc>
          <w:tcPr>
            <w:tcW w:w="461" w:type="pct"/>
            <w:tcBorders>
              <w:top w:val="nil"/>
              <w:left w:val="nil"/>
              <w:bottom w:val="nil"/>
              <w:right w:val="nil"/>
            </w:tcBorders>
            <w:shd w:val="clear" w:color="000000" w:fill="FFFFFF"/>
            <w:noWrap/>
            <w:vAlign w:val="center"/>
            <w:hideMark/>
          </w:tcPr>
          <w:p w14:paraId="1E5FA55B" w14:textId="07686849"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77</w:t>
            </w:r>
          </w:p>
        </w:tc>
        <w:tc>
          <w:tcPr>
            <w:tcW w:w="537" w:type="pct"/>
            <w:tcBorders>
              <w:top w:val="nil"/>
              <w:left w:val="nil"/>
              <w:bottom w:val="nil"/>
              <w:right w:val="nil"/>
            </w:tcBorders>
            <w:shd w:val="clear" w:color="000000" w:fill="FFFFFF"/>
            <w:noWrap/>
            <w:vAlign w:val="center"/>
            <w:hideMark/>
          </w:tcPr>
          <w:p w14:paraId="56574D14" w14:textId="7526EB80"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187</w:t>
            </w:r>
          </w:p>
        </w:tc>
        <w:tc>
          <w:tcPr>
            <w:tcW w:w="614" w:type="pct"/>
            <w:tcBorders>
              <w:top w:val="nil"/>
              <w:left w:val="nil"/>
              <w:bottom w:val="nil"/>
              <w:right w:val="nil"/>
            </w:tcBorders>
            <w:shd w:val="clear" w:color="000000" w:fill="FFFFFF"/>
            <w:noWrap/>
            <w:vAlign w:val="center"/>
            <w:hideMark/>
          </w:tcPr>
          <w:p w14:paraId="6E34DADE" w14:textId="481BEB2D"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210</w:t>
            </w:r>
          </w:p>
        </w:tc>
        <w:tc>
          <w:tcPr>
            <w:tcW w:w="518" w:type="pct"/>
            <w:gridSpan w:val="2"/>
            <w:tcBorders>
              <w:top w:val="nil"/>
              <w:left w:val="nil"/>
              <w:bottom w:val="nil"/>
              <w:right w:val="nil"/>
            </w:tcBorders>
            <w:shd w:val="clear" w:color="000000" w:fill="FFFFFF"/>
            <w:noWrap/>
            <w:vAlign w:val="center"/>
            <w:hideMark/>
          </w:tcPr>
          <w:p w14:paraId="7CBD7859" w14:textId="689744D5"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23</w:t>
            </w:r>
          </w:p>
        </w:tc>
        <w:tc>
          <w:tcPr>
            <w:tcW w:w="403" w:type="pct"/>
            <w:tcBorders>
              <w:top w:val="nil"/>
              <w:left w:val="nil"/>
              <w:bottom w:val="nil"/>
              <w:right w:val="nil"/>
            </w:tcBorders>
            <w:shd w:val="clear" w:color="000000" w:fill="FFFFFF"/>
            <w:noWrap/>
            <w:vAlign w:val="center"/>
            <w:hideMark/>
          </w:tcPr>
          <w:p w14:paraId="0BBED85C" w14:textId="2AE204BD" w:rsidR="00015756" w:rsidRPr="00015756" w:rsidRDefault="00015756" w:rsidP="00015756">
            <w:pPr>
              <w:spacing w:after="0" w:line="240" w:lineRule="auto"/>
              <w:jc w:val="right"/>
              <w:rPr>
                <w:rFonts w:eastAsia="Times New Roman" w:cs="Times New Roman"/>
                <w:color w:val="000000"/>
                <w:sz w:val="20"/>
                <w:szCs w:val="20"/>
                <w:lang w:eastAsia="sk-SK"/>
              </w:rPr>
            </w:pPr>
            <w:r w:rsidRPr="00015756">
              <w:rPr>
                <w:rFonts w:cs="Times New Roman"/>
                <w:sz w:val="20"/>
                <w:szCs w:val="20"/>
              </w:rPr>
              <w:t>12,3</w:t>
            </w:r>
          </w:p>
        </w:tc>
        <w:tc>
          <w:tcPr>
            <w:tcW w:w="86" w:type="pct"/>
            <w:tcBorders>
              <w:top w:val="nil"/>
              <w:left w:val="nil"/>
              <w:bottom w:val="nil"/>
              <w:right w:val="nil"/>
            </w:tcBorders>
            <w:shd w:val="clear" w:color="auto" w:fill="auto"/>
            <w:noWrap/>
            <w:vAlign w:val="bottom"/>
            <w:hideMark/>
          </w:tcPr>
          <w:p w14:paraId="337EF5CC" w14:textId="77777777" w:rsidR="00015756" w:rsidRPr="00015756" w:rsidRDefault="00015756" w:rsidP="00015756">
            <w:pPr>
              <w:spacing w:after="0" w:line="240" w:lineRule="auto"/>
              <w:jc w:val="right"/>
              <w:rPr>
                <w:rFonts w:eastAsia="Times New Roman" w:cs="Times New Roman"/>
                <w:color w:val="000000"/>
                <w:sz w:val="20"/>
                <w:szCs w:val="20"/>
                <w:lang w:eastAsia="sk-SK"/>
              </w:rPr>
            </w:pPr>
          </w:p>
        </w:tc>
      </w:tr>
      <w:tr w:rsidR="00015756" w:rsidRPr="00015756" w14:paraId="27243B3F" w14:textId="77777777" w:rsidTr="00A2483A">
        <w:trPr>
          <w:trHeight w:val="236"/>
        </w:trPr>
        <w:tc>
          <w:tcPr>
            <w:tcW w:w="1920" w:type="pct"/>
            <w:tcBorders>
              <w:top w:val="nil"/>
              <w:left w:val="nil"/>
              <w:bottom w:val="nil"/>
              <w:right w:val="nil"/>
            </w:tcBorders>
            <w:shd w:val="clear" w:color="000000" w:fill="FFFFFF"/>
            <w:vAlign w:val="center"/>
            <w:hideMark/>
          </w:tcPr>
          <w:p w14:paraId="60379A25" w14:textId="77777777" w:rsidR="00015756" w:rsidRPr="00015756" w:rsidRDefault="00015756" w:rsidP="00015756">
            <w:pPr>
              <w:spacing w:after="0" w:line="240" w:lineRule="auto"/>
              <w:jc w:val="left"/>
              <w:rPr>
                <w:rFonts w:eastAsia="Times New Roman" w:cs="Times New Roman"/>
                <w:b/>
                <w:bCs/>
                <w:color w:val="000000"/>
                <w:sz w:val="20"/>
                <w:szCs w:val="20"/>
                <w:lang w:eastAsia="sk-SK"/>
              </w:rPr>
            </w:pPr>
            <w:r w:rsidRPr="00015756">
              <w:rPr>
                <w:rFonts w:eastAsia="Times New Roman" w:cs="Times New Roman"/>
                <w:b/>
                <w:bCs/>
                <w:color w:val="000000"/>
                <w:sz w:val="20"/>
                <w:szCs w:val="20"/>
                <w:lang w:eastAsia="sk-SK"/>
              </w:rPr>
              <w:t>Štrukturálne operácie - MPSVR SR</w:t>
            </w:r>
          </w:p>
        </w:tc>
        <w:tc>
          <w:tcPr>
            <w:tcW w:w="461" w:type="pct"/>
            <w:tcBorders>
              <w:top w:val="nil"/>
              <w:left w:val="nil"/>
              <w:bottom w:val="nil"/>
              <w:right w:val="nil"/>
            </w:tcBorders>
            <w:shd w:val="clear" w:color="000000" w:fill="FFFFFF"/>
            <w:noWrap/>
            <w:vAlign w:val="center"/>
            <w:hideMark/>
          </w:tcPr>
          <w:p w14:paraId="50217686" w14:textId="29B5FC51"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818</w:t>
            </w:r>
          </w:p>
        </w:tc>
        <w:tc>
          <w:tcPr>
            <w:tcW w:w="461" w:type="pct"/>
            <w:tcBorders>
              <w:top w:val="nil"/>
              <w:left w:val="nil"/>
              <w:bottom w:val="nil"/>
              <w:right w:val="nil"/>
            </w:tcBorders>
            <w:shd w:val="clear" w:color="000000" w:fill="FFFFFF"/>
            <w:noWrap/>
            <w:vAlign w:val="center"/>
            <w:hideMark/>
          </w:tcPr>
          <w:p w14:paraId="2ECCE0E7" w14:textId="4696B3A9"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77</w:t>
            </w:r>
          </w:p>
        </w:tc>
        <w:tc>
          <w:tcPr>
            <w:tcW w:w="537" w:type="pct"/>
            <w:tcBorders>
              <w:top w:val="nil"/>
              <w:left w:val="nil"/>
              <w:bottom w:val="nil"/>
              <w:right w:val="nil"/>
            </w:tcBorders>
            <w:shd w:val="clear" w:color="000000" w:fill="FFFFFF"/>
            <w:noWrap/>
            <w:vAlign w:val="center"/>
            <w:hideMark/>
          </w:tcPr>
          <w:p w14:paraId="04DCB8D1" w14:textId="5F3846AA"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187</w:t>
            </w:r>
          </w:p>
        </w:tc>
        <w:tc>
          <w:tcPr>
            <w:tcW w:w="614" w:type="pct"/>
            <w:tcBorders>
              <w:top w:val="nil"/>
              <w:left w:val="nil"/>
              <w:bottom w:val="nil"/>
              <w:right w:val="nil"/>
            </w:tcBorders>
            <w:shd w:val="clear" w:color="auto" w:fill="auto"/>
            <w:noWrap/>
            <w:vAlign w:val="center"/>
            <w:hideMark/>
          </w:tcPr>
          <w:p w14:paraId="22AAD490" w14:textId="334724D9"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210</w:t>
            </w:r>
          </w:p>
        </w:tc>
        <w:tc>
          <w:tcPr>
            <w:tcW w:w="518" w:type="pct"/>
            <w:gridSpan w:val="2"/>
            <w:tcBorders>
              <w:top w:val="nil"/>
              <w:left w:val="nil"/>
              <w:bottom w:val="nil"/>
              <w:right w:val="nil"/>
            </w:tcBorders>
            <w:shd w:val="clear" w:color="000000" w:fill="FFFFFF"/>
            <w:noWrap/>
            <w:vAlign w:val="center"/>
            <w:hideMark/>
          </w:tcPr>
          <w:p w14:paraId="0EA9595B" w14:textId="5867404A"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23</w:t>
            </w:r>
          </w:p>
        </w:tc>
        <w:tc>
          <w:tcPr>
            <w:tcW w:w="403" w:type="pct"/>
            <w:tcBorders>
              <w:top w:val="nil"/>
              <w:left w:val="nil"/>
              <w:bottom w:val="nil"/>
              <w:right w:val="nil"/>
            </w:tcBorders>
            <w:shd w:val="clear" w:color="000000" w:fill="FFFFFF"/>
            <w:noWrap/>
            <w:vAlign w:val="center"/>
            <w:hideMark/>
          </w:tcPr>
          <w:p w14:paraId="11D59EA6" w14:textId="63E5D9B7"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rFonts w:cs="Times New Roman"/>
                <w:b/>
                <w:sz w:val="20"/>
                <w:szCs w:val="20"/>
              </w:rPr>
              <w:t>12,3</w:t>
            </w:r>
          </w:p>
        </w:tc>
        <w:tc>
          <w:tcPr>
            <w:tcW w:w="86" w:type="pct"/>
            <w:tcBorders>
              <w:top w:val="nil"/>
              <w:left w:val="nil"/>
              <w:bottom w:val="nil"/>
              <w:right w:val="nil"/>
            </w:tcBorders>
            <w:shd w:val="clear" w:color="auto" w:fill="auto"/>
            <w:noWrap/>
            <w:vAlign w:val="bottom"/>
            <w:hideMark/>
          </w:tcPr>
          <w:p w14:paraId="4B340EAF" w14:textId="77777777" w:rsidR="00015756" w:rsidRPr="00015756" w:rsidRDefault="00015756" w:rsidP="00015756">
            <w:pPr>
              <w:spacing w:after="0" w:line="240" w:lineRule="auto"/>
              <w:jc w:val="right"/>
              <w:rPr>
                <w:rFonts w:eastAsia="Times New Roman" w:cs="Times New Roman"/>
                <w:b/>
                <w:bCs/>
                <w:color w:val="000000"/>
                <w:sz w:val="20"/>
                <w:szCs w:val="20"/>
                <w:lang w:eastAsia="sk-SK"/>
              </w:rPr>
            </w:pPr>
          </w:p>
        </w:tc>
      </w:tr>
      <w:tr w:rsidR="00015756" w:rsidRPr="00015756" w14:paraId="4D7C5004" w14:textId="77777777" w:rsidTr="00A2483A">
        <w:trPr>
          <w:trHeight w:val="236"/>
        </w:trPr>
        <w:tc>
          <w:tcPr>
            <w:tcW w:w="1920" w:type="pct"/>
            <w:tcBorders>
              <w:top w:val="nil"/>
              <w:left w:val="nil"/>
              <w:bottom w:val="nil"/>
              <w:right w:val="nil"/>
            </w:tcBorders>
            <w:shd w:val="clear" w:color="000000" w:fill="FFFFFF"/>
            <w:vAlign w:val="center"/>
          </w:tcPr>
          <w:p w14:paraId="1481DAA2" w14:textId="60C681EC" w:rsidR="00015756" w:rsidRPr="00015756" w:rsidRDefault="00015756" w:rsidP="00015756">
            <w:pPr>
              <w:spacing w:after="0" w:line="240" w:lineRule="auto"/>
              <w:jc w:val="left"/>
              <w:rPr>
                <w:rFonts w:eastAsia="Times New Roman" w:cs="Times New Roman"/>
                <w:b/>
                <w:bCs/>
                <w:color w:val="000000"/>
                <w:sz w:val="20"/>
                <w:szCs w:val="20"/>
                <w:lang w:eastAsia="sk-SK"/>
              </w:rPr>
            </w:pPr>
            <w:r w:rsidRPr="00015756">
              <w:rPr>
                <w:rFonts w:cs="Times New Roman"/>
                <w:sz w:val="20"/>
                <w:szCs w:val="20"/>
              </w:rPr>
              <w:t>Fondy pre oblasť vnútorných záležitostí 2021 - 2027</w:t>
            </w:r>
          </w:p>
        </w:tc>
        <w:tc>
          <w:tcPr>
            <w:tcW w:w="461" w:type="pct"/>
            <w:tcBorders>
              <w:top w:val="nil"/>
              <w:left w:val="nil"/>
              <w:bottom w:val="nil"/>
              <w:right w:val="nil"/>
            </w:tcBorders>
            <w:shd w:val="clear" w:color="000000" w:fill="FFFFFF"/>
            <w:noWrap/>
            <w:vAlign w:val="center"/>
          </w:tcPr>
          <w:p w14:paraId="54AD3398" w14:textId="61348D3E" w:rsidR="00015756" w:rsidRPr="00015756" w:rsidRDefault="00015756" w:rsidP="00015756">
            <w:pPr>
              <w:spacing w:after="0" w:line="240" w:lineRule="auto"/>
              <w:jc w:val="right"/>
              <w:rPr>
                <w:rFonts w:cs="Times New Roman"/>
                <w:b/>
                <w:sz w:val="20"/>
                <w:szCs w:val="20"/>
              </w:rPr>
            </w:pPr>
            <w:r w:rsidRPr="00015756">
              <w:rPr>
                <w:rFonts w:cs="Times New Roman"/>
                <w:sz w:val="20"/>
                <w:szCs w:val="20"/>
              </w:rPr>
              <w:t>0</w:t>
            </w:r>
          </w:p>
        </w:tc>
        <w:tc>
          <w:tcPr>
            <w:tcW w:w="461" w:type="pct"/>
            <w:tcBorders>
              <w:top w:val="nil"/>
              <w:left w:val="nil"/>
              <w:bottom w:val="nil"/>
              <w:right w:val="nil"/>
            </w:tcBorders>
            <w:shd w:val="clear" w:color="000000" w:fill="FFFFFF"/>
            <w:noWrap/>
            <w:vAlign w:val="center"/>
          </w:tcPr>
          <w:p w14:paraId="13A137A5" w14:textId="381B7544" w:rsidR="00015756" w:rsidRPr="00015756" w:rsidRDefault="00015756" w:rsidP="00015756">
            <w:pPr>
              <w:spacing w:after="0" w:line="240" w:lineRule="auto"/>
              <w:jc w:val="right"/>
              <w:rPr>
                <w:rFonts w:cs="Times New Roman"/>
                <w:b/>
                <w:sz w:val="20"/>
                <w:szCs w:val="20"/>
              </w:rPr>
            </w:pPr>
            <w:r w:rsidRPr="00015756">
              <w:rPr>
                <w:rFonts w:cs="Times New Roman"/>
                <w:sz w:val="20"/>
                <w:szCs w:val="20"/>
              </w:rPr>
              <w:t>0</w:t>
            </w:r>
          </w:p>
        </w:tc>
        <w:tc>
          <w:tcPr>
            <w:tcW w:w="537" w:type="pct"/>
            <w:tcBorders>
              <w:top w:val="nil"/>
              <w:left w:val="nil"/>
              <w:bottom w:val="nil"/>
              <w:right w:val="nil"/>
            </w:tcBorders>
            <w:shd w:val="clear" w:color="000000" w:fill="FFFFFF"/>
            <w:noWrap/>
            <w:vAlign w:val="center"/>
          </w:tcPr>
          <w:p w14:paraId="2AE07E39" w14:textId="106E8135" w:rsidR="00015756" w:rsidRPr="00015756" w:rsidRDefault="00015756" w:rsidP="00015756">
            <w:pPr>
              <w:spacing w:after="0" w:line="240" w:lineRule="auto"/>
              <w:jc w:val="right"/>
              <w:rPr>
                <w:rFonts w:cs="Times New Roman"/>
                <w:b/>
                <w:sz w:val="20"/>
                <w:szCs w:val="20"/>
              </w:rPr>
            </w:pPr>
            <w:r w:rsidRPr="00015756">
              <w:rPr>
                <w:rFonts w:cs="Times New Roman"/>
                <w:sz w:val="20"/>
                <w:szCs w:val="20"/>
              </w:rPr>
              <w:t>3 648</w:t>
            </w:r>
          </w:p>
        </w:tc>
        <w:tc>
          <w:tcPr>
            <w:tcW w:w="614" w:type="pct"/>
            <w:tcBorders>
              <w:top w:val="nil"/>
              <w:left w:val="nil"/>
              <w:bottom w:val="nil"/>
              <w:right w:val="nil"/>
            </w:tcBorders>
            <w:shd w:val="clear" w:color="auto" w:fill="auto"/>
            <w:noWrap/>
            <w:vAlign w:val="center"/>
          </w:tcPr>
          <w:p w14:paraId="01571CEA" w14:textId="7A5F7703" w:rsidR="00015756" w:rsidRPr="00015756" w:rsidRDefault="00015756" w:rsidP="00015756">
            <w:pPr>
              <w:spacing w:after="0" w:line="240" w:lineRule="auto"/>
              <w:jc w:val="right"/>
              <w:rPr>
                <w:rFonts w:cs="Times New Roman"/>
                <w:b/>
                <w:sz w:val="20"/>
                <w:szCs w:val="20"/>
              </w:rPr>
            </w:pPr>
            <w:r w:rsidRPr="00015756">
              <w:rPr>
                <w:rFonts w:cs="Times New Roman"/>
                <w:sz w:val="20"/>
                <w:szCs w:val="20"/>
              </w:rPr>
              <w:t>0</w:t>
            </w:r>
          </w:p>
        </w:tc>
        <w:tc>
          <w:tcPr>
            <w:tcW w:w="518" w:type="pct"/>
            <w:gridSpan w:val="2"/>
            <w:tcBorders>
              <w:top w:val="nil"/>
              <w:left w:val="nil"/>
              <w:bottom w:val="nil"/>
              <w:right w:val="nil"/>
            </w:tcBorders>
            <w:shd w:val="clear" w:color="000000" w:fill="FFFFFF"/>
            <w:noWrap/>
            <w:vAlign w:val="center"/>
          </w:tcPr>
          <w:p w14:paraId="05FCE613" w14:textId="3B65A71A" w:rsidR="00015756" w:rsidRPr="00015756" w:rsidRDefault="00015756" w:rsidP="00015756">
            <w:pPr>
              <w:spacing w:after="0" w:line="240" w:lineRule="auto"/>
              <w:jc w:val="right"/>
              <w:rPr>
                <w:rFonts w:cs="Times New Roman"/>
                <w:b/>
                <w:sz w:val="20"/>
                <w:szCs w:val="20"/>
              </w:rPr>
            </w:pPr>
            <w:r w:rsidRPr="00015756">
              <w:rPr>
                <w:rFonts w:cs="Times New Roman"/>
                <w:sz w:val="20"/>
                <w:szCs w:val="20"/>
              </w:rPr>
              <w:t>-3 648</w:t>
            </w:r>
          </w:p>
        </w:tc>
        <w:tc>
          <w:tcPr>
            <w:tcW w:w="403" w:type="pct"/>
            <w:tcBorders>
              <w:top w:val="nil"/>
              <w:left w:val="nil"/>
              <w:bottom w:val="nil"/>
              <w:right w:val="nil"/>
            </w:tcBorders>
            <w:shd w:val="clear" w:color="000000" w:fill="FFFFFF"/>
            <w:noWrap/>
            <w:vAlign w:val="center"/>
          </w:tcPr>
          <w:p w14:paraId="521308B2" w14:textId="45C85168" w:rsidR="00015756" w:rsidRPr="00015756" w:rsidRDefault="00015756" w:rsidP="00015756">
            <w:pPr>
              <w:spacing w:after="0" w:line="240" w:lineRule="auto"/>
              <w:jc w:val="right"/>
              <w:rPr>
                <w:rFonts w:cs="Times New Roman"/>
                <w:b/>
                <w:sz w:val="20"/>
                <w:szCs w:val="20"/>
              </w:rPr>
            </w:pPr>
            <w:r w:rsidRPr="00015756">
              <w:rPr>
                <w:rFonts w:cs="Times New Roman"/>
                <w:sz w:val="20"/>
                <w:szCs w:val="20"/>
              </w:rPr>
              <w:t>-100,0</w:t>
            </w:r>
          </w:p>
        </w:tc>
        <w:tc>
          <w:tcPr>
            <w:tcW w:w="86" w:type="pct"/>
            <w:tcBorders>
              <w:top w:val="nil"/>
              <w:left w:val="nil"/>
              <w:bottom w:val="nil"/>
              <w:right w:val="nil"/>
            </w:tcBorders>
            <w:shd w:val="clear" w:color="auto" w:fill="auto"/>
            <w:noWrap/>
            <w:vAlign w:val="bottom"/>
          </w:tcPr>
          <w:p w14:paraId="3F4176EE" w14:textId="77777777" w:rsidR="00015756" w:rsidRPr="00015756" w:rsidRDefault="00015756" w:rsidP="00015756">
            <w:pPr>
              <w:spacing w:after="0" w:line="240" w:lineRule="auto"/>
              <w:jc w:val="right"/>
              <w:rPr>
                <w:rFonts w:eastAsia="Times New Roman" w:cs="Times New Roman"/>
                <w:b/>
                <w:bCs/>
                <w:color w:val="000000"/>
                <w:sz w:val="20"/>
                <w:szCs w:val="20"/>
                <w:lang w:eastAsia="sk-SK"/>
              </w:rPr>
            </w:pPr>
          </w:p>
        </w:tc>
      </w:tr>
      <w:tr w:rsidR="00015756" w:rsidRPr="00015756" w14:paraId="6CB135DE" w14:textId="77777777" w:rsidTr="00A2483A">
        <w:trPr>
          <w:trHeight w:val="236"/>
        </w:trPr>
        <w:tc>
          <w:tcPr>
            <w:tcW w:w="1920" w:type="pct"/>
            <w:tcBorders>
              <w:top w:val="nil"/>
              <w:left w:val="nil"/>
              <w:bottom w:val="nil"/>
              <w:right w:val="nil"/>
            </w:tcBorders>
            <w:shd w:val="clear" w:color="000000" w:fill="FFFFFF"/>
            <w:vAlign w:val="center"/>
          </w:tcPr>
          <w:p w14:paraId="61BC04DC" w14:textId="69327BAB" w:rsidR="00015756" w:rsidRPr="00015756" w:rsidRDefault="00015756" w:rsidP="00015756">
            <w:pPr>
              <w:spacing w:after="0" w:line="240" w:lineRule="auto"/>
              <w:jc w:val="left"/>
              <w:rPr>
                <w:rFonts w:eastAsia="Times New Roman" w:cs="Times New Roman"/>
                <w:b/>
                <w:bCs/>
                <w:color w:val="000000"/>
                <w:sz w:val="20"/>
                <w:szCs w:val="20"/>
                <w:lang w:eastAsia="sk-SK"/>
              </w:rPr>
            </w:pPr>
            <w:r w:rsidRPr="00015756">
              <w:rPr>
                <w:rFonts w:cs="Times New Roman"/>
                <w:b/>
                <w:sz w:val="20"/>
                <w:szCs w:val="20"/>
              </w:rPr>
              <w:t>Štrukturálne operácie – MV SR</w:t>
            </w:r>
          </w:p>
        </w:tc>
        <w:tc>
          <w:tcPr>
            <w:tcW w:w="461" w:type="pct"/>
            <w:tcBorders>
              <w:top w:val="nil"/>
              <w:left w:val="nil"/>
              <w:bottom w:val="nil"/>
              <w:right w:val="nil"/>
            </w:tcBorders>
            <w:shd w:val="clear" w:color="000000" w:fill="FFFFFF"/>
            <w:noWrap/>
            <w:vAlign w:val="center"/>
          </w:tcPr>
          <w:p w14:paraId="05135ABF" w14:textId="6DA27FAD" w:rsidR="00015756" w:rsidRPr="00015756" w:rsidRDefault="00015756" w:rsidP="00015756">
            <w:pPr>
              <w:spacing w:after="0" w:line="240" w:lineRule="auto"/>
              <w:jc w:val="right"/>
              <w:rPr>
                <w:rFonts w:cs="Times New Roman"/>
                <w:b/>
                <w:sz w:val="20"/>
                <w:szCs w:val="20"/>
              </w:rPr>
            </w:pPr>
            <w:r w:rsidRPr="00015756">
              <w:rPr>
                <w:rFonts w:cs="Times New Roman"/>
                <w:b/>
                <w:sz w:val="20"/>
                <w:szCs w:val="20"/>
              </w:rPr>
              <w:t>0</w:t>
            </w:r>
          </w:p>
        </w:tc>
        <w:tc>
          <w:tcPr>
            <w:tcW w:w="461" w:type="pct"/>
            <w:tcBorders>
              <w:top w:val="nil"/>
              <w:left w:val="nil"/>
              <w:bottom w:val="nil"/>
              <w:right w:val="nil"/>
            </w:tcBorders>
            <w:shd w:val="clear" w:color="000000" w:fill="FFFFFF"/>
            <w:noWrap/>
            <w:vAlign w:val="center"/>
          </w:tcPr>
          <w:p w14:paraId="528CF74D" w14:textId="0E08F0BC" w:rsidR="00015756" w:rsidRPr="00015756" w:rsidRDefault="00015756" w:rsidP="00015756">
            <w:pPr>
              <w:spacing w:after="0" w:line="240" w:lineRule="auto"/>
              <w:jc w:val="right"/>
              <w:rPr>
                <w:rFonts w:cs="Times New Roman"/>
                <w:b/>
                <w:sz w:val="20"/>
                <w:szCs w:val="20"/>
              </w:rPr>
            </w:pPr>
            <w:r w:rsidRPr="00015756">
              <w:rPr>
                <w:rFonts w:cs="Times New Roman"/>
                <w:b/>
                <w:sz w:val="20"/>
                <w:szCs w:val="20"/>
              </w:rPr>
              <w:t>0</w:t>
            </w:r>
          </w:p>
        </w:tc>
        <w:tc>
          <w:tcPr>
            <w:tcW w:w="537" w:type="pct"/>
            <w:tcBorders>
              <w:top w:val="nil"/>
              <w:left w:val="nil"/>
              <w:bottom w:val="nil"/>
              <w:right w:val="nil"/>
            </w:tcBorders>
            <w:shd w:val="clear" w:color="000000" w:fill="FFFFFF"/>
            <w:noWrap/>
            <w:vAlign w:val="center"/>
          </w:tcPr>
          <w:p w14:paraId="04F81B5E" w14:textId="08080A88" w:rsidR="00015756" w:rsidRPr="00015756" w:rsidRDefault="00015756" w:rsidP="00015756">
            <w:pPr>
              <w:spacing w:after="0" w:line="240" w:lineRule="auto"/>
              <w:jc w:val="right"/>
              <w:rPr>
                <w:rFonts w:cs="Times New Roman"/>
                <w:b/>
                <w:sz w:val="20"/>
                <w:szCs w:val="20"/>
              </w:rPr>
            </w:pPr>
            <w:r w:rsidRPr="00015756">
              <w:rPr>
                <w:rFonts w:cs="Times New Roman"/>
                <w:b/>
                <w:sz w:val="20"/>
                <w:szCs w:val="20"/>
              </w:rPr>
              <w:t>3 648</w:t>
            </w:r>
          </w:p>
        </w:tc>
        <w:tc>
          <w:tcPr>
            <w:tcW w:w="614" w:type="pct"/>
            <w:tcBorders>
              <w:top w:val="nil"/>
              <w:left w:val="nil"/>
              <w:bottom w:val="nil"/>
              <w:right w:val="nil"/>
            </w:tcBorders>
            <w:shd w:val="clear" w:color="auto" w:fill="auto"/>
            <w:noWrap/>
            <w:vAlign w:val="center"/>
          </w:tcPr>
          <w:p w14:paraId="3D3EA92F" w14:textId="3788B9A8" w:rsidR="00015756" w:rsidRPr="00015756" w:rsidRDefault="00015756" w:rsidP="00015756">
            <w:pPr>
              <w:spacing w:after="0" w:line="240" w:lineRule="auto"/>
              <w:jc w:val="right"/>
              <w:rPr>
                <w:rFonts w:cs="Times New Roman"/>
                <w:b/>
                <w:sz w:val="20"/>
                <w:szCs w:val="20"/>
              </w:rPr>
            </w:pPr>
            <w:r w:rsidRPr="00015756">
              <w:rPr>
                <w:rFonts w:cs="Times New Roman"/>
                <w:b/>
                <w:sz w:val="20"/>
                <w:szCs w:val="20"/>
              </w:rPr>
              <w:t>0</w:t>
            </w:r>
          </w:p>
        </w:tc>
        <w:tc>
          <w:tcPr>
            <w:tcW w:w="518" w:type="pct"/>
            <w:gridSpan w:val="2"/>
            <w:tcBorders>
              <w:top w:val="nil"/>
              <w:left w:val="nil"/>
              <w:bottom w:val="nil"/>
              <w:right w:val="nil"/>
            </w:tcBorders>
            <w:shd w:val="clear" w:color="000000" w:fill="FFFFFF"/>
            <w:noWrap/>
            <w:vAlign w:val="center"/>
          </w:tcPr>
          <w:p w14:paraId="27ED4738" w14:textId="134728FE" w:rsidR="00015756" w:rsidRPr="00015756" w:rsidRDefault="00015756" w:rsidP="00015756">
            <w:pPr>
              <w:spacing w:after="0" w:line="240" w:lineRule="auto"/>
              <w:jc w:val="right"/>
              <w:rPr>
                <w:rFonts w:cs="Times New Roman"/>
                <w:b/>
                <w:sz w:val="20"/>
                <w:szCs w:val="20"/>
              </w:rPr>
            </w:pPr>
            <w:r w:rsidRPr="00015756">
              <w:rPr>
                <w:rFonts w:cs="Times New Roman"/>
                <w:b/>
                <w:sz w:val="20"/>
                <w:szCs w:val="20"/>
              </w:rPr>
              <w:t>-3 648</w:t>
            </w:r>
          </w:p>
        </w:tc>
        <w:tc>
          <w:tcPr>
            <w:tcW w:w="403" w:type="pct"/>
            <w:tcBorders>
              <w:top w:val="nil"/>
              <w:left w:val="nil"/>
              <w:bottom w:val="nil"/>
              <w:right w:val="nil"/>
            </w:tcBorders>
            <w:shd w:val="clear" w:color="000000" w:fill="FFFFFF"/>
            <w:noWrap/>
            <w:vAlign w:val="center"/>
          </w:tcPr>
          <w:p w14:paraId="54D1EC56" w14:textId="2BFC4C46" w:rsidR="00015756" w:rsidRPr="00015756" w:rsidRDefault="00015756" w:rsidP="00015756">
            <w:pPr>
              <w:spacing w:after="0" w:line="240" w:lineRule="auto"/>
              <w:jc w:val="right"/>
              <w:rPr>
                <w:rFonts w:cs="Times New Roman"/>
                <w:b/>
                <w:sz w:val="20"/>
                <w:szCs w:val="20"/>
              </w:rPr>
            </w:pPr>
            <w:r w:rsidRPr="00015756">
              <w:rPr>
                <w:rFonts w:cs="Times New Roman"/>
                <w:b/>
                <w:sz w:val="20"/>
                <w:szCs w:val="20"/>
              </w:rPr>
              <w:t>-100,0</w:t>
            </w:r>
          </w:p>
        </w:tc>
        <w:tc>
          <w:tcPr>
            <w:tcW w:w="86" w:type="pct"/>
            <w:tcBorders>
              <w:top w:val="nil"/>
              <w:left w:val="nil"/>
              <w:bottom w:val="nil"/>
              <w:right w:val="nil"/>
            </w:tcBorders>
            <w:shd w:val="clear" w:color="auto" w:fill="auto"/>
            <w:noWrap/>
            <w:vAlign w:val="bottom"/>
          </w:tcPr>
          <w:p w14:paraId="1464738A" w14:textId="77777777" w:rsidR="00015756" w:rsidRPr="00015756" w:rsidRDefault="00015756" w:rsidP="00015756">
            <w:pPr>
              <w:spacing w:after="0" w:line="240" w:lineRule="auto"/>
              <w:jc w:val="right"/>
              <w:rPr>
                <w:rFonts w:eastAsia="Times New Roman" w:cs="Times New Roman"/>
                <w:b/>
                <w:bCs/>
                <w:color w:val="000000"/>
                <w:sz w:val="20"/>
                <w:szCs w:val="20"/>
                <w:lang w:eastAsia="sk-SK"/>
              </w:rPr>
            </w:pPr>
          </w:p>
        </w:tc>
      </w:tr>
      <w:tr w:rsidR="00015756" w:rsidRPr="00015756" w14:paraId="0AC39696" w14:textId="77777777" w:rsidTr="00A2483A">
        <w:trPr>
          <w:trHeight w:val="247"/>
        </w:trPr>
        <w:tc>
          <w:tcPr>
            <w:tcW w:w="1920" w:type="pct"/>
            <w:tcBorders>
              <w:top w:val="single" w:sz="4" w:space="0" w:color="auto"/>
              <w:left w:val="nil"/>
              <w:bottom w:val="single" w:sz="8" w:space="0" w:color="auto"/>
              <w:right w:val="nil"/>
            </w:tcBorders>
            <w:shd w:val="clear" w:color="000000" w:fill="FFFFFF"/>
            <w:vAlign w:val="center"/>
            <w:hideMark/>
          </w:tcPr>
          <w:p w14:paraId="3401BA67" w14:textId="77777777" w:rsidR="00015756" w:rsidRPr="00015756" w:rsidRDefault="00015756" w:rsidP="00015756">
            <w:pPr>
              <w:spacing w:after="0" w:line="240" w:lineRule="auto"/>
              <w:jc w:val="left"/>
              <w:rPr>
                <w:rFonts w:eastAsia="Times New Roman" w:cs="Times New Roman"/>
                <w:b/>
                <w:bCs/>
                <w:color w:val="000000"/>
                <w:sz w:val="20"/>
                <w:szCs w:val="20"/>
                <w:lang w:eastAsia="sk-SK"/>
              </w:rPr>
            </w:pPr>
            <w:r w:rsidRPr="00015756">
              <w:rPr>
                <w:rFonts w:eastAsia="Times New Roman" w:cs="Times New Roman"/>
                <w:b/>
                <w:bCs/>
                <w:color w:val="000000"/>
                <w:sz w:val="20"/>
                <w:szCs w:val="20"/>
                <w:lang w:eastAsia="sk-SK"/>
              </w:rPr>
              <w:t>Spolu výdavky za prostriedky ŠR</w:t>
            </w:r>
          </w:p>
        </w:tc>
        <w:tc>
          <w:tcPr>
            <w:tcW w:w="461" w:type="pct"/>
            <w:tcBorders>
              <w:top w:val="single" w:sz="4" w:space="0" w:color="auto"/>
              <w:left w:val="nil"/>
              <w:bottom w:val="single" w:sz="8" w:space="0" w:color="auto"/>
              <w:right w:val="nil"/>
            </w:tcBorders>
            <w:shd w:val="clear" w:color="000000" w:fill="FFFFFF"/>
            <w:noWrap/>
            <w:vAlign w:val="center"/>
            <w:hideMark/>
          </w:tcPr>
          <w:p w14:paraId="4158C514" w14:textId="01E77CB3"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b/>
                <w:bCs/>
                <w:color w:val="000000"/>
                <w:sz w:val="20"/>
                <w:szCs w:val="20"/>
              </w:rPr>
              <w:t>378 051</w:t>
            </w:r>
          </w:p>
        </w:tc>
        <w:tc>
          <w:tcPr>
            <w:tcW w:w="461" w:type="pct"/>
            <w:tcBorders>
              <w:top w:val="single" w:sz="4" w:space="0" w:color="auto"/>
              <w:left w:val="nil"/>
              <w:bottom w:val="single" w:sz="8" w:space="0" w:color="auto"/>
              <w:right w:val="nil"/>
            </w:tcBorders>
            <w:shd w:val="clear" w:color="000000" w:fill="FFFFFF"/>
            <w:noWrap/>
            <w:vAlign w:val="center"/>
            <w:hideMark/>
          </w:tcPr>
          <w:p w14:paraId="058D6AEF" w14:textId="3E53400F"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b/>
                <w:bCs/>
                <w:color w:val="000000"/>
                <w:sz w:val="20"/>
                <w:szCs w:val="20"/>
              </w:rPr>
              <w:t>371 384</w:t>
            </w:r>
          </w:p>
        </w:tc>
        <w:tc>
          <w:tcPr>
            <w:tcW w:w="537" w:type="pct"/>
            <w:tcBorders>
              <w:top w:val="single" w:sz="4" w:space="0" w:color="auto"/>
              <w:left w:val="nil"/>
              <w:bottom w:val="single" w:sz="8" w:space="0" w:color="auto"/>
              <w:right w:val="nil"/>
            </w:tcBorders>
            <w:shd w:val="clear" w:color="000000" w:fill="FFFFFF"/>
            <w:noWrap/>
            <w:vAlign w:val="center"/>
            <w:hideMark/>
          </w:tcPr>
          <w:p w14:paraId="1D4BFE0F" w14:textId="4FE7C016"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b/>
                <w:bCs/>
                <w:color w:val="000000"/>
                <w:sz w:val="20"/>
                <w:szCs w:val="20"/>
              </w:rPr>
              <w:t>589 713</w:t>
            </w:r>
          </w:p>
        </w:tc>
        <w:tc>
          <w:tcPr>
            <w:tcW w:w="614" w:type="pct"/>
            <w:tcBorders>
              <w:top w:val="single" w:sz="4" w:space="0" w:color="auto"/>
              <w:left w:val="nil"/>
              <w:bottom w:val="single" w:sz="8" w:space="0" w:color="auto"/>
              <w:right w:val="nil"/>
            </w:tcBorders>
            <w:shd w:val="clear" w:color="auto" w:fill="auto"/>
            <w:noWrap/>
            <w:vAlign w:val="center"/>
            <w:hideMark/>
          </w:tcPr>
          <w:p w14:paraId="075E57E0" w14:textId="695823E8"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b/>
                <w:bCs/>
                <w:color w:val="000000"/>
                <w:sz w:val="20"/>
                <w:szCs w:val="20"/>
              </w:rPr>
              <w:t>396 427</w:t>
            </w:r>
          </w:p>
        </w:tc>
        <w:tc>
          <w:tcPr>
            <w:tcW w:w="518" w:type="pct"/>
            <w:gridSpan w:val="2"/>
            <w:tcBorders>
              <w:top w:val="single" w:sz="4" w:space="0" w:color="auto"/>
              <w:left w:val="nil"/>
              <w:bottom w:val="single" w:sz="8" w:space="0" w:color="auto"/>
              <w:right w:val="nil"/>
            </w:tcBorders>
            <w:shd w:val="clear" w:color="000000" w:fill="FFFFFF"/>
            <w:noWrap/>
            <w:vAlign w:val="center"/>
            <w:hideMark/>
          </w:tcPr>
          <w:p w14:paraId="495DD85C" w14:textId="72AE2E7D"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b/>
                <w:bCs/>
                <w:color w:val="000000"/>
                <w:sz w:val="20"/>
                <w:szCs w:val="20"/>
              </w:rPr>
              <w:t>-193 286</w:t>
            </w:r>
          </w:p>
        </w:tc>
        <w:tc>
          <w:tcPr>
            <w:tcW w:w="403" w:type="pct"/>
            <w:tcBorders>
              <w:top w:val="single" w:sz="4" w:space="0" w:color="auto"/>
              <w:left w:val="nil"/>
              <w:bottom w:val="single" w:sz="8" w:space="0" w:color="auto"/>
              <w:right w:val="nil"/>
            </w:tcBorders>
            <w:shd w:val="clear" w:color="000000" w:fill="FFFFFF"/>
            <w:noWrap/>
            <w:vAlign w:val="center"/>
            <w:hideMark/>
          </w:tcPr>
          <w:p w14:paraId="30420CCD" w14:textId="20FFDBF5" w:rsidR="00015756" w:rsidRPr="00015756" w:rsidRDefault="00015756" w:rsidP="00015756">
            <w:pPr>
              <w:spacing w:after="0" w:line="240" w:lineRule="auto"/>
              <w:jc w:val="right"/>
              <w:rPr>
                <w:rFonts w:eastAsia="Times New Roman" w:cs="Times New Roman"/>
                <w:b/>
                <w:bCs/>
                <w:color w:val="000000"/>
                <w:sz w:val="20"/>
                <w:szCs w:val="20"/>
                <w:lang w:eastAsia="sk-SK"/>
              </w:rPr>
            </w:pPr>
            <w:r w:rsidRPr="00015756">
              <w:rPr>
                <w:b/>
                <w:bCs/>
                <w:color w:val="000000"/>
                <w:sz w:val="20"/>
                <w:szCs w:val="20"/>
              </w:rPr>
              <w:t>-32,8</w:t>
            </w:r>
          </w:p>
        </w:tc>
        <w:tc>
          <w:tcPr>
            <w:tcW w:w="86" w:type="pct"/>
            <w:tcBorders>
              <w:top w:val="nil"/>
              <w:left w:val="nil"/>
              <w:bottom w:val="nil"/>
              <w:right w:val="nil"/>
            </w:tcBorders>
            <w:shd w:val="clear" w:color="auto" w:fill="auto"/>
            <w:noWrap/>
            <w:vAlign w:val="bottom"/>
            <w:hideMark/>
          </w:tcPr>
          <w:p w14:paraId="70F1E3F8" w14:textId="77777777" w:rsidR="00015756" w:rsidRPr="00015756" w:rsidRDefault="00015756" w:rsidP="00015756">
            <w:pPr>
              <w:spacing w:after="0" w:line="240" w:lineRule="auto"/>
              <w:jc w:val="right"/>
              <w:rPr>
                <w:rFonts w:eastAsia="Times New Roman" w:cs="Times New Roman"/>
                <w:b/>
                <w:bCs/>
                <w:color w:val="000000"/>
                <w:sz w:val="20"/>
                <w:szCs w:val="20"/>
                <w:lang w:eastAsia="sk-SK"/>
              </w:rPr>
            </w:pPr>
          </w:p>
        </w:tc>
      </w:tr>
    </w:tbl>
    <w:p w14:paraId="0640C9DB" w14:textId="77777777" w:rsidR="00111CC0" w:rsidRPr="00111CC0" w:rsidRDefault="00111CC0" w:rsidP="00111CC0">
      <w:pPr>
        <w:jc w:val="right"/>
        <w:rPr>
          <w:sz w:val="18"/>
          <w:szCs w:val="18"/>
        </w:rPr>
      </w:pPr>
      <w:r w:rsidRPr="00015756">
        <w:rPr>
          <w:sz w:val="18"/>
          <w:szCs w:val="18"/>
        </w:rPr>
        <w:t>Zdroj: MF SR</w:t>
      </w:r>
    </w:p>
    <w:p w14:paraId="7E8C7E31" w14:textId="71E2272E" w:rsidR="00111CC0" w:rsidRPr="00D715AF" w:rsidRDefault="00111CC0" w:rsidP="00547C43">
      <w:pPr>
        <w:numPr>
          <w:ilvl w:val="0"/>
          <w:numId w:val="2"/>
        </w:numPr>
        <w:tabs>
          <w:tab w:val="left" w:pos="284"/>
        </w:tabs>
        <w:spacing w:line="240" w:lineRule="auto"/>
        <w:ind w:left="0" w:firstLine="0"/>
        <w:rPr>
          <w:b/>
          <w:sz w:val="24"/>
          <w:szCs w:val="24"/>
        </w:rPr>
      </w:pPr>
      <w:r w:rsidRPr="00D715AF">
        <w:rPr>
          <w:b/>
          <w:sz w:val="24"/>
          <w:szCs w:val="24"/>
        </w:rPr>
        <w:t>Spolufinancovanie zo štátneho rozpočtu k zahraničným grantom z EÚ a</w:t>
      </w:r>
      <w:r w:rsidR="00B44DE2">
        <w:rPr>
          <w:b/>
          <w:sz w:val="24"/>
          <w:szCs w:val="24"/>
        </w:rPr>
        <w:t xml:space="preserve"> </w:t>
      </w:r>
      <w:r w:rsidRPr="00D715AF">
        <w:rPr>
          <w:b/>
          <w:sz w:val="24"/>
          <w:szCs w:val="24"/>
        </w:rPr>
        <w:t>k prostriedkom poskytnutým na základe medzinárodných zmlúv</w:t>
      </w:r>
    </w:p>
    <w:p w14:paraId="3F96CC44" w14:textId="6EAC694D" w:rsidR="0041022D" w:rsidRPr="0041022D" w:rsidRDefault="0041022D" w:rsidP="0041022D">
      <w:pPr>
        <w:spacing w:line="240" w:lineRule="auto"/>
        <w:rPr>
          <w:sz w:val="24"/>
          <w:szCs w:val="24"/>
        </w:rPr>
      </w:pPr>
      <w:r w:rsidRPr="0041022D">
        <w:rPr>
          <w:sz w:val="24"/>
          <w:szCs w:val="24"/>
        </w:rPr>
        <w:t>Okrem výdavkov na spolufinancovanie zo ŠR k prostriedkom EÚ sú rozpočtované aj výdavky na spolufinancovanie zo ŠR</w:t>
      </w:r>
      <w:r>
        <w:rPr>
          <w:sz w:val="24"/>
          <w:szCs w:val="24"/>
        </w:rPr>
        <w:t xml:space="preserve"> </w:t>
      </w:r>
      <w:r w:rsidRPr="0041022D">
        <w:rPr>
          <w:sz w:val="24"/>
          <w:szCs w:val="24"/>
        </w:rPr>
        <w:t>k zahraničným grantom poskytnutým z prostriedkov EÚ, ktoré sa rozpočtujú v kapitolách zodpovedných za ich riadenie, a to za programy európskej územnej spolupráce, pri ktorých MF SR nie je certifikačným ani platobným orgánom a program LIFE+. V rámci programov európskej územnej spolupráce sa rozpočtujú prostriedky na spolufinancovanie programov cezhraničnej spolupráce v kapitole MIRRI SR, programy medziregionálnej spolupráce v kapitole MH SR a za programy nadnárodnej spolupráce v kapitole MIRRI SR. Prostriedky za programy LIFE+ sa rozpočtujú v</w:t>
      </w:r>
      <w:r w:rsidR="0081502F">
        <w:rPr>
          <w:sz w:val="24"/>
          <w:szCs w:val="24"/>
        </w:rPr>
        <w:t> kapitole MŽP SR,</w:t>
      </w:r>
      <w:r>
        <w:rPr>
          <w:sz w:val="24"/>
          <w:szCs w:val="24"/>
        </w:rPr>
        <w:t xml:space="preserve"> </w:t>
      </w:r>
      <w:r w:rsidR="0081502F">
        <w:rPr>
          <w:sz w:val="24"/>
          <w:szCs w:val="24"/>
        </w:rPr>
        <w:t>k </w:t>
      </w:r>
      <w:r w:rsidRPr="0041022D">
        <w:rPr>
          <w:sz w:val="24"/>
          <w:szCs w:val="24"/>
        </w:rPr>
        <w:t>zahraničným grantom poskytnutým na základe medzinárodných zmlúv za programy Finančného mechanizmu EHP a NFM, ktoré sú alokované v kapitole VPS na úč</w:t>
      </w:r>
      <w:r w:rsidR="0081502F">
        <w:rPr>
          <w:sz w:val="24"/>
          <w:szCs w:val="24"/>
        </w:rPr>
        <w:t xml:space="preserve">ely spolufinancovania projektov, </w:t>
      </w:r>
      <w:r w:rsidRPr="0041022D">
        <w:rPr>
          <w:sz w:val="24"/>
          <w:szCs w:val="24"/>
        </w:rPr>
        <w:t>k prostriedkom na spolufinancovanie fondov pre oblasť vnútorných záležitostí na roky 2014 - 2020.</w:t>
      </w:r>
    </w:p>
    <w:p w14:paraId="17271C81" w14:textId="2153C8CF" w:rsidR="0041022D" w:rsidRPr="0041022D" w:rsidRDefault="0041022D" w:rsidP="0041022D">
      <w:pPr>
        <w:spacing w:line="240" w:lineRule="auto"/>
        <w:rPr>
          <w:sz w:val="24"/>
          <w:szCs w:val="24"/>
        </w:rPr>
      </w:pPr>
      <w:r w:rsidRPr="0041022D">
        <w:rPr>
          <w:sz w:val="24"/>
          <w:szCs w:val="24"/>
        </w:rPr>
        <w:t>Čerpanie výdavkov na spolufinancovanie k zahraničným grantom z prostriedkov EÚ v roku 2022 predstavovalo sumu 6</w:t>
      </w:r>
      <w:r w:rsidR="0081502F">
        <w:rPr>
          <w:sz w:val="24"/>
          <w:szCs w:val="24"/>
        </w:rPr>
        <w:t> </w:t>
      </w:r>
      <w:r w:rsidRPr="0041022D">
        <w:rPr>
          <w:sz w:val="24"/>
          <w:szCs w:val="24"/>
        </w:rPr>
        <w:t>019</w:t>
      </w:r>
      <w:r w:rsidR="0081502F">
        <w:rPr>
          <w:sz w:val="24"/>
          <w:szCs w:val="24"/>
        </w:rPr>
        <w:t> tis. </w:t>
      </w:r>
      <w:r w:rsidRPr="0041022D">
        <w:rPr>
          <w:sz w:val="24"/>
          <w:szCs w:val="24"/>
        </w:rPr>
        <w:t>eur. Čerpanie výdavkov k zahraničným grantom poskytnutým na základe medzinárodných zmlúv v roku 2022 predstavovalo sumu 2</w:t>
      </w:r>
      <w:r w:rsidR="0081502F">
        <w:rPr>
          <w:sz w:val="24"/>
          <w:szCs w:val="24"/>
        </w:rPr>
        <w:t> </w:t>
      </w:r>
      <w:r w:rsidRPr="0041022D">
        <w:rPr>
          <w:sz w:val="24"/>
          <w:szCs w:val="24"/>
        </w:rPr>
        <w:t>373</w:t>
      </w:r>
      <w:r w:rsidR="0081502F">
        <w:rPr>
          <w:sz w:val="24"/>
          <w:szCs w:val="24"/>
        </w:rPr>
        <w:t> </w:t>
      </w:r>
      <w:r w:rsidRPr="0041022D">
        <w:rPr>
          <w:sz w:val="24"/>
          <w:szCs w:val="24"/>
        </w:rPr>
        <w:t>tis. eur.</w:t>
      </w:r>
    </w:p>
    <w:p w14:paraId="527D457F" w14:textId="77777777" w:rsidR="0041022D" w:rsidRPr="0041022D" w:rsidRDefault="0041022D" w:rsidP="0041022D">
      <w:pPr>
        <w:spacing w:line="240" w:lineRule="auto"/>
        <w:rPr>
          <w:sz w:val="24"/>
          <w:szCs w:val="24"/>
        </w:rPr>
      </w:pPr>
      <w:r w:rsidRPr="0041022D">
        <w:rPr>
          <w:sz w:val="24"/>
          <w:szCs w:val="24"/>
        </w:rPr>
        <w:t xml:space="preserve">Prehľad výdavkov na spolufinancovanie zo štátneho rozpočtu k zahraničným grantom z prostriedkov EÚ a k zahraničných grantov poskytnutým na základe medzinárodných zmlúv je uvedený v nasledovnej tabuľke: </w:t>
      </w:r>
    </w:p>
    <w:tbl>
      <w:tblPr>
        <w:tblW w:w="4985" w:type="pct"/>
        <w:tblLayout w:type="fixed"/>
        <w:tblCellMar>
          <w:left w:w="70" w:type="dxa"/>
          <w:right w:w="70" w:type="dxa"/>
        </w:tblCellMar>
        <w:tblLook w:val="04A0" w:firstRow="1" w:lastRow="0" w:firstColumn="1" w:lastColumn="0" w:noHBand="0" w:noVBand="1"/>
      </w:tblPr>
      <w:tblGrid>
        <w:gridCol w:w="3686"/>
        <w:gridCol w:w="992"/>
        <w:gridCol w:w="992"/>
        <w:gridCol w:w="852"/>
        <w:gridCol w:w="992"/>
        <w:gridCol w:w="792"/>
        <w:gridCol w:w="28"/>
        <w:gridCol w:w="852"/>
      </w:tblGrid>
      <w:tr w:rsidR="00A2483A" w:rsidRPr="00A2483A" w14:paraId="11D4E368" w14:textId="77777777" w:rsidTr="0071136C">
        <w:trPr>
          <w:trHeight w:val="263"/>
        </w:trPr>
        <w:tc>
          <w:tcPr>
            <w:tcW w:w="4536" w:type="pct"/>
            <w:gridSpan w:val="7"/>
            <w:tcBorders>
              <w:top w:val="nil"/>
              <w:left w:val="nil"/>
              <w:bottom w:val="single" w:sz="4" w:space="0" w:color="auto"/>
              <w:right w:val="nil"/>
            </w:tcBorders>
            <w:shd w:val="clear" w:color="auto" w:fill="auto"/>
            <w:noWrap/>
            <w:vAlign w:val="bottom"/>
            <w:hideMark/>
          </w:tcPr>
          <w:p w14:paraId="24868E4F" w14:textId="7246450E" w:rsidR="00A13B27" w:rsidRPr="00A2483A" w:rsidRDefault="006616A2" w:rsidP="00000201">
            <w:pPr>
              <w:spacing w:after="0" w:line="240" w:lineRule="auto"/>
              <w:jc w:val="left"/>
              <w:rPr>
                <w:rFonts w:eastAsia="Times New Roman" w:cs="Times New Roman"/>
                <w:b/>
                <w:bCs/>
                <w:color w:val="5B9BD5" w:themeColor="accent1"/>
                <w:sz w:val="20"/>
                <w:szCs w:val="20"/>
                <w:lang w:eastAsia="sk-SK"/>
              </w:rPr>
            </w:pPr>
            <w:r w:rsidRPr="00745CCE">
              <w:rPr>
                <w:rFonts w:eastAsia="Times New Roman" w:cs="Times New Roman"/>
                <w:b/>
                <w:bCs/>
                <w:color w:val="5B9BD5" w:themeColor="accent1"/>
                <w:sz w:val="20"/>
                <w:szCs w:val="20"/>
                <w:lang w:eastAsia="sk-SK"/>
              </w:rPr>
              <w:t xml:space="preserve">Tabuľka </w:t>
            </w:r>
            <w:r w:rsidR="006C0380">
              <w:rPr>
                <w:rFonts w:eastAsia="Times New Roman" w:cs="Times New Roman"/>
                <w:b/>
                <w:bCs/>
                <w:color w:val="5B9BD5" w:themeColor="accent1"/>
                <w:sz w:val="20"/>
                <w:szCs w:val="20"/>
                <w:lang w:eastAsia="sk-SK"/>
              </w:rPr>
              <w:t>6</w:t>
            </w:r>
            <w:r w:rsidR="00000201">
              <w:rPr>
                <w:rFonts w:eastAsia="Times New Roman" w:cs="Times New Roman"/>
                <w:b/>
                <w:bCs/>
                <w:color w:val="5B9BD5" w:themeColor="accent1"/>
                <w:sz w:val="20"/>
                <w:szCs w:val="20"/>
                <w:lang w:eastAsia="sk-SK"/>
              </w:rPr>
              <w:t>6</w:t>
            </w:r>
            <w:r>
              <w:rPr>
                <w:rFonts w:eastAsia="Times New Roman" w:cs="Times New Roman"/>
                <w:b/>
                <w:bCs/>
                <w:color w:val="5B9BD5" w:themeColor="accent1"/>
                <w:sz w:val="20"/>
                <w:szCs w:val="20"/>
                <w:lang w:eastAsia="sk-SK"/>
              </w:rPr>
              <w:t xml:space="preserve"> -</w:t>
            </w:r>
            <w:r w:rsidRPr="00745CCE">
              <w:rPr>
                <w:rFonts w:eastAsia="Times New Roman" w:cs="Times New Roman"/>
                <w:b/>
                <w:bCs/>
                <w:color w:val="5B9BD5" w:themeColor="accent1"/>
                <w:sz w:val="20"/>
                <w:szCs w:val="20"/>
                <w:lang w:eastAsia="sk-SK"/>
              </w:rPr>
              <w:t xml:space="preserve"> </w:t>
            </w:r>
            <w:r w:rsidR="00A13B27" w:rsidRPr="00A2483A">
              <w:rPr>
                <w:rFonts w:eastAsia="Times New Roman" w:cs="Times New Roman"/>
                <w:b/>
                <w:bCs/>
                <w:color w:val="5B9BD5" w:themeColor="accent1"/>
                <w:sz w:val="20"/>
                <w:szCs w:val="20"/>
                <w:lang w:eastAsia="sk-SK"/>
              </w:rPr>
              <w:t xml:space="preserve">Spolufinancovanie zo ŠR k zahraničným grantom/k prostriedkom poskytnutým na základe medzinárodných zmlúv </w:t>
            </w:r>
          </w:p>
        </w:tc>
        <w:tc>
          <w:tcPr>
            <w:tcW w:w="464" w:type="pct"/>
            <w:tcBorders>
              <w:top w:val="nil"/>
              <w:left w:val="nil"/>
              <w:bottom w:val="single" w:sz="4" w:space="0" w:color="auto"/>
              <w:right w:val="nil"/>
            </w:tcBorders>
            <w:shd w:val="clear" w:color="auto" w:fill="auto"/>
            <w:noWrap/>
            <w:vAlign w:val="bottom"/>
            <w:hideMark/>
          </w:tcPr>
          <w:p w14:paraId="590E3A06" w14:textId="59DDAE4C" w:rsidR="00A13B27" w:rsidRPr="00A2483A" w:rsidRDefault="00A13B27" w:rsidP="00A13B27">
            <w:pPr>
              <w:spacing w:after="0" w:line="240" w:lineRule="auto"/>
              <w:jc w:val="left"/>
              <w:rPr>
                <w:rFonts w:eastAsia="Times New Roman" w:cs="Times New Roman"/>
                <w:b/>
                <w:bCs/>
                <w:color w:val="5B9BD5" w:themeColor="accent1"/>
                <w:sz w:val="20"/>
                <w:szCs w:val="20"/>
                <w:lang w:eastAsia="sk-SK"/>
              </w:rPr>
            </w:pPr>
          </w:p>
        </w:tc>
      </w:tr>
      <w:tr w:rsidR="002633C2" w:rsidRPr="00A13B27" w14:paraId="3A99F465" w14:textId="77777777" w:rsidTr="0071136C">
        <w:trPr>
          <w:trHeight w:val="263"/>
        </w:trPr>
        <w:tc>
          <w:tcPr>
            <w:tcW w:w="2006" w:type="pct"/>
            <w:vMerge w:val="restart"/>
            <w:tcBorders>
              <w:top w:val="nil"/>
              <w:left w:val="nil"/>
              <w:right w:val="nil"/>
            </w:tcBorders>
            <w:shd w:val="clear" w:color="auto" w:fill="auto"/>
            <w:vAlign w:val="center"/>
            <w:hideMark/>
          </w:tcPr>
          <w:p w14:paraId="52E9A8FA" w14:textId="14F3C9E2" w:rsidR="002633C2" w:rsidRPr="0071136C" w:rsidRDefault="002633C2" w:rsidP="002633C2">
            <w:pPr>
              <w:spacing w:after="0" w:line="240" w:lineRule="auto"/>
              <w:jc w:val="left"/>
              <w:rPr>
                <w:rFonts w:eastAsia="Times New Roman" w:cs="Times New Roman"/>
                <w:b/>
                <w:bCs/>
                <w:sz w:val="20"/>
                <w:szCs w:val="20"/>
                <w:lang w:eastAsia="sk-SK"/>
              </w:rPr>
            </w:pPr>
            <w:r w:rsidRPr="0071136C">
              <w:rPr>
                <w:rFonts w:eastAsia="Times New Roman" w:cs="Times New Roman"/>
                <w:b/>
                <w:bCs/>
                <w:sz w:val="20"/>
                <w:szCs w:val="20"/>
                <w:lang w:eastAsia="sk-SK"/>
              </w:rPr>
              <w:t>v tis. eur</w:t>
            </w:r>
            <w:r w:rsidRPr="0071136C">
              <w:rPr>
                <w:rFonts w:eastAsia="Times New Roman" w:cs="Times New Roman"/>
                <w:b/>
                <w:bCs/>
                <w:color w:val="FFFFFF"/>
                <w:sz w:val="20"/>
                <w:szCs w:val="20"/>
                <w:lang w:eastAsia="sk-SK"/>
              </w:rPr>
              <w:t> </w:t>
            </w:r>
          </w:p>
        </w:tc>
        <w:tc>
          <w:tcPr>
            <w:tcW w:w="540" w:type="pct"/>
            <w:tcBorders>
              <w:top w:val="nil"/>
              <w:left w:val="nil"/>
              <w:bottom w:val="nil"/>
              <w:right w:val="nil"/>
            </w:tcBorders>
            <w:shd w:val="clear" w:color="auto" w:fill="auto"/>
            <w:vAlign w:val="center"/>
            <w:hideMark/>
          </w:tcPr>
          <w:p w14:paraId="690452AA" w14:textId="1D68A9D7" w:rsidR="002633C2" w:rsidRPr="0071136C" w:rsidRDefault="00AB5D32" w:rsidP="00AB5D32">
            <w:pPr>
              <w:spacing w:after="0" w:line="240" w:lineRule="auto"/>
              <w:jc w:val="center"/>
              <w:rPr>
                <w:rFonts w:eastAsia="Times New Roman" w:cs="Times New Roman"/>
                <w:b/>
                <w:bCs/>
                <w:color w:val="000000"/>
                <w:sz w:val="20"/>
                <w:szCs w:val="20"/>
                <w:lang w:eastAsia="sk-SK"/>
              </w:rPr>
            </w:pPr>
            <w:r w:rsidRPr="0071136C">
              <w:rPr>
                <w:rFonts w:eastAsia="Times New Roman" w:cs="Times New Roman"/>
                <w:b/>
                <w:bCs/>
                <w:color w:val="000000"/>
                <w:sz w:val="20"/>
                <w:szCs w:val="20"/>
                <w:lang w:eastAsia="sk-SK"/>
              </w:rPr>
              <w:t>2020</w:t>
            </w:r>
            <w:r w:rsidR="002633C2" w:rsidRPr="0071136C">
              <w:rPr>
                <w:rFonts w:eastAsia="Times New Roman" w:cs="Times New Roman"/>
                <w:b/>
                <w:bCs/>
                <w:color w:val="000000"/>
                <w:sz w:val="20"/>
                <w:szCs w:val="20"/>
                <w:lang w:eastAsia="sk-SK"/>
              </w:rPr>
              <w:t xml:space="preserve"> S</w:t>
            </w:r>
          </w:p>
        </w:tc>
        <w:tc>
          <w:tcPr>
            <w:tcW w:w="540" w:type="pct"/>
            <w:tcBorders>
              <w:top w:val="nil"/>
              <w:left w:val="nil"/>
              <w:bottom w:val="nil"/>
              <w:right w:val="nil"/>
            </w:tcBorders>
            <w:shd w:val="clear" w:color="auto" w:fill="auto"/>
            <w:vAlign w:val="center"/>
            <w:hideMark/>
          </w:tcPr>
          <w:p w14:paraId="65E42769" w14:textId="29821DAF" w:rsidR="002633C2" w:rsidRPr="0071136C" w:rsidRDefault="002633C2" w:rsidP="00AB5D32">
            <w:pPr>
              <w:spacing w:after="0" w:line="240" w:lineRule="auto"/>
              <w:jc w:val="center"/>
              <w:rPr>
                <w:rFonts w:eastAsia="Times New Roman" w:cs="Times New Roman"/>
                <w:b/>
                <w:bCs/>
                <w:color w:val="000000"/>
                <w:sz w:val="20"/>
                <w:szCs w:val="20"/>
                <w:lang w:eastAsia="sk-SK"/>
              </w:rPr>
            </w:pPr>
            <w:r w:rsidRPr="0071136C">
              <w:rPr>
                <w:rFonts w:eastAsia="Times New Roman" w:cs="Times New Roman"/>
                <w:b/>
                <w:bCs/>
                <w:color w:val="000000"/>
                <w:sz w:val="20"/>
                <w:szCs w:val="20"/>
                <w:lang w:eastAsia="sk-SK"/>
              </w:rPr>
              <w:t>202</w:t>
            </w:r>
            <w:r w:rsidR="00AB5D32" w:rsidRPr="0071136C">
              <w:rPr>
                <w:rFonts w:eastAsia="Times New Roman" w:cs="Times New Roman"/>
                <w:b/>
                <w:bCs/>
                <w:color w:val="000000"/>
                <w:sz w:val="20"/>
                <w:szCs w:val="20"/>
                <w:lang w:eastAsia="sk-SK"/>
              </w:rPr>
              <w:t>1</w:t>
            </w:r>
            <w:r w:rsidRPr="0071136C">
              <w:rPr>
                <w:rFonts w:eastAsia="Times New Roman" w:cs="Times New Roman"/>
                <w:b/>
                <w:bCs/>
                <w:color w:val="000000"/>
                <w:sz w:val="20"/>
                <w:szCs w:val="20"/>
                <w:lang w:eastAsia="sk-SK"/>
              </w:rPr>
              <w:t xml:space="preserve"> S</w:t>
            </w:r>
          </w:p>
        </w:tc>
        <w:tc>
          <w:tcPr>
            <w:tcW w:w="464" w:type="pct"/>
            <w:tcBorders>
              <w:top w:val="nil"/>
              <w:left w:val="nil"/>
              <w:bottom w:val="nil"/>
              <w:right w:val="nil"/>
            </w:tcBorders>
            <w:shd w:val="clear" w:color="auto" w:fill="auto"/>
            <w:vAlign w:val="center"/>
            <w:hideMark/>
          </w:tcPr>
          <w:p w14:paraId="7CC8D74F" w14:textId="0FC3D667" w:rsidR="002633C2" w:rsidRPr="0071136C" w:rsidRDefault="002633C2" w:rsidP="00A13B27">
            <w:pPr>
              <w:spacing w:after="0" w:line="240" w:lineRule="auto"/>
              <w:jc w:val="center"/>
              <w:rPr>
                <w:rFonts w:eastAsia="Times New Roman" w:cs="Times New Roman"/>
                <w:b/>
                <w:bCs/>
                <w:color w:val="000000"/>
                <w:sz w:val="20"/>
                <w:szCs w:val="20"/>
                <w:lang w:eastAsia="sk-SK"/>
              </w:rPr>
            </w:pPr>
            <w:r w:rsidRPr="0071136C">
              <w:rPr>
                <w:rFonts w:eastAsia="Times New Roman" w:cs="Times New Roman"/>
                <w:b/>
                <w:bCs/>
                <w:color w:val="000000"/>
                <w:sz w:val="20"/>
                <w:szCs w:val="20"/>
                <w:lang w:eastAsia="sk-SK"/>
              </w:rPr>
              <w:t>2</w:t>
            </w:r>
            <w:r w:rsidR="00AB5D32" w:rsidRPr="0071136C">
              <w:rPr>
                <w:rFonts w:eastAsia="Times New Roman" w:cs="Times New Roman"/>
                <w:b/>
                <w:bCs/>
                <w:color w:val="000000"/>
                <w:sz w:val="20"/>
                <w:szCs w:val="20"/>
                <w:lang w:eastAsia="sk-SK"/>
              </w:rPr>
              <w:t>022</w:t>
            </w:r>
            <w:r w:rsidRPr="0071136C">
              <w:rPr>
                <w:rFonts w:eastAsia="Times New Roman" w:cs="Times New Roman"/>
                <w:b/>
                <w:bCs/>
                <w:color w:val="000000"/>
                <w:sz w:val="20"/>
                <w:szCs w:val="20"/>
                <w:lang w:eastAsia="sk-SK"/>
              </w:rPr>
              <w:t xml:space="preserve"> R</w:t>
            </w:r>
          </w:p>
        </w:tc>
        <w:tc>
          <w:tcPr>
            <w:tcW w:w="540" w:type="pct"/>
            <w:tcBorders>
              <w:top w:val="nil"/>
              <w:left w:val="nil"/>
              <w:bottom w:val="nil"/>
              <w:right w:val="nil"/>
            </w:tcBorders>
            <w:shd w:val="clear" w:color="auto" w:fill="auto"/>
            <w:vAlign w:val="center"/>
            <w:hideMark/>
          </w:tcPr>
          <w:p w14:paraId="3FF8EEAE" w14:textId="40A5209C" w:rsidR="002633C2" w:rsidRPr="0071136C" w:rsidRDefault="002633C2" w:rsidP="00AB5D32">
            <w:pPr>
              <w:spacing w:after="0" w:line="240" w:lineRule="auto"/>
              <w:jc w:val="center"/>
              <w:rPr>
                <w:rFonts w:eastAsia="Times New Roman" w:cs="Times New Roman"/>
                <w:b/>
                <w:bCs/>
                <w:color w:val="000000"/>
                <w:sz w:val="20"/>
                <w:szCs w:val="20"/>
                <w:lang w:eastAsia="sk-SK"/>
              </w:rPr>
            </w:pPr>
            <w:r w:rsidRPr="0071136C">
              <w:rPr>
                <w:rFonts w:eastAsia="Times New Roman" w:cs="Times New Roman"/>
                <w:b/>
                <w:bCs/>
                <w:color w:val="000000"/>
                <w:sz w:val="20"/>
                <w:szCs w:val="20"/>
                <w:lang w:eastAsia="sk-SK"/>
              </w:rPr>
              <w:t>202</w:t>
            </w:r>
            <w:r w:rsidR="00AB5D32" w:rsidRPr="0071136C">
              <w:rPr>
                <w:rFonts w:eastAsia="Times New Roman" w:cs="Times New Roman"/>
                <w:b/>
                <w:bCs/>
                <w:color w:val="000000"/>
                <w:sz w:val="20"/>
                <w:szCs w:val="20"/>
                <w:lang w:eastAsia="sk-SK"/>
              </w:rPr>
              <w:t>2</w:t>
            </w:r>
            <w:r w:rsidRPr="0071136C">
              <w:rPr>
                <w:rFonts w:eastAsia="Times New Roman" w:cs="Times New Roman"/>
                <w:b/>
                <w:bCs/>
                <w:color w:val="000000"/>
                <w:sz w:val="20"/>
                <w:szCs w:val="20"/>
                <w:lang w:eastAsia="sk-SK"/>
              </w:rPr>
              <w:t xml:space="preserve"> S</w:t>
            </w:r>
          </w:p>
        </w:tc>
        <w:tc>
          <w:tcPr>
            <w:tcW w:w="431" w:type="pct"/>
            <w:tcBorders>
              <w:top w:val="nil"/>
              <w:left w:val="nil"/>
              <w:bottom w:val="nil"/>
              <w:right w:val="nil"/>
            </w:tcBorders>
            <w:shd w:val="clear" w:color="auto" w:fill="auto"/>
            <w:vAlign w:val="center"/>
            <w:hideMark/>
          </w:tcPr>
          <w:p w14:paraId="683BE98E" w14:textId="77777777" w:rsidR="002633C2" w:rsidRPr="0071136C" w:rsidRDefault="002633C2" w:rsidP="00A13B27">
            <w:pPr>
              <w:spacing w:after="0" w:line="240" w:lineRule="auto"/>
              <w:jc w:val="center"/>
              <w:rPr>
                <w:rFonts w:eastAsia="Times New Roman" w:cs="Times New Roman"/>
                <w:b/>
                <w:bCs/>
                <w:color w:val="000000"/>
                <w:sz w:val="20"/>
                <w:szCs w:val="20"/>
                <w:lang w:eastAsia="sk-SK"/>
              </w:rPr>
            </w:pPr>
            <w:r w:rsidRPr="0071136C">
              <w:rPr>
                <w:rFonts w:eastAsia="Times New Roman" w:cs="Times New Roman"/>
                <w:b/>
                <w:bCs/>
                <w:color w:val="000000"/>
                <w:sz w:val="20"/>
                <w:szCs w:val="20"/>
                <w:lang w:eastAsia="sk-SK"/>
              </w:rPr>
              <w:t>Rozdiel</w:t>
            </w:r>
          </w:p>
        </w:tc>
        <w:tc>
          <w:tcPr>
            <w:tcW w:w="479" w:type="pct"/>
            <w:gridSpan w:val="2"/>
            <w:tcBorders>
              <w:top w:val="nil"/>
              <w:left w:val="nil"/>
              <w:bottom w:val="nil"/>
              <w:right w:val="nil"/>
            </w:tcBorders>
            <w:shd w:val="clear" w:color="auto" w:fill="auto"/>
            <w:vAlign w:val="center"/>
          </w:tcPr>
          <w:p w14:paraId="53673CF2" w14:textId="2D7700F6" w:rsidR="002633C2" w:rsidRPr="0071136C" w:rsidRDefault="002633C2" w:rsidP="00A2483A">
            <w:pPr>
              <w:spacing w:after="0" w:line="240" w:lineRule="auto"/>
              <w:jc w:val="center"/>
              <w:rPr>
                <w:rFonts w:eastAsia="Times New Roman" w:cs="Times New Roman"/>
                <w:b/>
                <w:bCs/>
                <w:color w:val="000000"/>
                <w:sz w:val="20"/>
                <w:szCs w:val="20"/>
                <w:lang w:eastAsia="sk-SK"/>
              </w:rPr>
            </w:pPr>
            <w:r w:rsidRPr="0071136C">
              <w:rPr>
                <w:rFonts w:eastAsia="Times New Roman" w:cs="Times New Roman"/>
                <w:b/>
                <w:bCs/>
                <w:color w:val="000000"/>
                <w:sz w:val="20"/>
                <w:szCs w:val="20"/>
                <w:lang w:eastAsia="sk-SK"/>
              </w:rPr>
              <w:t>v %</w:t>
            </w:r>
          </w:p>
        </w:tc>
      </w:tr>
      <w:tr w:rsidR="002633C2" w:rsidRPr="00A13B27" w14:paraId="4CB2163F" w14:textId="77777777" w:rsidTr="0071136C">
        <w:trPr>
          <w:trHeight w:val="275"/>
        </w:trPr>
        <w:tc>
          <w:tcPr>
            <w:tcW w:w="2006" w:type="pct"/>
            <w:vMerge/>
            <w:tcBorders>
              <w:left w:val="nil"/>
              <w:bottom w:val="single" w:sz="8" w:space="0" w:color="auto"/>
              <w:right w:val="nil"/>
            </w:tcBorders>
            <w:shd w:val="clear" w:color="auto" w:fill="auto"/>
            <w:vAlign w:val="center"/>
            <w:hideMark/>
          </w:tcPr>
          <w:p w14:paraId="3F41906C" w14:textId="7C3EF118" w:rsidR="002633C2" w:rsidRPr="0071136C" w:rsidRDefault="002633C2" w:rsidP="00A13B27">
            <w:pPr>
              <w:spacing w:after="0" w:line="240" w:lineRule="auto"/>
              <w:jc w:val="left"/>
              <w:rPr>
                <w:rFonts w:eastAsia="Times New Roman" w:cs="Times New Roman"/>
                <w:b/>
                <w:bCs/>
                <w:color w:val="FFFFFF"/>
                <w:sz w:val="20"/>
                <w:szCs w:val="20"/>
                <w:lang w:eastAsia="sk-SK"/>
              </w:rPr>
            </w:pPr>
          </w:p>
        </w:tc>
        <w:tc>
          <w:tcPr>
            <w:tcW w:w="540" w:type="pct"/>
            <w:tcBorders>
              <w:top w:val="nil"/>
              <w:left w:val="nil"/>
              <w:bottom w:val="single" w:sz="8" w:space="0" w:color="auto"/>
              <w:right w:val="nil"/>
            </w:tcBorders>
            <w:shd w:val="clear" w:color="auto" w:fill="auto"/>
            <w:vAlign w:val="center"/>
            <w:hideMark/>
          </w:tcPr>
          <w:p w14:paraId="514E4EE2" w14:textId="77777777" w:rsidR="002633C2" w:rsidRPr="0071136C" w:rsidRDefault="002633C2" w:rsidP="00A13B27">
            <w:pPr>
              <w:spacing w:after="0" w:line="240" w:lineRule="auto"/>
              <w:jc w:val="center"/>
              <w:rPr>
                <w:rFonts w:eastAsia="Times New Roman" w:cs="Times New Roman"/>
                <w:b/>
                <w:bCs/>
                <w:sz w:val="20"/>
                <w:szCs w:val="20"/>
                <w:lang w:eastAsia="sk-SK"/>
              </w:rPr>
            </w:pPr>
            <w:r w:rsidRPr="0071136C">
              <w:rPr>
                <w:rFonts w:eastAsia="Times New Roman" w:cs="Times New Roman"/>
                <w:b/>
                <w:bCs/>
                <w:sz w:val="20"/>
                <w:szCs w:val="20"/>
                <w:lang w:eastAsia="sk-SK"/>
              </w:rPr>
              <w:t>1</w:t>
            </w:r>
          </w:p>
        </w:tc>
        <w:tc>
          <w:tcPr>
            <w:tcW w:w="540" w:type="pct"/>
            <w:tcBorders>
              <w:top w:val="nil"/>
              <w:left w:val="nil"/>
              <w:bottom w:val="single" w:sz="8" w:space="0" w:color="auto"/>
              <w:right w:val="nil"/>
            </w:tcBorders>
            <w:shd w:val="clear" w:color="auto" w:fill="auto"/>
            <w:vAlign w:val="center"/>
            <w:hideMark/>
          </w:tcPr>
          <w:p w14:paraId="4435112A" w14:textId="77777777" w:rsidR="002633C2" w:rsidRPr="0071136C" w:rsidRDefault="002633C2" w:rsidP="00A13B27">
            <w:pPr>
              <w:spacing w:after="0" w:line="240" w:lineRule="auto"/>
              <w:jc w:val="center"/>
              <w:rPr>
                <w:rFonts w:eastAsia="Times New Roman" w:cs="Times New Roman"/>
                <w:b/>
                <w:bCs/>
                <w:sz w:val="20"/>
                <w:szCs w:val="20"/>
                <w:lang w:eastAsia="sk-SK"/>
              </w:rPr>
            </w:pPr>
            <w:r w:rsidRPr="0071136C">
              <w:rPr>
                <w:rFonts w:eastAsia="Times New Roman" w:cs="Times New Roman"/>
                <w:b/>
                <w:bCs/>
                <w:sz w:val="20"/>
                <w:szCs w:val="20"/>
                <w:lang w:eastAsia="sk-SK"/>
              </w:rPr>
              <w:t>2</w:t>
            </w:r>
          </w:p>
        </w:tc>
        <w:tc>
          <w:tcPr>
            <w:tcW w:w="464" w:type="pct"/>
            <w:tcBorders>
              <w:top w:val="nil"/>
              <w:left w:val="nil"/>
              <w:bottom w:val="single" w:sz="8" w:space="0" w:color="auto"/>
              <w:right w:val="nil"/>
            </w:tcBorders>
            <w:shd w:val="clear" w:color="auto" w:fill="auto"/>
            <w:vAlign w:val="center"/>
            <w:hideMark/>
          </w:tcPr>
          <w:p w14:paraId="42E042A9" w14:textId="77777777" w:rsidR="002633C2" w:rsidRPr="0071136C" w:rsidRDefault="002633C2" w:rsidP="00A13B27">
            <w:pPr>
              <w:spacing w:after="0" w:line="240" w:lineRule="auto"/>
              <w:jc w:val="center"/>
              <w:rPr>
                <w:rFonts w:eastAsia="Times New Roman" w:cs="Times New Roman"/>
                <w:b/>
                <w:bCs/>
                <w:sz w:val="20"/>
                <w:szCs w:val="20"/>
                <w:lang w:eastAsia="sk-SK"/>
              </w:rPr>
            </w:pPr>
            <w:r w:rsidRPr="0071136C">
              <w:rPr>
                <w:rFonts w:eastAsia="Times New Roman" w:cs="Times New Roman"/>
                <w:b/>
                <w:bCs/>
                <w:sz w:val="20"/>
                <w:szCs w:val="20"/>
                <w:lang w:eastAsia="sk-SK"/>
              </w:rPr>
              <w:t>3</w:t>
            </w:r>
          </w:p>
        </w:tc>
        <w:tc>
          <w:tcPr>
            <w:tcW w:w="540" w:type="pct"/>
            <w:tcBorders>
              <w:top w:val="nil"/>
              <w:left w:val="nil"/>
              <w:bottom w:val="single" w:sz="8" w:space="0" w:color="auto"/>
              <w:right w:val="nil"/>
            </w:tcBorders>
            <w:shd w:val="clear" w:color="auto" w:fill="auto"/>
            <w:vAlign w:val="center"/>
            <w:hideMark/>
          </w:tcPr>
          <w:p w14:paraId="306A3565" w14:textId="77777777" w:rsidR="002633C2" w:rsidRPr="0071136C" w:rsidRDefault="002633C2" w:rsidP="00A13B27">
            <w:pPr>
              <w:spacing w:after="0" w:line="240" w:lineRule="auto"/>
              <w:jc w:val="center"/>
              <w:rPr>
                <w:rFonts w:eastAsia="Times New Roman" w:cs="Times New Roman"/>
                <w:b/>
                <w:bCs/>
                <w:sz w:val="20"/>
                <w:szCs w:val="20"/>
                <w:lang w:eastAsia="sk-SK"/>
              </w:rPr>
            </w:pPr>
            <w:r w:rsidRPr="0071136C">
              <w:rPr>
                <w:rFonts w:eastAsia="Times New Roman" w:cs="Times New Roman"/>
                <w:b/>
                <w:bCs/>
                <w:sz w:val="20"/>
                <w:szCs w:val="20"/>
                <w:lang w:eastAsia="sk-SK"/>
              </w:rPr>
              <w:t>4</w:t>
            </w:r>
          </w:p>
        </w:tc>
        <w:tc>
          <w:tcPr>
            <w:tcW w:w="446" w:type="pct"/>
            <w:gridSpan w:val="2"/>
            <w:tcBorders>
              <w:top w:val="nil"/>
              <w:left w:val="nil"/>
              <w:bottom w:val="single" w:sz="8" w:space="0" w:color="auto"/>
              <w:right w:val="nil"/>
            </w:tcBorders>
            <w:shd w:val="clear" w:color="auto" w:fill="auto"/>
            <w:vAlign w:val="center"/>
            <w:hideMark/>
          </w:tcPr>
          <w:p w14:paraId="758F4206" w14:textId="77777777" w:rsidR="002633C2" w:rsidRPr="0071136C" w:rsidRDefault="002633C2" w:rsidP="00A13B27">
            <w:pPr>
              <w:spacing w:after="0" w:line="240" w:lineRule="auto"/>
              <w:jc w:val="center"/>
              <w:rPr>
                <w:rFonts w:eastAsia="Times New Roman" w:cs="Times New Roman"/>
                <w:b/>
                <w:bCs/>
                <w:sz w:val="20"/>
                <w:szCs w:val="20"/>
                <w:lang w:eastAsia="sk-SK"/>
              </w:rPr>
            </w:pPr>
            <w:r w:rsidRPr="0071136C">
              <w:rPr>
                <w:rFonts w:eastAsia="Times New Roman" w:cs="Times New Roman"/>
                <w:b/>
                <w:bCs/>
                <w:sz w:val="20"/>
                <w:szCs w:val="20"/>
                <w:lang w:eastAsia="sk-SK"/>
              </w:rPr>
              <w:t>5=4-3</w:t>
            </w:r>
          </w:p>
        </w:tc>
        <w:tc>
          <w:tcPr>
            <w:tcW w:w="464" w:type="pct"/>
            <w:tcBorders>
              <w:top w:val="nil"/>
              <w:left w:val="nil"/>
              <w:bottom w:val="single" w:sz="8" w:space="0" w:color="auto"/>
              <w:right w:val="nil"/>
            </w:tcBorders>
            <w:shd w:val="clear" w:color="auto" w:fill="auto"/>
            <w:vAlign w:val="center"/>
            <w:hideMark/>
          </w:tcPr>
          <w:p w14:paraId="13E4D452" w14:textId="77777777" w:rsidR="002633C2" w:rsidRPr="0071136C" w:rsidRDefault="002633C2" w:rsidP="00A13B27">
            <w:pPr>
              <w:spacing w:after="0" w:line="240" w:lineRule="auto"/>
              <w:jc w:val="center"/>
              <w:rPr>
                <w:rFonts w:eastAsia="Times New Roman" w:cs="Times New Roman"/>
                <w:b/>
                <w:bCs/>
                <w:sz w:val="20"/>
                <w:szCs w:val="20"/>
                <w:lang w:eastAsia="sk-SK"/>
              </w:rPr>
            </w:pPr>
            <w:r w:rsidRPr="0071136C">
              <w:rPr>
                <w:rFonts w:eastAsia="Times New Roman" w:cs="Times New Roman"/>
                <w:b/>
                <w:bCs/>
                <w:sz w:val="20"/>
                <w:szCs w:val="20"/>
                <w:lang w:eastAsia="sk-SK"/>
              </w:rPr>
              <w:t>6=4-3</w:t>
            </w:r>
          </w:p>
        </w:tc>
      </w:tr>
      <w:tr w:rsidR="0071136C" w:rsidRPr="00A13B27" w14:paraId="2D4E4795" w14:textId="77777777" w:rsidTr="0071136C">
        <w:trPr>
          <w:trHeight w:val="406"/>
        </w:trPr>
        <w:tc>
          <w:tcPr>
            <w:tcW w:w="2006" w:type="pct"/>
            <w:tcBorders>
              <w:top w:val="nil"/>
              <w:left w:val="nil"/>
              <w:bottom w:val="nil"/>
              <w:right w:val="nil"/>
            </w:tcBorders>
            <w:shd w:val="clear" w:color="000000" w:fill="FFFFFF"/>
            <w:vAlign w:val="center"/>
            <w:hideMark/>
          </w:tcPr>
          <w:p w14:paraId="670C3B29" w14:textId="77777777" w:rsidR="0071136C" w:rsidRPr="0071136C" w:rsidRDefault="0071136C" w:rsidP="0071136C">
            <w:pPr>
              <w:spacing w:after="0" w:line="240" w:lineRule="auto"/>
              <w:jc w:val="left"/>
              <w:rPr>
                <w:rFonts w:eastAsia="Times New Roman" w:cs="Times New Roman"/>
                <w:color w:val="000000"/>
                <w:sz w:val="20"/>
                <w:szCs w:val="20"/>
                <w:lang w:eastAsia="sk-SK"/>
              </w:rPr>
            </w:pPr>
            <w:r w:rsidRPr="0071136C">
              <w:rPr>
                <w:rFonts w:eastAsia="Times New Roman" w:cs="Times New Roman"/>
                <w:color w:val="000000"/>
                <w:sz w:val="20"/>
                <w:szCs w:val="20"/>
                <w:lang w:eastAsia="sk-SK"/>
              </w:rPr>
              <w:t xml:space="preserve">Finančný nástroj pre životné prostredie </w:t>
            </w:r>
            <w:r w:rsidRPr="0071136C">
              <w:rPr>
                <w:rFonts w:eastAsia="Times New Roman" w:cs="Times New Roman"/>
                <w:color w:val="000000"/>
                <w:sz w:val="20"/>
                <w:szCs w:val="20"/>
                <w:lang w:eastAsia="sk-SK"/>
              </w:rPr>
              <w:br/>
              <w:t>LIFE + (2. a 3. programové obdobie)</w:t>
            </w:r>
          </w:p>
        </w:tc>
        <w:tc>
          <w:tcPr>
            <w:tcW w:w="540" w:type="pct"/>
            <w:tcBorders>
              <w:top w:val="nil"/>
              <w:left w:val="nil"/>
              <w:bottom w:val="nil"/>
              <w:right w:val="nil"/>
            </w:tcBorders>
            <w:shd w:val="clear" w:color="000000" w:fill="FFFFFF"/>
            <w:noWrap/>
            <w:vAlign w:val="center"/>
            <w:hideMark/>
          </w:tcPr>
          <w:p w14:paraId="5B4690A6" w14:textId="7161EDB0"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1 571</w:t>
            </w:r>
          </w:p>
        </w:tc>
        <w:tc>
          <w:tcPr>
            <w:tcW w:w="540" w:type="pct"/>
            <w:tcBorders>
              <w:top w:val="nil"/>
              <w:left w:val="nil"/>
              <w:bottom w:val="nil"/>
              <w:right w:val="nil"/>
            </w:tcBorders>
            <w:shd w:val="clear" w:color="000000" w:fill="FFFFFF"/>
            <w:noWrap/>
            <w:vAlign w:val="center"/>
            <w:hideMark/>
          </w:tcPr>
          <w:p w14:paraId="3D281AB4" w14:textId="74AD3522"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2 400</w:t>
            </w:r>
          </w:p>
        </w:tc>
        <w:tc>
          <w:tcPr>
            <w:tcW w:w="464" w:type="pct"/>
            <w:tcBorders>
              <w:top w:val="nil"/>
              <w:left w:val="nil"/>
              <w:bottom w:val="nil"/>
              <w:right w:val="nil"/>
            </w:tcBorders>
            <w:shd w:val="clear" w:color="000000" w:fill="FFFFFF"/>
            <w:noWrap/>
            <w:vAlign w:val="center"/>
            <w:hideMark/>
          </w:tcPr>
          <w:p w14:paraId="46954288" w14:textId="26D794BF"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6 800</w:t>
            </w:r>
          </w:p>
        </w:tc>
        <w:tc>
          <w:tcPr>
            <w:tcW w:w="540" w:type="pct"/>
            <w:tcBorders>
              <w:top w:val="nil"/>
              <w:left w:val="nil"/>
              <w:bottom w:val="nil"/>
              <w:right w:val="nil"/>
            </w:tcBorders>
            <w:shd w:val="clear" w:color="000000" w:fill="FFFFFF"/>
            <w:noWrap/>
            <w:vAlign w:val="center"/>
            <w:hideMark/>
          </w:tcPr>
          <w:p w14:paraId="67263EC2" w14:textId="326D6538"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3 118</w:t>
            </w:r>
          </w:p>
        </w:tc>
        <w:tc>
          <w:tcPr>
            <w:tcW w:w="446" w:type="pct"/>
            <w:gridSpan w:val="2"/>
            <w:tcBorders>
              <w:top w:val="nil"/>
              <w:left w:val="nil"/>
              <w:bottom w:val="nil"/>
              <w:right w:val="nil"/>
            </w:tcBorders>
            <w:shd w:val="clear" w:color="000000" w:fill="FFFFFF"/>
            <w:noWrap/>
            <w:vAlign w:val="center"/>
            <w:hideMark/>
          </w:tcPr>
          <w:p w14:paraId="41429322" w14:textId="505205CA"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-3 682</w:t>
            </w:r>
          </w:p>
        </w:tc>
        <w:tc>
          <w:tcPr>
            <w:tcW w:w="464" w:type="pct"/>
            <w:tcBorders>
              <w:top w:val="nil"/>
              <w:left w:val="nil"/>
              <w:bottom w:val="nil"/>
              <w:right w:val="nil"/>
            </w:tcBorders>
            <w:shd w:val="clear" w:color="000000" w:fill="FFFFFF"/>
            <w:noWrap/>
            <w:vAlign w:val="center"/>
            <w:hideMark/>
          </w:tcPr>
          <w:p w14:paraId="32136674" w14:textId="37CFBF22"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-54,1</w:t>
            </w:r>
          </w:p>
        </w:tc>
      </w:tr>
      <w:tr w:rsidR="0071136C" w:rsidRPr="00A13B27" w14:paraId="0C5959C1" w14:textId="77777777" w:rsidTr="0071136C">
        <w:trPr>
          <w:trHeight w:val="263"/>
        </w:trPr>
        <w:tc>
          <w:tcPr>
            <w:tcW w:w="2006" w:type="pct"/>
            <w:tcBorders>
              <w:top w:val="nil"/>
              <w:left w:val="nil"/>
              <w:bottom w:val="nil"/>
              <w:right w:val="nil"/>
            </w:tcBorders>
            <w:shd w:val="clear" w:color="000000" w:fill="FFFFFF"/>
            <w:vAlign w:val="center"/>
            <w:hideMark/>
          </w:tcPr>
          <w:p w14:paraId="2F1CF7FF" w14:textId="4590242C" w:rsidR="0071136C" w:rsidRPr="0071136C" w:rsidRDefault="0071136C" w:rsidP="0071136C">
            <w:pPr>
              <w:spacing w:after="0" w:line="240" w:lineRule="auto"/>
              <w:jc w:val="left"/>
              <w:rPr>
                <w:rFonts w:eastAsia="Times New Roman" w:cs="Times New Roman"/>
                <w:color w:val="000000"/>
                <w:sz w:val="20"/>
                <w:szCs w:val="20"/>
                <w:lang w:eastAsia="sk-SK"/>
              </w:rPr>
            </w:pPr>
            <w:r w:rsidRPr="0071136C">
              <w:rPr>
                <w:sz w:val="20"/>
                <w:szCs w:val="20"/>
              </w:rPr>
              <w:t>Programy EÚS (3. a 4. programové obdobie)</w:t>
            </w:r>
          </w:p>
        </w:tc>
        <w:tc>
          <w:tcPr>
            <w:tcW w:w="540" w:type="pct"/>
            <w:tcBorders>
              <w:top w:val="nil"/>
              <w:left w:val="nil"/>
              <w:bottom w:val="nil"/>
              <w:right w:val="nil"/>
            </w:tcBorders>
            <w:shd w:val="clear" w:color="000000" w:fill="FFFFFF"/>
            <w:noWrap/>
            <w:vAlign w:val="center"/>
            <w:hideMark/>
          </w:tcPr>
          <w:p w14:paraId="0562B573" w14:textId="411FD175"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2 005</w:t>
            </w:r>
          </w:p>
        </w:tc>
        <w:tc>
          <w:tcPr>
            <w:tcW w:w="540" w:type="pct"/>
            <w:tcBorders>
              <w:top w:val="nil"/>
              <w:left w:val="nil"/>
              <w:bottom w:val="nil"/>
              <w:right w:val="nil"/>
            </w:tcBorders>
            <w:shd w:val="clear" w:color="000000" w:fill="FFFFFF"/>
            <w:noWrap/>
            <w:vAlign w:val="center"/>
            <w:hideMark/>
          </w:tcPr>
          <w:p w14:paraId="36D7BF04" w14:textId="068D2DEB"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2 322</w:t>
            </w:r>
          </w:p>
        </w:tc>
        <w:tc>
          <w:tcPr>
            <w:tcW w:w="464" w:type="pct"/>
            <w:tcBorders>
              <w:top w:val="nil"/>
              <w:left w:val="nil"/>
              <w:bottom w:val="nil"/>
              <w:right w:val="nil"/>
            </w:tcBorders>
            <w:shd w:val="clear" w:color="000000" w:fill="FFFFFF"/>
            <w:noWrap/>
            <w:vAlign w:val="center"/>
            <w:hideMark/>
          </w:tcPr>
          <w:p w14:paraId="0DC7C5D0" w14:textId="0CB8929C"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4 983</w:t>
            </w:r>
          </w:p>
        </w:tc>
        <w:tc>
          <w:tcPr>
            <w:tcW w:w="540" w:type="pct"/>
            <w:tcBorders>
              <w:top w:val="nil"/>
              <w:left w:val="nil"/>
              <w:bottom w:val="nil"/>
              <w:right w:val="nil"/>
            </w:tcBorders>
            <w:shd w:val="clear" w:color="000000" w:fill="FFFFFF"/>
            <w:noWrap/>
            <w:vAlign w:val="center"/>
            <w:hideMark/>
          </w:tcPr>
          <w:p w14:paraId="43FC695F" w14:textId="7ED500C0"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2 901</w:t>
            </w:r>
          </w:p>
        </w:tc>
        <w:tc>
          <w:tcPr>
            <w:tcW w:w="446" w:type="pct"/>
            <w:gridSpan w:val="2"/>
            <w:tcBorders>
              <w:top w:val="nil"/>
              <w:left w:val="nil"/>
              <w:bottom w:val="nil"/>
              <w:right w:val="nil"/>
            </w:tcBorders>
            <w:shd w:val="clear" w:color="000000" w:fill="FFFFFF"/>
            <w:noWrap/>
            <w:vAlign w:val="center"/>
            <w:hideMark/>
          </w:tcPr>
          <w:p w14:paraId="45632CD1" w14:textId="04B61DEC"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-2 083</w:t>
            </w:r>
          </w:p>
        </w:tc>
        <w:tc>
          <w:tcPr>
            <w:tcW w:w="464" w:type="pct"/>
            <w:tcBorders>
              <w:top w:val="nil"/>
              <w:left w:val="nil"/>
              <w:bottom w:val="nil"/>
              <w:right w:val="nil"/>
            </w:tcBorders>
            <w:shd w:val="clear" w:color="000000" w:fill="FFFFFF"/>
            <w:noWrap/>
            <w:vAlign w:val="center"/>
            <w:hideMark/>
          </w:tcPr>
          <w:p w14:paraId="08BB1676" w14:textId="696824EA"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-41,8</w:t>
            </w:r>
          </w:p>
        </w:tc>
      </w:tr>
      <w:tr w:rsidR="0071136C" w:rsidRPr="00A13B27" w14:paraId="62339D8F" w14:textId="77777777" w:rsidTr="0071136C">
        <w:trPr>
          <w:trHeight w:val="406"/>
        </w:trPr>
        <w:tc>
          <w:tcPr>
            <w:tcW w:w="2006" w:type="pct"/>
            <w:tcBorders>
              <w:top w:val="nil"/>
              <w:left w:val="nil"/>
              <w:bottom w:val="nil"/>
              <w:right w:val="nil"/>
            </w:tcBorders>
            <w:shd w:val="clear" w:color="000000" w:fill="FFFFFF"/>
            <w:vAlign w:val="center"/>
            <w:hideMark/>
          </w:tcPr>
          <w:p w14:paraId="5AD4ED05" w14:textId="77777777" w:rsidR="0071136C" w:rsidRPr="0071136C" w:rsidRDefault="0071136C" w:rsidP="0071136C">
            <w:pPr>
              <w:spacing w:after="0" w:line="240" w:lineRule="auto"/>
              <w:jc w:val="left"/>
              <w:rPr>
                <w:rFonts w:eastAsia="Times New Roman" w:cs="Times New Roman"/>
                <w:b/>
                <w:bCs/>
                <w:color w:val="000000"/>
                <w:sz w:val="20"/>
                <w:szCs w:val="20"/>
                <w:lang w:eastAsia="sk-SK"/>
              </w:rPr>
            </w:pPr>
            <w:r w:rsidRPr="0071136C">
              <w:rPr>
                <w:rFonts w:eastAsia="Times New Roman" w:cs="Times New Roman"/>
                <w:b/>
                <w:bCs/>
                <w:color w:val="000000"/>
                <w:sz w:val="20"/>
                <w:szCs w:val="20"/>
                <w:lang w:eastAsia="sk-SK"/>
              </w:rPr>
              <w:t>Spolu spolufinancovanie k zahraničným grantom z prostriedkov EÚ</w:t>
            </w:r>
          </w:p>
        </w:tc>
        <w:tc>
          <w:tcPr>
            <w:tcW w:w="540" w:type="pct"/>
            <w:tcBorders>
              <w:top w:val="nil"/>
              <w:left w:val="nil"/>
              <w:bottom w:val="nil"/>
              <w:right w:val="nil"/>
            </w:tcBorders>
            <w:shd w:val="clear" w:color="000000" w:fill="FFFFFF"/>
            <w:noWrap/>
            <w:vAlign w:val="center"/>
            <w:hideMark/>
          </w:tcPr>
          <w:p w14:paraId="3595C397" w14:textId="6C6B70BA"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3 576</w:t>
            </w:r>
          </w:p>
        </w:tc>
        <w:tc>
          <w:tcPr>
            <w:tcW w:w="540" w:type="pct"/>
            <w:tcBorders>
              <w:top w:val="nil"/>
              <w:left w:val="nil"/>
              <w:bottom w:val="nil"/>
              <w:right w:val="nil"/>
            </w:tcBorders>
            <w:shd w:val="clear" w:color="000000" w:fill="FFFFFF"/>
            <w:noWrap/>
            <w:vAlign w:val="center"/>
            <w:hideMark/>
          </w:tcPr>
          <w:p w14:paraId="4D7D4B7A" w14:textId="08E6D62F"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4 722</w:t>
            </w:r>
          </w:p>
        </w:tc>
        <w:tc>
          <w:tcPr>
            <w:tcW w:w="464" w:type="pct"/>
            <w:tcBorders>
              <w:top w:val="nil"/>
              <w:left w:val="nil"/>
              <w:bottom w:val="nil"/>
              <w:right w:val="nil"/>
            </w:tcBorders>
            <w:shd w:val="clear" w:color="000000" w:fill="FFFFFF"/>
            <w:noWrap/>
            <w:vAlign w:val="center"/>
            <w:hideMark/>
          </w:tcPr>
          <w:p w14:paraId="5AC55612" w14:textId="749B296C"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11 783</w:t>
            </w:r>
          </w:p>
        </w:tc>
        <w:tc>
          <w:tcPr>
            <w:tcW w:w="540" w:type="pct"/>
            <w:tcBorders>
              <w:top w:val="nil"/>
              <w:left w:val="nil"/>
              <w:bottom w:val="nil"/>
              <w:right w:val="nil"/>
            </w:tcBorders>
            <w:shd w:val="clear" w:color="auto" w:fill="auto"/>
            <w:noWrap/>
            <w:vAlign w:val="center"/>
            <w:hideMark/>
          </w:tcPr>
          <w:p w14:paraId="5F83C6B4" w14:textId="7CAFD416"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6 019</w:t>
            </w:r>
          </w:p>
        </w:tc>
        <w:tc>
          <w:tcPr>
            <w:tcW w:w="446" w:type="pct"/>
            <w:gridSpan w:val="2"/>
            <w:tcBorders>
              <w:top w:val="nil"/>
              <w:left w:val="nil"/>
              <w:bottom w:val="nil"/>
              <w:right w:val="nil"/>
            </w:tcBorders>
            <w:shd w:val="clear" w:color="000000" w:fill="FFFFFF"/>
            <w:noWrap/>
            <w:vAlign w:val="center"/>
            <w:hideMark/>
          </w:tcPr>
          <w:p w14:paraId="5D6AE33F" w14:textId="3A6C7BD9"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-5 765</w:t>
            </w:r>
          </w:p>
        </w:tc>
        <w:tc>
          <w:tcPr>
            <w:tcW w:w="464" w:type="pct"/>
            <w:tcBorders>
              <w:top w:val="nil"/>
              <w:left w:val="nil"/>
              <w:bottom w:val="nil"/>
              <w:right w:val="nil"/>
            </w:tcBorders>
            <w:shd w:val="clear" w:color="000000" w:fill="FFFFFF"/>
            <w:noWrap/>
            <w:vAlign w:val="center"/>
            <w:hideMark/>
          </w:tcPr>
          <w:p w14:paraId="689CCB64" w14:textId="6DF6A90E"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-48,9</w:t>
            </w:r>
          </w:p>
        </w:tc>
      </w:tr>
      <w:tr w:rsidR="0071136C" w:rsidRPr="00A13B27" w14:paraId="3855A8BB" w14:textId="77777777" w:rsidTr="0071136C">
        <w:trPr>
          <w:trHeight w:val="263"/>
        </w:trPr>
        <w:tc>
          <w:tcPr>
            <w:tcW w:w="2006" w:type="pct"/>
            <w:tcBorders>
              <w:top w:val="nil"/>
              <w:left w:val="nil"/>
              <w:bottom w:val="nil"/>
              <w:right w:val="nil"/>
            </w:tcBorders>
            <w:shd w:val="clear" w:color="000000" w:fill="FFFFFF"/>
            <w:vAlign w:val="center"/>
            <w:hideMark/>
          </w:tcPr>
          <w:p w14:paraId="713055CE" w14:textId="77777777" w:rsidR="0071136C" w:rsidRPr="0071136C" w:rsidRDefault="0071136C" w:rsidP="0071136C">
            <w:pPr>
              <w:spacing w:after="0" w:line="240" w:lineRule="auto"/>
              <w:jc w:val="left"/>
              <w:rPr>
                <w:rFonts w:eastAsia="Times New Roman" w:cs="Times New Roman"/>
                <w:color w:val="000000"/>
                <w:sz w:val="20"/>
                <w:szCs w:val="20"/>
                <w:lang w:eastAsia="sk-SK"/>
              </w:rPr>
            </w:pPr>
            <w:r w:rsidRPr="0071136C">
              <w:rPr>
                <w:rFonts w:eastAsia="Times New Roman" w:cs="Times New Roman"/>
                <w:color w:val="000000"/>
                <w:sz w:val="20"/>
                <w:szCs w:val="20"/>
                <w:lang w:eastAsia="sk-SK"/>
              </w:rPr>
              <w:t>Finančný mechanizmus EHP</w:t>
            </w:r>
          </w:p>
        </w:tc>
        <w:tc>
          <w:tcPr>
            <w:tcW w:w="540" w:type="pct"/>
            <w:tcBorders>
              <w:top w:val="nil"/>
              <w:left w:val="nil"/>
              <w:bottom w:val="nil"/>
              <w:right w:val="nil"/>
            </w:tcBorders>
            <w:shd w:val="clear" w:color="000000" w:fill="FFFFFF"/>
            <w:noWrap/>
            <w:vAlign w:val="center"/>
            <w:hideMark/>
          </w:tcPr>
          <w:p w14:paraId="6658BE63" w14:textId="3626928B"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1 564</w:t>
            </w:r>
          </w:p>
        </w:tc>
        <w:tc>
          <w:tcPr>
            <w:tcW w:w="540" w:type="pct"/>
            <w:tcBorders>
              <w:top w:val="nil"/>
              <w:left w:val="nil"/>
              <w:bottom w:val="nil"/>
              <w:right w:val="nil"/>
            </w:tcBorders>
            <w:shd w:val="clear" w:color="000000" w:fill="FFFFFF"/>
            <w:noWrap/>
            <w:vAlign w:val="center"/>
            <w:hideMark/>
          </w:tcPr>
          <w:p w14:paraId="758CD439" w14:textId="60A45F47"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995</w:t>
            </w:r>
          </w:p>
        </w:tc>
        <w:tc>
          <w:tcPr>
            <w:tcW w:w="464" w:type="pct"/>
            <w:tcBorders>
              <w:top w:val="nil"/>
              <w:left w:val="nil"/>
              <w:bottom w:val="nil"/>
              <w:right w:val="nil"/>
            </w:tcBorders>
            <w:shd w:val="clear" w:color="000000" w:fill="FFFFFF"/>
            <w:noWrap/>
            <w:vAlign w:val="center"/>
            <w:hideMark/>
          </w:tcPr>
          <w:p w14:paraId="36B67D01" w14:textId="0CD193F4"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761</w:t>
            </w:r>
          </w:p>
        </w:tc>
        <w:tc>
          <w:tcPr>
            <w:tcW w:w="540" w:type="pct"/>
            <w:tcBorders>
              <w:top w:val="nil"/>
              <w:left w:val="nil"/>
              <w:bottom w:val="nil"/>
              <w:right w:val="nil"/>
            </w:tcBorders>
            <w:shd w:val="clear" w:color="000000" w:fill="FFFFFF"/>
            <w:noWrap/>
            <w:vAlign w:val="center"/>
            <w:hideMark/>
          </w:tcPr>
          <w:p w14:paraId="11E6513A" w14:textId="45C5F12E"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761</w:t>
            </w:r>
          </w:p>
        </w:tc>
        <w:tc>
          <w:tcPr>
            <w:tcW w:w="446" w:type="pct"/>
            <w:gridSpan w:val="2"/>
            <w:tcBorders>
              <w:top w:val="nil"/>
              <w:left w:val="nil"/>
              <w:bottom w:val="nil"/>
              <w:right w:val="nil"/>
            </w:tcBorders>
            <w:shd w:val="clear" w:color="000000" w:fill="FFFFFF"/>
            <w:noWrap/>
            <w:vAlign w:val="center"/>
            <w:hideMark/>
          </w:tcPr>
          <w:p w14:paraId="4BC6EAF2" w14:textId="1860A2D7"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0</w:t>
            </w:r>
          </w:p>
        </w:tc>
        <w:tc>
          <w:tcPr>
            <w:tcW w:w="464" w:type="pct"/>
            <w:tcBorders>
              <w:top w:val="nil"/>
              <w:left w:val="nil"/>
              <w:bottom w:val="nil"/>
              <w:right w:val="nil"/>
            </w:tcBorders>
            <w:shd w:val="clear" w:color="000000" w:fill="FFFFFF"/>
            <w:noWrap/>
            <w:vAlign w:val="center"/>
            <w:hideMark/>
          </w:tcPr>
          <w:p w14:paraId="29302DB1" w14:textId="7F28D2CA"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0,0</w:t>
            </w:r>
          </w:p>
        </w:tc>
      </w:tr>
      <w:tr w:rsidR="0071136C" w:rsidRPr="00A13B27" w14:paraId="1235FE58" w14:textId="77777777" w:rsidTr="0071136C">
        <w:trPr>
          <w:trHeight w:val="263"/>
        </w:trPr>
        <w:tc>
          <w:tcPr>
            <w:tcW w:w="2006" w:type="pct"/>
            <w:tcBorders>
              <w:top w:val="nil"/>
              <w:left w:val="nil"/>
              <w:bottom w:val="nil"/>
              <w:right w:val="nil"/>
            </w:tcBorders>
            <w:shd w:val="clear" w:color="000000" w:fill="FFFFFF"/>
            <w:vAlign w:val="center"/>
            <w:hideMark/>
          </w:tcPr>
          <w:p w14:paraId="4936E812" w14:textId="77777777" w:rsidR="0071136C" w:rsidRPr="0071136C" w:rsidRDefault="0071136C" w:rsidP="0071136C">
            <w:pPr>
              <w:spacing w:after="0" w:line="240" w:lineRule="auto"/>
              <w:jc w:val="left"/>
              <w:rPr>
                <w:rFonts w:eastAsia="Times New Roman" w:cs="Times New Roman"/>
                <w:color w:val="000000"/>
                <w:sz w:val="20"/>
                <w:szCs w:val="20"/>
                <w:lang w:eastAsia="sk-SK"/>
              </w:rPr>
            </w:pPr>
            <w:r w:rsidRPr="0071136C">
              <w:rPr>
                <w:rFonts w:eastAsia="Times New Roman" w:cs="Times New Roman"/>
                <w:color w:val="000000"/>
                <w:sz w:val="20"/>
                <w:szCs w:val="20"/>
                <w:lang w:eastAsia="sk-SK"/>
              </w:rPr>
              <w:t>Nórsky finančný mechanizmus</w:t>
            </w:r>
          </w:p>
        </w:tc>
        <w:tc>
          <w:tcPr>
            <w:tcW w:w="540" w:type="pct"/>
            <w:tcBorders>
              <w:top w:val="nil"/>
              <w:left w:val="nil"/>
              <w:bottom w:val="nil"/>
              <w:right w:val="nil"/>
            </w:tcBorders>
            <w:shd w:val="clear" w:color="000000" w:fill="FFFFFF"/>
            <w:noWrap/>
            <w:vAlign w:val="center"/>
            <w:hideMark/>
          </w:tcPr>
          <w:p w14:paraId="5A71E815" w14:textId="13C16BD9"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2 454</w:t>
            </w:r>
          </w:p>
        </w:tc>
        <w:tc>
          <w:tcPr>
            <w:tcW w:w="540" w:type="pct"/>
            <w:tcBorders>
              <w:top w:val="nil"/>
              <w:left w:val="nil"/>
              <w:bottom w:val="nil"/>
              <w:right w:val="nil"/>
            </w:tcBorders>
            <w:shd w:val="clear" w:color="000000" w:fill="FFFFFF"/>
            <w:noWrap/>
            <w:vAlign w:val="center"/>
            <w:hideMark/>
          </w:tcPr>
          <w:p w14:paraId="5EE15CE5" w14:textId="55501C42"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1 218</w:t>
            </w:r>
          </w:p>
        </w:tc>
        <w:tc>
          <w:tcPr>
            <w:tcW w:w="464" w:type="pct"/>
            <w:tcBorders>
              <w:top w:val="nil"/>
              <w:left w:val="nil"/>
              <w:bottom w:val="nil"/>
              <w:right w:val="nil"/>
            </w:tcBorders>
            <w:shd w:val="clear" w:color="000000" w:fill="FFFFFF"/>
            <w:noWrap/>
            <w:vAlign w:val="center"/>
            <w:hideMark/>
          </w:tcPr>
          <w:p w14:paraId="06B5B348" w14:textId="5787832A"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1 612</w:t>
            </w:r>
          </w:p>
        </w:tc>
        <w:tc>
          <w:tcPr>
            <w:tcW w:w="540" w:type="pct"/>
            <w:tcBorders>
              <w:top w:val="nil"/>
              <w:left w:val="nil"/>
              <w:bottom w:val="nil"/>
              <w:right w:val="nil"/>
            </w:tcBorders>
            <w:shd w:val="clear" w:color="000000" w:fill="FFFFFF"/>
            <w:noWrap/>
            <w:vAlign w:val="center"/>
            <w:hideMark/>
          </w:tcPr>
          <w:p w14:paraId="03AB8ED4" w14:textId="4D5D3D33"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1 612</w:t>
            </w:r>
          </w:p>
        </w:tc>
        <w:tc>
          <w:tcPr>
            <w:tcW w:w="446" w:type="pct"/>
            <w:gridSpan w:val="2"/>
            <w:tcBorders>
              <w:top w:val="nil"/>
              <w:left w:val="nil"/>
              <w:bottom w:val="nil"/>
              <w:right w:val="nil"/>
            </w:tcBorders>
            <w:shd w:val="clear" w:color="000000" w:fill="FFFFFF"/>
            <w:noWrap/>
            <w:vAlign w:val="center"/>
            <w:hideMark/>
          </w:tcPr>
          <w:p w14:paraId="6792FAEF" w14:textId="1236E191"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0</w:t>
            </w:r>
          </w:p>
        </w:tc>
        <w:tc>
          <w:tcPr>
            <w:tcW w:w="464" w:type="pct"/>
            <w:tcBorders>
              <w:top w:val="nil"/>
              <w:left w:val="nil"/>
              <w:bottom w:val="nil"/>
              <w:right w:val="nil"/>
            </w:tcBorders>
            <w:shd w:val="clear" w:color="000000" w:fill="FFFFFF"/>
            <w:noWrap/>
            <w:vAlign w:val="center"/>
            <w:hideMark/>
          </w:tcPr>
          <w:p w14:paraId="0CB18B34" w14:textId="44753952" w:rsidR="0071136C" w:rsidRPr="0071136C" w:rsidRDefault="0071136C" w:rsidP="0071136C">
            <w:pPr>
              <w:spacing w:after="0" w:line="240" w:lineRule="auto"/>
              <w:jc w:val="right"/>
              <w:rPr>
                <w:rFonts w:eastAsia="Times New Roman" w:cs="Times New Roman"/>
                <w:color w:val="000000"/>
                <w:sz w:val="20"/>
                <w:szCs w:val="20"/>
                <w:highlight w:val="yellow"/>
                <w:lang w:eastAsia="sk-SK"/>
              </w:rPr>
            </w:pPr>
            <w:r w:rsidRPr="0071136C">
              <w:rPr>
                <w:sz w:val="20"/>
                <w:szCs w:val="20"/>
              </w:rPr>
              <w:t>0,0</w:t>
            </w:r>
          </w:p>
        </w:tc>
      </w:tr>
      <w:tr w:rsidR="0071136C" w:rsidRPr="00A13B27" w14:paraId="2ACCEF49" w14:textId="77777777" w:rsidTr="0071136C">
        <w:trPr>
          <w:trHeight w:val="609"/>
        </w:trPr>
        <w:tc>
          <w:tcPr>
            <w:tcW w:w="2006" w:type="pct"/>
            <w:tcBorders>
              <w:top w:val="nil"/>
              <w:left w:val="nil"/>
              <w:bottom w:val="nil"/>
              <w:right w:val="nil"/>
            </w:tcBorders>
            <w:shd w:val="clear" w:color="000000" w:fill="FFFFFF"/>
            <w:vAlign w:val="center"/>
            <w:hideMark/>
          </w:tcPr>
          <w:p w14:paraId="3C6B2F24" w14:textId="77777777" w:rsidR="0071136C" w:rsidRPr="0071136C" w:rsidRDefault="0071136C" w:rsidP="0071136C">
            <w:pPr>
              <w:spacing w:after="0" w:line="240" w:lineRule="auto"/>
              <w:jc w:val="left"/>
              <w:rPr>
                <w:rFonts w:eastAsia="Times New Roman" w:cs="Times New Roman"/>
                <w:b/>
                <w:bCs/>
                <w:color w:val="000000"/>
                <w:sz w:val="20"/>
                <w:szCs w:val="20"/>
                <w:lang w:eastAsia="sk-SK"/>
              </w:rPr>
            </w:pPr>
            <w:r w:rsidRPr="0071136C">
              <w:rPr>
                <w:rFonts w:eastAsia="Times New Roman" w:cs="Times New Roman"/>
                <w:b/>
                <w:bCs/>
                <w:color w:val="000000"/>
                <w:sz w:val="20"/>
                <w:szCs w:val="20"/>
                <w:lang w:eastAsia="sk-SK"/>
              </w:rPr>
              <w:lastRenderedPageBreak/>
              <w:t>Spolu spolufinancovanie k prostriedkom poskytnutým na základe medzinárodných zmlúv</w:t>
            </w:r>
          </w:p>
        </w:tc>
        <w:tc>
          <w:tcPr>
            <w:tcW w:w="540" w:type="pct"/>
            <w:tcBorders>
              <w:top w:val="nil"/>
              <w:left w:val="nil"/>
              <w:bottom w:val="nil"/>
              <w:right w:val="nil"/>
            </w:tcBorders>
            <w:shd w:val="clear" w:color="000000" w:fill="FFFFFF"/>
            <w:noWrap/>
            <w:vAlign w:val="center"/>
            <w:hideMark/>
          </w:tcPr>
          <w:p w14:paraId="76FC4241" w14:textId="67D39766"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4 018</w:t>
            </w:r>
          </w:p>
        </w:tc>
        <w:tc>
          <w:tcPr>
            <w:tcW w:w="540" w:type="pct"/>
            <w:tcBorders>
              <w:top w:val="nil"/>
              <w:left w:val="nil"/>
              <w:bottom w:val="nil"/>
              <w:right w:val="nil"/>
            </w:tcBorders>
            <w:shd w:val="clear" w:color="000000" w:fill="FFFFFF"/>
            <w:noWrap/>
            <w:vAlign w:val="center"/>
            <w:hideMark/>
          </w:tcPr>
          <w:p w14:paraId="4686B112" w14:textId="08185476"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2 213</w:t>
            </w:r>
          </w:p>
        </w:tc>
        <w:tc>
          <w:tcPr>
            <w:tcW w:w="464" w:type="pct"/>
            <w:tcBorders>
              <w:top w:val="nil"/>
              <w:left w:val="nil"/>
              <w:bottom w:val="nil"/>
              <w:right w:val="nil"/>
            </w:tcBorders>
            <w:shd w:val="clear" w:color="000000" w:fill="FFFFFF"/>
            <w:noWrap/>
            <w:vAlign w:val="center"/>
            <w:hideMark/>
          </w:tcPr>
          <w:p w14:paraId="3843EA50" w14:textId="722FCDC5"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2 373</w:t>
            </w:r>
          </w:p>
        </w:tc>
        <w:tc>
          <w:tcPr>
            <w:tcW w:w="540" w:type="pct"/>
            <w:tcBorders>
              <w:top w:val="nil"/>
              <w:left w:val="nil"/>
              <w:bottom w:val="nil"/>
              <w:right w:val="nil"/>
            </w:tcBorders>
            <w:shd w:val="clear" w:color="auto" w:fill="auto"/>
            <w:noWrap/>
            <w:vAlign w:val="center"/>
            <w:hideMark/>
          </w:tcPr>
          <w:p w14:paraId="2080D2AF" w14:textId="2E557C13"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2 373</w:t>
            </w:r>
          </w:p>
        </w:tc>
        <w:tc>
          <w:tcPr>
            <w:tcW w:w="446" w:type="pct"/>
            <w:gridSpan w:val="2"/>
            <w:tcBorders>
              <w:top w:val="nil"/>
              <w:left w:val="nil"/>
              <w:bottom w:val="nil"/>
              <w:right w:val="nil"/>
            </w:tcBorders>
            <w:shd w:val="clear" w:color="000000" w:fill="FFFFFF"/>
            <w:noWrap/>
            <w:vAlign w:val="center"/>
            <w:hideMark/>
          </w:tcPr>
          <w:p w14:paraId="091F5254" w14:textId="4612EF46"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0</w:t>
            </w:r>
          </w:p>
        </w:tc>
        <w:tc>
          <w:tcPr>
            <w:tcW w:w="464" w:type="pct"/>
            <w:tcBorders>
              <w:top w:val="nil"/>
              <w:left w:val="nil"/>
              <w:bottom w:val="nil"/>
              <w:right w:val="nil"/>
            </w:tcBorders>
            <w:shd w:val="clear" w:color="000000" w:fill="FFFFFF"/>
            <w:noWrap/>
            <w:vAlign w:val="center"/>
            <w:hideMark/>
          </w:tcPr>
          <w:p w14:paraId="11A61053" w14:textId="38AFD78B"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sz w:val="20"/>
                <w:szCs w:val="20"/>
              </w:rPr>
              <w:t>0,0</w:t>
            </w:r>
          </w:p>
        </w:tc>
      </w:tr>
      <w:tr w:rsidR="0071136C" w:rsidRPr="00A13B27" w14:paraId="736CC467" w14:textId="77777777" w:rsidTr="0071136C">
        <w:trPr>
          <w:trHeight w:val="275"/>
        </w:trPr>
        <w:tc>
          <w:tcPr>
            <w:tcW w:w="2006" w:type="pct"/>
            <w:tcBorders>
              <w:top w:val="single" w:sz="4" w:space="0" w:color="auto"/>
              <w:left w:val="nil"/>
              <w:bottom w:val="single" w:sz="8" w:space="0" w:color="auto"/>
              <w:right w:val="nil"/>
            </w:tcBorders>
            <w:shd w:val="clear" w:color="000000" w:fill="FFFFFF"/>
            <w:vAlign w:val="center"/>
            <w:hideMark/>
          </w:tcPr>
          <w:p w14:paraId="130480AA" w14:textId="77777777" w:rsidR="0071136C" w:rsidRPr="0071136C" w:rsidRDefault="0071136C" w:rsidP="0071136C">
            <w:pPr>
              <w:spacing w:after="0" w:line="240" w:lineRule="auto"/>
              <w:jc w:val="left"/>
              <w:rPr>
                <w:rFonts w:eastAsia="Times New Roman" w:cs="Times New Roman"/>
                <w:b/>
                <w:bCs/>
                <w:color w:val="000000"/>
                <w:sz w:val="20"/>
                <w:szCs w:val="20"/>
                <w:lang w:eastAsia="sk-SK"/>
              </w:rPr>
            </w:pPr>
            <w:r w:rsidRPr="0071136C">
              <w:rPr>
                <w:rFonts w:eastAsia="Times New Roman" w:cs="Times New Roman"/>
                <w:b/>
                <w:bCs/>
                <w:color w:val="000000"/>
                <w:sz w:val="20"/>
                <w:szCs w:val="20"/>
                <w:lang w:eastAsia="sk-SK"/>
              </w:rPr>
              <w:t xml:space="preserve">Spolu </w:t>
            </w:r>
          </w:p>
        </w:tc>
        <w:tc>
          <w:tcPr>
            <w:tcW w:w="540" w:type="pct"/>
            <w:tcBorders>
              <w:top w:val="single" w:sz="4" w:space="0" w:color="auto"/>
              <w:left w:val="nil"/>
              <w:bottom w:val="single" w:sz="8" w:space="0" w:color="auto"/>
              <w:right w:val="nil"/>
            </w:tcBorders>
            <w:shd w:val="clear" w:color="000000" w:fill="FFFFFF"/>
            <w:noWrap/>
            <w:vAlign w:val="center"/>
            <w:hideMark/>
          </w:tcPr>
          <w:p w14:paraId="2EC8B5A0" w14:textId="268A505A"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bCs/>
                <w:color w:val="000000"/>
                <w:sz w:val="20"/>
                <w:szCs w:val="20"/>
              </w:rPr>
              <w:t>7 594</w:t>
            </w:r>
          </w:p>
        </w:tc>
        <w:tc>
          <w:tcPr>
            <w:tcW w:w="540" w:type="pct"/>
            <w:tcBorders>
              <w:top w:val="single" w:sz="4" w:space="0" w:color="auto"/>
              <w:left w:val="nil"/>
              <w:bottom w:val="single" w:sz="8" w:space="0" w:color="auto"/>
              <w:right w:val="nil"/>
            </w:tcBorders>
            <w:shd w:val="clear" w:color="000000" w:fill="FFFFFF"/>
            <w:noWrap/>
            <w:vAlign w:val="center"/>
            <w:hideMark/>
          </w:tcPr>
          <w:p w14:paraId="64EC99FB" w14:textId="685C72C3"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bCs/>
                <w:color w:val="000000"/>
                <w:sz w:val="20"/>
                <w:szCs w:val="20"/>
              </w:rPr>
              <w:t>6 935</w:t>
            </w:r>
          </w:p>
        </w:tc>
        <w:tc>
          <w:tcPr>
            <w:tcW w:w="464" w:type="pct"/>
            <w:tcBorders>
              <w:top w:val="single" w:sz="4" w:space="0" w:color="auto"/>
              <w:left w:val="nil"/>
              <w:bottom w:val="single" w:sz="8" w:space="0" w:color="auto"/>
              <w:right w:val="nil"/>
            </w:tcBorders>
            <w:shd w:val="clear" w:color="000000" w:fill="FFFFFF"/>
            <w:noWrap/>
            <w:vAlign w:val="center"/>
            <w:hideMark/>
          </w:tcPr>
          <w:p w14:paraId="63DC30BC" w14:textId="7C755059"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bCs/>
                <w:color w:val="000000"/>
                <w:sz w:val="20"/>
                <w:szCs w:val="20"/>
              </w:rPr>
              <w:t>14 156</w:t>
            </w:r>
          </w:p>
        </w:tc>
        <w:tc>
          <w:tcPr>
            <w:tcW w:w="540" w:type="pct"/>
            <w:tcBorders>
              <w:top w:val="single" w:sz="4" w:space="0" w:color="auto"/>
              <w:left w:val="nil"/>
              <w:bottom w:val="single" w:sz="8" w:space="0" w:color="auto"/>
              <w:right w:val="nil"/>
            </w:tcBorders>
            <w:shd w:val="clear" w:color="000000" w:fill="FFFFFF"/>
            <w:noWrap/>
            <w:vAlign w:val="center"/>
            <w:hideMark/>
          </w:tcPr>
          <w:p w14:paraId="1146947C" w14:textId="5D18F02D"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bCs/>
                <w:color w:val="000000"/>
                <w:sz w:val="20"/>
                <w:szCs w:val="20"/>
              </w:rPr>
              <w:t>8 392</w:t>
            </w:r>
          </w:p>
        </w:tc>
        <w:tc>
          <w:tcPr>
            <w:tcW w:w="446" w:type="pct"/>
            <w:gridSpan w:val="2"/>
            <w:tcBorders>
              <w:top w:val="single" w:sz="4" w:space="0" w:color="auto"/>
              <w:left w:val="nil"/>
              <w:bottom w:val="single" w:sz="8" w:space="0" w:color="auto"/>
              <w:right w:val="nil"/>
            </w:tcBorders>
            <w:shd w:val="clear" w:color="000000" w:fill="FFFFFF"/>
            <w:noWrap/>
            <w:vAlign w:val="center"/>
            <w:hideMark/>
          </w:tcPr>
          <w:p w14:paraId="5BBB1A02" w14:textId="70469467"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bCs/>
                <w:color w:val="000000"/>
                <w:sz w:val="20"/>
                <w:szCs w:val="20"/>
              </w:rPr>
              <w:t>-5 765</w:t>
            </w:r>
          </w:p>
        </w:tc>
        <w:tc>
          <w:tcPr>
            <w:tcW w:w="464" w:type="pct"/>
            <w:tcBorders>
              <w:top w:val="single" w:sz="4" w:space="0" w:color="auto"/>
              <w:left w:val="nil"/>
              <w:bottom w:val="single" w:sz="8" w:space="0" w:color="auto"/>
              <w:right w:val="nil"/>
            </w:tcBorders>
            <w:shd w:val="clear" w:color="000000" w:fill="FFFFFF"/>
            <w:noWrap/>
            <w:vAlign w:val="center"/>
            <w:hideMark/>
          </w:tcPr>
          <w:p w14:paraId="33E1AB13" w14:textId="59092A4E" w:rsidR="0071136C" w:rsidRPr="0071136C" w:rsidRDefault="0071136C" w:rsidP="0071136C">
            <w:pPr>
              <w:spacing w:after="0" w:line="240" w:lineRule="auto"/>
              <w:jc w:val="right"/>
              <w:rPr>
                <w:rFonts w:eastAsia="Times New Roman" w:cs="Times New Roman"/>
                <w:b/>
                <w:bCs/>
                <w:color w:val="000000"/>
                <w:sz w:val="20"/>
                <w:szCs w:val="20"/>
                <w:highlight w:val="yellow"/>
                <w:lang w:eastAsia="sk-SK"/>
              </w:rPr>
            </w:pPr>
            <w:r w:rsidRPr="0071136C">
              <w:rPr>
                <w:b/>
                <w:bCs/>
                <w:color w:val="000000"/>
                <w:sz w:val="20"/>
                <w:szCs w:val="20"/>
              </w:rPr>
              <w:t>-40,7</w:t>
            </w:r>
          </w:p>
        </w:tc>
      </w:tr>
    </w:tbl>
    <w:p w14:paraId="469B532E" w14:textId="77777777" w:rsidR="00111CC0" w:rsidRPr="00E2630C" w:rsidRDefault="00111CC0" w:rsidP="00111CC0">
      <w:pPr>
        <w:jc w:val="right"/>
        <w:rPr>
          <w:sz w:val="18"/>
          <w:szCs w:val="18"/>
        </w:rPr>
      </w:pPr>
      <w:r w:rsidRPr="00E2630C">
        <w:rPr>
          <w:sz w:val="18"/>
          <w:szCs w:val="18"/>
        </w:rPr>
        <w:t>Zdroj: MF SR</w:t>
      </w:r>
    </w:p>
    <w:p w14:paraId="169DC71F" w14:textId="2D8AAED1" w:rsidR="00EA0787" w:rsidRDefault="00111CC0" w:rsidP="005578D6">
      <w:pPr>
        <w:spacing w:line="240" w:lineRule="auto"/>
        <w:rPr>
          <w:sz w:val="24"/>
          <w:szCs w:val="24"/>
        </w:rPr>
      </w:pPr>
      <w:r w:rsidRPr="00D715AF">
        <w:rPr>
          <w:sz w:val="24"/>
          <w:szCs w:val="24"/>
        </w:rPr>
        <w:t>Celkový prehľad výdavkov na spolufinancovanie zo štátneho rozpočtu k prostriedkom EÚ, k zahraničným grantom z prostriedkov EÚ a k prostriedkom poskytnutým na základe medzinárodných zmlúv vrátane vnútorných politík EÚ je uvedený v nasledovnej tabuľke:</w:t>
      </w:r>
    </w:p>
    <w:tbl>
      <w:tblPr>
        <w:tblW w:w="9214" w:type="dxa"/>
        <w:tblLayout w:type="fixed"/>
        <w:tblCellMar>
          <w:left w:w="70" w:type="dxa"/>
          <w:right w:w="70" w:type="dxa"/>
        </w:tblCellMar>
        <w:tblLook w:val="04A0" w:firstRow="1" w:lastRow="0" w:firstColumn="1" w:lastColumn="0" w:noHBand="0" w:noVBand="1"/>
      </w:tblPr>
      <w:tblGrid>
        <w:gridCol w:w="3987"/>
        <w:gridCol w:w="961"/>
        <w:gridCol w:w="826"/>
        <w:gridCol w:w="826"/>
        <w:gridCol w:w="826"/>
        <w:gridCol w:w="962"/>
        <w:gridCol w:w="826"/>
      </w:tblGrid>
      <w:tr w:rsidR="00E1262F" w:rsidRPr="00763A0B" w14:paraId="3961C588" w14:textId="77777777" w:rsidTr="00001E09">
        <w:trPr>
          <w:trHeight w:val="266"/>
        </w:trPr>
        <w:tc>
          <w:tcPr>
            <w:tcW w:w="5000" w:type="pct"/>
            <w:gridSpan w:val="7"/>
            <w:tcBorders>
              <w:top w:val="nil"/>
              <w:left w:val="nil"/>
              <w:bottom w:val="single" w:sz="4" w:space="0" w:color="auto"/>
              <w:right w:val="nil"/>
            </w:tcBorders>
            <w:shd w:val="clear" w:color="auto" w:fill="auto"/>
            <w:noWrap/>
            <w:vAlign w:val="bottom"/>
            <w:hideMark/>
          </w:tcPr>
          <w:p w14:paraId="4F4F89AE" w14:textId="5161D63B" w:rsidR="00E1262F" w:rsidRPr="00763A0B" w:rsidRDefault="00E1262F" w:rsidP="00000201">
            <w:pPr>
              <w:spacing w:line="240" w:lineRule="auto"/>
              <w:jc w:val="left"/>
              <w:rPr>
                <w:rFonts w:eastAsia="Times New Roman" w:cs="Times New Roman"/>
                <w:b/>
                <w:bCs/>
                <w:color w:val="5B9BD5" w:themeColor="accent1"/>
                <w:sz w:val="20"/>
                <w:szCs w:val="20"/>
                <w:lang w:eastAsia="sk-SK"/>
              </w:rPr>
            </w:pPr>
            <w:r w:rsidRPr="00745CCE">
              <w:rPr>
                <w:rFonts w:eastAsia="Times New Roman" w:cs="Times New Roman"/>
                <w:b/>
                <w:bCs/>
                <w:color w:val="5B9BD5" w:themeColor="accent1"/>
                <w:sz w:val="20"/>
                <w:szCs w:val="20"/>
                <w:lang w:eastAsia="sk-SK"/>
              </w:rPr>
              <w:t xml:space="preserve">Tabuľka </w:t>
            </w:r>
            <w:r w:rsidR="006C0380">
              <w:rPr>
                <w:rFonts w:eastAsia="Times New Roman" w:cs="Times New Roman"/>
                <w:b/>
                <w:bCs/>
                <w:color w:val="5B9BD5" w:themeColor="accent1"/>
                <w:sz w:val="20"/>
                <w:szCs w:val="20"/>
                <w:lang w:eastAsia="sk-SK"/>
              </w:rPr>
              <w:t>6</w:t>
            </w:r>
            <w:r w:rsidR="00000201">
              <w:rPr>
                <w:rFonts w:eastAsia="Times New Roman" w:cs="Times New Roman"/>
                <w:b/>
                <w:bCs/>
                <w:color w:val="5B9BD5" w:themeColor="accent1"/>
                <w:sz w:val="20"/>
                <w:szCs w:val="20"/>
                <w:lang w:eastAsia="sk-SK"/>
              </w:rPr>
              <w:t>7</w:t>
            </w:r>
            <w:r>
              <w:rPr>
                <w:rFonts w:eastAsia="Times New Roman" w:cs="Times New Roman"/>
                <w:b/>
                <w:bCs/>
                <w:color w:val="5B9BD5" w:themeColor="accent1"/>
                <w:sz w:val="20"/>
                <w:szCs w:val="20"/>
                <w:lang w:eastAsia="sk-SK"/>
              </w:rPr>
              <w:t xml:space="preserve"> - </w:t>
            </w:r>
            <w:r w:rsidRPr="00763A0B">
              <w:rPr>
                <w:rFonts w:eastAsia="Times New Roman" w:cs="Times New Roman"/>
                <w:b/>
                <w:bCs/>
                <w:color w:val="5B9BD5" w:themeColor="accent1"/>
                <w:sz w:val="20"/>
                <w:szCs w:val="20"/>
                <w:lang w:eastAsia="sk-SK"/>
              </w:rPr>
              <w:t>Celkový prehľad spolufinancovania zo ŠR vrátane vnútorných politík EÚ</w:t>
            </w:r>
          </w:p>
        </w:tc>
      </w:tr>
      <w:tr w:rsidR="000D35AE" w:rsidRPr="005578D6" w14:paraId="6180233A" w14:textId="77777777" w:rsidTr="00001E09">
        <w:trPr>
          <w:trHeight w:val="266"/>
        </w:trPr>
        <w:tc>
          <w:tcPr>
            <w:tcW w:w="2164" w:type="pct"/>
            <w:vMerge w:val="restart"/>
            <w:tcBorders>
              <w:top w:val="nil"/>
              <w:left w:val="nil"/>
              <w:right w:val="nil"/>
            </w:tcBorders>
            <w:shd w:val="clear" w:color="auto" w:fill="auto"/>
            <w:vAlign w:val="center"/>
            <w:hideMark/>
          </w:tcPr>
          <w:p w14:paraId="12F259D8" w14:textId="276555F8" w:rsidR="002633C2" w:rsidRPr="005578D6" w:rsidRDefault="002633C2" w:rsidP="002633C2">
            <w:pPr>
              <w:spacing w:after="0" w:line="240" w:lineRule="auto"/>
              <w:jc w:val="left"/>
              <w:rPr>
                <w:rFonts w:eastAsia="Times New Roman" w:cs="Times New Roman"/>
                <w:b/>
                <w:bCs/>
                <w:sz w:val="20"/>
                <w:szCs w:val="20"/>
                <w:lang w:eastAsia="sk-SK"/>
              </w:rPr>
            </w:pPr>
            <w:r>
              <w:rPr>
                <w:rFonts w:eastAsia="Times New Roman" w:cs="Times New Roman"/>
                <w:b/>
                <w:bCs/>
                <w:sz w:val="20"/>
                <w:szCs w:val="20"/>
                <w:lang w:eastAsia="sk-SK"/>
              </w:rPr>
              <w:t>v tis. eur</w:t>
            </w:r>
            <w:r w:rsidRPr="005578D6">
              <w:rPr>
                <w:rFonts w:eastAsia="Times New Roman" w:cs="Times New Roman"/>
                <w:b/>
                <w:bCs/>
                <w:color w:val="FFFFFF"/>
                <w:sz w:val="20"/>
                <w:szCs w:val="20"/>
                <w:lang w:eastAsia="sk-SK"/>
              </w:rPr>
              <w:t> </w:t>
            </w:r>
          </w:p>
        </w:tc>
        <w:tc>
          <w:tcPr>
            <w:tcW w:w="522" w:type="pct"/>
            <w:tcBorders>
              <w:top w:val="nil"/>
              <w:left w:val="nil"/>
              <w:bottom w:val="nil"/>
              <w:right w:val="nil"/>
            </w:tcBorders>
            <w:shd w:val="clear" w:color="auto" w:fill="auto"/>
            <w:vAlign w:val="center"/>
            <w:hideMark/>
          </w:tcPr>
          <w:p w14:paraId="766D7941" w14:textId="0AD2BFF1" w:rsidR="002633C2" w:rsidRPr="005578D6" w:rsidRDefault="002633C2" w:rsidP="008E5E05">
            <w:pPr>
              <w:spacing w:after="0" w:line="240" w:lineRule="auto"/>
              <w:jc w:val="center"/>
              <w:rPr>
                <w:rFonts w:eastAsia="Times New Roman" w:cs="Times New Roman"/>
                <w:b/>
                <w:bCs/>
                <w:color w:val="000000"/>
                <w:sz w:val="20"/>
                <w:szCs w:val="20"/>
                <w:lang w:eastAsia="sk-SK"/>
              </w:rPr>
            </w:pPr>
            <w:r w:rsidRPr="005578D6">
              <w:rPr>
                <w:rFonts w:eastAsia="Times New Roman" w:cs="Times New Roman"/>
                <w:b/>
                <w:bCs/>
                <w:color w:val="000000"/>
                <w:sz w:val="20"/>
                <w:szCs w:val="20"/>
                <w:lang w:eastAsia="sk-SK"/>
              </w:rPr>
              <w:t>20</w:t>
            </w:r>
            <w:r w:rsidR="008E5E05">
              <w:rPr>
                <w:rFonts w:eastAsia="Times New Roman" w:cs="Times New Roman"/>
                <w:b/>
                <w:bCs/>
                <w:color w:val="000000"/>
                <w:sz w:val="20"/>
                <w:szCs w:val="20"/>
                <w:lang w:eastAsia="sk-SK"/>
              </w:rPr>
              <w:t>20</w:t>
            </w:r>
            <w:r>
              <w:rPr>
                <w:rFonts w:eastAsia="Times New Roman" w:cs="Times New Roman"/>
                <w:b/>
                <w:bCs/>
                <w:color w:val="000000"/>
                <w:sz w:val="20"/>
                <w:szCs w:val="20"/>
                <w:lang w:eastAsia="sk-SK"/>
              </w:rPr>
              <w:t xml:space="preserve"> S</w:t>
            </w:r>
          </w:p>
        </w:tc>
        <w:tc>
          <w:tcPr>
            <w:tcW w:w="448" w:type="pct"/>
            <w:tcBorders>
              <w:top w:val="nil"/>
              <w:left w:val="nil"/>
              <w:bottom w:val="nil"/>
              <w:right w:val="nil"/>
            </w:tcBorders>
            <w:shd w:val="clear" w:color="auto" w:fill="auto"/>
            <w:vAlign w:val="center"/>
            <w:hideMark/>
          </w:tcPr>
          <w:p w14:paraId="60D197FD" w14:textId="293339A3" w:rsidR="002633C2" w:rsidRPr="005578D6" w:rsidRDefault="002633C2" w:rsidP="008E5E05">
            <w:pPr>
              <w:spacing w:after="0" w:line="240" w:lineRule="auto"/>
              <w:jc w:val="center"/>
              <w:rPr>
                <w:rFonts w:eastAsia="Times New Roman" w:cs="Times New Roman"/>
                <w:b/>
                <w:bCs/>
                <w:color w:val="000000"/>
                <w:sz w:val="20"/>
                <w:szCs w:val="20"/>
                <w:lang w:eastAsia="sk-SK"/>
              </w:rPr>
            </w:pPr>
            <w:r w:rsidRPr="005578D6">
              <w:rPr>
                <w:rFonts w:eastAsia="Times New Roman" w:cs="Times New Roman"/>
                <w:b/>
                <w:bCs/>
                <w:color w:val="000000"/>
                <w:sz w:val="20"/>
                <w:szCs w:val="20"/>
                <w:lang w:eastAsia="sk-SK"/>
              </w:rPr>
              <w:t>202</w:t>
            </w:r>
            <w:r w:rsidR="008E5E05">
              <w:rPr>
                <w:rFonts w:eastAsia="Times New Roman" w:cs="Times New Roman"/>
                <w:b/>
                <w:bCs/>
                <w:color w:val="000000"/>
                <w:sz w:val="20"/>
                <w:szCs w:val="20"/>
                <w:lang w:eastAsia="sk-SK"/>
              </w:rPr>
              <w:t>1</w:t>
            </w:r>
            <w:r>
              <w:rPr>
                <w:rFonts w:eastAsia="Times New Roman" w:cs="Times New Roman"/>
                <w:b/>
                <w:bCs/>
                <w:color w:val="000000"/>
                <w:sz w:val="20"/>
                <w:szCs w:val="20"/>
                <w:lang w:eastAsia="sk-SK"/>
              </w:rPr>
              <w:t xml:space="preserve"> S</w:t>
            </w:r>
          </w:p>
        </w:tc>
        <w:tc>
          <w:tcPr>
            <w:tcW w:w="448" w:type="pct"/>
            <w:tcBorders>
              <w:top w:val="nil"/>
              <w:left w:val="nil"/>
              <w:bottom w:val="nil"/>
              <w:right w:val="nil"/>
            </w:tcBorders>
            <w:shd w:val="clear" w:color="auto" w:fill="auto"/>
            <w:vAlign w:val="center"/>
            <w:hideMark/>
          </w:tcPr>
          <w:p w14:paraId="63C0BBF8" w14:textId="7AC7DF07" w:rsidR="002633C2" w:rsidRPr="005578D6" w:rsidRDefault="002633C2" w:rsidP="005578D6">
            <w:pPr>
              <w:spacing w:after="0" w:line="240" w:lineRule="auto"/>
              <w:jc w:val="center"/>
              <w:rPr>
                <w:rFonts w:eastAsia="Times New Roman" w:cs="Times New Roman"/>
                <w:b/>
                <w:bCs/>
                <w:color w:val="000000"/>
                <w:sz w:val="20"/>
                <w:szCs w:val="20"/>
                <w:lang w:eastAsia="sk-SK"/>
              </w:rPr>
            </w:pPr>
            <w:r w:rsidRPr="005578D6">
              <w:rPr>
                <w:rFonts w:eastAsia="Times New Roman" w:cs="Times New Roman"/>
                <w:b/>
                <w:bCs/>
                <w:color w:val="000000"/>
                <w:sz w:val="20"/>
                <w:szCs w:val="20"/>
                <w:lang w:eastAsia="sk-SK"/>
              </w:rPr>
              <w:t>2</w:t>
            </w:r>
            <w:r w:rsidR="008E5E05">
              <w:rPr>
                <w:rFonts w:eastAsia="Times New Roman" w:cs="Times New Roman"/>
                <w:b/>
                <w:bCs/>
                <w:color w:val="000000"/>
                <w:sz w:val="20"/>
                <w:szCs w:val="20"/>
                <w:lang w:eastAsia="sk-SK"/>
              </w:rPr>
              <w:t>022</w:t>
            </w:r>
            <w:r>
              <w:rPr>
                <w:rFonts w:eastAsia="Times New Roman" w:cs="Times New Roman"/>
                <w:b/>
                <w:bCs/>
                <w:color w:val="000000"/>
                <w:sz w:val="20"/>
                <w:szCs w:val="20"/>
                <w:lang w:eastAsia="sk-SK"/>
              </w:rPr>
              <w:t xml:space="preserve"> R</w:t>
            </w:r>
          </w:p>
        </w:tc>
        <w:tc>
          <w:tcPr>
            <w:tcW w:w="448" w:type="pct"/>
            <w:tcBorders>
              <w:top w:val="nil"/>
              <w:left w:val="nil"/>
              <w:bottom w:val="nil"/>
              <w:right w:val="nil"/>
            </w:tcBorders>
            <w:shd w:val="clear" w:color="auto" w:fill="auto"/>
            <w:vAlign w:val="center"/>
            <w:hideMark/>
          </w:tcPr>
          <w:p w14:paraId="73F80AFB" w14:textId="252187D3" w:rsidR="002633C2" w:rsidRPr="005578D6" w:rsidRDefault="002633C2" w:rsidP="008E5E05">
            <w:pPr>
              <w:spacing w:after="0" w:line="240" w:lineRule="auto"/>
              <w:jc w:val="center"/>
              <w:rPr>
                <w:rFonts w:eastAsia="Times New Roman" w:cs="Times New Roman"/>
                <w:b/>
                <w:bCs/>
                <w:color w:val="000000"/>
                <w:sz w:val="20"/>
                <w:szCs w:val="20"/>
                <w:lang w:eastAsia="sk-SK"/>
              </w:rPr>
            </w:pPr>
            <w:r w:rsidRPr="005578D6">
              <w:rPr>
                <w:rFonts w:eastAsia="Times New Roman" w:cs="Times New Roman"/>
                <w:b/>
                <w:bCs/>
                <w:color w:val="000000"/>
                <w:sz w:val="20"/>
                <w:szCs w:val="20"/>
                <w:lang w:eastAsia="sk-SK"/>
              </w:rPr>
              <w:t>202</w:t>
            </w:r>
            <w:r w:rsidR="008E5E05">
              <w:rPr>
                <w:rFonts w:eastAsia="Times New Roman" w:cs="Times New Roman"/>
                <w:b/>
                <w:bCs/>
                <w:color w:val="000000"/>
                <w:sz w:val="20"/>
                <w:szCs w:val="20"/>
                <w:lang w:eastAsia="sk-SK"/>
              </w:rPr>
              <w:t>2</w:t>
            </w:r>
            <w:r>
              <w:rPr>
                <w:rFonts w:eastAsia="Times New Roman" w:cs="Times New Roman"/>
                <w:b/>
                <w:bCs/>
                <w:color w:val="000000"/>
                <w:sz w:val="20"/>
                <w:szCs w:val="20"/>
                <w:lang w:eastAsia="sk-SK"/>
              </w:rPr>
              <w:t xml:space="preserve"> S</w:t>
            </w:r>
          </w:p>
        </w:tc>
        <w:tc>
          <w:tcPr>
            <w:tcW w:w="522" w:type="pct"/>
            <w:tcBorders>
              <w:top w:val="nil"/>
              <w:left w:val="nil"/>
              <w:bottom w:val="nil"/>
              <w:right w:val="nil"/>
            </w:tcBorders>
            <w:shd w:val="clear" w:color="auto" w:fill="auto"/>
            <w:vAlign w:val="center"/>
            <w:hideMark/>
          </w:tcPr>
          <w:p w14:paraId="7459638F" w14:textId="77777777" w:rsidR="002633C2" w:rsidRPr="005578D6" w:rsidRDefault="002633C2" w:rsidP="005578D6">
            <w:pPr>
              <w:spacing w:after="0" w:line="240" w:lineRule="auto"/>
              <w:jc w:val="center"/>
              <w:rPr>
                <w:rFonts w:eastAsia="Times New Roman" w:cs="Times New Roman"/>
                <w:b/>
                <w:bCs/>
                <w:color w:val="000000"/>
                <w:sz w:val="20"/>
                <w:szCs w:val="20"/>
                <w:lang w:eastAsia="sk-SK"/>
              </w:rPr>
            </w:pPr>
            <w:r w:rsidRPr="005578D6">
              <w:rPr>
                <w:rFonts w:eastAsia="Times New Roman" w:cs="Times New Roman"/>
                <w:b/>
                <w:bCs/>
                <w:color w:val="000000"/>
                <w:sz w:val="20"/>
                <w:szCs w:val="20"/>
                <w:lang w:eastAsia="sk-SK"/>
              </w:rPr>
              <w:t>Rozdiel</w:t>
            </w:r>
          </w:p>
        </w:tc>
        <w:tc>
          <w:tcPr>
            <w:tcW w:w="448" w:type="pct"/>
            <w:tcBorders>
              <w:top w:val="nil"/>
              <w:left w:val="nil"/>
              <w:bottom w:val="nil"/>
              <w:right w:val="nil"/>
            </w:tcBorders>
            <w:shd w:val="clear" w:color="auto" w:fill="auto"/>
            <w:vAlign w:val="center"/>
          </w:tcPr>
          <w:p w14:paraId="23788482" w14:textId="2546F3EE" w:rsidR="002633C2" w:rsidRPr="005578D6" w:rsidRDefault="002633C2" w:rsidP="005578D6">
            <w:pPr>
              <w:spacing w:after="0" w:line="240" w:lineRule="auto"/>
              <w:jc w:val="center"/>
              <w:rPr>
                <w:rFonts w:eastAsia="Times New Roman" w:cs="Times New Roman"/>
                <w:b/>
                <w:bCs/>
                <w:color w:val="000000"/>
                <w:sz w:val="20"/>
                <w:szCs w:val="20"/>
                <w:lang w:eastAsia="sk-SK"/>
              </w:rPr>
            </w:pPr>
            <w:r w:rsidRPr="005578D6">
              <w:rPr>
                <w:rFonts w:eastAsia="Times New Roman" w:cs="Times New Roman"/>
                <w:b/>
                <w:bCs/>
                <w:color w:val="000000"/>
                <w:sz w:val="20"/>
                <w:szCs w:val="20"/>
                <w:lang w:eastAsia="sk-SK"/>
              </w:rPr>
              <w:t>v %</w:t>
            </w:r>
          </w:p>
        </w:tc>
      </w:tr>
      <w:tr w:rsidR="000D35AE" w:rsidRPr="005578D6" w14:paraId="6AA5205B" w14:textId="77777777" w:rsidTr="00001E09">
        <w:trPr>
          <w:trHeight w:val="155"/>
        </w:trPr>
        <w:tc>
          <w:tcPr>
            <w:tcW w:w="2164" w:type="pct"/>
            <w:vMerge/>
            <w:tcBorders>
              <w:left w:val="nil"/>
              <w:bottom w:val="single" w:sz="8" w:space="0" w:color="auto"/>
              <w:right w:val="nil"/>
            </w:tcBorders>
            <w:shd w:val="clear" w:color="auto" w:fill="auto"/>
            <w:vAlign w:val="center"/>
            <w:hideMark/>
          </w:tcPr>
          <w:p w14:paraId="0BD44429" w14:textId="1A528C92" w:rsidR="002633C2" w:rsidRPr="005578D6" w:rsidRDefault="002633C2" w:rsidP="005578D6">
            <w:pPr>
              <w:spacing w:after="0" w:line="240" w:lineRule="auto"/>
              <w:jc w:val="left"/>
              <w:rPr>
                <w:rFonts w:eastAsia="Times New Roman" w:cs="Times New Roman"/>
                <w:b/>
                <w:bCs/>
                <w:color w:val="FFFFFF"/>
                <w:sz w:val="20"/>
                <w:szCs w:val="20"/>
                <w:lang w:eastAsia="sk-SK"/>
              </w:rPr>
            </w:pPr>
          </w:p>
        </w:tc>
        <w:tc>
          <w:tcPr>
            <w:tcW w:w="522" w:type="pct"/>
            <w:tcBorders>
              <w:top w:val="nil"/>
              <w:left w:val="nil"/>
              <w:bottom w:val="single" w:sz="8" w:space="0" w:color="auto"/>
              <w:right w:val="nil"/>
            </w:tcBorders>
            <w:shd w:val="clear" w:color="auto" w:fill="auto"/>
            <w:vAlign w:val="center"/>
            <w:hideMark/>
          </w:tcPr>
          <w:p w14:paraId="6947956F" w14:textId="77777777" w:rsidR="002633C2" w:rsidRPr="005578D6" w:rsidRDefault="002633C2" w:rsidP="005578D6">
            <w:pPr>
              <w:spacing w:after="0" w:line="240" w:lineRule="auto"/>
              <w:jc w:val="center"/>
              <w:rPr>
                <w:rFonts w:eastAsia="Times New Roman" w:cs="Times New Roman"/>
                <w:b/>
                <w:bCs/>
                <w:sz w:val="20"/>
                <w:szCs w:val="20"/>
                <w:lang w:eastAsia="sk-SK"/>
              </w:rPr>
            </w:pPr>
            <w:r w:rsidRPr="005578D6">
              <w:rPr>
                <w:rFonts w:eastAsia="Times New Roman" w:cs="Times New Roman"/>
                <w:b/>
                <w:bCs/>
                <w:sz w:val="20"/>
                <w:szCs w:val="20"/>
                <w:lang w:eastAsia="sk-SK"/>
              </w:rPr>
              <w:t>1</w:t>
            </w:r>
          </w:p>
        </w:tc>
        <w:tc>
          <w:tcPr>
            <w:tcW w:w="448" w:type="pct"/>
            <w:tcBorders>
              <w:top w:val="nil"/>
              <w:left w:val="nil"/>
              <w:bottom w:val="single" w:sz="8" w:space="0" w:color="auto"/>
              <w:right w:val="nil"/>
            </w:tcBorders>
            <w:shd w:val="clear" w:color="auto" w:fill="auto"/>
            <w:vAlign w:val="center"/>
            <w:hideMark/>
          </w:tcPr>
          <w:p w14:paraId="7A3CBA88" w14:textId="77777777" w:rsidR="002633C2" w:rsidRPr="005578D6" w:rsidRDefault="002633C2" w:rsidP="005578D6">
            <w:pPr>
              <w:spacing w:after="0" w:line="240" w:lineRule="auto"/>
              <w:jc w:val="center"/>
              <w:rPr>
                <w:rFonts w:eastAsia="Times New Roman" w:cs="Times New Roman"/>
                <w:b/>
                <w:bCs/>
                <w:sz w:val="20"/>
                <w:szCs w:val="20"/>
                <w:lang w:eastAsia="sk-SK"/>
              </w:rPr>
            </w:pPr>
            <w:r w:rsidRPr="005578D6">
              <w:rPr>
                <w:rFonts w:eastAsia="Times New Roman" w:cs="Times New Roman"/>
                <w:b/>
                <w:bCs/>
                <w:sz w:val="20"/>
                <w:szCs w:val="20"/>
                <w:lang w:eastAsia="sk-SK"/>
              </w:rPr>
              <w:t>2</w:t>
            </w:r>
          </w:p>
        </w:tc>
        <w:tc>
          <w:tcPr>
            <w:tcW w:w="448" w:type="pct"/>
            <w:tcBorders>
              <w:top w:val="nil"/>
              <w:left w:val="nil"/>
              <w:bottom w:val="single" w:sz="8" w:space="0" w:color="auto"/>
              <w:right w:val="nil"/>
            </w:tcBorders>
            <w:shd w:val="clear" w:color="auto" w:fill="auto"/>
            <w:vAlign w:val="center"/>
            <w:hideMark/>
          </w:tcPr>
          <w:p w14:paraId="06CCF33D" w14:textId="77777777" w:rsidR="002633C2" w:rsidRPr="005578D6" w:rsidRDefault="002633C2" w:rsidP="005578D6">
            <w:pPr>
              <w:spacing w:after="0" w:line="240" w:lineRule="auto"/>
              <w:jc w:val="center"/>
              <w:rPr>
                <w:rFonts w:eastAsia="Times New Roman" w:cs="Times New Roman"/>
                <w:b/>
                <w:bCs/>
                <w:sz w:val="20"/>
                <w:szCs w:val="20"/>
                <w:lang w:eastAsia="sk-SK"/>
              </w:rPr>
            </w:pPr>
            <w:r w:rsidRPr="005578D6">
              <w:rPr>
                <w:rFonts w:eastAsia="Times New Roman" w:cs="Times New Roman"/>
                <w:b/>
                <w:bCs/>
                <w:sz w:val="20"/>
                <w:szCs w:val="20"/>
                <w:lang w:eastAsia="sk-SK"/>
              </w:rPr>
              <w:t>3</w:t>
            </w:r>
          </w:p>
        </w:tc>
        <w:tc>
          <w:tcPr>
            <w:tcW w:w="448" w:type="pct"/>
            <w:tcBorders>
              <w:top w:val="nil"/>
              <w:left w:val="nil"/>
              <w:bottom w:val="single" w:sz="8" w:space="0" w:color="auto"/>
              <w:right w:val="nil"/>
            </w:tcBorders>
            <w:shd w:val="clear" w:color="auto" w:fill="auto"/>
            <w:vAlign w:val="center"/>
            <w:hideMark/>
          </w:tcPr>
          <w:p w14:paraId="7F9C1A23" w14:textId="77777777" w:rsidR="002633C2" w:rsidRPr="005578D6" w:rsidRDefault="002633C2" w:rsidP="005578D6">
            <w:pPr>
              <w:spacing w:after="0" w:line="240" w:lineRule="auto"/>
              <w:jc w:val="center"/>
              <w:rPr>
                <w:rFonts w:eastAsia="Times New Roman" w:cs="Times New Roman"/>
                <w:b/>
                <w:bCs/>
                <w:sz w:val="20"/>
                <w:szCs w:val="20"/>
                <w:lang w:eastAsia="sk-SK"/>
              </w:rPr>
            </w:pPr>
            <w:r w:rsidRPr="005578D6">
              <w:rPr>
                <w:rFonts w:eastAsia="Times New Roman" w:cs="Times New Roman"/>
                <w:b/>
                <w:bCs/>
                <w:sz w:val="20"/>
                <w:szCs w:val="20"/>
                <w:lang w:eastAsia="sk-SK"/>
              </w:rPr>
              <w:t>4</w:t>
            </w:r>
          </w:p>
        </w:tc>
        <w:tc>
          <w:tcPr>
            <w:tcW w:w="522" w:type="pct"/>
            <w:tcBorders>
              <w:top w:val="nil"/>
              <w:left w:val="nil"/>
              <w:bottom w:val="single" w:sz="8" w:space="0" w:color="auto"/>
              <w:right w:val="nil"/>
            </w:tcBorders>
            <w:shd w:val="clear" w:color="auto" w:fill="auto"/>
            <w:vAlign w:val="center"/>
            <w:hideMark/>
          </w:tcPr>
          <w:p w14:paraId="22A3ACA6" w14:textId="77777777" w:rsidR="002633C2" w:rsidRPr="005578D6" w:rsidRDefault="002633C2" w:rsidP="005578D6">
            <w:pPr>
              <w:spacing w:after="0" w:line="240" w:lineRule="auto"/>
              <w:jc w:val="center"/>
              <w:rPr>
                <w:rFonts w:eastAsia="Times New Roman" w:cs="Times New Roman"/>
                <w:b/>
                <w:bCs/>
                <w:sz w:val="20"/>
                <w:szCs w:val="20"/>
                <w:lang w:eastAsia="sk-SK"/>
              </w:rPr>
            </w:pPr>
            <w:r w:rsidRPr="005578D6">
              <w:rPr>
                <w:rFonts w:eastAsia="Times New Roman" w:cs="Times New Roman"/>
                <w:b/>
                <w:bCs/>
                <w:sz w:val="20"/>
                <w:szCs w:val="20"/>
                <w:lang w:eastAsia="sk-SK"/>
              </w:rPr>
              <w:t>5=4-3</w:t>
            </w:r>
          </w:p>
        </w:tc>
        <w:tc>
          <w:tcPr>
            <w:tcW w:w="448" w:type="pct"/>
            <w:tcBorders>
              <w:top w:val="nil"/>
              <w:left w:val="nil"/>
              <w:bottom w:val="single" w:sz="8" w:space="0" w:color="auto"/>
              <w:right w:val="nil"/>
            </w:tcBorders>
            <w:shd w:val="clear" w:color="auto" w:fill="auto"/>
            <w:vAlign w:val="center"/>
            <w:hideMark/>
          </w:tcPr>
          <w:p w14:paraId="7C232090" w14:textId="77777777" w:rsidR="002633C2" w:rsidRPr="005578D6" w:rsidRDefault="002633C2" w:rsidP="005578D6">
            <w:pPr>
              <w:spacing w:after="0" w:line="240" w:lineRule="auto"/>
              <w:jc w:val="center"/>
              <w:rPr>
                <w:rFonts w:eastAsia="Times New Roman" w:cs="Times New Roman"/>
                <w:b/>
                <w:bCs/>
                <w:sz w:val="20"/>
                <w:szCs w:val="20"/>
                <w:lang w:eastAsia="sk-SK"/>
              </w:rPr>
            </w:pPr>
            <w:r w:rsidRPr="005578D6">
              <w:rPr>
                <w:rFonts w:eastAsia="Times New Roman" w:cs="Times New Roman"/>
                <w:b/>
                <w:bCs/>
                <w:sz w:val="20"/>
                <w:szCs w:val="20"/>
                <w:lang w:eastAsia="sk-SK"/>
              </w:rPr>
              <w:t>6=4-3</w:t>
            </w:r>
          </w:p>
        </w:tc>
      </w:tr>
      <w:tr w:rsidR="008E5E05" w:rsidRPr="005578D6" w14:paraId="2546E531" w14:textId="77777777" w:rsidTr="00001E09">
        <w:trPr>
          <w:trHeight w:val="596"/>
        </w:trPr>
        <w:tc>
          <w:tcPr>
            <w:tcW w:w="2164" w:type="pct"/>
            <w:tcBorders>
              <w:top w:val="single" w:sz="4" w:space="0" w:color="auto"/>
              <w:left w:val="nil"/>
              <w:bottom w:val="nil"/>
              <w:right w:val="nil"/>
            </w:tcBorders>
            <w:shd w:val="clear" w:color="auto" w:fill="auto"/>
            <w:vAlign w:val="center"/>
            <w:hideMark/>
          </w:tcPr>
          <w:p w14:paraId="5BD74090" w14:textId="77777777" w:rsidR="008E5E05" w:rsidRPr="005578D6" w:rsidRDefault="008E5E05" w:rsidP="008E5E05">
            <w:pPr>
              <w:spacing w:after="0" w:line="240" w:lineRule="auto"/>
              <w:jc w:val="left"/>
              <w:rPr>
                <w:rFonts w:eastAsia="Times New Roman" w:cs="Times New Roman"/>
                <w:color w:val="000000"/>
                <w:sz w:val="20"/>
                <w:szCs w:val="20"/>
                <w:lang w:eastAsia="sk-SK"/>
              </w:rPr>
            </w:pPr>
            <w:r w:rsidRPr="005578D6">
              <w:rPr>
                <w:rFonts w:eastAsia="Times New Roman" w:cs="Times New Roman"/>
                <w:color w:val="000000"/>
                <w:sz w:val="20"/>
                <w:szCs w:val="20"/>
                <w:lang w:eastAsia="sk-SK"/>
              </w:rPr>
              <w:t>Spolufinancovanie k prostriedkom EÚ (štrukturálne operácie, poľnohospodárske fondy)</w:t>
            </w:r>
          </w:p>
        </w:tc>
        <w:tc>
          <w:tcPr>
            <w:tcW w:w="522" w:type="pct"/>
            <w:tcBorders>
              <w:top w:val="nil"/>
              <w:left w:val="nil"/>
              <w:bottom w:val="nil"/>
              <w:right w:val="nil"/>
            </w:tcBorders>
            <w:shd w:val="clear" w:color="auto" w:fill="auto"/>
            <w:noWrap/>
            <w:vAlign w:val="center"/>
            <w:hideMark/>
          </w:tcPr>
          <w:p w14:paraId="6BD4B7AA" w14:textId="4FF181DF"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378 051</w:t>
            </w:r>
          </w:p>
        </w:tc>
        <w:tc>
          <w:tcPr>
            <w:tcW w:w="448" w:type="pct"/>
            <w:tcBorders>
              <w:top w:val="nil"/>
              <w:left w:val="nil"/>
              <w:bottom w:val="nil"/>
              <w:right w:val="nil"/>
            </w:tcBorders>
            <w:shd w:val="clear" w:color="auto" w:fill="auto"/>
            <w:noWrap/>
            <w:vAlign w:val="center"/>
            <w:hideMark/>
          </w:tcPr>
          <w:p w14:paraId="5A96EF6A" w14:textId="2BD238A2"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371 384</w:t>
            </w:r>
          </w:p>
        </w:tc>
        <w:tc>
          <w:tcPr>
            <w:tcW w:w="448" w:type="pct"/>
            <w:tcBorders>
              <w:top w:val="nil"/>
              <w:left w:val="nil"/>
              <w:bottom w:val="nil"/>
              <w:right w:val="nil"/>
            </w:tcBorders>
            <w:shd w:val="clear" w:color="auto" w:fill="auto"/>
            <w:noWrap/>
            <w:vAlign w:val="center"/>
            <w:hideMark/>
          </w:tcPr>
          <w:p w14:paraId="6B6B9CAF" w14:textId="5A3D98D7"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589 713</w:t>
            </w:r>
          </w:p>
        </w:tc>
        <w:tc>
          <w:tcPr>
            <w:tcW w:w="448" w:type="pct"/>
            <w:tcBorders>
              <w:top w:val="nil"/>
              <w:left w:val="nil"/>
              <w:bottom w:val="nil"/>
              <w:right w:val="nil"/>
            </w:tcBorders>
            <w:shd w:val="clear" w:color="auto" w:fill="auto"/>
            <w:noWrap/>
            <w:vAlign w:val="center"/>
            <w:hideMark/>
          </w:tcPr>
          <w:p w14:paraId="1A66C3FD" w14:textId="6648DEFB"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396 427</w:t>
            </w:r>
          </w:p>
        </w:tc>
        <w:tc>
          <w:tcPr>
            <w:tcW w:w="522" w:type="pct"/>
            <w:tcBorders>
              <w:top w:val="nil"/>
              <w:left w:val="nil"/>
              <w:bottom w:val="nil"/>
              <w:right w:val="nil"/>
            </w:tcBorders>
            <w:shd w:val="clear" w:color="auto" w:fill="auto"/>
            <w:noWrap/>
            <w:vAlign w:val="center"/>
            <w:hideMark/>
          </w:tcPr>
          <w:p w14:paraId="73796F4A" w14:textId="3AD8166F"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-193 286</w:t>
            </w:r>
          </w:p>
        </w:tc>
        <w:tc>
          <w:tcPr>
            <w:tcW w:w="448" w:type="pct"/>
            <w:tcBorders>
              <w:top w:val="single" w:sz="4" w:space="0" w:color="auto"/>
              <w:left w:val="nil"/>
              <w:bottom w:val="nil"/>
              <w:right w:val="nil"/>
            </w:tcBorders>
            <w:shd w:val="clear" w:color="auto" w:fill="auto"/>
            <w:noWrap/>
            <w:vAlign w:val="center"/>
            <w:hideMark/>
          </w:tcPr>
          <w:p w14:paraId="14AF546F" w14:textId="79AE3F39"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-32,8</w:t>
            </w:r>
          </w:p>
        </w:tc>
      </w:tr>
      <w:tr w:rsidR="008E5E05" w:rsidRPr="005578D6" w14:paraId="2D1E37A4" w14:textId="77777777" w:rsidTr="00001E09">
        <w:trPr>
          <w:trHeight w:val="596"/>
        </w:trPr>
        <w:tc>
          <w:tcPr>
            <w:tcW w:w="2164" w:type="pct"/>
            <w:tcBorders>
              <w:top w:val="nil"/>
              <w:left w:val="nil"/>
              <w:bottom w:val="nil"/>
              <w:right w:val="nil"/>
            </w:tcBorders>
            <w:shd w:val="clear" w:color="auto" w:fill="auto"/>
            <w:vAlign w:val="center"/>
            <w:hideMark/>
          </w:tcPr>
          <w:p w14:paraId="2BD34B7D" w14:textId="77777777" w:rsidR="008E5E05" w:rsidRPr="005578D6" w:rsidRDefault="008E5E05" w:rsidP="008E5E05">
            <w:pPr>
              <w:spacing w:after="0" w:line="240" w:lineRule="auto"/>
              <w:jc w:val="left"/>
              <w:rPr>
                <w:rFonts w:eastAsia="Times New Roman" w:cs="Times New Roman"/>
                <w:color w:val="000000"/>
                <w:sz w:val="20"/>
                <w:szCs w:val="20"/>
                <w:lang w:eastAsia="sk-SK"/>
              </w:rPr>
            </w:pPr>
            <w:r w:rsidRPr="005578D6">
              <w:rPr>
                <w:rFonts w:eastAsia="Times New Roman" w:cs="Times New Roman"/>
                <w:color w:val="000000"/>
                <w:sz w:val="20"/>
                <w:szCs w:val="20"/>
                <w:lang w:eastAsia="sk-SK"/>
              </w:rPr>
              <w:t>Spolufinancovanie k zahraničným grantom z prostriedkov EÚ (EÚS, LIFE +)</w:t>
            </w:r>
          </w:p>
        </w:tc>
        <w:tc>
          <w:tcPr>
            <w:tcW w:w="522" w:type="pct"/>
            <w:tcBorders>
              <w:top w:val="nil"/>
              <w:left w:val="nil"/>
              <w:bottom w:val="nil"/>
              <w:right w:val="nil"/>
            </w:tcBorders>
            <w:shd w:val="clear" w:color="auto" w:fill="auto"/>
            <w:noWrap/>
            <w:vAlign w:val="center"/>
            <w:hideMark/>
          </w:tcPr>
          <w:p w14:paraId="6403C736" w14:textId="4A0F4AFB"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3 576</w:t>
            </w:r>
          </w:p>
        </w:tc>
        <w:tc>
          <w:tcPr>
            <w:tcW w:w="448" w:type="pct"/>
            <w:tcBorders>
              <w:top w:val="nil"/>
              <w:left w:val="nil"/>
              <w:bottom w:val="nil"/>
              <w:right w:val="nil"/>
            </w:tcBorders>
            <w:shd w:val="clear" w:color="auto" w:fill="auto"/>
            <w:noWrap/>
            <w:vAlign w:val="center"/>
            <w:hideMark/>
          </w:tcPr>
          <w:p w14:paraId="7FFE436C" w14:textId="1EFAF500"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4 722</w:t>
            </w:r>
          </w:p>
        </w:tc>
        <w:tc>
          <w:tcPr>
            <w:tcW w:w="448" w:type="pct"/>
            <w:tcBorders>
              <w:top w:val="nil"/>
              <w:left w:val="nil"/>
              <w:bottom w:val="nil"/>
              <w:right w:val="nil"/>
            </w:tcBorders>
            <w:shd w:val="clear" w:color="auto" w:fill="auto"/>
            <w:noWrap/>
            <w:vAlign w:val="center"/>
            <w:hideMark/>
          </w:tcPr>
          <w:p w14:paraId="586D7A26" w14:textId="3A91EBF2"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11 783</w:t>
            </w:r>
          </w:p>
        </w:tc>
        <w:tc>
          <w:tcPr>
            <w:tcW w:w="448" w:type="pct"/>
            <w:tcBorders>
              <w:top w:val="nil"/>
              <w:left w:val="nil"/>
              <w:bottom w:val="nil"/>
              <w:right w:val="nil"/>
            </w:tcBorders>
            <w:shd w:val="clear" w:color="auto" w:fill="auto"/>
            <w:noWrap/>
            <w:vAlign w:val="center"/>
            <w:hideMark/>
          </w:tcPr>
          <w:p w14:paraId="7AF3DDA4" w14:textId="4F045074"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6 019</w:t>
            </w:r>
          </w:p>
        </w:tc>
        <w:tc>
          <w:tcPr>
            <w:tcW w:w="522" w:type="pct"/>
            <w:tcBorders>
              <w:top w:val="nil"/>
              <w:left w:val="nil"/>
              <w:bottom w:val="nil"/>
              <w:right w:val="nil"/>
            </w:tcBorders>
            <w:shd w:val="clear" w:color="auto" w:fill="auto"/>
            <w:noWrap/>
            <w:vAlign w:val="center"/>
            <w:hideMark/>
          </w:tcPr>
          <w:p w14:paraId="788AD49C" w14:textId="5C00C6BE"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-5 765</w:t>
            </w:r>
          </w:p>
        </w:tc>
        <w:tc>
          <w:tcPr>
            <w:tcW w:w="448" w:type="pct"/>
            <w:tcBorders>
              <w:top w:val="nil"/>
              <w:left w:val="nil"/>
              <w:bottom w:val="nil"/>
              <w:right w:val="nil"/>
            </w:tcBorders>
            <w:shd w:val="clear" w:color="auto" w:fill="auto"/>
            <w:noWrap/>
            <w:vAlign w:val="center"/>
            <w:hideMark/>
          </w:tcPr>
          <w:p w14:paraId="010B6494" w14:textId="249EEA87"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-48,9</w:t>
            </w:r>
          </w:p>
        </w:tc>
      </w:tr>
      <w:tr w:rsidR="008E5E05" w:rsidRPr="005578D6" w14:paraId="14ABE605" w14:textId="77777777" w:rsidTr="00001E09">
        <w:trPr>
          <w:trHeight w:val="596"/>
        </w:trPr>
        <w:tc>
          <w:tcPr>
            <w:tcW w:w="2164" w:type="pct"/>
            <w:tcBorders>
              <w:top w:val="nil"/>
              <w:left w:val="nil"/>
              <w:bottom w:val="nil"/>
              <w:right w:val="nil"/>
            </w:tcBorders>
            <w:shd w:val="clear" w:color="auto" w:fill="auto"/>
            <w:vAlign w:val="center"/>
            <w:hideMark/>
          </w:tcPr>
          <w:p w14:paraId="7B49590E" w14:textId="77777777" w:rsidR="008E5E05" w:rsidRPr="005578D6" w:rsidRDefault="008E5E05" w:rsidP="008E5E05">
            <w:pPr>
              <w:spacing w:after="0" w:line="240" w:lineRule="auto"/>
              <w:jc w:val="left"/>
              <w:rPr>
                <w:rFonts w:eastAsia="Times New Roman" w:cs="Times New Roman"/>
                <w:color w:val="000000"/>
                <w:sz w:val="20"/>
                <w:szCs w:val="20"/>
                <w:lang w:eastAsia="sk-SK"/>
              </w:rPr>
            </w:pPr>
            <w:r w:rsidRPr="005578D6">
              <w:rPr>
                <w:rFonts w:eastAsia="Times New Roman" w:cs="Times New Roman"/>
                <w:color w:val="000000"/>
                <w:sz w:val="20"/>
                <w:szCs w:val="20"/>
                <w:lang w:eastAsia="sk-SK"/>
              </w:rPr>
              <w:t>Spolufinancovanie k prostriedkom poskytnutým na základe medzinárodných zmlúv (EHP, NFM)</w:t>
            </w:r>
          </w:p>
        </w:tc>
        <w:tc>
          <w:tcPr>
            <w:tcW w:w="522" w:type="pct"/>
            <w:tcBorders>
              <w:top w:val="nil"/>
              <w:left w:val="nil"/>
              <w:bottom w:val="nil"/>
              <w:right w:val="nil"/>
            </w:tcBorders>
            <w:shd w:val="clear" w:color="auto" w:fill="auto"/>
            <w:noWrap/>
            <w:vAlign w:val="center"/>
            <w:hideMark/>
          </w:tcPr>
          <w:p w14:paraId="47EA688E" w14:textId="12D966BA"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4 018</w:t>
            </w:r>
          </w:p>
        </w:tc>
        <w:tc>
          <w:tcPr>
            <w:tcW w:w="448" w:type="pct"/>
            <w:tcBorders>
              <w:top w:val="nil"/>
              <w:left w:val="nil"/>
              <w:bottom w:val="nil"/>
              <w:right w:val="nil"/>
            </w:tcBorders>
            <w:shd w:val="clear" w:color="auto" w:fill="auto"/>
            <w:noWrap/>
            <w:vAlign w:val="center"/>
            <w:hideMark/>
          </w:tcPr>
          <w:p w14:paraId="06B9F890" w14:textId="65E4F7CC"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2 213</w:t>
            </w:r>
          </w:p>
        </w:tc>
        <w:tc>
          <w:tcPr>
            <w:tcW w:w="448" w:type="pct"/>
            <w:tcBorders>
              <w:top w:val="nil"/>
              <w:left w:val="nil"/>
              <w:bottom w:val="nil"/>
              <w:right w:val="nil"/>
            </w:tcBorders>
            <w:shd w:val="clear" w:color="auto" w:fill="auto"/>
            <w:noWrap/>
            <w:vAlign w:val="center"/>
            <w:hideMark/>
          </w:tcPr>
          <w:p w14:paraId="27817226" w14:textId="41B795E7"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2 373</w:t>
            </w:r>
          </w:p>
        </w:tc>
        <w:tc>
          <w:tcPr>
            <w:tcW w:w="448" w:type="pct"/>
            <w:tcBorders>
              <w:top w:val="nil"/>
              <w:left w:val="nil"/>
              <w:bottom w:val="nil"/>
              <w:right w:val="nil"/>
            </w:tcBorders>
            <w:shd w:val="clear" w:color="auto" w:fill="auto"/>
            <w:noWrap/>
            <w:vAlign w:val="center"/>
            <w:hideMark/>
          </w:tcPr>
          <w:p w14:paraId="2C04DA5F" w14:textId="562865C6"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2 373</w:t>
            </w:r>
          </w:p>
        </w:tc>
        <w:tc>
          <w:tcPr>
            <w:tcW w:w="522" w:type="pct"/>
            <w:tcBorders>
              <w:top w:val="nil"/>
              <w:left w:val="nil"/>
              <w:bottom w:val="nil"/>
              <w:right w:val="nil"/>
            </w:tcBorders>
            <w:shd w:val="clear" w:color="auto" w:fill="auto"/>
            <w:noWrap/>
            <w:vAlign w:val="center"/>
            <w:hideMark/>
          </w:tcPr>
          <w:p w14:paraId="513A3BB0" w14:textId="1EF5FA78"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0</w:t>
            </w:r>
          </w:p>
        </w:tc>
        <w:tc>
          <w:tcPr>
            <w:tcW w:w="448" w:type="pct"/>
            <w:tcBorders>
              <w:top w:val="nil"/>
              <w:left w:val="nil"/>
              <w:bottom w:val="nil"/>
              <w:right w:val="nil"/>
            </w:tcBorders>
            <w:shd w:val="clear" w:color="auto" w:fill="auto"/>
            <w:noWrap/>
            <w:vAlign w:val="center"/>
            <w:hideMark/>
          </w:tcPr>
          <w:p w14:paraId="4210AC39" w14:textId="76350F6B"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0,0</w:t>
            </w:r>
          </w:p>
        </w:tc>
      </w:tr>
      <w:tr w:rsidR="008E5E05" w:rsidRPr="005578D6" w14:paraId="6AC2A3B6" w14:textId="77777777" w:rsidTr="00001E09">
        <w:trPr>
          <w:trHeight w:val="266"/>
        </w:trPr>
        <w:tc>
          <w:tcPr>
            <w:tcW w:w="2164" w:type="pct"/>
            <w:tcBorders>
              <w:top w:val="nil"/>
              <w:left w:val="nil"/>
              <w:bottom w:val="nil"/>
              <w:right w:val="nil"/>
            </w:tcBorders>
            <w:shd w:val="clear" w:color="auto" w:fill="auto"/>
            <w:vAlign w:val="center"/>
            <w:hideMark/>
          </w:tcPr>
          <w:p w14:paraId="21A40318" w14:textId="77777777" w:rsidR="008E5E05" w:rsidRPr="005578D6" w:rsidRDefault="008E5E05" w:rsidP="008E5E05">
            <w:pPr>
              <w:spacing w:after="0" w:line="240" w:lineRule="auto"/>
              <w:jc w:val="left"/>
              <w:rPr>
                <w:rFonts w:eastAsia="Times New Roman" w:cs="Times New Roman"/>
                <w:b/>
                <w:bCs/>
                <w:color w:val="000000"/>
                <w:sz w:val="20"/>
                <w:szCs w:val="20"/>
                <w:lang w:eastAsia="sk-SK"/>
              </w:rPr>
            </w:pPr>
            <w:r w:rsidRPr="005578D6">
              <w:rPr>
                <w:rFonts w:eastAsia="Times New Roman" w:cs="Times New Roman"/>
                <w:b/>
                <w:bCs/>
                <w:color w:val="000000"/>
                <w:sz w:val="20"/>
                <w:szCs w:val="20"/>
                <w:lang w:eastAsia="sk-SK"/>
              </w:rPr>
              <w:t>Spolu</w:t>
            </w:r>
          </w:p>
        </w:tc>
        <w:tc>
          <w:tcPr>
            <w:tcW w:w="522" w:type="pct"/>
            <w:tcBorders>
              <w:top w:val="nil"/>
              <w:left w:val="nil"/>
              <w:bottom w:val="nil"/>
              <w:right w:val="nil"/>
            </w:tcBorders>
            <w:shd w:val="clear" w:color="auto" w:fill="auto"/>
            <w:noWrap/>
            <w:vAlign w:val="center"/>
            <w:hideMark/>
          </w:tcPr>
          <w:p w14:paraId="2C1768D1" w14:textId="3D2C454C"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sz w:val="20"/>
                <w:szCs w:val="20"/>
              </w:rPr>
              <w:t>385 645</w:t>
            </w:r>
          </w:p>
        </w:tc>
        <w:tc>
          <w:tcPr>
            <w:tcW w:w="448" w:type="pct"/>
            <w:tcBorders>
              <w:top w:val="nil"/>
              <w:left w:val="nil"/>
              <w:bottom w:val="nil"/>
              <w:right w:val="nil"/>
            </w:tcBorders>
            <w:shd w:val="clear" w:color="auto" w:fill="auto"/>
            <w:noWrap/>
            <w:vAlign w:val="center"/>
            <w:hideMark/>
          </w:tcPr>
          <w:p w14:paraId="191CDD24" w14:textId="3A210C51"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sz w:val="20"/>
                <w:szCs w:val="20"/>
              </w:rPr>
              <w:t>378 319</w:t>
            </w:r>
          </w:p>
        </w:tc>
        <w:tc>
          <w:tcPr>
            <w:tcW w:w="448" w:type="pct"/>
            <w:tcBorders>
              <w:top w:val="nil"/>
              <w:left w:val="nil"/>
              <w:bottom w:val="nil"/>
              <w:right w:val="nil"/>
            </w:tcBorders>
            <w:shd w:val="clear" w:color="auto" w:fill="auto"/>
            <w:noWrap/>
            <w:vAlign w:val="center"/>
            <w:hideMark/>
          </w:tcPr>
          <w:p w14:paraId="035C5EEF" w14:textId="26259BC6"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sz w:val="20"/>
                <w:szCs w:val="20"/>
              </w:rPr>
              <w:t>603 869</w:t>
            </w:r>
          </w:p>
        </w:tc>
        <w:tc>
          <w:tcPr>
            <w:tcW w:w="448" w:type="pct"/>
            <w:tcBorders>
              <w:top w:val="nil"/>
              <w:left w:val="nil"/>
              <w:bottom w:val="nil"/>
              <w:right w:val="nil"/>
            </w:tcBorders>
            <w:shd w:val="clear" w:color="auto" w:fill="auto"/>
            <w:noWrap/>
            <w:vAlign w:val="center"/>
            <w:hideMark/>
          </w:tcPr>
          <w:p w14:paraId="09B2BACA" w14:textId="233F7309"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sz w:val="20"/>
                <w:szCs w:val="20"/>
              </w:rPr>
              <w:t>404 819</w:t>
            </w:r>
          </w:p>
        </w:tc>
        <w:tc>
          <w:tcPr>
            <w:tcW w:w="522" w:type="pct"/>
            <w:tcBorders>
              <w:top w:val="nil"/>
              <w:left w:val="nil"/>
              <w:bottom w:val="nil"/>
              <w:right w:val="nil"/>
            </w:tcBorders>
            <w:shd w:val="clear" w:color="auto" w:fill="auto"/>
            <w:noWrap/>
            <w:vAlign w:val="center"/>
            <w:hideMark/>
          </w:tcPr>
          <w:p w14:paraId="28B48132" w14:textId="5B19A623"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sz w:val="20"/>
                <w:szCs w:val="20"/>
              </w:rPr>
              <w:t>-199 051</w:t>
            </w:r>
          </w:p>
        </w:tc>
        <w:tc>
          <w:tcPr>
            <w:tcW w:w="448" w:type="pct"/>
            <w:tcBorders>
              <w:top w:val="nil"/>
              <w:left w:val="nil"/>
              <w:bottom w:val="nil"/>
              <w:right w:val="nil"/>
            </w:tcBorders>
            <w:shd w:val="clear" w:color="auto" w:fill="auto"/>
            <w:noWrap/>
            <w:vAlign w:val="center"/>
            <w:hideMark/>
          </w:tcPr>
          <w:p w14:paraId="2FCD1C47" w14:textId="73F88498"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sz w:val="20"/>
                <w:szCs w:val="20"/>
              </w:rPr>
              <w:t>-33,0</w:t>
            </w:r>
          </w:p>
        </w:tc>
      </w:tr>
      <w:tr w:rsidR="008E5E05" w:rsidRPr="005578D6" w14:paraId="643F3947" w14:textId="77777777" w:rsidTr="00001E09">
        <w:trPr>
          <w:trHeight w:val="266"/>
        </w:trPr>
        <w:tc>
          <w:tcPr>
            <w:tcW w:w="2164" w:type="pct"/>
            <w:tcBorders>
              <w:top w:val="nil"/>
              <w:left w:val="nil"/>
              <w:bottom w:val="nil"/>
              <w:right w:val="nil"/>
            </w:tcBorders>
            <w:shd w:val="clear" w:color="auto" w:fill="auto"/>
            <w:vAlign w:val="center"/>
            <w:hideMark/>
          </w:tcPr>
          <w:p w14:paraId="480F67BD" w14:textId="77777777" w:rsidR="008E5E05" w:rsidRPr="005578D6" w:rsidRDefault="008E5E05" w:rsidP="008E5E05">
            <w:pPr>
              <w:spacing w:after="0" w:line="240" w:lineRule="auto"/>
              <w:jc w:val="left"/>
              <w:rPr>
                <w:rFonts w:eastAsia="Times New Roman" w:cs="Times New Roman"/>
                <w:color w:val="000000"/>
                <w:sz w:val="20"/>
                <w:szCs w:val="20"/>
                <w:lang w:eastAsia="sk-SK"/>
              </w:rPr>
            </w:pPr>
            <w:r w:rsidRPr="005578D6">
              <w:rPr>
                <w:rFonts w:eastAsia="Times New Roman" w:cs="Times New Roman"/>
                <w:color w:val="000000"/>
                <w:sz w:val="20"/>
                <w:szCs w:val="20"/>
                <w:lang w:eastAsia="sk-SK"/>
              </w:rPr>
              <w:t>Vnútorné politiky EÚ</w:t>
            </w:r>
          </w:p>
        </w:tc>
        <w:tc>
          <w:tcPr>
            <w:tcW w:w="522" w:type="pct"/>
            <w:tcBorders>
              <w:top w:val="nil"/>
              <w:left w:val="nil"/>
              <w:bottom w:val="nil"/>
              <w:right w:val="nil"/>
            </w:tcBorders>
            <w:shd w:val="clear" w:color="auto" w:fill="auto"/>
            <w:noWrap/>
            <w:vAlign w:val="center"/>
            <w:hideMark/>
          </w:tcPr>
          <w:p w14:paraId="120BA9B6" w14:textId="5373B455" w:rsidR="008E5E05" w:rsidRPr="008E5E05" w:rsidRDefault="008E5E05" w:rsidP="008E5E05">
            <w:pPr>
              <w:spacing w:after="0" w:line="240" w:lineRule="auto"/>
              <w:jc w:val="right"/>
              <w:rPr>
                <w:rFonts w:eastAsia="Times New Roman" w:cs="Times New Roman"/>
                <w:sz w:val="20"/>
                <w:szCs w:val="20"/>
                <w:highlight w:val="yellow"/>
                <w:lang w:eastAsia="sk-SK"/>
              </w:rPr>
            </w:pPr>
            <w:r w:rsidRPr="008E5E05">
              <w:rPr>
                <w:sz w:val="20"/>
                <w:szCs w:val="20"/>
              </w:rPr>
              <w:t>1 542</w:t>
            </w:r>
          </w:p>
        </w:tc>
        <w:tc>
          <w:tcPr>
            <w:tcW w:w="448" w:type="pct"/>
            <w:tcBorders>
              <w:top w:val="nil"/>
              <w:left w:val="nil"/>
              <w:bottom w:val="nil"/>
              <w:right w:val="nil"/>
            </w:tcBorders>
            <w:shd w:val="clear" w:color="auto" w:fill="auto"/>
            <w:noWrap/>
            <w:vAlign w:val="center"/>
            <w:hideMark/>
          </w:tcPr>
          <w:p w14:paraId="647A5BBE" w14:textId="7D60176B" w:rsidR="008E5E05" w:rsidRPr="008E5E05" w:rsidRDefault="008E5E05" w:rsidP="008E5E05">
            <w:pPr>
              <w:spacing w:after="0" w:line="240" w:lineRule="auto"/>
              <w:jc w:val="right"/>
              <w:rPr>
                <w:rFonts w:eastAsia="Times New Roman" w:cs="Times New Roman"/>
                <w:sz w:val="20"/>
                <w:szCs w:val="20"/>
                <w:highlight w:val="yellow"/>
                <w:lang w:eastAsia="sk-SK"/>
              </w:rPr>
            </w:pPr>
            <w:r w:rsidRPr="008E5E05">
              <w:rPr>
                <w:sz w:val="20"/>
                <w:szCs w:val="20"/>
              </w:rPr>
              <w:t>1 844</w:t>
            </w:r>
          </w:p>
        </w:tc>
        <w:tc>
          <w:tcPr>
            <w:tcW w:w="448" w:type="pct"/>
            <w:tcBorders>
              <w:top w:val="nil"/>
              <w:left w:val="nil"/>
              <w:bottom w:val="nil"/>
              <w:right w:val="nil"/>
            </w:tcBorders>
            <w:shd w:val="clear" w:color="auto" w:fill="auto"/>
            <w:noWrap/>
            <w:vAlign w:val="center"/>
            <w:hideMark/>
          </w:tcPr>
          <w:p w14:paraId="451E83CE" w14:textId="4CE0AFED" w:rsidR="008E5E05" w:rsidRPr="008E5E05" w:rsidRDefault="008E5E05" w:rsidP="008E5E05">
            <w:pPr>
              <w:spacing w:after="0" w:line="240" w:lineRule="auto"/>
              <w:jc w:val="right"/>
              <w:rPr>
                <w:rFonts w:eastAsia="Times New Roman" w:cs="Times New Roman"/>
                <w:sz w:val="20"/>
                <w:szCs w:val="20"/>
                <w:highlight w:val="yellow"/>
                <w:lang w:eastAsia="sk-SK"/>
              </w:rPr>
            </w:pPr>
            <w:r w:rsidRPr="008E5E05">
              <w:rPr>
                <w:sz w:val="20"/>
                <w:szCs w:val="20"/>
              </w:rPr>
              <w:t>350</w:t>
            </w:r>
          </w:p>
        </w:tc>
        <w:tc>
          <w:tcPr>
            <w:tcW w:w="448" w:type="pct"/>
            <w:tcBorders>
              <w:top w:val="nil"/>
              <w:left w:val="nil"/>
              <w:bottom w:val="nil"/>
              <w:right w:val="nil"/>
            </w:tcBorders>
            <w:shd w:val="clear" w:color="auto" w:fill="auto"/>
            <w:noWrap/>
            <w:vAlign w:val="center"/>
            <w:hideMark/>
          </w:tcPr>
          <w:p w14:paraId="3EB3525F" w14:textId="761930C8" w:rsidR="008E5E05" w:rsidRPr="008E5E05" w:rsidRDefault="008E5E05" w:rsidP="008E5E05">
            <w:pPr>
              <w:spacing w:after="0" w:line="240" w:lineRule="auto"/>
              <w:jc w:val="right"/>
              <w:rPr>
                <w:rFonts w:eastAsia="Times New Roman" w:cs="Times New Roman"/>
                <w:sz w:val="20"/>
                <w:szCs w:val="20"/>
                <w:highlight w:val="yellow"/>
                <w:lang w:eastAsia="sk-SK"/>
              </w:rPr>
            </w:pPr>
            <w:r w:rsidRPr="008E5E05">
              <w:rPr>
                <w:sz w:val="20"/>
                <w:szCs w:val="20"/>
              </w:rPr>
              <w:t>4 676</w:t>
            </w:r>
          </w:p>
        </w:tc>
        <w:tc>
          <w:tcPr>
            <w:tcW w:w="522" w:type="pct"/>
            <w:tcBorders>
              <w:top w:val="nil"/>
              <w:left w:val="nil"/>
              <w:bottom w:val="nil"/>
              <w:right w:val="nil"/>
            </w:tcBorders>
            <w:shd w:val="clear" w:color="auto" w:fill="auto"/>
            <w:noWrap/>
            <w:vAlign w:val="center"/>
            <w:hideMark/>
          </w:tcPr>
          <w:p w14:paraId="006BECDE" w14:textId="7C047AC6"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4 326</w:t>
            </w:r>
          </w:p>
        </w:tc>
        <w:tc>
          <w:tcPr>
            <w:tcW w:w="448" w:type="pct"/>
            <w:tcBorders>
              <w:top w:val="nil"/>
              <w:left w:val="nil"/>
              <w:bottom w:val="nil"/>
              <w:right w:val="nil"/>
            </w:tcBorders>
            <w:shd w:val="clear" w:color="auto" w:fill="auto"/>
            <w:noWrap/>
            <w:vAlign w:val="center"/>
            <w:hideMark/>
          </w:tcPr>
          <w:p w14:paraId="476AB8C5" w14:textId="0079E9A8" w:rsidR="008E5E05" w:rsidRPr="008E5E05" w:rsidRDefault="008E5E05" w:rsidP="008E5E05">
            <w:pPr>
              <w:spacing w:after="0" w:line="240" w:lineRule="auto"/>
              <w:jc w:val="right"/>
              <w:rPr>
                <w:rFonts w:eastAsia="Times New Roman" w:cs="Times New Roman"/>
                <w:color w:val="000000"/>
                <w:sz w:val="20"/>
                <w:szCs w:val="20"/>
                <w:highlight w:val="yellow"/>
                <w:lang w:eastAsia="sk-SK"/>
              </w:rPr>
            </w:pPr>
            <w:r w:rsidRPr="008E5E05">
              <w:rPr>
                <w:sz w:val="20"/>
                <w:szCs w:val="20"/>
              </w:rPr>
              <w:t>1 236,0</w:t>
            </w:r>
          </w:p>
        </w:tc>
      </w:tr>
      <w:tr w:rsidR="008E5E05" w:rsidRPr="005578D6" w14:paraId="6C717736" w14:textId="77777777" w:rsidTr="00001E09">
        <w:trPr>
          <w:trHeight w:val="278"/>
        </w:trPr>
        <w:tc>
          <w:tcPr>
            <w:tcW w:w="2164" w:type="pct"/>
            <w:tcBorders>
              <w:top w:val="single" w:sz="4" w:space="0" w:color="auto"/>
              <w:left w:val="nil"/>
              <w:bottom w:val="single" w:sz="8" w:space="0" w:color="auto"/>
              <w:right w:val="nil"/>
            </w:tcBorders>
            <w:shd w:val="clear" w:color="000000" w:fill="FFFFFF"/>
            <w:vAlign w:val="center"/>
            <w:hideMark/>
          </w:tcPr>
          <w:p w14:paraId="68854AAF" w14:textId="77777777" w:rsidR="008E5E05" w:rsidRPr="005578D6" w:rsidRDefault="008E5E05" w:rsidP="008E5E05">
            <w:pPr>
              <w:spacing w:after="0" w:line="240" w:lineRule="auto"/>
              <w:jc w:val="left"/>
              <w:rPr>
                <w:rFonts w:eastAsia="Times New Roman" w:cs="Times New Roman"/>
                <w:b/>
                <w:bCs/>
                <w:color w:val="000000"/>
                <w:sz w:val="20"/>
                <w:szCs w:val="20"/>
                <w:lang w:eastAsia="sk-SK"/>
              </w:rPr>
            </w:pPr>
            <w:r w:rsidRPr="005578D6">
              <w:rPr>
                <w:rFonts w:eastAsia="Times New Roman" w:cs="Times New Roman"/>
                <w:b/>
                <w:bCs/>
                <w:color w:val="000000"/>
                <w:sz w:val="20"/>
                <w:szCs w:val="20"/>
                <w:lang w:eastAsia="sk-SK"/>
              </w:rPr>
              <w:t>Spolu (vrátane vnútorných politík EÚ)</w:t>
            </w:r>
          </w:p>
        </w:tc>
        <w:tc>
          <w:tcPr>
            <w:tcW w:w="522" w:type="pct"/>
            <w:tcBorders>
              <w:top w:val="single" w:sz="4" w:space="0" w:color="auto"/>
              <w:left w:val="nil"/>
              <w:bottom w:val="single" w:sz="8" w:space="0" w:color="auto"/>
              <w:right w:val="nil"/>
            </w:tcBorders>
            <w:shd w:val="clear" w:color="000000" w:fill="FFFFFF"/>
            <w:noWrap/>
            <w:vAlign w:val="center"/>
            <w:hideMark/>
          </w:tcPr>
          <w:p w14:paraId="5C8EF902" w14:textId="29C539A9"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bCs/>
                <w:color w:val="000000"/>
                <w:sz w:val="20"/>
                <w:szCs w:val="20"/>
              </w:rPr>
              <w:t>231 143</w:t>
            </w:r>
          </w:p>
        </w:tc>
        <w:tc>
          <w:tcPr>
            <w:tcW w:w="448" w:type="pct"/>
            <w:tcBorders>
              <w:top w:val="single" w:sz="4" w:space="0" w:color="auto"/>
              <w:left w:val="nil"/>
              <w:bottom w:val="single" w:sz="8" w:space="0" w:color="auto"/>
              <w:right w:val="nil"/>
            </w:tcBorders>
            <w:shd w:val="clear" w:color="000000" w:fill="FFFFFF"/>
            <w:noWrap/>
            <w:vAlign w:val="center"/>
            <w:hideMark/>
          </w:tcPr>
          <w:p w14:paraId="73F3AEF8" w14:textId="0C359BA7"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bCs/>
                <w:color w:val="000000"/>
                <w:sz w:val="20"/>
                <w:szCs w:val="20"/>
              </w:rPr>
              <w:t>380 163</w:t>
            </w:r>
          </w:p>
        </w:tc>
        <w:tc>
          <w:tcPr>
            <w:tcW w:w="448" w:type="pct"/>
            <w:tcBorders>
              <w:top w:val="single" w:sz="4" w:space="0" w:color="auto"/>
              <w:left w:val="nil"/>
              <w:bottom w:val="single" w:sz="8" w:space="0" w:color="auto"/>
              <w:right w:val="nil"/>
            </w:tcBorders>
            <w:shd w:val="clear" w:color="000000" w:fill="FFFFFF"/>
            <w:noWrap/>
            <w:vAlign w:val="center"/>
            <w:hideMark/>
          </w:tcPr>
          <w:p w14:paraId="668C59DA" w14:textId="5DFFF819"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bCs/>
                <w:color w:val="000000"/>
                <w:sz w:val="20"/>
                <w:szCs w:val="20"/>
              </w:rPr>
              <w:t>604 219</w:t>
            </w:r>
          </w:p>
        </w:tc>
        <w:tc>
          <w:tcPr>
            <w:tcW w:w="448" w:type="pct"/>
            <w:tcBorders>
              <w:top w:val="single" w:sz="4" w:space="0" w:color="auto"/>
              <w:left w:val="nil"/>
              <w:bottom w:val="single" w:sz="8" w:space="0" w:color="auto"/>
              <w:right w:val="nil"/>
            </w:tcBorders>
            <w:shd w:val="clear" w:color="000000" w:fill="FFFFFF"/>
            <w:noWrap/>
            <w:vAlign w:val="center"/>
            <w:hideMark/>
          </w:tcPr>
          <w:p w14:paraId="315FE07B" w14:textId="38490EDA"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bCs/>
                <w:color w:val="000000"/>
                <w:sz w:val="20"/>
                <w:szCs w:val="20"/>
              </w:rPr>
              <w:t>409 495</w:t>
            </w:r>
          </w:p>
        </w:tc>
        <w:tc>
          <w:tcPr>
            <w:tcW w:w="522" w:type="pct"/>
            <w:tcBorders>
              <w:top w:val="single" w:sz="4" w:space="0" w:color="auto"/>
              <w:left w:val="nil"/>
              <w:bottom w:val="single" w:sz="8" w:space="0" w:color="auto"/>
              <w:right w:val="nil"/>
            </w:tcBorders>
            <w:shd w:val="clear" w:color="000000" w:fill="FFFFFF"/>
            <w:noWrap/>
            <w:vAlign w:val="center"/>
            <w:hideMark/>
          </w:tcPr>
          <w:p w14:paraId="463391D2" w14:textId="50662A2A"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bCs/>
                <w:color w:val="000000"/>
                <w:sz w:val="20"/>
                <w:szCs w:val="20"/>
              </w:rPr>
              <w:t>-194 725</w:t>
            </w:r>
          </w:p>
        </w:tc>
        <w:tc>
          <w:tcPr>
            <w:tcW w:w="448" w:type="pct"/>
            <w:tcBorders>
              <w:top w:val="single" w:sz="4" w:space="0" w:color="auto"/>
              <w:left w:val="nil"/>
              <w:bottom w:val="single" w:sz="8" w:space="0" w:color="auto"/>
              <w:right w:val="nil"/>
            </w:tcBorders>
            <w:shd w:val="clear" w:color="000000" w:fill="FFFFFF"/>
            <w:noWrap/>
            <w:vAlign w:val="center"/>
            <w:hideMark/>
          </w:tcPr>
          <w:p w14:paraId="436DF58A" w14:textId="2B0F8384" w:rsidR="008E5E05" w:rsidRPr="008E5E05" w:rsidRDefault="008E5E05" w:rsidP="008E5E05">
            <w:pPr>
              <w:spacing w:after="0" w:line="240" w:lineRule="auto"/>
              <w:jc w:val="right"/>
              <w:rPr>
                <w:rFonts w:eastAsia="Times New Roman" w:cs="Times New Roman"/>
                <w:b/>
                <w:bCs/>
                <w:color w:val="000000"/>
                <w:sz w:val="20"/>
                <w:szCs w:val="20"/>
                <w:highlight w:val="yellow"/>
                <w:lang w:eastAsia="sk-SK"/>
              </w:rPr>
            </w:pPr>
            <w:r w:rsidRPr="008E5E05">
              <w:rPr>
                <w:b/>
                <w:bCs/>
                <w:color w:val="000000"/>
                <w:sz w:val="20"/>
                <w:szCs w:val="20"/>
              </w:rPr>
              <w:t>-32,2</w:t>
            </w:r>
          </w:p>
        </w:tc>
      </w:tr>
    </w:tbl>
    <w:p w14:paraId="16D6617C" w14:textId="77777777" w:rsidR="00111CC0" w:rsidRPr="00064E22" w:rsidRDefault="00111CC0" w:rsidP="00111CC0">
      <w:pPr>
        <w:jc w:val="right"/>
        <w:rPr>
          <w:sz w:val="16"/>
          <w:szCs w:val="16"/>
        </w:rPr>
      </w:pPr>
      <w:r w:rsidRPr="00064E22">
        <w:rPr>
          <w:sz w:val="16"/>
          <w:szCs w:val="16"/>
        </w:rPr>
        <w:t>Zdroj: MF SR</w:t>
      </w:r>
    </w:p>
    <w:p w14:paraId="5C050AFE" w14:textId="06E00B0D" w:rsidR="00E91E7B" w:rsidRDefault="00E91E7B" w:rsidP="00E91E7B">
      <w:pPr>
        <w:spacing w:line="240" w:lineRule="auto"/>
        <w:rPr>
          <w:b/>
          <w:i/>
        </w:rPr>
      </w:pPr>
      <w:r w:rsidRPr="00E91E7B">
        <w:rPr>
          <w:b/>
          <w:i/>
        </w:rPr>
        <w:t>Plnenie príjmov z prostriedkov EÚ a čerpanie výdavkov za prostriedky EÚ je uvedené v tabuľke č. 17. Čerpanie výdavkov na spolufinancovanie zo štátneho rozpočtu k prostriedkom EÚ, k zahraničným grantom z prostriedkov EÚ a k zahraničným grantom poskytnutým na základe medzinárodných zmlúv bez vnútorných politík EÚ je uvedené v tabuľke č. 18.</w:t>
      </w:r>
    </w:p>
    <w:p w14:paraId="5C14AD11" w14:textId="77777777" w:rsidR="00164F67" w:rsidRPr="00E91E7B" w:rsidRDefault="00164F67" w:rsidP="00E91E7B">
      <w:pPr>
        <w:spacing w:line="240" w:lineRule="auto"/>
        <w:rPr>
          <w:b/>
          <w:i/>
        </w:rPr>
      </w:pPr>
    </w:p>
    <w:p w14:paraId="4040C65E" w14:textId="3C615C5F" w:rsidR="008254BE" w:rsidRPr="007D5989" w:rsidRDefault="008254BE" w:rsidP="00EB4DCD">
      <w:pPr>
        <w:pStyle w:val="Nadpis3"/>
      </w:pPr>
      <w:bookmarkStart w:id="63" w:name="_Toc6415655"/>
      <w:bookmarkStart w:id="64" w:name="_Toc132929101"/>
      <w:r w:rsidRPr="007D5989">
        <w:t xml:space="preserve">Prostriedky poskytnuté SR používané prostredníctvom </w:t>
      </w:r>
      <w:r w:rsidR="006F14F4" w:rsidRPr="007D5989">
        <w:t>samostatných</w:t>
      </w:r>
      <w:r w:rsidRPr="007D5989">
        <w:t xml:space="preserve"> účtov</w:t>
      </w:r>
      <w:bookmarkEnd w:id="63"/>
      <w:bookmarkEnd w:id="64"/>
    </w:p>
    <w:p w14:paraId="6EB19566" w14:textId="77777777" w:rsidR="005578D6" w:rsidRPr="005578D6" w:rsidRDefault="005578D6" w:rsidP="005578D6">
      <w:pPr>
        <w:spacing w:line="240" w:lineRule="auto"/>
        <w:rPr>
          <w:b/>
          <w:sz w:val="24"/>
          <w:szCs w:val="24"/>
        </w:rPr>
      </w:pPr>
      <w:r w:rsidRPr="005578D6">
        <w:rPr>
          <w:sz w:val="24"/>
          <w:szCs w:val="24"/>
        </w:rPr>
        <w:t xml:space="preserve">Časť finančných prostriedkov z rozpočtu EÚ a prostriedkov poskytnutých Slovenskej republike na základe medzinárodných zmlúv, ktorými je Slovenská republika viazaná, používajú štátne rozpočtové organizácie </w:t>
      </w:r>
      <w:r w:rsidRPr="005578D6">
        <w:rPr>
          <w:b/>
          <w:sz w:val="24"/>
          <w:szCs w:val="24"/>
        </w:rPr>
        <w:t>prostredníctvom samostatných účtov:</w:t>
      </w:r>
    </w:p>
    <w:p w14:paraId="2D2C8632" w14:textId="765E1CF7" w:rsidR="00E91E7B" w:rsidRPr="00E91E7B" w:rsidRDefault="00E91E7B" w:rsidP="00E91E7B">
      <w:pPr>
        <w:shd w:val="clear" w:color="auto" w:fill="FFFFFF"/>
        <w:spacing w:line="240" w:lineRule="auto"/>
        <w:rPr>
          <w:sz w:val="24"/>
          <w:szCs w:val="24"/>
        </w:rPr>
      </w:pPr>
      <w:r w:rsidRPr="00E91E7B">
        <w:rPr>
          <w:sz w:val="24"/>
          <w:szCs w:val="24"/>
        </w:rPr>
        <w:t xml:space="preserve">V rámci programov </w:t>
      </w:r>
      <w:r w:rsidRPr="00E91E7B">
        <w:rPr>
          <w:b/>
          <w:i/>
          <w:sz w:val="24"/>
          <w:szCs w:val="24"/>
        </w:rPr>
        <w:t>Európskej územnej spolupráce</w:t>
      </w:r>
      <w:r w:rsidRPr="00E91E7B">
        <w:rPr>
          <w:sz w:val="24"/>
          <w:szCs w:val="24"/>
        </w:rPr>
        <w:t xml:space="preserve"> prijala Slovenská republika prostredníctvom certifikačného orgánu MF SR príspevky EÚ vo výške 7 115 tis. eur (z toho 6 215 tis. eur v rámci INTERACT III a 900 tis. eur v rámci INTERACT IV) a</w:t>
      </w:r>
      <w:r>
        <w:rPr>
          <w:sz w:val="24"/>
          <w:szCs w:val="24"/>
        </w:rPr>
        <w:t xml:space="preserve"> </w:t>
      </w:r>
      <w:proofErr w:type="spellStart"/>
      <w:r w:rsidRPr="00E91E7B">
        <w:rPr>
          <w:sz w:val="24"/>
          <w:szCs w:val="24"/>
        </w:rPr>
        <w:t>prispievajúcich</w:t>
      </w:r>
      <w:proofErr w:type="spellEnd"/>
      <w:r w:rsidRPr="00E91E7B">
        <w:rPr>
          <w:sz w:val="24"/>
          <w:szCs w:val="24"/>
        </w:rPr>
        <w:t xml:space="preserve"> členských štátov EÚ vo výške 2 154 tis. eur na financovanie OP INTERACT III 2014-2020 (80 eur) a OP INTERACT IV (2</w:t>
      </w:r>
      <w:r>
        <w:rPr>
          <w:sz w:val="24"/>
          <w:szCs w:val="24"/>
        </w:rPr>
        <w:t> </w:t>
      </w:r>
      <w:r w:rsidRPr="00E91E7B">
        <w:rPr>
          <w:sz w:val="24"/>
          <w:szCs w:val="24"/>
        </w:rPr>
        <w:t>154 tis. eur). Na financovanie programov bolo použitých 6 524 tis. eur za prostriedky EÚ a</w:t>
      </w:r>
      <w:r>
        <w:rPr>
          <w:sz w:val="24"/>
          <w:szCs w:val="24"/>
        </w:rPr>
        <w:t xml:space="preserve"> </w:t>
      </w:r>
      <w:r w:rsidRPr="00E91E7B">
        <w:rPr>
          <w:sz w:val="24"/>
          <w:szCs w:val="24"/>
        </w:rPr>
        <w:t>1 204 tis. eur za spolufinancovanie z príspevkov členských štátov EÚ.</w:t>
      </w:r>
    </w:p>
    <w:p w14:paraId="2024ED21" w14:textId="77777777" w:rsidR="00E91E7B" w:rsidRPr="00E91E7B" w:rsidRDefault="00E91E7B" w:rsidP="00E91E7B">
      <w:pPr>
        <w:spacing w:line="240" w:lineRule="auto"/>
        <w:rPr>
          <w:sz w:val="24"/>
          <w:szCs w:val="24"/>
        </w:rPr>
      </w:pPr>
      <w:r w:rsidRPr="00E91E7B">
        <w:rPr>
          <w:sz w:val="24"/>
          <w:szCs w:val="24"/>
        </w:rPr>
        <w:t xml:space="preserve">Z Úradu pre finančné mechanizmy v Bruseli boli Slovenskej republike v rámci programového obdobia 2014 – 2021 poukázané prostriedky z </w:t>
      </w:r>
      <w:r w:rsidRPr="00E91E7B">
        <w:rPr>
          <w:b/>
          <w:i/>
          <w:sz w:val="24"/>
          <w:szCs w:val="24"/>
        </w:rPr>
        <w:t>Finančného mechanizmu EHP a Nórskeho finančného mechanizmu</w:t>
      </w:r>
      <w:r w:rsidRPr="00E91E7B">
        <w:rPr>
          <w:b/>
          <w:sz w:val="24"/>
          <w:szCs w:val="24"/>
        </w:rPr>
        <w:t xml:space="preserve"> </w:t>
      </w:r>
      <w:r w:rsidRPr="00E91E7B">
        <w:rPr>
          <w:sz w:val="24"/>
          <w:szCs w:val="24"/>
        </w:rPr>
        <w:t xml:space="preserve">vo výške 22 492 tis. eur. Subjektom zapojeným do implementácie boli prevedené prostriedky vo výške 22 492 tis. eur. </w:t>
      </w:r>
    </w:p>
    <w:p w14:paraId="43A9D0F9" w14:textId="591BA446" w:rsidR="00E91E7B" w:rsidRPr="00E91E7B" w:rsidRDefault="00E91E7B" w:rsidP="00E91E7B">
      <w:pPr>
        <w:spacing w:line="240" w:lineRule="auto"/>
        <w:rPr>
          <w:sz w:val="24"/>
          <w:szCs w:val="24"/>
        </w:rPr>
      </w:pPr>
      <w:r w:rsidRPr="00E91E7B">
        <w:rPr>
          <w:sz w:val="24"/>
          <w:szCs w:val="24"/>
        </w:rPr>
        <w:t xml:space="preserve">Slovenskej republike boli v roku 2022 v rámci </w:t>
      </w:r>
      <w:r w:rsidRPr="00E91E7B">
        <w:rPr>
          <w:b/>
          <w:i/>
          <w:sz w:val="24"/>
          <w:szCs w:val="24"/>
        </w:rPr>
        <w:t>finančnej obálky</w:t>
      </w:r>
      <w:r w:rsidRPr="00E91E7B">
        <w:rPr>
          <w:sz w:val="24"/>
          <w:szCs w:val="24"/>
        </w:rPr>
        <w:t xml:space="preserve"> poskytnuté prostriedky na úhradu cestovných výdavkov súvisiacich s účasťou zástupcov Slovenskej republiky na zasadaniach výborov a pracovných skupín Rady EÚ vo výške 753 tis. eur. V roku 2022 boli uhradené cestovné výdavky súvisiace s účasťou zástupcov SR na zasadnutiach výborov a pracovných skupín Rady EÚ v sume 428 tis. eur.</w:t>
      </w:r>
    </w:p>
    <w:p w14:paraId="040A6B59" w14:textId="1DE0E334" w:rsidR="008254BE" w:rsidRPr="007D5989" w:rsidRDefault="008254BE" w:rsidP="00642B82">
      <w:pPr>
        <w:pStyle w:val="Nadpis3"/>
      </w:pPr>
      <w:bookmarkStart w:id="65" w:name="_Toc6415656"/>
      <w:bookmarkStart w:id="66" w:name="_Toc132929102"/>
      <w:r w:rsidRPr="007D5989">
        <w:lastRenderedPageBreak/>
        <w:t>Zhrnutie čerpania záväzkov programových období po vstupe SR do EÚ</w:t>
      </w:r>
      <w:bookmarkEnd w:id="65"/>
      <w:bookmarkEnd w:id="66"/>
    </w:p>
    <w:p w14:paraId="3894B535" w14:textId="77777777" w:rsidR="00001E09" w:rsidRPr="005578D6" w:rsidRDefault="00001E09" w:rsidP="00240940">
      <w:pPr>
        <w:spacing w:line="240" w:lineRule="auto"/>
        <w:rPr>
          <w:color w:val="000000" w:themeColor="text1"/>
          <w:sz w:val="24"/>
          <w:szCs w:val="24"/>
        </w:rPr>
      </w:pPr>
      <w:r>
        <w:rPr>
          <w:color w:val="000000" w:themeColor="text1"/>
          <w:sz w:val="24"/>
          <w:szCs w:val="24"/>
        </w:rPr>
        <w:t>Slovenská republika v roku 2022</w:t>
      </w:r>
      <w:r w:rsidRPr="005578D6">
        <w:rPr>
          <w:color w:val="000000" w:themeColor="text1"/>
          <w:sz w:val="24"/>
          <w:szCs w:val="24"/>
        </w:rPr>
        <w:t xml:space="preserve"> realizovala výdavky v rámci programového obdobia 2014-2020. Zároveň vzhľadom na ukončovanie programového obdobia 2007-2013 došlo aj k naplneniu príjmov platobných jednotiek.</w:t>
      </w:r>
    </w:p>
    <w:p w14:paraId="3BF88773" w14:textId="77777777" w:rsidR="00001E09" w:rsidRPr="00E91E7B" w:rsidRDefault="00001E09" w:rsidP="00240940">
      <w:pPr>
        <w:spacing w:line="240" w:lineRule="auto"/>
        <w:rPr>
          <w:color w:val="000000" w:themeColor="text1"/>
          <w:sz w:val="24"/>
          <w:szCs w:val="24"/>
        </w:rPr>
      </w:pPr>
      <w:r w:rsidRPr="00F9468D">
        <w:rPr>
          <w:b/>
          <w:color w:val="000000" w:themeColor="text1"/>
          <w:sz w:val="24"/>
          <w:szCs w:val="24"/>
        </w:rPr>
        <w:t>V rámci 2. programového obdobia 2007 – 2013</w:t>
      </w:r>
      <w:r w:rsidRPr="00E91E7B">
        <w:rPr>
          <w:color w:val="000000" w:themeColor="text1"/>
          <w:sz w:val="24"/>
          <w:szCs w:val="24"/>
        </w:rPr>
        <w:t xml:space="preserve"> stále pokračuje proces uzatvárania s EK. </w:t>
      </w:r>
      <w:r>
        <w:rPr>
          <w:color w:val="000000" w:themeColor="text1"/>
          <w:sz w:val="24"/>
          <w:szCs w:val="24"/>
        </w:rPr>
        <w:t>Ku </w:t>
      </w:r>
      <w:r w:rsidRPr="00E91E7B">
        <w:rPr>
          <w:color w:val="000000" w:themeColor="text1"/>
          <w:sz w:val="24"/>
          <w:szCs w:val="24"/>
        </w:rPr>
        <w:t>koncu roka 2022 boli s EK uzatvorené štyri operačné programy PS INTERACT II, (čerpanie: 28 733 tis. eur, t. j. 95,29 %), OP Rybné hospodárs</w:t>
      </w:r>
      <w:r>
        <w:rPr>
          <w:color w:val="000000" w:themeColor="text1"/>
          <w:sz w:val="24"/>
          <w:szCs w:val="24"/>
        </w:rPr>
        <w:t>tvo (čerpanie: 9 </w:t>
      </w:r>
      <w:r w:rsidRPr="00E91E7B">
        <w:rPr>
          <w:color w:val="000000" w:themeColor="text1"/>
          <w:sz w:val="24"/>
          <w:szCs w:val="24"/>
        </w:rPr>
        <w:t xml:space="preserve">833 tis. eur, t. j. 71,83 %), </w:t>
      </w:r>
      <w:r>
        <w:rPr>
          <w:color w:val="000000" w:themeColor="text1"/>
          <w:sz w:val="24"/>
          <w:szCs w:val="24"/>
        </w:rPr>
        <w:t>OP </w:t>
      </w:r>
      <w:r w:rsidRPr="00E91E7B">
        <w:rPr>
          <w:color w:val="000000" w:themeColor="text1"/>
          <w:sz w:val="24"/>
          <w:szCs w:val="24"/>
        </w:rPr>
        <w:t>Technická pomoc (čerpanie 71 442 tis. eur, t. j. 73,20 %) a Program cezhraničnej spolupráce SR-ČR (čerpanie 84 836 tis. eur, t. j. 91,48%). Pri všetkých operačných programoch, s výnimkou OP Vzdelávanie, boli doručené prípravné uzatváracie listy tzv. pre-</w:t>
      </w:r>
      <w:proofErr w:type="spellStart"/>
      <w:r w:rsidRPr="00E91E7B">
        <w:rPr>
          <w:color w:val="000000" w:themeColor="text1"/>
          <w:sz w:val="24"/>
          <w:szCs w:val="24"/>
        </w:rPr>
        <w:t>closure</w:t>
      </w:r>
      <w:proofErr w:type="spellEnd"/>
      <w:r w:rsidRPr="00E91E7B">
        <w:rPr>
          <w:color w:val="000000" w:themeColor="text1"/>
          <w:sz w:val="24"/>
          <w:szCs w:val="24"/>
        </w:rPr>
        <w:t xml:space="preserve"> </w:t>
      </w:r>
      <w:proofErr w:type="spellStart"/>
      <w:r w:rsidRPr="00E91E7B">
        <w:rPr>
          <w:color w:val="000000" w:themeColor="text1"/>
          <w:sz w:val="24"/>
          <w:szCs w:val="24"/>
        </w:rPr>
        <w:t>letters</w:t>
      </w:r>
      <w:proofErr w:type="spellEnd"/>
      <w:r w:rsidRPr="00E91E7B">
        <w:rPr>
          <w:color w:val="000000" w:themeColor="text1"/>
          <w:sz w:val="24"/>
          <w:szCs w:val="24"/>
        </w:rPr>
        <w:t>. V rámci OP RH bol dňa 26.7.2022 uhradený ťarchopis v sume 484,5 tis. eur v nadväznosti na uzatvárací list z EK k prípadu OLAF zo dňa 13.5.2022.</w:t>
      </w:r>
    </w:p>
    <w:p w14:paraId="48710E69" w14:textId="77777777" w:rsidR="00001E09" w:rsidRPr="00E91E7B" w:rsidRDefault="00001E09" w:rsidP="00240940">
      <w:pPr>
        <w:spacing w:line="240" w:lineRule="auto"/>
        <w:rPr>
          <w:color w:val="000000" w:themeColor="text1"/>
          <w:sz w:val="24"/>
          <w:szCs w:val="24"/>
        </w:rPr>
      </w:pPr>
      <w:r w:rsidRPr="00F9468D">
        <w:rPr>
          <w:b/>
          <w:color w:val="000000" w:themeColor="text1"/>
          <w:sz w:val="24"/>
          <w:szCs w:val="24"/>
        </w:rPr>
        <w:t>V rámci 3. programového obdobia 2014 – 2020</w:t>
      </w:r>
      <w:r w:rsidRPr="00E91E7B">
        <w:rPr>
          <w:color w:val="000000" w:themeColor="text1"/>
          <w:sz w:val="24"/>
          <w:szCs w:val="24"/>
        </w:rPr>
        <w:t xml:space="preserve"> z celkového záväzku 10 operačných programov vyčerpala SR na národnej úrovni k 31.12.2022 prostriedky EÚ vo výške 8 817 873 tis. eur, čo predstavuje čerpanie na úrovni 60,8</w:t>
      </w:r>
      <w:r>
        <w:rPr>
          <w:color w:val="000000" w:themeColor="text1"/>
          <w:sz w:val="24"/>
          <w:szCs w:val="24"/>
        </w:rPr>
        <w:t xml:space="preserve"> </w:t>
      </w:r>
      <w:r w:rsidRPr="00E91E7B">
        <w:rPr>
          <w:color w:val="000000" w:themeColor="text1"/>
          <w:sz w:val="24"/>
          <w:szCs w:val="24"/>
        </w:rPr>
        <w:t>% záväzku. Implementáciu a čerpanie v prvých troch mesiacoch r. 2022 ovplyvnila zmena legislatívy EÚ vo vzťahu k možnosti preplácania 100</w:t>
      </w:r>
      <w:r>
        <w:rPr>
          <w:color w:val="000000" w:themeColor="text1"/>
          <w:sz w:val="24"/>
          <w:szCs w:val="24"/>
        </w:rPr>
        <w:t> </w:t>
      </w:r>
      <w:r w:rsidRPr="00E91E7B">
        <w:rPr>
          <w:color w:val="000000" w:themeColor="text1"/>
          <w:sz w:val="24"/>
          <w:szCs w:val="24"/>
        </w:rPr>
        <w:t>% deklarovaných výdavkov zo strany EK (8. účtovný rok). Uvedené malo pozitívny dopad na príjmy z EK a na plnenie pravidla n+3.</w:t>
      </w:r>
      <w:r>
        <w:rPr>
          <w:rStyle w:val="Odkaznapoznmkupodiarou"/>
          <w:color w:val="000000" w:themeColor="text1"/>
          <w:sz w:val="24"/>
          <w:szCs w:val="24"/>
        </w:rPr>
        <w:footnoteReference w:id="39"/>
      </w:r>
      <w:r w:rsidRPr="00E91E7B">
        <w:rPr>
          <w:color w:val="000000" w:themeColor="text1"/>
          <w:sz w:val="24"/>
          <w:szCs w:val="24"/>
        </w:rPr>
        <w:t xml:space="preserve"> </w:t>
      </w:r>
    </w:p>
    <w:p w14:paraId="34429E7F" w14:textId="77777777" w:rsidR="00001E09" w:rsidRPr="00E91E7B" w:rsidRDefault="00001E09" w:rsidP="00240940">
      <w:pPr>
        <w:spacing w:line="240" w:lineRule="auto"/>
        <w:rPr>
          <w:color w:val="000000" w:themeColor="text1"/>
          <w:sz w:val="24"/>
          <w:szCs w:val="24"/>
        </w:rPr>
      </w:pPr>
      <w:r w:rsidRPr="00E91E7B">
        <w:rPr>
          <w:color w:val="000000" w:themeColor="text1"/>
          <w:sz w:val="24"/>
          <w:szCs w:val="24"/>
        </w:rPr>
        <w:t xml:space="preserve">V rámci </w:t>
      </w:r>
      <w:proofErr w:type="spellStart"/>
      <w:r w:rsidRPr="00E91E7B">
        <w:rPr>
          <w:color w:val="000000" w:themeColor="text1"/>
          <w:sz w:val="24"/>
          <w:szCs w:val="24"/>
        </w:rPr>
        <w:t>realokácie</w:t>
      </w:r>
      <w:proofErr w:type="spellEnd"/>
      <w:r w:rsidRPr="00E91E7B">
        <w:rPr>
          <w:rStyle w:val="Odkaznapoznmkupodiarou"/>
          <w:color w:val="000000" w:themeColor="text1"/>
          <w:sz w:val="24"/>
          <w:szCs w:val="24"/>
        </w:rPr>
        <w:footnoteReference w:id="40"/>
      </w:r>
      <w:r w:rsidRPr="00E91E7B">
        <w:rPr>
          <w:color w:val="000000" w:themeColor="text1"/>
          <w:sz w:val="24"/>
          <w:szCs w:val="24"/>
        </w:rPr>
        <w:t xml:space="preserve"> zdrojov na elimináciu dopadov pandémie COVID-19 bolo presunutých celkovo 1,105 mld. eur do oblastí zameraných na:</w:t>
      </w:r>
    </w:p>
    <w:p w14:paraId="7AC74B7E" w14:textId="77777777" w:rsidR="00001E09" w:rsidRPr="00E91E7B" w:rsidRDefault="00001E09" w:rsidP="00547C43">
      <w:pPr>
        <w:pStyle w:val="Odsekzoznamu"/>
        <w:numPr>
          <w:ilvl w:val="0"/>
          <w:numId w:val="9"/>
        </w:numPr>
        <w:ind w:left="714" w:hanging="357"/>
        <w:contextualSpacing w:val="0"/>
        <w:jc w:val="both"/>
        <w:rPr>
          <w:rFonts w:ascii="Times New Roman" w:hAnsi="Times New Roman"/>
          <w:color w:val="000000" w:themeColor="text1"/>
          <w:sz w:val="24"/>
          <w:szCs w:val="24"/>
          <w:lang w:eastAsia="sk-SK"/>
        </w:rPr>
      </w:pPr>
      <w:r w:rsidRPr="00E91E7B">
        <w:rPr>
          <w:rFonts w:ascii="Times New Roman" w:hAnsi="Times New Roman"/>
          <w:color w:val="000000" w:themeColor="text1"/>
          <w:sz w:val="24"/>
          <w:szCs w:val="24"/>
          <w:lang w:eastAsia="sk-SK"/>
        </w:rPr>
        <w:t xml:space="preserve">podporu udržania zamestnanosti tzv. </w:t>
      </w:r>
      <w:proofErr w:type="spellStart"/>
      <w:r w:rsidRPr="00E91E7B">
        <w:rPr>
          <w:rFonts w:ascii="Times New Roman" w:hAnsi="Times New Roman"/>
          <w:color w:val="000000" w:themeColor="text1"/>
          <w:sz w:val="24"/>
          <w:szCs w:val="24"/>
          <w:lang w:eastAsia="sk-SK"/>
        </w:rPr>
        <w:t>Kurzarbeit</w:t>
      </w:r>
      <w:proofErr w:type="spellEnd"/>
      <w:r w:rsidRPr="00E91E7B">
        <w:rPr>
          <w:rFonts w:ascii="Times New Roman" w:hAnsi="Times New Roman"/>
          <w:color w:val="000000" w:themeColor="text1"/>
          <w:sz w:val="24"/>
          <w:szCs w:val="24"/>
          <w:lang w:eastAsia="sk-SK"/>
        </w:rPr>
        <w:t>: 410,26 mil. eur (OP Ľudské zdroje);</w:t>
      </w:r>
    </w:p>
    <w:p w14:paraId="4AA82D6A" w14:textId="77777777" w:rsidR="00001E09" w:rsidRPr="00E91E7B" w:rsidRDefault="00001E09" w:rsidP="00547C43">
      <w:pPr>
        <w:pStyle w:val="Odsekzoznamu"/>
        <w:numPr>
          <w:ilvl w:val="0"/>
          <w:numId w:val="9"/>
        </w:numPr>
        <w:ind w:left="714" w:hanging="357"/>
        <w:contextualSpacing w:val="0"/>
        <w:jc w:val="both"/>
        <w:rPr>
          <w:rFonts w:ascii="Times New Roman" w:hAnsi="Times New Roman"/>
          <w:color w:val="000000" w:themeColor="text1"/>
          <w:sz w:val="24"/>
          <w:szCs w:val="24"/>
          <w:lang w:eastAsia="sk-SK"/>
        </w:rPr>
      </w:pPr>
      <w:r w:rsidRPr="00E91E7B">
        <w:rPr>
          <w:rFonts w:ascii="Times New Roman" w:hAnsi="Times New Roman"/>
          <w:color w:val="000000" w:themeColor="text1"/>
          <w:sz w:val="24"/>
          <w:szCs w:val="24"/>
          <w:lang w:eastAsia="sk-SK"/>
        </w:rPr>
        <w:t>podporu zdravotníckeho systému: 204,30 mil. eur (OP Integrovaná infraštruktúra, Integrovaný regionálny OP);</w:t>
      </w:r>
    </w:p>
    <w:p w14:paraId="30E3131A" w14:textId="77777777" w:rsidR="00001E09" w:rsidRPr="00E91E7B" w:rsidRDefault="00001E09" w:rsidP="00547C43">
      <w:pPr>
        <w:pStyle w:val="Odsekzoznamu"/>
        <w:numPr>
          <w:ilvl w:val="0"/>
          <w:numId w:val="9"/>
        </w:numPr>
        <w:ind w:left="714" w:hanging="357"/>
        <w:contextualSpacing w:val="0"/>
        <w:jc w:val="both"/>
        <w:rPr>
          <w:rFonts w:ascii="Times New Roman" w:hAnsi="Times New Roman"/>
          <w:color w:val="000000" w:themeColor="text1"/>
          <w:sz w:val="24"/>
          <w:szCs w:val="24"/>
          <w:lang w:eastAsia="sk-SK"/>
        </w:rPr>
      </w:pPr>
      <w:r w:rsidRPr="00E91E7B">
        <w:rPr>
          <w:rFonts w:ascii="Times New Roman" w:hAnsi="Times New Roman"/>
          <w:color w:val="000000" w:themeColor="text1"/>
          <w:sz w:val="24"/>
          <w:szCs w:val="24"/>
          <w:lang w:eastAsia="sk-SK"/>
        </w:rPr>
        <w:t xml:space="preserve">podporu pre </w:t>
      </w:r>
      <w:proofErr w:type="spellStart"/>
      <w:r w:rsidRPr="00E91E7B">
        <w:rPr>
          <w:rFonts w:ascii="Times New Roman" w:hAnsi="Times New Roman"/>
          <w:color w:val="000000" w:themeColor="text1"/>
          <w:sz w:val="24"/>
          <w:szCs w:val="24"/>
          <w:lang w:eastAsia="sk-SK"/>
        </w:rPr>
        <w:t>mikro</w:t>
      </w:r>
      <w:proofErr w:type="spellEnd"/>
      <w:r w:rsidRPr="00E91E7B">
        <w:rPr>
          <w:rFonts w:ascii="Times New Roman" w:hAnsi="Times New Roman"/>
          <w:color w:val="000000" w:themeColor="text1"/>
          <w:sz w:val="24"/>
          <w:szCs w:val="24"/>
          <w:lang w:eastAsia="sk-SK"/>
        </w:rPr>
        <w:t>, malé a stredné podniky: 330,20 mil. eur (OP Integrovaná infraštruktúra);</w:t>
      </w:r>
    </w:p>
    <w:p w14:paraId="12608CE3" w14:textId="77777777" w:rsidR="00001E09" w:rsidRPr="00E91E7B" w:rsidRDefault="00001E09" w:rsidP="00547C43">
      <w:pPr>
        <w:pStyle w:val="Odsekzoznamu"/>
        <w:numPr>
          <w:ilvl w:val="0"/>
          <w:numId w:val="9"/>
        </w:numPr>
        <w:ind w:left="714" w:hanging="357"/>
        <w:contextualSpacing w:val="0"/>
        <w:jc w:val="both"/>
        <w:rPr>
          <w:rFonts w:ascii="Times New Roman" w:hAnsi="Times New Roman"/>
          <w:color w:val="000000" w:themeColor="text1"/>
          <w:sz w:val="24"/>
          <w:szCs w:val="24"/>
          <w:lang w:eastAsia="sk-SK"/>
        </w:rPr>
      </w:pPr>
      <w:r w:rsidRPr="00E91E7B">
        <w:rPr>
          <w:rFonts w:ascii="Times New Roman" w:hAnsi="Times New Roman"/>
          <w:color w:val="000000" w:themeColor="text1"/>
          <w:sz w:val="24"/>
          <w:szCs w:val="24"/>
          <w:lang w:eastAsia="sk-SK"/>
        </w:rPr>
        <w:t>podporu zložiek integrovaného záchranného systému: 51 mil. eur (OP Kvalita životného prostredia);</w:t>
      </w:r>
    </w:p>
    <w:p w14:paraId="1D099C09" w14:textId="77777777" w:rsidR="00001E09" w:rsidRDefault="00001E09" w:rsidP="001E0969">
      <w:pPr>
        <w:pStyle w:val="Odsekzoznamu"/>
        <w:numPr>
          <w:ilvl w:val="0"/>
          <w:numId w:val="9"/>
        </w:numPr>
        <w:spacing w:after="120"/>
        <w:ind w:left="714" w:hanging="357"/>
        <w:contextualSpacing w:val="0"/>
        <w:jc w:val="both"/>
        <w:rPr>
          <w:rFonts w:ascii="Times New Roman" w:hAnsi="Times New Roman"/>
          <w:color w:val="000000" w:themeColor="text1"/>
          <w:sz w:val="24"/>
          <w:szCs w:val="24"/>
          <w:lang w:eastAsia="sk-SK"/>
        </w:rPr>
      </w:pPr>
      <w:r w:rsidRPr="00E91E7B">
        <w:rPr>
          <w:rFonts w:ascii="Times New Roman" w:hAnsi="Times New Roman"/>
          <w:color w:val="000000" w:themeColor="text1"/>
          <w:sz w:val="24"/>
          <w:szCs w:val="24"/>
          <w:lang w:eastAsia="sk-SK"/>
        </w:rPr>
        <w:t>iné opatrenia na zmiernenie dopadov COVID-19: 109,30 mil. eur (OP Ľudské zdroje).</w:t>
      </w:r>
    </w:p>
    <w:p w14:paraId="50164E4A" w14:textId="77777777" w:rsidR="00001E09" w:rsidRPr="00E91E7B" w:rsidRDefault="00001E09" w:rsidP="00240940">
      <w:pPr>
        <w:spacing w:line="240" w:lineRule="auto"/>
        <w:rPr>
          <w:color w:val="000000" w:themeColor="text1"/>
          <w:sz w:val="24"/>
          <w:szCs w:val="24"/>
        </w:rPr>
      </w:pPr>
      <w:r w:rsidRPr="00E91E7B">
        <w:rPr>
          <w:color w:val="000000" w:themeColor="text1"/>
          <w:sz w:val="24"/>
          <w:szCs w:val="24"/>
        </w:rPr>
        <w:t>K 31.12.2022 bolo zo zdrojov určených na elimináciu dopadov COVID-19 na národnej úrovni vyčerpaných 989</w:t>
      </w:r>
      <w:r>
        <w:rPr>
          <w:color w:val="000000" w:themeColor="text1"/>
          <w:sz w:val="24"/>
          <w:szCs w:val="24"/>
        </w:rPr>
        <w:t> 849 tis.</w:t>
      </w:r>
      <w:r w:rsidRPr="00E91E7B">
        <w:rPr>
          <w:color w:val="000000" w:themeColor="text1"/>
          <w:sz w:val="24"/>
          <w:szCs w:val="24"/>
        </w:rPr>
        <w:t xml:space="preserve"> eur za EÚ zdroj, čo predstavuje 89,57 % podiel presunutých zdrojov.</w:t>
      </w:r>
      <w:r>
        <w:rPr>
          <w:color w:val="000000" w:themeColor="text1"/>
          <w:sz w:val="24"/>
          <w:szCs w:val="24"/>
        </w:rPr>
        <w:t xml:space="preserve"> Z toho za rok 2022 bolo vyčerpaných 195 837 tis. eur, čo predstavuje nárast o 17,72 %.</w:t>
      </w:r>
    </w:p>
    <w:p w14:paraId="02C63D36" w14:textId="77777777" w:rsidR="00001E09" w:rsidRPr="004A4621" w:rsidRDefault="00001E09" w:rsidP="00240940">
      <w:pPr>
        <w:spacing w:line="240" w:lineRule="auto"/>
        <w:rPr>
          <w:color w:val="000000" w:themeColor="text1"/>
          <w:sz w:val="24"/>
          <w:szCs w:val="24"/>
        </w:rPr>
      </w:pPr>
      <w:r w:rsidRPr="00E91E7B">
        <w:rPr>
          <w:color w:val="000000" w:themeColor="text1"/>
          <w:sz w:val="24"/>
          <w:szCs w:val="24"/>
        </w:rPr>
        <w:t xml:space="preserve">V roku 2022 boli Slovenskej republike </w:t>
      </w:r>
      <w:r>
        <w:rPr>
          <w:color w:val="000000" w:themeColor="text1"/>
          <w:sz w:val="24"/>
          <w:szCs w:val="24"/>
        </w:rPr>
        <w:t xml:space="preserve">nad rámec alokácie </w:t>
      </w:r>
      <w:r w:rsidRPr="00E91E7B">
        <w:rPr>
          <w:color w:val="000000" w:themeColor="text1"/>
          <w:sz w:val="24"/>
          <w:szCs w:val="24"/>
        </w:rPr>
        <w:t xml:space="preserve">pridelené prostriedky z iniciatívy REACT-EU, ktoré Európska komisia vyčlenila na podporu eliminovania dopadov pandémie. Dodatočná alokácia REACT-EU pre Slovenskú republiku (nezahŕňa alokáciu na Program </w:t>
      </w:r>
      <w:r w:rsidRPr="004A4621">
        <w:rPr>
          <w:color w:val="000000" w:themeColor="text1"/>
          <w:sz w:val="24"/>
          <w:szCs w:val="24"/>
        </w:rPr>
        <w:t xml:space="preserve">rozvoja vidieka) v rámci 2. </w:t>
      </w:r>
      <w:proofErr w:type="spellStart"/>
      <w:r w:rsidRPr="004A4621">
        <w:rPr>
          <w:color w:val="000000" w:themeColor="text1"/>
          <w:sz w:val="24"/>
          <w:szCs w:val="24"/>
        </w:rPr>
        <w:t>tranže</w:t>
      </w:r>
      <w:proofErr w:type="spellEnd"/>
      <w:r w:rsidRPr="004A4621">
        <w:rPr>
          <w:color w:val="000000" w:themeColor="text1"/>
          <w:sz w:val="24"/>
          <w:szCs w:val="24"/>
        </w:rPr>
        <w:t xml:space="preserve"> je vo výške 125 230 tis. eur a navýšila alokáciu OP Ľudské zdroje, Integrovaného regionálneho OP a OP Efektívna verejná správa.</w:t>
      </w:r>
    </w:p>
    <w:p w14:paraId="0A26E94F" w14:textId="535255F1" w:rsidR="00164F67" w:rsidRDefault="00001E09" w:rsidP="00001E09">
      <w:pPr>
        <w:spacing w:line="240" w:lineRule="auto"/>
        <w:rPr>
          <w:color w:val="000000" w:themeColor="text1"/>
          <w:sz w:val="24"/>
          <w:szCs w:val="24"/>
        </w:rPr>
      </w:pPr>
      <w:r w:rsidRPr="004A4621">
        <w:rPr>
          <w:color w:val="000000" w:themeColor="text1"/>
          <w:sz w:val="24"/>
          <w:szCs w:val="24"/>
        </w:rPr>
        <w:t>Z celkovej alokácie 722</w:t>
      </w:r>
      <w:r w:rsidR="006D7F43">
        <w:rPr>
          <w:color w:val="000000" w:themeColor="text1"/>
          <w:sz w:val="24"/>
          <w:szCs w:val="24"/>
        </w:rPr>
        <w:t> 253 tis</w:t>
      </w:r>
      <w:r w:rsidRPr="004A4621">
        <w:rPr>
          <w:color w:val="000000" w:themeColor="text1"/>
          <w:sz w:val="24"/>
          <w:szCs w:val="24"/>
        </w:rPr>
        <w:t>.</w:t>
      </w:r>
      <w:r w:rsidR="006D7F43">
        <w:rPr>
          <w:color w:val="000000" w:themeColor="text1"/>
          <w:sz w:val="24"/>
          <w:szCs w:val="24"/>
        </w:rPr>
        <w:t> </w:t>
      </w:r>
      <w:r w:rsidRPr="004A4621">
        <w:rPr>
          <w:color w:val="000000" w:themeColor="text1"/>
          <w:sz w:val="24"/>
          <w:szCs w:val="24"/>
        </w:rPr>
        <w:t>eur (nezahŕňa alokáciu na Program rozvoja vidieka) bolo k 31.12.2022 za EÚ zdroj vyčerpaných 280</w:t>
      </w:r>
      <w:r w:rsidR="006D7F43">
        <w:rPr>
          <w:color w:val="000000" w:themeColor="text1"/>
          <w:sz w:val="24"/>
          <w:szCs w:val="24"/>
        </w:rPr>
        <w:t> 429 tis</w:t>
      </w:r>
      <w:r w:rsidRPr="004A4621">
        <w:rPr>
          <w:color w:val="000000" w:themeColor="text1"/>
          <w:sz w:val="24"/>
          <w:szCs w:val="24"/>
        </w:rPr>
        <w:t>. eur, čo predstavuje 38,8</w:t>
      </w:r>
      <w:r w:rsidR="006D7F43">
        <w:rPr>
          <w:color w:val="000000" w:themeColor="text1"/>
          <w:sz w:val="24"/>
          <w:szCs w:val="24"/>
        </w:rPr>
        <w:t>3</w:t>
      </w:r>
      <w:r w:rsidRPr="004A4621">
        <w:rPr>
          <w:color w:val="000000" w:themeColor="text1"/>
          <w:sz w:val="24"/>
          <w:szCs w:val="24"/>
        </w:rPr>
        <w:t xml:space="preserve"> %. Zostatok alokácie v sume 44</w:t>
      </w:r>
      <w:r w:rsidR="006D7F43">
        <w:rPr>
          <w:color w:val="000000" w:themeColor="text1"/>
          <w:sz w:val="24"/>
          <w:szCs w:val="24"/>
        </w:rPr>
        <w:t>1 824 tis</w:t>
      </w:r>
      <w:r w:rsidRPr="004A4621">
        <w:rPr>
          <w:color w:val="000000" w:themeColor="text1"/>
          <w:sz w:val="24"/>
          <w:szCs w:val="24"/>
        </w:rPr>
        <w:t>. eur je potrebné vyčerpať na úrovni prijímateľov do 31.12.2023.</w:t>
      </w:r>
    </w:p>
    <w:p w14:paraId="18B7DCE3" w14:textId="77777777" w:rsidR="00164F67" w:rsidRDefault="00164F67">
      <w:pPr>
        <w:spacing w:after="160" w:line="259" w:lineRule="auto"/>
        <w:jc w:val="left"/>
        <w:rPr>
          <w:color w:val="000000" w:themeColor="text1"/>
          <w:sz w:val="24"/>
          <w:szCs w:val="24"/>
        </w:rPr>
      </w:pPr>
      <w:r>
        <w:rPr>
          <w:color w:val="000000" w:themeColor="text1"/>
          <w:sz w:val="24"/>
          <w:szCs w:val="24"/>
        </w:rPr>
        <w:br w:type="page"/>
      </w:r>
    </w:p>
    <w:tbl>
      <w:tblPr>
        <w:tblW w:w="4624" w:type="pct"/>
        <w:tblLayout w:type="fixed"/>
        <w:tblCellMar>
          <w:left w:w="70" w:type="dxa"/>
          <w:right w:w="70" w:type="dxa"/>
        </w:tblCellMar>
        <w:tblLook w:val="04A0" w:firstRow="1" w:lastRow="0" w:firstColumn="1" w:lastColumn="0" w:noHBand="0" w:noVBand="1"/>
        <w:tblCaption w:val="Tabuľka 53 - Prehľad prostriedkov pridelených z iniciatívy REACT EÚ do programov EŠIF (bez PRV) v tis. eur"/>
      </w:tblPr>
      <w:tblGrid>
        <w:gridCol w:w="2243"/>
        <w:gridCol w:w="1273"/>
        <w:gridCol w:w="302"/>
        <w:gridCol w:w="56"/>
        <w:gridCol w:w="1435"/>
        <w:gridCol w:w="1469"/>
        <w:gridCol w:w="1467"/>
        <w:gridCol w:w="232"/>
        <w:gridCol w:w="44"/>
      </w:tblGrid>
      <w:tr w:rsidR="006D7F43" w:rsidRPr="006D7F43" w14:paraId="06FE64F5" w14:textId="77777777" w:rsidTr="003A0696">
        <w:trPr>
          <w:gridAfter w:val="1"/>
          <w:wAfter w:w="26" w:type="pct"/>
          <w:trHeight w:val="194"/>
        </w:trPr>
        <w:tc>
          <w:tcPr>
            <w:tcW w:w="4974" w:type="pct"/>
            <w:gridSpan w:val="8"/>
            <w:tcBorders>
              <w:top w:val="nil"/>
              <w:left w:val="nil"/>
              <w:bottom w:val="single" w:sz="4" w:space="0" w:color="auto"/>
            </w:tcBorders>
          </w:tcPr>
          <w:p w14:paraId="25CB656A" w14:textId="617E8486" w:rsidR="006D7F43" w:rsidRPr="006D7F43" w:rsidRDefault="006D7F43" w:rsidP="00000201">
            <w:pPr>
              <w:spacing w:after="0" w:line="240" w:lineRule="auto"/>
              <w:jc w:val="left"/>
              <w:rPr>
                <w:rFonts w:eastAsia="Times New Roman" w:cs="Times New Roman"/>
                <w:b/>
                <w:bCs/>
                <w:color w:val="5B9BD5"/>
                <w:sz w:val="20"/>
                <w:szCs w:val="20"/>
                <w:lang w:eastAsia="sk-SK"/>
              </w:rPr>
            </w:pPr>
            <w:r w:rsidRPr="006D7F43">
              <w:rPr>
                <w:rFonts w:eastAsia="Times New Roman" w:cs="Times New Roman"/>
                <w:b/>
                <w:bCs/>
                <w:color w:val="5B9BD5"/>
                <w:sz w:val="20"/>
                <w:szCs w:val="20"/>
                <w:lang w:eastAsia="sk-SK"/>
              </w:rPr>
              <w:lastRenderedPageBreak/>
              <w:t xml:space="preserve">Tabuľka </w:t>
            </w:r>
            <w:r>
              <w:rPr>
                <w:rFonts w:eastAsia="Times New Roman" w:cs="Times New Roman"/>
                <w:b/>
                <w:bCs/>
                <w:color w:val="5B9BD5"/>
                <w:sz w:val="20"/>
                <w:szCs w:val="20"/>
                <w:lang w:eastAsia="sk-SK"/>
              </w:rPr>
              <w:t>6</w:t>
            </w:r>
            <w:r w:rsidR="00000201">
              <w:rPr>
                <w:rFonts w:eastAsia="Times New Roman" w:cs="Times New Roman"/>
                <w:b/>
                <w:bCs/>
                <w:color w:val="5B9BD5"/>
                <w:sz w:val="20"/>
                <w:szCs w:val="20"/>
                <w:lang w:eastAsia="sk-SK"/>
              </w:rPr>
              <w:t>8</w:t>
            </w:r>
            <w:r w:rsidRPr="006D7F43">
              <w:rPr>
                <w:rFonts w:eastAsia="Times New Roman" w:cs="Times New Roman"/>
                <w:b/>
                <w:bCs/>
                <w:color w:val="5B9BD5"/>
                <w:sz w:val="20"/>
                <w:szCs w:val="20"/>
                <w:lang w:eastAsia="sk-SK"/>
              </w:rPr>
              <w:t xml:space="preserve"> - Prehľad prostriedkov pridelených z iniciatívy REACT EÚ do programov EŠIF (bez PRV) v tis. eur</w:t>
            </w:r>
          </w:p>
        </w:tc>
      </w:tr>
      <w:tr w:rsidR="006D7F43" w:rsidRPr="006D7F43" w14:paraId="0737B524" w14:textId="77777777" w:rsidTr="00164F67">
        <w:trPr>
          <w:trHeight w:val="372"/>
        </w:trPr>
        <w:tc>
          <w:tcPr>
            <w:tcW w:w="1316" w:type="pct"/>
            <w:tcBorders>
              <w:top w:val="single" w:sz="4" w:space="0" w:color="auto"/>
              <w:left w:val="nil"/>
              <w:bottom w:val="nil"/>
              <w:right w:val="nil"/>
            </w:tcBorders>
            <w:shd w:val="clear" w:color="auto" w:fill="auto"/>
            <w:vAlign w:val="center"/>
            <w:hideMark/>
          </w:tcPr>
          <w:p w14:paraId="6873CF7C" w14:textId="77777777" w:rsidR="006D7F43" w:rsidRPr="006D7F43" w:rsidRDefault="006D7F43" w:rsidP="006D7F43">
            <w:pPr>
              <w:spacing w:after="0" w:line="240" w:lineRule="auto"/>
              <w:jc w:val="left"/>
              <w:rPr>
                <w:rFonts w:eastAsia="Times New Roman" w:cs="Times New Roman"/>
                <w:b/>
                <w:bCs/>
                <w:color w:val="FFFFFF"/>
                <w:sz w:val="20"/>
                <w:szCs w:val="20"/>
                <w:lang w:eastAsia="sk-SK"/>
              </w:rPr>
            </w:pPr>
            <w:r w:rsidRPr="006D7F43">
              <w:rPr>
                <w:rFonts w:eastAsia="Times New Roman" w:cs="Times New Roman"/>
                <w:b/>
                <w:bCs/>
                <w:color w:val="000000"/>
                <w:sz w:val="20"/>
                <w:szCs w:val="20"/>
                <w:lang w:eastAsia="sk-SK"/>
              </w:rPr>
              <w:t>Operačný program</w:t>
            </w:r>
          </w:p>
        </w:tc>
        <w:tc>
          <w:tcPr>
            <w:tcW w:w="924" w:type="pct"/>
            <w:gridSpan w:val="2"/>
            <w:tcBorders>
              <w:top w:val="single" w:sz="4" w:space="0" w:color="auto"/>
              <w:left w:val="nil"/>
              <w:bottom w:val="nil"/>
              <w:right w:val="nil"/>
            </w:tcBorders>
            <w:shd w:val="clear" w:color="auto" w:fill="auto"/>
            <w:vAlign w:val="center"/>
            <w:hideMark/>
          </w:tcPr>
          <w:p w14:paraId="3DEBC900" w14:textId="77777777" w:rsidR="006D7F43" w:rsidRPr="006D7F43" w:rsidRDefault="006D7F43" w:rsidP="006D7F43">
            <w:pPr>
              <w:spacing w:after="0" w:line="240" w:lineRule="auto"/>
              <w:jc w:val="center"/>
              <w:rPr>
                <w:rFonts w:eastAsia="Times New Roman" w:cs="Times New Roman"/>
                <w:b/>
                <w:bCs/>
                <w:color w:val="000000"/>
                <w:sz w:val="20"/>
                <w:szCs w:val="20"/>
                <w:lang w:eastAsia="sk-SK"/>
              </w:rPr>
            </w:pPr>
            <w:r w:rsidRPr="006D7F43">
              <w:rPr>
                <w:rFonts w:eastAsia="Times New Roman" w:cs="Times New Roman"/>
                <w:b/>
                <w:bCs/>
                <w:color w:val="000000"/>
                <w:sz w:val="20"/>
                <w:szCs w:val="20"/>
                <w:lang w:eastAsia="sk-SK"/>
              </w:rPr>
              <w:t xml:space="preserve">Prvá </w:t>
            </w:r>
            <w:proofErr w:type="spellStart"/>
            <w:r w:rsidRPr="006D7F43">
              <w:rPr>
                <w:rFonts w:eastAsia="Times New Roman" w:cs="Times New Roman"/>
                <w:b/>
                <w:bCs/>
                <w:color w:val="000000"/>
                <w:sz w:val="20"/>
                <w:szCs w:val="20"/>
                <w:lang w:eastAsia="sk-SK"/>
              </w:rPr>
              <w:t>tranža</w:t>
            </w:r>
            <w:proofErr w:type="spellEnd"/>
          </w:p>
        </w:tc>
        <w:tc>
          <w:tcPr>
            <w:tcW w:w="875" w:type="pct"/>
            <w:gridSpan w:val="2"/>
            <w:tcBorders>
              <w:top w:val="single" w:sz="4" w:space="0" w:color="auto"/>
              <w:left w:val="nil"/>
              <w:bottom w:val="nil"/>
              <w:right w:val="nil"/>
            </w:tcBorders>
            <w:shd w:val="clear" w:color="auto" w:fill="auto"/>
            <w:vAlign w:val="center"/>
            <w:hideMark/>
          </w:tcPr>
          <w:p w14:paraId="198ACFA2" w14:textId="77777777" w:rsidR="006D7F43" w:rsidRPr="006D7F43" w:rsidRDefault="006D7F43" w:rsidP="006D7F43">
            <w:pPr>
              <w:spacing w:after="0" w:line="240" w:lineRule="auto"/>
              <w:jc w:val="center"/>
              <w:rPr>
                <w:rFonts w:eastAsia="Times New Roman" w:cs="Times New Roman"/>
                <w:b/>
                <w:bCs/>
                <w:color w:val="000000"/>
                <w:sz w:val="20"/>
                <w:szCs w:val="20"/>
                <w:lang w:eastAsia="sk-SK"/>
              </w:rPr>
            </w:pPr>
            <w:r w:rsidRPr="006D7F43">
              <w:rPr>
                <w:rFonts w:eastAsia="Times New Roman" w:cs="Times New Roman"/>
                <w:b/>
                <w:bCs/>
                <w:color w:val="000000"/>
                <w:sz w:val="20"/>
                <w:szCs w:val="20"/>
                <w:lang w:eastAsia="sk-SK"/>
              </w:rPr>
              <w:t xml:space="preserve">Druhá </w:t>
            </w:r>
            <w:proofErr w:type="spellStart"/>
            <w:r w:rsidRPr="006D7F43">
              <w:rPr>
                <w:rFonts w:eastAsia="Times New Roman" w:cs="Times New Roman"/>
                <w:b/>
                <w:bCs/>
                <w:color w:val="000000"/>
                <w:sz w:val="20"/>
                <w:szCs w:val="20"/>
                <w:lang w:eastAsia="sk-SK"/>
              </w:rPr>
              <w:t>tranža</w:t>
            </w:r>
            <w:proofErr w:type="spellEnd"/>
          </w:p>
        </w:tc>
        <w:tc>
          <w:tcPr>
            <w:tcW w:w="862" w:type="pct"/>
            <w:tcBorders>
              <w:top w:val="single" w:sz="4" w:space="0" w:color="auto"/>
              <w:left w:val="nil"/>
              <w:bottom w:val="nil"/>
              <w:right w:val="nil"/>
            </w:tcBorders>
            <w:shd w:val="clear" w:color="auto" w:fill="auto"/>
            <w:vAlign w:val="center"/>
            <w:hideMark/>
          </w:tcPr>
          <w:p w14:paraId="7D4C2A07" w14:textId="77777777" w:rsidR="006D7F43" w:rsidRPr="006D7F43" w:rsidRDefault="006D7F43" w:rsidP="006D7F43">
            <w:pPr>
              <w:spacing w:after="0" w:line="240" w:lineRule="auto"/>
              <w:jc w:val="center"/>
              <w:rPr>
                <w:rFonts w:eastAsia="Times New Roman" w:cs="Times New Roman"/>
                <w:b/>
                <w:bCs/>
                <w:color w:val="000000"/>
                <w:sz w:val="20"/>
                <w:szCs w:val="20"/>
                <w:lang w:eastAsia="sk-SK"/>
              </w:rPr>
            </w:pPr>
            <w:r w:rsidRPr="006D7F43">
              <w:rPr>
                <w:rFonts w:eastAsia="Times New Roman" w:cs="Times New Roman"/>
                <w:b/>
                <w:bCs/>
                <w:color w:val="000000"/>
                <w:sz w:val="20"/>
                <w:szCs w:val="20"/>
                <w:lang w:eastAsia="sk-SK"/>
              </w:rPr>
              <w:t>Spolu</w:t>
            </w:r>
          </w:p>
        </w:tc>
        <w:tc>
          <w:tcPr>
            <w:tcW w:w="861" w:type="pct"/>
            <w:tcBorders>
              <w:top w:val="single" w:sz="4" w:space="0" w:color="auto"/>
              <w:left w:val="nil"/>
              <w:bottom w:val="nil"/>
              <w:right w:val="nil"/>
            </w:tcBorders>
            <w:vAlign w:val="center"/>
          </w:tcPr>
          <w:p w14:paraId="6DF546E0" w14:textId="77777777" w:rsidR="006D7F43" w:rsidRPr="006D7F43" w:rsidRDefault="006D7F43" w:rsidP="006D7F43">
            <w:pPr>
              <w:spacing w:after="0" w:line="240" w:lineRule="auto"/>
              <w:jc w:val="center"/>
              <w:rPr>
                <w:rFonts w:eastAsia="Times New Roman" w:cs="Times New Roman"/>
                <w:b/>
                <w:bCs/>
                <w:color w:val="000000"/>
                <w:sz w:val="20"/>
                <w:szCs w:val="20"/>
                <w:lang w:eastAsia="sk-SK"/>
              </w:rPr>
            </w:pPr>
            <w:r w:rsidRPr="006D7F43">
              <w:rPr>
                <w:rFonts w:eastAsia="Times New Roman" w:cs="Times New Roman"/>
                <w:b/>
                <w:bCs/>
                <w:color w:val="000000"/>
                <w:sz w:val="20"/>
                <w:szCs w:val="20"/>
                <w:lang w:eastAsia="sk-SK"/>
              </w:rPr>
              <w:t>Čerpanie</w:t>
            </w:r>
          </w:p>
        </w:tc>
        <w:tc>
          <w:tcPr>
            <w:tcW w:w="162" w:type="pct"/>
            <w:gridSpan w:val="2"/>
            <w:tcBorders>
              <w:top w:val="single" w:sz="4" w:space="0" w:color="auto"/>
              <w:left w:val="nil"/>
              <w:bottom w:val="nil"/>
              <w:right w:val="nil"/>
            </w:tcBorders>
          </w:tcPr>
          <w:p w14:paraId="75ACF4C9" w14:textId="77777777" w:rsidR="006D7F43" w:rsidRPr="006D7F43" w:rsidRDefault="006D7F43" w:rsidP="006D7F43">
            <w:pPr>
              <w:spacing w:after="0" w:line="240" w:lineRule="auto"/>
              <w:jc w:val="center"/>
              <w:rPr>
                <w:rFonts w:eastAsia="Times New Roman" w:cs="Times New Roman"/>
                <w:b/>
                <w:bCs/>
                <w:color w:val="000000"/>
                <w:sz w:val="20"/>
                <w:szCs w:val="20"/>
                <w:lang w:eastAsia="sk-SK"/>
              </w:rPr>
            </w:pPr>
          </w:p>
        </w:tc>
      </w:tr>
      <w:tr w:rsidR="006D7F43" w:rsidRPr="006D7F43" w14:paraId="2576BF2B" w14:textId="77777777" w:rsidTr="003A0696">
        <w:trPr>
          <w:trHeight w:val="167"/>
        </w:trPr>
        <w:tc>
          <w:tcPr>
            <w:tcW w:w="1316" w:type="pct"/>
            <w:tcBorders>
              <w:top w:val="single" w:sz="4" w:space="0" w:color="auto"/>
              <w:left w:val="nil"/>
              <w:bottom w:val="nil"/>
              <w:right w:val="nil"/>
            </w:tcBorders>
            <w:shd w:val="clear" w:color="auto" w:fill="auto"/>
            <w:vAlign w:val="center"/>
            <w:hideMark/>
          </w:tcPr>
          <w:p w14:paraId="7F2CCBC3" w14:textId="77777777" w:rsidR="006D7F43" w:rsidRPr="006D7F43" w:rsidRDefault="006D7F43" w:rsidP="006D7F43">
            <w:pPr>
              <w:spacing w:after="0" w:line="240" w:lineRule="auto"/>
              <w:jc w:val="left"/>
              <w:rPr>
                <w:rFonts w:eastAsia="Times New Roman" w:cs="Times New Roman"/>
                <w:color w:val="000000"/>
                <w:sz w:val="20"/>
                <w:szCs w:val="20"/>
                <w:lang w:eastAsia="sk-SK"/>
              </w:rPr>
            </w:pPr>
            <w:r w:rsidRPr="006D7F43">
              <w:rPr>
                <w:rFonts w:eastAsia="Times New Roman" w:cs="Times New Roman"/>
                <w:color w:val="000000"/>
                <w:sz w:val="20"/>
                <w:szCs w:val="20"/>
                <w:lang w:eastAsia="sk-SK"/>
              </w:rPr>
              <w:t>OP ĽZ</w:t>
            </w:r>
          </w:p>
        </w:tc>
        <w:tc>
          <w:tcPr>
            <w:tcW w:w="747" w:type="pct"/>
            <w:tcBorders>
              <w:top w:val="single" w:sz="4" w:space="0" w:color="auto"/>
              <w:left w:val="nil"/>
              <w:bottom w:val="nil"/>
              <w:right w:val="nil"/>
            </w:tcBorders>
            <w:shd w:val="clear" w:color="auto" w:fill="auto"/>
            <w:noWrap/>
            <w:vAlign w:val="center"/>
            <w:hideMark/>
          </w:tcPr>
          <w:p w14:paraId="7492060D"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r w:rsidRPr="006D7F43">
              <w:rPr>
                <w:rFonts w:eastAsia="Times New Roman" w:cs="Times New Roman"/>
                <w:color w:val="000000"/>
                <w:sz w:val="20"/>
                <w:szCs w:val="20"/>
                <w:lang w:eastAsia="sk-SK"/>
              </w:rPr>
              <w:t>316 832</w:t>
            </w:r>
          </w:p>
        </w:tc>
        <w:tc>
          <w:tcPr>
            <w:tcW w:w="210" w:type="pct"/>
            <w:gridSpan w:val="2"/>
            <w:tcBorders>
              <w:top w:val="single" w:sz="4" w:space="0" w:color="auto"/>
              <w:left w:val="nil"/>
              <w:bottom w:val="nil"/>
              <w:right w:val="nil"/>
            </w:tcBorders>
            <w:shd w:val="clear" w:color="auto" w:fill="auto"/>
            <w:noWrap/>
            <w:vAlign w:val="center"/>
            <w:hideMark/>
          </w:tcPr>
          <w:p w14:paraId="20FF17A3"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p>
        </w:tc>
        <w:tc>
          <w:tcPr>
            <w:tcW w:w="842" w:type="pct"/>
            <w:tcBorders>
              <w:top w:val="single" w:sz="4" w:space="0" w:color="auto"/>
              <w:left w:val="nil"/>
              <w:bottom w:val="nil"/>
              <w:right w:val="nil"/>
            </w:tcBorders>
            <w:shd w:val="clear" w:color="auto" w:fill="auto"/>
            <w:noWrap/>
            <w:vAlign w:val="center"/>
            <w:hideMark/>
          </w:tcPr>
          <w:p w14:paraId="753A85E1"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r w:rsidRPr="006D7F43">
              <w:rPr>
                <w:rFonts w:eastAsia="Times New Roman" w:cs="Times New Roman"/>
                <w:color w:val="000000"/>
                <w:sz w:val="20"/>
                <w:szCs w:val="20"/>
                <w:lang w:eastAsia="sk-SK"/>
              </w:rPr>
              <w:t>66 458</w:t>
            </w:r>
          </w:p>
        </w:tc>
        <w:tc>
          <w:tcPr>
            <w:tcW w:w="862" w:type="pct"/>
            <w:tcBorders>
              <w:top w:val="single" w:sz="4" w:space="0" w:color="auto"/>
              <w:left w:val="nil"/>
              <w:bottom w:val="nil"/>
              <w:right w:val="nil"/>
            </w:tcBorders>
            <w:shd w:val="clear" w:color="auto" w:fill="auto"/>
            <w:noWrap/>
            <w:vAlign w:val="center"/>
            <w:hideMark/>
          </w:tcPr>
          <w:p w14:paraId="612EF562"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r w:rsidRPr="006D7F43">
              <w:rPr>
                <w:rFonts w:eastAsia="Times New Roman" w:cs="Times New Roman"/>
                <w:color w:val="000000"/>
                <w:sz w:val="20"/>
                <w:szCs w:val="20"/>
                <w:lang w:eastAsia="sk-SK"/>
              </w:rPr>
              <w:t>383 290</w:t>
            </w:r>
          </w:p>
        </w:tc>
        <w:tc>
          <w:tcPr>
            <w:tcW w:w="861" w:type="pct"/>
            <w:tcBorders>
              <w:top w:val="single" w:sz="4" w:space="0" w:color="auto"/>
              <w:left w:val="nil"/>
              <w:bottom w:val="nil"/>
              <w:right w:val="nil"/>
            </w:tcBorders>
          </w:tcPr>
          <w:p w14:paraId="61889920" w14:textId="77777777" w:rsidR="006D7F43" w:rsidRPr="006D7F43" w:rsidRDefault="006D7F43" w:rsidP="006D7F43">
            <w:pPr>
              <w:spacing w:after="0" w:line="240" w:lineRule="auto"/>
              <w:jc w:val="right"/>
              <w:rPr>
                <w:rFonts w:eastAsia="Times New Roman" w:cs="Times New Roman"/>
                <w:color w:val="000000"/>
                <w:sz w:val="20"/>
                <w:szCs w:val="20"/>
                <w:lang w:eastAsia="sk-SK"/>
              </w:rPr>
            </w:pPr>
            <w:r w:rsidRPr="006D7F43">
              <w:rPr>
                <w:rFonts w:eastAsia="Times New Roman" w:cs="Times New Roman"/>
                <w:color w:val="000000"/>
                <w:sz w:val="20"/>
                <w:szCs w:val="20"/>
                <w:lang w:eastAsia="sk-SK"/>
              </w:rPr>
              <w:t>138 041</w:t>
            </w:r>
          </w:p>
        </w:tc>
        <w:tc>
          <w:tcPr>
            <w:tcW w:w="162" w:type="pct"/>
            <w:gridSpan w:val="2"/>
            <w:tcBorders>
              <w:top w:val="single" w:sz="4" w:space="0" w:color="auto"/>
              <w:left w:val="nil"/>
              <w:bottom w:val="nil"/>
              <w:right w:val="nil"/>
            </w:tcBorders>
          </w:tcPr>
          <w:p w14:paraId="50674960" w14:textId="77777777" w:rsidR="006D7F43" w:rsidRPr="006D7F43" w:rsidRDefault="006D7F43" w:rsidP="006D7F43">
            <w:pPr>
              <w:spacing w:after="0" w:line="240" w:lineRule="auto"/>
              <w:jc w:val="right"/>
              <w:rPr>
                <w:rFonts w:eastAsia="Times New Roman" w:cs="Times New Roman"/>
                <w:color w:val="000000"/>
                <w:sz w:val="20"/>
                <w:szCs w:val="20"/>
                <w:lang w:eastAsia="sk-SK"/>
              </w:rPr>
            </w:pPr>
          </w:p>
        </w:tc>
      </w:tr>
      <w:tr w:rsidR="006D7F43" w:rsidRPr="006D7F43" w14:paraId="76757B89" w14:textId="77777777" w:rsidTr="003A0696">
        <w:trPr>
          <w:trHeight w:val="458"/>
        </w:trPr>
        <w:tc>
          <w:tcPr>
            <w:tcW w:w="1316" w:type="pct"/>
            <w:tcBorders>
              <w:top w:val="nil"/>
              <w:left w:val="nil"/>
              <w:bottom w:val="nil"/>
              <w:right w:val="nil"/>
            </w:tcBorders>
            <w:shd w:val="clear" w:color="auto" w:fill="auto"/>
            <w:vAlign w:val="center"/>
            <w:hideMark/>
          </w:tcPr>
          <w:p w14:paraId="57909F8C" w14:textId="77777777" w:rsidR="006D7F43" w:rsidRPr="006D7F43" w:rsidRDefault="006D7F43" w:rsidP="006D7F43">
            <w:pPr>
              <w:spacing w:after="0" w:line="240" w:lineRule="auto"/>
              <w:jc w:val="left"/>
              <w:rPr>
                <w:rFonts w:eastAsia="Times New Roman" w:cs="Times New Roman"/>
                <w:color w:val="000000"/>
                <w:sz w:val="20"/>
                <w:szCs w:val="20"/>
                <w:lang w:eastAsia="sk-SK"/>
              </w:rPr>
            </w:pPr>
            <w:r w:rsidRPr="006D7F43">
              <w:rPr>
                <w:rFonts w:eastAsia="Times New Roman" w:cs="Times New Roman"/>
                <w:color w:val="000000"/>
                <w:sz w:val="20"/>
                <w:szCs w:val="20"/>
                <w:lang w:eastAsia="sk-SK"/>
              </w:rPr>
              <w:t>IROP</w:t>
            </w:r>
          </w:p>
        </w:tc>
        <w:tc>
          <w:tcPr>
            <w:tcW w:w="747" w:type="pct"/>
            <w:tcBorders>
              <w:top w:val="nil"/>
              <w:left w:val="nil"/>
              <w:bottom w:val="nil"/>
              <w:right w:val="nil"/>
            </w:tcBorders>
            <w:shd w:val="clear" w:color="auto" w:fill="auto"/>
            <w:noWrap/>
            <w:vAlign w:val="center"/>
            <w:hideMark/>
          </w:tcPr>
          <w:p w14:paraId="6245B046"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r w:rsidRPr="006D7F43">
              <w:rPr>
                <w:rFonts w:eastAsia="Times New Roman" w:cs="Times New Roman"/>
                <w:color w:val="000000"/>
                <w:sz w:val="20"/>
                <w:szCs w:val="20"/>
                <w:lang w:eastAsia="sk-SK"/>
              </w:rPr>
              <w:t>194 901</w:t>
            </w:r>
          </w:p>
        </w:tc>
        <w:tc>
          <w:tcPr>
            <w:tcW w:w="210" w:type="pct"/>
            <w:gridSpan w:val="2"/>
            <w:tcBorders>
              <w:top w:val="nil"/>
              <w:left w:val="nil"/>
              <w:bottom w:val="nil"/>
              <w:right w:val="nil"/>
            </w:tcBorders>
            <w:shd w:val="clear" w:color="auto" w:fill="auto"/>
            <w:noWrap/>
            <w:vAlign w:val="center"/>
          </w:tcPr>
          <w:p w14:paraId="26885548"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p>
        </w:tc>
        <w:tc>
          <w:tcPr>
            <w:tcW w:w="842" w:type="pct"/>
            <w:tcBorders>
              <w:top w:val="nil"/>
              <w:left w:val="nil"/>
              <w:bottom w:val="nil"/>
              <w:right w:val="nil"/>
            </w:tcBorders>
            <w:shd w:val="clear" w:color="auto" w:fill="auto"/>
            <w:noWrap/>
            <w:vAlign w:val="center"/>
            <w:hideMark/>
          </w:tcPr>
          <w:p w14:paraId="573C7B8E" w14:textId="77777777" w:rsidR="006D7F43" w:rsidRPr="006D7F43" w:rsidRDefault="006D7F43" w:rsidP="006D7F43">
            <w:pPr>
              <w:spacing w:after="0" w:line="240" w:lineRule="auto"/>
              <w:jc w:val="right"/>
              <w:rPr>
                <w:rFonts w:eastAsia="Times New Roman" w:cs="Times New Roman"/>
                <w:color w:val="000000"/>
                <w:sz w:val="20"/>
                <w:szCs w:val="20"/>
                <w:lang w:eastAsia="sk-SK"/>
              </w:rPr>
            </w:pPr>
            <w:r w:rsidRPr="006D7F43">
              <w:rPr>
                <w:rFonts w:eastAsia="Times New Roman" w:cs="Times New Roman"/>
                <w:color w:val="000000"/>
                <w:sz w:val="20"/>
                <w:szCs w:val="20"/>
                <w:lang w:eastAsia="sk-SK"/>
              </w:rPr>
              <w:t>40 882</w:t>
            </w:r>
          </w:p>
        </w:tc>
        <w:tc>
          <w:tcPr>
            <w:tcW w:w="862" w:type="pct"/>
            <w:tcBorders>
              <w:top w:val="nil"/>
              <w:left w:val="nil"/>
              <w:bottom w:val="nil"/>
              <w:right w:val="nil"/>
            </w:tcBorders>
            <w:shd w:val="clear" w:color="auto" w:fill="auto"/>
            <w:noWrap/>
            <w:vAlign w:val="center"/>
            <w:hideMark/>
          </w:tcPr>
          <w:p w14:paraId="465CCC9B"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r w:rsidRPr="006D7F43">
              <w:rPr>
                <w:rFonts w:eastAsia="Times New Roman" w:cs="Times New Roman"/>
                <w:color w:val="000000"/>
                <w:sz w:val="20"/>
                <w:szCs w:val="20"/>
                <w:lang w:eastAsia="sk-SK"/>
              </w:rPr>
              <w:t>235 783</w:t>
            </w:r>
          </w:p>
        </w:tc>
        <w:tc>
          <w:tcPr>
            <w:tcW w:w="861" w:type="pct"/>
            <w:tcBorders>
              <w:top w:val="nil"/>
              <w:left w:val="nil"/>
              <w:bottom w:val="nil"/>
              <w:right w:val="nil"/>
            </w:tcBorders>
            <w:vAlign w:val="center"/>
          </w:tcPr>
          <w:p w14:paraId="71221DDD" w14:textId="77777777" w:rsidR="006D7F43" w:rsidRPr="006D7F43" w:rsidRDefault="006D7F43" w:rsidP="006D7F43">
            <w:pPr>
              <w:spacing w:after="0" w:line="240" w:lineRule="auto"/>
              <w:jc w:val="right"/>
              <w:rPr>
                <w:rFonts w:eastAsia="Times New Roman" w:cs="Times New Roman"/>
                <w:color w:val="000000"/>
                <w:sz w:val="20"/>
                <w:szCs w:val="20"/>
                <w:lang w:eastAsia="sk-SK"/>
              </w:rPr>
            </w:pPr>
            <w:r w:rsidRPr="006D7F43">
              <w:rPr>
                <w:rFonts w:eastAsia="Times New Roman" w:cs="Times New Roman"/>
                <w:color w:val="000000"/>
                <w:sz w:val="20"/>
                <w:szCs w:val="20"/>
                <w:lang w:eastAsia="sk-SK"/>
              </w:rPr>
              <w:t>58 466</w:t>
            </w:r>
          </w:p>
        </w:tc>
        <w:tc>
          <w:tcPr>
            <w:tcW w:w="162" w:type="pct"/>
            <w:gridSpan w:val="2"/>
            <w:tcBorders>
              <w:top w:val="nil"/>
              <w:left w:val="nil"/>
              <w:bottom w:val="nil"/>
              <w:right w:val="nil"/>
            </w:tcBorders>
          </w:tcPr>
          <w:p w14:paraId="44E09308" w14:textId="77777777" w:rsidR="006D7F43" w:rsidRPr="006D7F43" w:rsidRDefault="006D7F43" w:rsidP="006D7F43">
            <w:pPr>
              <w:spacing w:after="0" w:line="240" w:lineRule="auto"/>
              <w:jc w:val="right"/>
              <w:rPr>
                <w:rFonts w:eastAsia="Times New Roman" w:cs="Times New Roman"/>
                <w:color w:val="000000"/>
                <w:sz w:val="20"/>
                <w:szCs w:val="20"/>
                <w:lang w:eastAsia="sk-SK"/>
              </w:rPr>
            </w:pPr>
          </w:p>
        </w:tc>
      </w:tr>
      <w:tr w:rsidR="006D7F43" w:rsidRPr="006D7F43" w14:paraId="4F214191" w14:textId="77777777" w:rsidTr="006D7F43">
        <w:trPr>
          <w:trHeight w:val="245"/>
        </w:trPr>
        <w:tc>
          <w:tcPr>
            <w:tcW w:w="1316" w:type="pct"/>
            <w:tcBorders>
              <w:top w:val="nil"/>
              <w:left w:val="nil"/>
              <w:right w:val="nil"/>
            </w:tcBorders>
            <w:shd w:val="clear" w:color="auto" w:fill="auto"/>
            <w:vAlign w:val="center"/>
          </w:tcPr>
          <w:p w14:paraId="14112A9D" w14:textId="77777777" w:rsidR="006D7F43" w:rsidRPr="006D7F43" w:rsidRDefault="006D7F43" w:rsidP="006D7F43">
            <w:pPr>
              <w:spacing w:after="0" w:line="240" w:lineRule="auto"/>
              <w:jc w:val="left"/>
              <w:rPr>
                <w:rFonts w:eastAsia="Times New Roman" w:cs="Times New Roman"/>
                <w:color w:val="000000"/>
                <w:sz w:val="20"/>
                <w:szCs w:val="20"/>
                <w:lang w:eastAsia="sk-SK"/>
              </w:rPr>
            </w:pPr>
            <w:r w:rsidRPr="006D7F43">
              <w:rPr>
                <w:rFonts w:eastAsia="Times New Roman" w:cs="Times New Roman"/>
                <w:color w:val="000000"/>
                <w:sz w:val="20"/>
                <w:szCs w:val="20"/>
                <w:lang w:eastAsia="sk-SK"/>
              </w:rPr>
              <w:t>OP EVS</w:t>
            </w:r>
          </w:p>
        </w:tc>
        <w:tc>
          <w:tcPr>
            <w:tcW w:w="747" w:type="pct"/>
            <w:tcBorders>
              <w:top w:val="nil"/>
              <w:left w:val="nil"/>
              <w:right w:val="nil"/>
            </w:tcBorders>
            <w:shd w:val="clear" w:color="auto" w:fill="auto"/>
            <w:noWrap/>
            <w:vAlign w:val="center"/>
          </w:tcPr>
          <w:p w14:paraId="719C759D"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r w:rsidRPr="006D7F43">
              <w:rPr>
                <w:rFonts w:eastAsia="Times New Roman" w:cs="Times New Roman"/>
                <w:color w:val="000000"/>
                <w:sz w:val="20"/>
                <w:szCs w:val="20"/>
                <w:lang w:eastAsia="sk-SK"/>
              </w:rPr>
              <w:t>85 289</w:t>
            </w:r>
          </w:p>
        </w:tc>
        <w:tc>
          <w:tcPr>
            <w:tcW w:w="210" w:type="pct"/>
            <w:gridSpan w:val="2"/>
            <w:tcBorders>
              <w:top w:val="nil"/>
              <w:left w:val="nil"/>
              <w:right w:val="nil"/>
            </w:tcBorders>
            <w:shd w:val="clear" w:color="auto" w:fill="auto"/>
            <w:noWrap/>
            <w:vAlign w:val="center"/>
          </w:tcPr>
          <w:p w14:paraId="1A590B2A"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p>
        </w:tc>
        <w:tc>
          <w:tcPr>
            <w:tcW w:w="842" w:type="pct"/>
            <w:tcBorders>
              <w:top w:val="nil"/>
              <w:left w:val="nil"/>
              <w:right w:val="nil"/>
            </w:tcBorders>
            <w:shd w:val="clear" w:color="auto" w:fill="auto"/>
            <w:noWrap/>
            <w:vAlign w:val="center"/>
            <w:hideMark/>
          </w:tcPr>
          <w:p w14:paraId="650DF8F0"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r w:rsidRPr="006D7F43">
              <w:rPr>
                <w:rFonts w:eastAsia="Times New Roman" w:cs="Times New Roman"/>
                <w:color w:val="000000"/>
                <w:sz w:val="20"/>
                <w:szCs w:val="20"/>
                <w:lang w:eastAsia="sk-SK"/>
              </w:rPr>
              <w:t>17 890</w:t>
            </w:r>
          </w:p>
        </w:tc>
        <w:tc>
          <w:tcPr>
            <w:tcW w:w="862" w:type="pct"/>
            <w:tcBorders>
              <w:top w:val="nil"/>
              <w:left w:val="nil"/>
              <w:right w:val="nil"/>
            </w:tcBorders>
            <w:shd w:val="clear" w:color="auto" w:fill="auto"/>
            <w:noWrap/>
            <w:vAlign w:val="center"/>
            <w:hideMark/>
          </w:tcPr>
          <w:p w14:paraId="6413EF3E" w14:textId="77777777" w:rsidR="006D7F43" w:rsidRPr="006D7F43" w:rsidRDefault="006D7F43" w:rsidP="006D7F43">
            <w:pPr>
              <w:spacing w:after="0" w:line="240" w:lineRule="auto"/>
              <w:jc w:val="right"/>
              <w:rPr>
                <w:rFonts w:eastAsia="Times New Roman" w:cs="Times New Roman"/>
                <w:color w:val="000000"/>
                <w:sz w:val="20"/>
                <w:szCs w:val="20"/>
                <w:highlight w:val="yellow"/>
                <w:lang w:eastAsia="sk-SK"/>
              </w:rPr>
            </w:pPr>
            <w:r w:rsidRPr="006D7F43">
              <w:rPr>
                <w:rFonts w:eastAsia="Times New Roman" w:cs="Times New Roman"/>
                <w:color w:val="000000"/>
                <w:sz w:val="20"/>
                <w:szCs w:val="20"/>
                <w:lang w:eastAsia="sk-SK"/>
              </w:rPr>
              <w:t>103 179</w:t>
            </w:r>
          </w:p>
        </w:tc>
        <w:tc>
          <w:tcPr>
            <w:tcW w:w="861" w:type="pct"/>
            <w:tcBorders>
              <w:top w:val="nil"/>
              <w:left w:val="nil"/>
              <w:right w:val="nil"/>
            </w:tcBorders>
          </w:tcPr>
          <w:p w14:paraId="6BCE187A" w14:textId="77777777" w:rsidR="006D7F43" w:rsidRPr="006D7F43" w:rsidRDefault="006D7F43" w:rsidP="006D7F43">
            <w:pPr>
              <w:spacing w:after="0" w:line="240" w:lineRule="auto"/>
              <w:jc w:val="right"/>
              <w:rPr>
                <w:rFonts w:eastAsia="Times New Roman" w:cs="Times New Roman"/>
                <w:color w:val="000000"/>
                <w:sz w:val="20"/>
                <w:szCs w:val="20"/>
                <w:lang w:eastAsia="sk-SK"/>
              </w:rPr>
            </w:pPr>
            <w:r w:rsidRPr="006D7F43">
              <w:rPr>
                <w:rFonts w:eastAsia="Times New Roman" w:cs="Times New Roman"/>
                <w:color w:val="000000"/>
                <w:sz w:val="20"/>
                <w:szCs w:val="20"/>
                <w:lang w:eastAsia="sk-SK"/>
              </w:rPr>
              <w:t>83 922</w:t>
            </w:r>
          </w:p>
        </w:tc>
        <w:tc>
          <w:tcPr>
            <w:tcW w:w="162" w:type="pct"/>
            <w:gridSpan w:val="2"/>
            <w:tcBorders>
              <w:top w:val="nil"/>
              <w:left w:val="nil"/>
              <w:right w:val="nil"/>
            </w:tcBorders>
          </w:tcPr>
          <w:p w14:paraId="5C8E034B" w14:textId="77777777" w:rsidR="006D7F43" w:rsidRPr="006D7F43" w:rsidRDefault="006D7F43" w:rsidP="006D7F43">
            <w:pPr>
              <w:spacing w:after="0" w:line="240" w:lineRule="auto"/>
              <w:jc w:val="right"/>
              <w:rPr>
                <w:rFonts w:eastAsia="Times New Roman" w:cs="Times New Roman"/>
                <w:color w:val="000000"/>
                <w:sz w:val="20"/>
                <w:szCs w:val="20"/>
                <w:lang w:eastAsia="sk-SK"/>
              </w:rPr>
            </w:pPr>
          </w:p>
        </w:tc>
      </w:tr>
      <w:tr w:rsidR="006D7F43" w:rsidRPr="006D7F43" w14:paraId="1ECD9392" w14:textId="77777777" w:rsidTr="006D7F43">
        <w:trPr>
          <w:trHeight w:val="358"/>
        </w:trPr>
        <w:tc>
          <w:tcPr>
            <w:tcW w:w="1316" w:type="pct"/>
            <w:tcBorders>
              <w:top w:val="nil"/>
              <w:left w:val="nil"/>
              <w:bottom w:val="single" w:sz="4" w:space="0" w:color="auto"/>
              <w:right w:val="nil"/>
            </w:tcBorders>
            <w:shd w:val="clear" w:color="auto" w:fill="auto"/>
            <w:vAlign w:val="center"/>
            <w:hideMark/>
          </w:tcPr>
          <w:p w14:paraId="49DD320A" w14:textId="77777777" w:rsidR="006D7F43" w:rsidRPr="006D7F43" w:rsidRDefault="006D7F43" w:rsidP="006D7F43">
            <w:pPr>
              <w:spacing w:after="0" w:line="240" w:lineRule="auto"/>
              <w:jc w:val="left"/>
              <w:rPr>
                <w:rFonts w:eastAsia="Times New Roman" w:cs="Times New Roman"/>
                <w:b/>
                <w:bCs/>
                <w:color w:val="000000"/>
                <w:sz w:val="20"/>
                <w:szCs w:val="20"/>
                <w:lang w:eastAsia="sk-SK"/>
              </w:rPr>
            </w:pPr>
            <w:r w:rsidRPr="006D7F43">
              <w:rPr>
                <w:rFonts w:eastAsia="Times New Roman" w:cs="Times New Roman"/>
                <w:b/>
                <w:bCs/>
                <w:color w:val="000000"/>
                <w:sz w:val="20"/>
                <w:szCs w:val="20"/>
                <w:lang w:eastAsia="sk-SK"/>
              </w:rPr>
              <w:t>Spolu EŠIF</w:t>
            </w:r>
          </w:p>
        </w:tc>
        <w:tc>
          <w:tcPr>
            <w:tcW w:w="747" w:type="pct"/>
            <w:tcBorders>
              <w:top w:val="nil"/>
              <w:left w:val="nil"/>
              <w:bottom w:val="single" w:sz="4" w:space="0" w:color="auto"/>
              <w:right w:val="nil"/>
            </w:tcBorders>
            <w:shd w:val="clear" w:color="auto" w:fill="auto"/>
            <w:noWrap/>
            <w:vAlign w:val="center"/>
            <w:hideMark/>
          </w:tcPr>
          <w:p w14:paraId="45D585B8" w14:textId="77777777" w:rsidR="006D7F43" w:rsidRPr="006D7F43" w:rsidRDefault="006D7F43" w:rsidP="006D7F43">
            <w:pPr>
              <w:spacing w:after="0" w:line="240" w:lineRule="auto"/>
              <w:jc w:val="right"/>
              <w:rPr>
                <w:rFonts w:eastAsia="Times New Roman" w:cs="Times New Roman"/>
                <w:b/>
                <w:bCs/>
                <w:color w:val="000000"/>
                <w:sz w:val="20"/>
                <w:szCs w:val="20"/>
                <w:highlight w:val="yellow"/>
                <w:lang w:eastAsia="sk-SK"/>
              </w:rPr>
            </w:pPr>
            <w:r w:rsidRPr="006D7F43">
              <w:rPr>
                <w:rFonts w:eastAsia="Times New Roman" w:cs="Times New Roman"/>
                <w:b/>
                <w:bCs/>
                <w:color w:val="000000"/>
                <w:sz w:val="20"/>
                <w:szCs w:val="20"/>
                <w:lang w:eastAsia="sk-SK"/>
              </w:rPr>
              <w:t>597 022</w:t>
            </w:r>
          </w:p>
        </w:tc>
        <w:tc>
          <w:tcPr>
            <w:tcW w:w="210" w:type="pct"/>
            <w:gridSpan w:val="2"/>
            <w:tcBorders>
              <w:top w:val="nil"/>
              <w:left w:val="nil"/>
              <w:bottom w:val="single" w:sz="4" w:space="0" w:color="auto"/>
              <w:right w:val="nil"/>
            </w:tcBorders>
            <w:shd w:val="clear" w:color="auto" w:fill="auto"/>
            <w:noWrap/>
            <w:vAlign w:val="center"/>
          </w:tcPr>
          <w:p w14:paraId="2B77C6C0" w14:textId="77777777" w:rsidR="006D7F43" w:rsidRPr="006D7F43" w:rsidRDefault="006D7F43" w:rsidP="006D7F43">
            <w:pPr>
              <w:spacing w:after="0" w:line="240" w:lineRule="auto"/>
              <w:jc w:val="right"/>
              <w:rPr>
                <w:rFonts w:eastAsia="Times New Roman" w:cs="Times New Roman"/>
                <w:b/>
                <w:bCs/>
                <w:color w:val="000000"/>
                <w:sz w:val="20"/>
                <w:szCs w:val="20"/>
                <w:highlight w:val="yellow"/>
                <w:lang w:eastAsia="sk-SK"/>
              </w:rPr>
            </w:pPr>
          </w:p>
        </w:tc>
        <w:tc>
          <w:tcPr>
            <w:tcW w:w="842" w:type="pct"/>
            <w:tcBorders>
              <w:top w:val="nil"/>
              <w:left w:val="nil"/>
              <w:bottom w:val="single" w:sz="4" w:space="0" w:color="auto"/>
              <w:right w:val="nil"/>
            </w:tcBorders>
            <w:shd w:val="clear" w:color="auto" w:fill="auto"/>
            <w:noWrap/>
            <w:vAlign w:val="center"/>
            <w:hideMark/>
          </w:tcPr>
          <w:p w14:paraId="2D108499" w14:textId="77777777" w:rsidR="006D7F43" w:rsidRPr="006D7F43" w:rsidRDefault="006D7F43" w:rsidP="006D7F43">
            <w:pPr>
              <w:spacing w:after="0" w:line="240" w:lineRule="auto"/>
              <w:jc w:val="right"/>
              <w:rPr>
                <w:rFonts w:eastAsia="Times New Roman" w:cs="Times New Roman"/>
                <w:b/>
                <w:bCs/>
                <w:color w:val="000000"/>
                <w:sz w:val="20"/>
                <w:szCs w:val="20"/>
                <w:highlight w:val="yellow"/>
                <w:lang w:eastAsia="sk-SK"/>
              </w:rPr>
            </w:pPr>
            <w:r w:rsidRPr="006D7F43">
              <w:rPr>
                <w:rFonts w:eastAsia="Times New Roman" w:cs="Times New Roman"/>
                <w:b/>
                <w:bCs/>
                <w:color w:val="000000"/>
                <w:sz w:val="20"/>
                <w:szCs w:val="20"/>
                <w:lang w:eastAsia="sk-SK"/>
              </w:rPr>
              <w:t>125 230</w:t>
            </w:r>
          </w:p>
        </w:tc>
        <w:tc>
          <w:tcPr>
            <w:tcW w:w="862" w:type="pct"/>
            <w:tcBorders>
              <w:top w:val="nil"/>
              <w:left w:val="nil"/>
              <w:bottom w:val="single" w:sz="4" w:space="0" w:color="auto"/>
              <w:right w:val="nil"/>
            </w:tcBorders>
            <w:shd w:val="clear" w:color="auto" w:fill="auto"/>
            <w:noWrap/>
            <w:vAlign w:val="center"/>
            <w:hideMark/>
          </w:tcPr>
          <w:p w14:paraId="6DBBBB0B" w14:textId="77777777" w:rsidR="006D7F43" w:rsidRPr="006D7F43" w:rsidRDefault="006D7F43" w:rsidP="006D7F43">
            <w:pPr>
              <w:spacing w:after="0" w:line="240" w:lineRule="auto"/>
              <w:jc w:val="right"/>
              <w:rPr>
                <w:rFonts w:eastAsia="Times New Roman" w:cs="Times New Roman"/>
                <w:b/>
                <w:bCs/>
                <w:color w:val="000000"/>
                <w:sz w:val="20"/>
                <w:szCs w:val="20"/>
                <w:highlight w:val="yellow"/>
                <w:lang w:eastAsia="sk-SK"/>
              </w:rPr>
            </w:pPr>
            <w:r w:rsidRPr="006D7F43">
              <w:rPr>
                <w:rFonts w:eastAsia="Times New Roman" w:cs="Times New Roman"/>
                <w:b/>
                <w:bCs/>
                <w:color w:val="000000"/>
                <w:sz w:val="20"/>
                <w:szCs w:val="20"/>
                <w:lang w:eastAsia="sk-SK"/>
              </w:rPr>
              <w:t>722 252</w:t>
            </w:r>
          </w:p>
        </w:tc>
        <w:tc>
          <w:tcPr>
            <w:tcW w:w="861" w:type="pct"/>
            <w:tcBorders>
              <w:top w:val="nil"/>
              <w:left w:val="nil"/>
              <w:bottom w:val="single" w:sz="4" w:space="0" w:color="auto"/>
              <w:right w:val="nil"/>
            </w:tcBorders>
            <w:vAlign w:val="center"/>
          </w:tcPr>
          <w:p w14:paraId="5603908D" w14:textId="77777777" w:rsidR="006D7F43" w:rsidRPr="006D7F43" w:rsidRDefault="006D7F43" w:rsidP="006D7F43">
            <w:pPr>
              <w:spacing w:after="0" w:line="240" w:lineRule="auto"/>
              <w:jc w:val="right"/>
              <w:rPr>
                <w:rFonts w:eastAsia="Times New Roman" w:cs="Times New Roman"/>
                <w:b/>
                <w:bCs/>
                <w:color w:val="000000"/>
                <w:sz w:val="20"/>
                <w:szCs w:val="20"/>
                <w:lang w:eastAsia="sk-SK"/>
              </w:rPr>
            </w:pPr>
            <w:r w:rsidRPr="006D7F43">
              <w:rPr>
                <w:rFonts w:eastAsia="Times New Roman" w:cs="Times New Roman"/>
                <w:b/>
                <w:bCs/>
                <w:color w:val="000000"/>
                <w:sz w:val="20"/>
                <w:szCs w:val="20"/>
                <w:lang w:eastAsia="sk-SK"/>
              </w:rPr>
              <w:t>280 429</w:t>
            </w:r>
          </w:p>
        </w:tc>
        <w:tc>
          <w:tcPr>
            <w:tcW w:w="162" w:type="pct"/>
            <w:gridSpan w:val="2"/>
            <w:tcBorders>
              <w:top w:val="nil"/>
              <w:left w:val="nil"/>
              <w:bottom w:val="single" w:sz="4" w:space="0" w:color="auto"/>
              <w:right w:val="nil"/>
            </w:tcBorders>
          </w:tcPr>
          <w:p w14:paraId="61CD5F4A" w14:textId="77777777" w:rsidR="006D7F43" w:rsidRPr="006D7F43" w:rsidRDefault="006D7F43" w:rsidP="006D7F43">
            <w:pPr>
              <w:spacing w:after="0" w:line="240" w:lineRule="auto"/>
              <w:jc w:val="right"/>
              <w:rPr>
                <w:rFonts w:eastAsia="Times New Roman" w:cs="Times New Roman"/>
                <w:b/>
                <w:bCs/>
                <w:color w:val="000000"/>
                <w:sz w:val="20"/>
                <w:szCs w:val="20"/>
                <w:lang w:eastAsia="sk-SK"/>
              </w:rPr>
            </w:pPr>
          </w:p>
        </w:tc>
      </w:tr>
    </w:tbl>
    <w:p w14:paraId="53859871" w14:textId="6E63457E" w:rsidR="00001E09" w:rsidRPr="00001E09" w:rsidRDefault="00001E09" w:rsidP="006D7F43">
      <w:pPr>
        <w:spacing w:before="120" w:line="240" w:lineRule="auto"/>
        <w:rPr>
          <w:rFonts w:eastAsia="Calibri" w:cs="Times New Roman"/>
          <w:color w:val="000000"/>
          <w:sz w:val="24"/>
          <w:szCs w:val="24"/>
        </w:rPr>
      </w:pPr>
      <w:bookmarkStart w:id="67" w:name="_Toc6415657"/>
      <w:r w:rsidRPr="00001E09">
        <w:rPr>
          <w:rFonts w:eastAsia="Calibri" w:cs="Times New Roman"/>
          <w:color w:val="000000"/>
          <w:sz w:val="24"/>
          <w:szCs w:val="24"/>
        </w:rPr>
        <w:t>V roku 2022 bola Európskou komisiou schválená iniciatíva FAST CARE, zameraná na riešenie migračnej krízy súvisiacej s vojnou na Ukrajine. Prostredníctvom FAST CARE plánuje SR využiť disponibilné zdroje EŠIF v objeme viac ako 300</w:t>
      </w:r>
      <w:r w:rsidR="00B06485">
        <w:rPr>
          <w:rFonts w:eastAsia="Calibri" w:cs="Times New Roman"/>
          <w:color w:val="000000"/>
          <w:sz w:val="24"/>
          <w:szCs w:val="24"/>
        </w:rPr>
        <w:t> 000 tis. </w:t>
      </w:r>
      <w:r w:rsidRPr="00001E09">
        <w:rPr>
          <w:rFonts w:eastAsia="Calibri" w:cs="Times New Roman"/>
          <w:color w:val="000000"/>
          <w:sz w:val="24"/>
          <w:szCs w:val="24"/>
        </w:rPr>
        <w:t xml:space="preserve">eur v rámci OP II, OP ĽZ a IROP. </w:t>
      </w:r>
    </w:p>
    <w:p w14:paraId="47360C47" w14:textId="06BB893C" w:rsidR="00001E09" w:rsidRPr="00001E09" w:rsidRDefault="00001E09" w:rsidP="00001E09">
      <w:pPr>
        <w:spacing w:line="240" w:lineRule="auto"/>
        <w:rPr>
          <w:rFonts w:eastAsia="Calibri" w:cs="Times New Roman"/>
          <w:color w:val="000000"/>
          <w:sz w:val="24"/>
          <w:szCs w:val="24"/>
        </w:rPr>
      </w:pPr>
      <w:r w:rsidRPr="00001E09">
        <w:rPr>
          <w:rFonts w:eastAsia="Calibri" w:cs="Times New Roman"/>
          <w:color w:val="000000"/>
          <w:sz w:val="24"/>
          <w:szCs w:val="24"/>
        </w:rPr>
        <w:t>V októbri 2022 Európska komisia predstavila návrh legislatívnej úpravy SAFE, ktorá umožní využiť zostávajúce nevyčerpané zdroje európskych štrukturálnych a investičných fondov z obdobia 2014 – 2020 na kompenzáciu vysokých cien energií pre malé a stredné podniky a zraniteľné domácnosti, pričom tieto prostriedky môžu byť bez obmedzení použité vo všetkých regiónoch SR. Iniciatíva SAFE nadobudla účinnosť od 1. marca 2023 maximálny limit výdavkov na účel riešenia vysokých cien energií bude vo výške 10 % národnej obálky</w:t>
      </w:r>
      <w:r w:rsidR="00B06485">
        <w:rPr>
          <w:rFonts w:eastAsia="Calibri" w:cs="Times New Roman"/>
          <w:color w:val="000000"/>
          <w:sz w:val="24"/>
          <w:szCs w:val="24"/>
        </w:rPr>
        <w:t xml:space="preserve"> tzn. v prípade SR ide o sumu 1 </w:t>
      </w:r>
      <w:r w:rsidRPr="00001E09">
        <w:rPr>
          <w:rFonts w:eastAsia="Calibri" w:cs="Times New Roman"/>
          <w:color w:val="000000"/>
          <w:sz w:val="24"/>
          <w:szCs w:val="24"/>
        </w:rPr>
        <w:t>5</w:t>
      </w:r>
      <w:r w:rsidR="00B06485">
        <w:rPr>
          <w:rFonts w:eastAsia="Calibri" w:cs="Times New Roman"/>
          <w:color w:val="000000"/>
          <w:sz w:val="24"/>
          <w:szCs w:val="24"/>
        </w:rPr>
        <w:t>00 000 tis. </w:t>
      </w:r>
      <w:r w:rsidRPr="00001E09">
        <w:rPr>
          <w:rFonts w:eastAsia="Calibri" w:cs="Times New Roman"/>
          <w:color w:val="000000"/>
          <w:sz w:val="24"/>
          <w:szCs w:val="24"/>
        </w:rPr>
        <w:t>eur.</w:t>
      </w:r>
    </w:p>
    <w:p w14:paraId="2BBF2DAF" w14:textId="3C05A0B3" w:rsidR="00001E09" w:rsidRDefault="00001E09" w:rsidP="00164F67">
      <w:pPr>
        <w:spacing w:line="240" w:lineRule="auto"/>
        <w:rPr>
          <w:rFonts w:eastAsia="Calibri" w:cs="Times New Roman"/>
          <w:color w:val="000000"/>
          <w:sz w:val="24"/>
          <w:szCs w:val="24"/>
        </w:rPr>
      </w:pPr>
      <w:r w:rsidRPr="00001E09">
        <w:rPr>
          <w:rFonts w:eastAsia="Calibri" w:cs="Times New Roman"/>
          <w:color w:val="000000"/>
          <w:sz w:val="24"/>
          <w:szCs w:val="24"/>
        </w:rPr>
        <w:t xml:space="preserve">V roku 2022 nedošlo v rámci PO 2021-2027 k čerpaniu na úrovni certifikačného orgánu, nakoľko EK schválila programy PO 2021-2027 v období október 2022 až marec 2023. Celková alokácia na PO 2021 – 2027 je za 4 programy (Program Slovensko, </w:t>
      </w:r>
      <w:proofErr w:type="spellStart"/>
      <w:r w:rsidRPr="00001E09">
        <w:rPr>
          <w:rFonts w:eastAsia="Calibri" w:cs="Times New Roman"/>
          <w:color w:val="000000"/>
          <w:sz w:val="24"/>
          <w:szCs w:val="24"/>
        </w:rPr>
        <w:t>Interreg</w:t>
      </w:r>
      <w:proofErr w:type="spellEnd"/>
      <w:r w:rsidRPr="00001E09">
        <w:rPr>
          <w:rFonts w:eastAsia="Calibri" w:cs="Times New Roman"/>
          <w:color w:val="000000"/>
          <w:sz w:val="24"/>
          <w:szCs w:val="24"/>
        </w:rPr>
        <w:t xml:space="preserve"> SK-CZ, </w:t>
      </w:r>
      <w:proofErr w:type="spellStart"/>
      <w:r w:rsidRPr="00001E09">
        <w:rPr>
          <w:rFonts w:eastAsia="Calibri" w:cs="Times New Roman"/>
          <w:color w:val="000000"/>
          <w:sz w:val="24"/>
          <w:szCs w:val="24"/>
        </w:rPr>
        <w:t>Interreg</w:t>
      </w:r>
      <w:proofErr w:type="spellEnd"/>
      <w:r w:rsidRPr="00001E09">
        <w:rPr>
          <w:rFonts w:eastAsia="Calibri" w:cs="Times New Roman"/>
          <w:color w:val="000000"/>
          <w:sz w:val="24"/>
          <w:szCs w:val="24"/>
        </w:rPr>
        <w:t xml:space="preserve"> SK-AT, OP Rybné hospodárstvo 21-27) vo výške 12 749 783 tis. eur. </w:t>
      </w:r>
    </w:p>
    <w:p w14:paraId="3EF2C7EC" w14:textId="77777777" w:rsidR="00164F67" w:rsidRDefault="00164F67" w:rsidP="00164F67">
      <w:pPr>
        <w:spacing w:line="240" w:lineRule="auto"/>
      </w:pPr>
    </w:p>
    <w:p w14:paraId="206421C8" w14:textId="77777777" w:rsidR="00001E09" w:rsidRDefault="00001E09" w:rsidP="001F4D7C">
      <w:pPr>
        <w:pStyle w:val="Nadpis1"/>
        <w:numPr>
          <w:ilvl w:val="0"/>
          <w:numId w:val="0"/>
        </w:numPr>
      </w:pPr>
    </w:p>
    <w:p w14:paraId="05521182" w14:textId="77777777" w:rsidR="00001E09" w:rsidRDefault="00001E09" w:rsidP="001F4D7C">
      <w:pPr>
        <w:pStyle w:val="Nadpis1"/>
        <w:numPr>
          <w:ilvl w:val="0"/>
          <w:numId w:val="0"/>
        </w:numPr>
      </w:pPr>
    </w:p>
    <w:p w14:paraId="32127918" w14:textId="77777777" w:rsidR="00001E09" w:rsidRDefault="00001E09" w:rsidP="001F4D7C">
      <w:pPr>
        <w:pStyle w:val="Nadpis1"/>
        <w:numPr>
          <w:ilvl w:val="0"/>
          <w:numId w:val="0"/>
        </w:numPr>
      </w:pPr>
    </w:p>
    <w:p w14:paraId="1F376FA0" w14:textId="77777777" w:rsidR="00001E09" w:rsidRDefault="00001E09" w:rsidP="001F4D7C">
      <w:pPr>
        <w:pStyle w:val="Nadpis1"/>
        <w:numPr>
          <w:ilvl w:val="0"/>
          <w:numId w:val="0"/>
        </w:numPr>
      </w:pPr>
    </w:p>
    <w:p w14:paraId="123CA6FB" w14:textId="77777777" w:rsidR="00001E09" w:rsidRDefault="00001E09" w:rsidP="001F4D7C">
      <w:pPr>
        <w:pStyle w:val="Nadpis1"/>
        <w:numPr>
          <w:ilvl w:val="0"/>
          <w:numId w:val="0"/>
        </w:numPr>
      </w:pPr>
    </w:p>
    <w:p w14:paraId="68D382BA" w14:textId="77777777" w:rsidR="00001E09" w:rsidRDefault="00001E09" w:rsidP="001F4D7C">
      <w:pPr>
        <w:pStyle w:val="Nadpis1"/>
        <w:numPr>
          <w:ilvl w:val="0"/>
          <w:numId w:val="0"/>
        </w:numPr>
      </w:pPr>
    </w:p>
    <w:p w14:paraId="57F6B316" w14:textId="77777777" w:rsidR="00001E09" w:rsidRDefault="00001E09" w:rsidP="001F4D7C">
      <w:pPr>
        <w:pStyle w:val="Nadpis1"/>
        <w:numPr>
          <w:ilvl w:val="0"/>
          <w:numId w:val="0"/>
        </w:numPr>
      </w:pPr>
    </w:p>
    <w:p w14:paraId="246E5401" w14:textId="77777777" w:rsidR="00001E09" w:rsidRDefault="00001E09" w:rsidP="001F4D7C">
      <w:pPr>
        <w:pStyle w:val="Nadpis1"/>
        <w:numPr>
          <w:ilvl w:val="0"/>
          <w:numId w:val="0"/>
        </w:numPr>
      </w:pPr>
    </w:p>
    <w:p w14:paraId="685AFCA6" w14:textId="77777777" w:rsidR="00001E09" w:rsidRDefault="00001E09" w:rsidP="001F4D7C">
      <w:pPr>
        <w:pStyle w:val="Nadpis1"/>
        <w:numPr>
          <w:ilvl w:val="0"/>
          <w:numId w:val="0"/>
        </w:numPr>
      </w:pPr>
    </w:p>
    <w:p w14:paraId="3D0ADCA2" w14:textId="77777777" w:rsidR="00164F67" w:rsidRDefault="00164F67">
      <w:pPr>
        <w:spacing w:after="160" w:line="259" w:lineRule="auto"/>
        <w:jc w:val="left"/>
        <w:rPr>
          <w:rFonts w:eastAsiaTheme="majorEastAsia" w:cstheme="majorBidi"/>
          <w:b/>
          <w:sz w:val="26"/>
          <w:szCs w:val="32"/>
        </w:rPr>
      </w:pPr>
      <w:bookmarkStart w:id="68" w:name="_Toc132929103"/>
      <w:r>
        <w:br w:type="page"/>
      </w:r>
    </w:p>
    <w:p w14:paraId="3C8604EB" w14:textId="77777777" w:rsidR="00164F67" w:rsidRDefault="00164F67" w:rsidP="001F4D7C">
      <w:pPr>
        <w:pStyle w:val="Nadpis1"/>
        <w:numPr>
          <w:ilvl w:val="0"/>
          <w:numId w:val="0"/>
        </w:numPr>
      </w:pPr>
    </w:p>
    <w:p w14:paraId="75E06C02" w14:textId="77777777" w:rsidR="00164F67" w:rsidRDefault="00164F67" w:rsidP="001F4D7C">
      <w:pPr>
        <w:pStyle w:val="Nadpis1"/>
        <w:numPr>
          <w:ilvl w:val="0"/>
          <w:numId w:val="0"/>
        </w:numPr>
      </w:pPr>
    </w:p>
    <w:p w14:paraId="3D22B7A8" w14:textId="77777777" w:rsidR="00164F67" w:rsidRDefault="00164F67" w:rsidP="001F4D7C">
      <w:pPr>
        <w:pStyle w:val="Nadpis1"/>
        <w:numPr>
          <w:ilvl w:val="0"/>
          <w:numId w:val="0"/>
        </w:numPr>
      </w:pPr>
    </w:p>
    <w:p w14:paraId="14EDA695" w14:textId="77777777" w:rsidR="00164F67" w:rsidRDefault="00164F67" w:rsidP="001F4D7C">
      <w:pPr>
        <w:pStyle w:val="Nadpis1"/>
        <w:numPr>
          <w:ilvl w:val="0"/>
          <w:numId w:val="0"/>
        </w:numPr>
      </w:pPr>
    </w:p>
    <w:p w14:paraId="581D7194" w14:textId="77777777" w:rsidR="00164F67" w:rsidRDefault="00164F67" w:rsidP="001F4D7C">
      <w:pPr>
        <w:pStyle w:val="Nadpis1"/>
        <w:numPr>
          <w:ilvl w:val="0"/>
          <w:numId w:val="0"/>
        </w:numPr>
      </w:pPr>
    </w:p>
    <w:p w14:paraId="07D09F2B" w14:textId="77777777" w:rsidR="00164F67" w:rsidRDefault="00164F67" w:rsidP="001F4D7C">
      <w:pPr>
        <w:pStyle w:val="Nadpis1"/>
        <w:numPr>
          <w:ilvl w:val="0"/>
          <w:numId w:val="0"/>
        </w:numPr>
      </w:pPr>
    </w:p>
    <w:p w14:paraId="29370322" w14:textId="77777777" w:rsidR="00164F67" w:rsidRDefault="00164F67" w:rsidP="001F4D7C">
      <w:pPr>
        <w:pStyle w:val="Nadpis1"/>
        <w:numPr>
          <w:ilvl w:val="0"/>
          <w:numId w:val="0"/>
        </w:numPr>
      </w:pPr>
    </w:p>
    <w:p w14:paraId="05727BFE" w14:textId="77777777" w:rsidR="00164F67" w:rsidRDefault="00164F67" w:rsidP="001F4D7C">
      <w:pPr>
        <w:pStyle w:val="Nadpis1"/>
        <w:numPr>
          <w:ilvl w:val="0"/>
          <w:numId w:val="0"/>
        </w:numPr>
      </w:pPr>
    </w:p>
    <w:p w14:paraId="3988A048" w14:textId="77777777" w:rsidR="00164F67" w:rsidRDefault="00164F67" w:rsidP="001F4D7C">
      <w:pPr>
        <w:pStyle w:val="Nadpis1"/>
        <w:numPr>
          <w:ilvl w:val="0"/>
          <w:numId w:val="0"/>
        </w:numPr>
      </w:pPr>
    </w:p>
    <w:p w14:paraId="71337F71" w14:textId="77777777" w:rsidR="00164F67" w:rsidRDefault="00164F67" w:rsidP="001F4D7C">
      <w:pPr>
        <w:pStyle w:val="Nadpis1"/>
        <w:numPr>
          <w:ilvl w:val="0"/>
          <w:numId w:val="0"/>
        </w:numPr>
      </w:pPr>
    </w:p>
    <w:p w14:paraId="5D5A2399" w14:textId="77777777" w:rsidR="00164F67" w:rsidRDefault="00164F67" w:rsidP="001F4D7C">
      <w:pPr>
        <w:pStyle w:val="Nadpis1"/>
        <w:numPr>
          <w:ilvl w:val="0"/>
          <w:numId w:val="0"/>
        </w:numPr>
      </w:pPr>
    </w:p>
    <w:p w14:paraId="28B9264D" w14:textId="37AF5B9B" w:rsidR="001F4D7C" w:rsidRDefault="008254BE" w:rsidP="001F4D7C">
      <w:pPr>
        <w:pStyle w:val="Nadpis1"/>
        <w:numPr>
          <w:ilvl w:val="0"/>
          <w:numId w:val="0"/>
        </w:numPr>
      </w:pPr>
      <w:r>
        <w:t>Tabuľková príloha</w:t>
      </w:r>
      <w:bookmarkEnd w:id="67"/>
      <w:r w:rsidR="00D54F91">
        <w:t xml:space="preserve"> </w:t>
      </w:r>
      <w:r w:rsidR="001C4E82">
        <w:t>k hotovostnému plneniu ŠR</w:t>
      </w:r>
      <w:bookmarkEnd w:id="68"/>
    </w:p>
    <w:p w14:paraId="680F18D8" w14:textId="77777777" w:rsidR="001F4D7C" w:rsidRDefault="001F4D7C">
      <w:pPr>
        <w:spacing w:after="160" w:line="259" w:lineRule="auto"/>
        <w:jc w:val="left"/>
        <w:rPr>
          <w:rFonts w:eastAsiaTheme="majorEastAsia" w:cstheme="majorBidi"/>
          <w:b/>
          <w:sz w:val="26"/>
          <w:szCs w:val="32"/>
        </w:rPr>
      </w:pPr>
      <w:r>
        <w:br w:type="page"/>
      </w:r>
    </w:p>
    <w:tbl>
      <w:tblPr>
        <w:tblW w:w="9249" w:type="dxa"/>
        <w:jc w:val="center"/>
        <w:tblLayout w:type="fixed"/>
        <w:tblLook w:val="01E0" w:firstRow="1" w:lastRow="1" w:firstColumn="1" w:lastColumn="1" w:noHBand="0" w:noVBand="0"/>
      </w:tblPr>
      <w:tblGrid>
        <w:gridCol w:w="1169"/>
        <w:gridCol w:w="8080"/>
      </w:tblGrid>
      <w:tr w:rsidR="001F4D7C" w:rsidRPr="00D83632" w14:paraId="1B3048CA" w14:textId="77777777" w:rsidTr="0070573A">
        <w:trPr>
          <w:trHeight w:val="142"/>
          <w:jc w:val="center"/>
        </w:trPr>
        <w:tc>
          <w:tcPr>
            <w:tcW w:w="9249" w:type="dxa"/>
            <w:gridSpan w:val="2"/>
            <w:shd w:val="clear" w:color="auto" w:fill="auto"/>
            <w:vAlign w:val="center"/>
          </w:tcPr>
          <w:p w14:paraId="78F99E06" w14:textId="2B9695F4" w:rsidR="001F4D7C" w:rsidRPr="00D83632" w:rsidRDefault="001F4D7C" w:rsidP="00D83632">
            <w:pPr>
              <w:spacing w:after="0" w:line="240" w:lineRule="auto"/>
              <w:jc w:val="left"/>
              <w:rPr>
                <w:rFonts w:eastAsia="Times New Roman" w:cs="Times New Roman"/>
                <w:b/>
                <w:bCs/>
                <w:color w:val="5B9BD5" w:themeColor="accent1"/>
                <w:sz w:val="24"/>
                <w:szCs w:val="24"/>
                <w:lang w:eastAsia="sk-SK"/>
              </w:rPr>
            </w:pPr>
            <w:r w:rsidRPr="00D83632">
              <w:rPr>
                <w:rFonts w:eastAsia="Times New Roman" w:cs="Times New Roman"/>
                <w:b/>
                <w:bCs/>
                <w:color w:val="5B9BD5" w:themeColor="accent1"/>
                <w:sz w:val="24"/>
                <w:szCs w:val="24"/>
                <w:lang w:eastAsia="sk-SK"/>
              </w:rPr>
              <w:lastRenderedPageBreak/>
              <w:t xml:space="preserve">Zoznam tabuliek </w:t>
            </w:r>
            <w:r w:rsidR="00D83632" w:rsidRPr="00D83632">
              <w:rPr>
                <w:rFonts w:eastAsia="Times New Roman" w:cs="Times New Roman"/>
                <w:b/>
                <w:bCs/>
                <w:color w:val="5B9BD5" w:themeColor="accent1"/>
                <w:sz w:val="24"/>
                <w:szCs w:val="24"/>
                <w:lang w:eastAsia="sk-SK"/>
              </w:rPr>
              <w:t>hotovostného plnenia ŠR</w:t>
            </w:r>
          </w:p>
        </w:tc>
      </w:tr>
      <w:tr w:rsidR="001F4D7C" w:rsidRPr="001F4D7C" w14:paraId="7688A9AB" w14:textId="77777777" w:rsidTr="0070573A">
        <w:trPr>
          <w:jc w:val="center"/>
        </w:trPr>
        <w:tc>
          <w:tcPr>
            <w:tcW w:w="1169" w:type="dxa"/>
            <w:vAlign w:val="center"/>
          </w:tcPr>
          <w:p w14:paraId="2665238F" w14:textId="74C0E316" w:rsidR="001F4D7C" w:rsidRPr="00592DD4" w:rsidRDefault="001F4D7C" w:rsidP="001F4D7C">
            <w:pPr>
              <w:spacing w:after="0" w:line="240" w:lineRule="auto"/>
              <w:rPr>
                <w:rFonts w:cs="Times New Roman"/>
              </w:rPr>
            </w:pPr>
            <w:r w:rsidRPr="00592DD4">
              <w:rPr>
                <w:rFonts w:cs="Times New Roman"/>
              </w:rPr>
              <w:t xml:space="preserve">Tab. č. 1   </w:t>
            </w:r>
          </w:p>
        </w:tc>
        <w:tc>
          <w:tcPr>
            <w:tcW w:w="8080" w:type="dxa"/>
            <w:vAlign w:val="center"/>
          </w:tcPr>
          <w:p w14:paraId="1111E4F1" w14:textId="342FA47A" w:rsidR="001F4D7C" w:rsidRPr="00592DD4" w:rsidRDefault="001F4D7C" w:rsidP="00DF1C0F">
            <w:pPr>
              <w:spacing w:after="0" w:line="240" w:lineRule="auto"/>
              <w:rPr>
                <w:rFonts w:cs="Times New Roman"/>
              </w:rPr>
            </w:pPr>
            <w:r w:rsidRPr="00592DD4">
              <w:rPr>
                <w:rFonts w:cs="Times New Roman"/>
              </w:rPr>
              <w:t>Bilancia príjmov a výdavkov štátneho rozpočtu za rok 202</w:t>
            </w:r>
            <w:r w:rsidR="00DF1C0F">
              <w:rPr>
                <w:rFonts w:cs="Times New Roman"/>
              </w:rPr>
              <w:t>2</w:t>
            </w:r>
          </w:p>
        </w:tc>
      </w:tr>
      <w:tr w:rsidR="001F4D7C" w:rsidRPr="001F4D7C" w14:paraId="0D065963" w14:textId="77777777" w:rsidTr="0070573A">
        <w:trPr>
          <w:jc w:val="center"/>
        </w:trPr>
        <w:tc>
          <w:tcPr>
            <w:tcW w:w="1169" w:type="dxa"/>
            <w:vAlign w:val="center"/>
          </w:tcPr>
          <w:p w14:paraId="73E20732" w14:textId="4A54324B" w:rsidR="001F4D7C" w:rsidRPr="00592DD4" w:rsidRDefault="001F4D7C" w:rsidP="001F4D7C">
            <w:pPr>
              <w:spacing w:after="0" w:line="240" w:lineRule="auto"/>
              <w:rPr>
                <w:rFonts w:cs="Times New Roman"/>
              </w:rPr>
            </w:pPr>
            <w:r w:rsidRPr="00592DD4">
              <w:rPr>
                <w:rFonts w:cs="Times New Roman"/>
              </w:rPr>
              <w:t xml:space="preserve">Tab. č. 2   </w:t>
            </w:r>
          </w:p>
        </w:tc>
        <w:tc>
          <w:tcPr>
            <w:tcW w:w="8080" w:type="dxa"/>
            <w:vAlign w:val="center"/>
          </w:tcPr>
          <w:p w14:paraId="413AEF97" w14:textId="71E47C75" w:rsidR="001F4D7C" w:rsidRPr="00592DD4" w:rsidRDefault="001F4D7C" w:rsidP="001F4D7C">
            <w:pPr>
              <w:spacing w:after="0" w:line="240" w:lineRule="auto"/>
              <w:rPr>
                <w:rFonts w:cs="Times New Roman"/>
              </w:rPr>
            </w:pPr>
            <w:r w:rsidRPr="00592DD4">
              <w:rPr>
                <w:rFonts w:cs="Times New Roman"/>
              </w:rPr>
              <w:t>Daňové príj</w:t>
            </w:r>
            <w:r w:rsidR="00A21287">
              <w:rPr>
                <w:rFonts w:cs="Times New Roman"/>
              </w:rPr>
              <w:t xml:space="preserve">my štátneho rozpočtu za rok </w:t>
            </w:r>
            <w:r w:rsidR="00DF1C0F">
              <w:rPr>
                <w:rFonts w:cs="Times New Roman"/>
              </w:rPr>
              <w:t>2022</w:t>
            </w:r>
          </w:p>
        </w:tc>
      </w:tr>
      <w:tr w:rsidR="001F4D7C" w:rsidRPr="001F4D7C" w14:paraId="6836AFB5" w14:textId="77777777" w:rsidTr="0070573A">
        <w:trPr>
          <w:jc w:val="center"/>
        </w:trPr>
        <w:tc>
          <w:tcPr>
            <w:tcW w:w="1169" w:type="dxa"/>
            <w:vAlign w:val="center"/>
          </w:tcPr>
          <w:p w14:paraId="479FE329" w14:textId="59D3103F" w:rsidR="001F4D7C" w:rsidRPr="00592DD4" w:rsidRDefault="001F4D7C" w:rsidP="001F4D7C">
            <w:pPr>
              <w:spacing w:after="0" w:line="240" w:lineRule="auto"/>
              <w:rPr>
                <w:rFonts w:cs="Times New Roman"/>
              </w:rPr>
            </w:pPr>
            <w:r w:rsidRPr="00592DD4">
              <w:rPr>
                <w:rFonts w:cs="Times New Roman"/>
              </w:rPr>
              <w:t xml:space="preserve">Tab. č. 3   </w:t>
            </w:r>
          </w:p>
        </w:tc>
        <w:tc>
          <w:tcPr>
            <w:tcW w:w="8080" w:type="dxa"/>
            <w:vAlign w:val="center"/>
          </w:tcPr>
          <w:p w14:paraId="5BDA7E93" w14:textId="5F9F1B3E" w:rsidR="001F4D7C" w:rsidRPr="00592DD4" w:rsidRDefault="001F4D7C" w:rsidP="001F4D7C">
            <w:pPr>
              <w:spacing w:after="0" w:line="240" w:lineRule="auto"/>
              <w:rPr>
                <w:rFonts w:cs="Times New Roman"/>
              </w:rPr>
            </w:pPr>
            <w:r w:rsidRPr="00592DD4">
              <w:rPr>
                <w:rFonts w:cs="Times New Roman"/>
              </w:rPr>
              <w:t>Nedaňové príjmy štátneho rozpočtu</w:t>
            </w:r>
            <w:r w:rsidR="00A21287">
              <w:rPr>
                <w:rFonts w:cs="Times New Roman"/>
              </w:rPr>
              <w:t xml:space="preserve">, granty a transfery za rok </w:t>
            </w:r>
            <w:r w:rsidR="00DF1C0F">
              <w:rPr>
                <w:rFonts w:cs="Times New Roman"/>
              </w:rPr>
              <w:t>2022</w:t>
            </w:r>
          </w:p>
        </w:tc>
      </w:tr>
      <w:tr w:rsidR="001F4D7C" w:rsidRPr="001F4D7C" w14:paraId="46B056B9" w14:textId="77777777" w:rsidTr="0070573A">
        <w:trPr>
          <w:jc w:val="center"/>
        </w:trPr>
        <w:tc>
          <w:tcPr>
            <w:tcW w:w="1169" w:type="dxa"/>
            <w:vAlign w:val="center"/>
          </w:tcPr>
          <w:p w14:paraId="14FF9896" w14:textId="0D150448" w:rsidR="001F4D7C" w:rsidRPr="00592DD4" w:rsidRDefault="001F4D7C" w:rsidP="001F4D7C">
            <w:pPr>
              <w:spacing w:after="0" w:line="240" w:lineRule="auto"/>
              <w:rPr>
                <w:rFonts w:cs="Times New Roman"/>
              </w:rPr>
            </w:pPr>
            <w:r w:rsidRPr="00592DD4">
              <w:rPr>
                <w:rFonts w:cs="Times New Roman"/>
              </w:rPr>
              <w:t xml:space="preserve">Tab. č. 4   </w:t>
            </w:r>
          </w:p>
        </w:tc>
        <w:tc>
          <w:tcPr>
            <w:tcW w:w="8080" w:type="dxa"/>
            <w:vAlign w:val="center"/>
          </w:tcPr>
          <w:p w14:paraId="2C8D6033" w14:textId="2F44F820" w:rsidR="001F4D7C" w:rsidRPr="00592DD4" w:rsidRDefault="001F4D7C" w:rsidP="00DF1C0F">
            <w:pPr>
              <w:spacing w:after="0" w:line="240" w:lineRule="auto"/>
              <w:rPr>
                <w:rFonts w:cs="Times New Roman"/>
              </w:rPr>
            </w:pPr>
            <w:r w:rsidRPr="00592DD4">
              <w:rPr>
                <w:rFonts w:cs="Times New Roman"/>
              </w:rPr>
              <w:t>Príjmy kapitol ŠR za rok 202</w:t>
            </w:r>
            <w:r w:rsidR="00DF1C0F">
              <w:rPr>
                <w:rFonts w:cs="Times New Roman"/>
              </w:rPr>
              <w:t>2</w:t>
            </w:r>
            <w:r w:rsidRPr="00592DD4">
              <w:rPr>
                <w:rFonts w:cs="Times New Roman"/>
              </w:rPr>
              <w:t xml:space="preserve"> – záväzné ukazovatele</w:t>
            </w:r>
          </w:p>
        </w:tc>
      </w:tr>
      <w:tr w:rsidR="001F4D7C" w:rsidRPr="001F4D7C" w14:paraId="606A8ED4" w14:textId="77777777" w:rsidTr="0070573A">
        <w:trPr>
          <w:jc w:val="center"/>
        </w:trPr>
        <w:tc>
          <w:tcPr>
            <w:tcW w:w="1169" w:type="dxa"/>
            <w:vAlign w:val="center"/>
          </w:tcPr>
          <w:p w14:paraId="75FBDB02" w14:textId="7A5204A9" w:rsidR="001F4D7C" w:rsidRPr="00E42AD5" w:rsidRDefault="001F4D7C" w:rsidP="001F4D7C">
            <w:pPr>
              <w:spacing w:after="0" w:line="240" w:lineRule="auto"/>
              <w:rPr>
                <w:rFonts w:cs="Times New Roman"/>
              </w:rPr>
            </w:pPr>
            <w:r w:rsidRPr="00E42AD5">
              <w:rPr>
                <w:rFonts w:cs="Times New Roman"/>
              </w:rPr>
              <w:t xml:space="preserve">Tab. č. 5  </w:t>
            </w:r>
          </w:p>
        </w:tc>
        <w:tc>
          <w:tcPr>
            <w:tcW w:w="8080" w:type="dxa"/>
            <w:vAlign w:val="center"/>
          </w:tcPr>
          <w:p w14:paraId="5A0DD9D4" w14:textId="2C46DED8" w:rsidR="001F4D7C" w:rsidRPr="00E42AD5" w:rsidRDefault="00E42AD5" w:rsidP="00E42AD5">
            <w:pPr>
              <w:spacing w:after="0" w:line="240" w:lineRule="auto"/>
              <w:rPr>
                <w:rFonts w:cs="Times New Roman"/>
              </w:rPr>
            </w:pPr>
            <w:r w:rsidRPr="00E42AD5">
              <w:rPr>
                <w:rFonts w:cs="Times New Roman"/>
              </w:rPr>
              <w:t>Nedaňové p</w:t>
            </w:r>
            <w:r w:rsidR="001F4D7C" w:rsidRPr="00E42AD5">
              <w:rPr>
                <w:rFonts w:cs="Times New Roman"/>
              </w:rPr>
              <w:t>ríjmy št</w:t>
            </w:r>
            <w:r>
              <w:rPr>
                <w:rFonts w:cs="Times New Roman"/>
              </w:rPr>
              <w:t xml:space="preserve">átneho rozpočtu podľa </w:t>
            </w:r>
            <w:r w:rsidR="001F4D7C" w:rsidRPr="00E42AD5">
              <w:rPr>
                <w:rFonts w:cs="Times New Roman"/>
              </w:rPr>
              <w:t xml:space="preserve">kapitol ŠR za rok </w:t>
            </w:r>
            <w:r w:rsidR="00DF1C0F">
              <w:rPr>
                <w:rFonts w:cs="Times New Roman"/>
              </w:rPr>
              <w:t>2022</w:t>
            </w:r>
          </w:p>
        </w:tc>
      </w:tr>
      <w:tr w:rsidR="001F4D7C" w:rsidRPr="001F4D7C" w14:paraId="47965FF3" w14:textId="77777777" w:rsidTr="0070573A">
        <w:trPr>
          <w:jc w:val="center"/>
        </w:trPr>
        <w:tc>
          <w:tcPr>
            <w:tcW w:w="1169" w:type="dxa"/>
            <w:vAlign w:val="center"/>
          </w:tcPr>
          <w:p w14:paraId="72F63BAC" w14:textId="120A04BD" w:rsidR="001F4D7C" w:rsidRPr="00592DD4" w:rsidRDefault="001F4D7C" w:rsidP="00592DD4">
            <w:pPr>
              <w:spacing w:after="0" w:line="240" w:lineRule="auto"/>
              <w:rPr>
                <w:rFonts w:cs="Times New Roman"/>
              </w:rPr>
            </w:pPr>
            <w:r w:rsidRPr="00592DD4">
              <w:rPr>
                <w:rFonts w:cs="Times New Roman"/>
              </w:rPr>
              <w:t xml:space="preserve">Tab. č. 6   </w:t>
            </w:r>
          </w:p>
        </w:tc>
        <w:tc>
          <w:tcPr>
            <w:tcW w:w="8080" w:type="dxa"/>
            <w:vAlign w:val="center"/>
          </w:tcPr>
          <w:p w14:paraId="6B5C1B76" w14:textId="2EE39F0C" w:rsidR="001F4D7C" w:rsidRPr="00592DD4" w:rsidRDefault="001F4D7C" w:rsidP="00A21287">
            <w:pPr>
              <w:spacing w:after="0" w:line="240" w:lineRule="auto"/>
              <w:rPr>
                <w:rFonts w:cs="Times New Roman"/>
              </w:rPr>
            </w:pPr>
            <w:r w:rsidRPr="00592DD4">
              <w:rPr>
                <w:rFonts w:cs="Times New Roman"/>
                <w:bCs/>
                <w:lang w:eastAsia="sk-SK"/>
              </w:rPr>
              <w:t xml:space="preserve">Príjmy štátneho rozpočtu podľa zdrojov v roku </w:t>
            </w:r>
            <w:r w:rsidR="00DF1C0F">
              <w:rPr>
                <w:rFonts w:cs="Times New Roman"/>
              </w:rPr>
              <w:t>2022</w:t>
            </w:r>
          </w:p>
        </w:tc>
      </w:tr>
      <w:tr w:rsidR="001F4D7C" w:rsidRPr="001F4D7C" w14:paraId="4FE23A54" w14:textId="77777777" w:rsidTr="0070573A">
        <w:trPr>
          <w:jc w:val="center"/>
        </w:trPr>
        <w:tc>
          <w:tcPr>
            <w:tcW w:w="1169" w:type="dxa"/>
            <w:vAlign w:val="center"/>
          </w:tcPr>
          <w:p w14:paraId="6EEBBE46" w14:textId="61F1BDC4" w:rsidR="001F4D7C" w:rsidRPr="00592DD4" w:rsidRDefault="001F4D7C" w:rsidP="00592DD4">
            <w:pPr>
              <w:spacing w:after="0" w:line="240" w:lineRule="auto"/>
              <w:rPr>
                <w:rFonts w:cs="Times New Roman"/>
              </w:rPr>
            </w:pPr>
            <w:r w:rsidRPr="00592DD4">
              <w:rPr>
                <w:rFonts w:cs="Times New Roman"/>
              </w:rPr>
              <w:t xml:space="preserve">Tab. č. 7   </w:t>
            </w:r>
          </w:p>
        </w:tc>
        <w:tc>
          <w:tcPr>
            <w:tcW w:w="8080" w:type="dxa"/>
            <w:vAlign w:val="center"/>
          </w:tcPr>
          <w:p w14:paraId="64EF6AD4" w14:textId="088E0ABD" w:rsidR="001F4D7C" w:rsidRPr="00592DD4" w:rsidRDefault="001F4D7C" w:rsidP="00A21287">
            <w:pPr>
              <w:spacing w:after="0" w:line="240" w:lineRule="auto"/>
              <w:rPr>
                <w:rFonts w:cs="Times New Roman"/>
              </w:rPr>
            </w:pPr>
            <w:r w:rsidRPr="00592DD4">
              <w:rPr>
                <w:rFonts w:cs="Times New Roman"/>
              </w:rPr>
              <w:t xml:space="preserve">Výdavky štátneho rozpočtu podľa kategórií a kapitol ŠR za rok </w:t>
            </w:r>
            <w:r w:rsidR="00DF1C0F">
              <w:rPr>
                <w:rFonts w:cs="Times New Roman"/>
              </w:rPr>
              <w:t>2022</w:t>
            </w:r>
          </w:p>
        </w:tc>
      </w:tr>
      <w:tr w:rsidR="001F4D7C" w:rsidRPr="001F4D7C" w14:paraId="491E7CD1" w14:textId="77777777" w:rsidTr="0070573A">
        <w:trPr>
          <w:jc w:val="center"/>
        </w:trPr>
        <w:tc>
          <w:tcPr>
            <w:tcW w:w="1169" w:type="dxa"/>
            <w:vAlign w:val="center"/>
          </w:tcPr>
          <w:p w14:paraId="34E49743" w14:textId="5F8EFBEC" w:rsidR="001F4D7C" w:rsidRPr="00592DD4" w:rsidRDefault="001F4D7C" w:rsidP="001F4D7C">
            <w:pPr>
              <w:spacing w:after="0" w:line="240" w:lineRule="auto"/>
              <w:rPr>
                <w:rFonts w:cs="Times New Roman"/>
              </w:rPr>
            </w:pPr>
            <w:r w:rsidRPr="00592DD4">
              <w:rPr>
                <w:rFonts w:cs="Times New Roman"/>
              </w:rPr>
              <w:t xml:space="preserve">Tab. č. 8   </w:t>
            </w:r>
          </w:p>
        </w:tc>
        <w:tc>
          <w:tcPr>
            <w:tcW w:w="8080" w:type="dxa"/>
            <w:vAlign w:val="center"/>
          </w:tcPr>
          <w:p w14:paraId="408BAAA6" w14:textId="421FDD2F" w:rsidR="001F4D7C" w:rsidRPr="00592DD4" w:rsidRDefault="001F4D7C" w:rsidP="00A21287">
            <w:pPr>
              <w:spacing w:after="0" w:line="240" w:lineRule="auto"/>
              <w:rPr>
                <w:rFonts w:cs="Times New Roman"/>
              </w:rPr>
            </w:pPr>
            <w:r w:rsidRPr="00592DD4">
              <w:rPr>
                <w:rFonts w:cs="Times New Roman"/>
              </w:rPr>
              <w:t xml:space="preserve">Bežné transfery za rok </w:t>
            </w:r>
            <w:r w:rsidR="00DF1C0F">
              <w:rPr>
                <w:rFonts w:cs="Times New Roman"/>
              </w:rPr>
              <w:t>2022</w:t>
            </w:r>
          </w:p>
        </w:tc>
      </w:tr>
      <w:tr w:rsidR="001F4D7C" w:rsidRPr="001F4D7C" w14:paraId="40F06226" w14:textId="77777777" w:rsidTr="0070573A">
        <w:trPr>
          <w:jc w:val="center"/>
        </w:trPr>
        <w:tc>
          <w:tcPr>
            <w:tcW w:w="1169" w:type="dxa"/>
            <w:vAlign w:val="center"/>
          </w:tcPr>
          <w:p w14:paraId="31A747F3" w14:textId="008DD9A1" w:rsidR="001F4D7C" w:rsidRPr="00592DD4" w:rsidRDefault="001F4D7C" w:rsidP="001F4D7C">
            <w:pPr>
              <w:spacing w:after="0" w:line="240" w:lineRule="auto"/>
              <w:rPr>
                <w:rFonts w:cs="Times New Roman"/>
              </w:rPr>
            </w:pPr>
            <w:r w:rsidRPr="00592DD4">
              <w:rPr>
                <w:rFonts w:cs="Times New Roman"/>
              </w:rPr>
              <w:t xml:space="preserve">Tab. č. 9   </w:t>
            </w:r>
          </w:p>
        </w:tc>
        <w:tc>
          <w:tcPr>
            <w:tcW w:w="8080" w:type="dxa"/>
            <w:vAlign w:val="center"/>
          </w:tcPr>
          <w:p w14:paraId="79800FF0" w14:textId="4678F43D" w:rsidR="001F4D7C" w:rsidRPr="00592DD4" w:rsidRDefault="001F4D7C" w:rsidP="00A21287">
            <w:pPr>
              <w:spacing w:after="0" w:line="240" w:lineRule="auto"/>
              <w:rPr>
                <w:rFonts w:cs="Times New Roman"/>
              </w:rPr>
            </w:pPr>
            <w:r w:rsidRPr="00592DD4">
              <w:rPr>
                <w:rFonts w:cs="Times New Roman"/>
              </w:rPr>
              <w:t xml:space="preserve">Kapitálové výdavky za rok </w:t>
            </w:r>
            <w:r w:rsidR="00DF1C0F">
              <w:rPr>
                <w:rFonts w:cs="Times New Roman"/>
              </w:rPr>
              <w:t>2022</w:t>
            </w:r>
          </w:p>
        </w:tc>
      </w:tr>
      <w:tr w:rsidR="001F4D7C" w:rsidRPr="001F4D7C" w14:paraId="51E56324" w14:textId="77777777" w:rsidTr="0070573A">
        <w:trPr>
          <w:jc w:val="center"/>
        </w:trPr>
        <w:tc>
          <w:tcPr>
            <w:tcW w:w="1169" w:type="dxa"/>
            <w:vAlign w:val="center"/>
          </w:tcPr>
          <w:p w14:paraId="60F21E4D" w14:textId="7D6AA98F" w:rsidR="001F4D7C" w:rsidRPr="00592DD4" w:rsidRDefault="001F4D7C" w:rsidP="001F4D7C">
            <w:pPr>
              <w:spacing w:after="0" w:line="240" w:lineRule="auto"/>
              <w:rPr>
                <w:rFonts w:cs="Times New Roman"/>
              </w:rPr>
            </w:pPr>
            <w:r w:rsidRPr="00592DD4">
              <w:rPr>
                <w:rFonts w:cs="Times New Roman"/>
              </w:rPr>
              <w:t xml:space="preserve">Tab. č. 10   </w:t>
            </w:r>
          </w:p>
        </w:tc>
        <w:tc>
          <w:tcPr>
            <w:tcW w:w="8080" w:type="dxa"/>
            <w:vAlign w:val="center"/>
          </w:tcPr>
          <w:p w14:paraId="4381494A" w14:textId="40BA0E0F" w:rsidR="001F4D7C" w:rsidRPr="00592DD4" w:rsidRDefault="001F4D7C" w:rsidP="00A21287">
            <w:pPr>
              <w:spacing w:after="0" w:line="240" w:lineRule="auto"/>
              <w:rPr>
                <w:rFonts w:cs="Times New Roman"/>
              </w:rPr>
            </w:pPr>
            <w:r w:rsidRPr="00592DD4">
              <w:rPr>
                <w:rFonts w:cs="Times New Roman"/>
              </w:rPr>
              <w:t xml:space="preserve">Finančné operácie na samostatných účtoch štátnych rozpočtových organizácií za rok </w:t>
            </w:r>
            <w:r w:rsidR="00DF1C0F">
              <w:rPr>
                <w:rFonts w:cs="Times New Roman"/>
              </w:rPr>
              <w:t>2022</w:t>
            </w:r>
          </w:p>
        </w:tc>
      </w:tr>
      <w:tr w:rsidR="001F4D7C" w:rsidRPr="001F4D7C" w14:paraId="352E5DEE" w14:textId="77777777" w:rsidTr="0070573A">
        <w:trPr>
          <w:trHeight w:val="242"/>
          <w:jc w:val="center"/>
        </w:trPr>
        <w:tc>
          <w:tcPr>
            <w:tcW w:w="1169" w:type="dxa"/>
            <w:vAlign w:val="center"/>
          </w:tcPr>
          <w:p w14:paraId="68192BF3" w14:textId="1A07A9E4"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11  </w:t>
            </w:r>
          </w:p>
        </w:tc>
        <w:tc>
          <w:tcPr>
            <w:tcW w:w="8080" w:type="dxa"/>
            <w:vAlign w:val="center"/>
          </w:tcPr>
          <w:p w14:paraId="28B7FB3F" w14:textId="763F5362" w:rsidR="001F4D7C" w:rsidRPr="00592DD4" w:rsidRDefault="001F4D7C" w:rsidP="00A21287">
            <w:pPr>
              <w:spacing w:after="0" w:line="240" w:lineRule="auto"/>
              <w:rPr>
                <w:rFonts w:cs="Times New Roman"/>
              </w:rPr>
            </w:pPr>
            <w:r w:rsidRPr="00592DD4">
              <w:rPr>
                <w:rFonts w:cs="Times New Roman"/>
              </w:rPr>
              <w:t xml:space="preserve">Výdavky štátneho rozpočtu podľa funkčnej klasifikácie za rok </w:t>
            </w:r>
            <w:r w:rsidR="00DF1C0F">
              <w:rPr>
                <w:rFonts w:cs="Times New Roman"/>
              </w:rPr>
              <w:t>2022</w:t>
            </w:r>
          </w:p>
        </w:tc>
      </w:tr>
      <w:tr w:rsidR="001F4D7C" w:rsidRPr="001F4D7C" w14:paraId="73E4B101" w14:textId="77777777" w:rsidTr="0070573A">
        <w:trPr>
          <w:trHeight w:val="242"/>
          <w:jc w:val="center"/>
        </w:trPr>
        <w:tc>
          <w:tcPr>
            <w:tcW w:w="1169" w:type="dxa"/>
            <w:vAlign w:val="center"/>
          </w:tcPr>
          <w:p w14:paraId="4ED63639" w14:textId="201DCA87"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12</w:t>
            </w:r>
          </w:p>
        </w:tc>
        <w:tc>
          <w:tcPr>
            <w:tcW w:w="8080" w:type="dxa"/>
            <w:vAlign w:val="center"/>
          </w:tcPr>
          <w:p w14:paraId="0AEAFC7B" w14:textId="7D91739E" w:rsidR="001F4D7C" w:rsidRPr="00592DD4" w:rsidRDefault="001F4D7C" w:rsidP="00A21287">
            <w:pPr>
              <w:spacing w:after="0" w:line="240" w:lineRule="auto"/>
              <w:rPr>
                <w:rFonts w:cs="Times New Roman"/>
              </w:rPr>
            </w:pPr>
            <w:r w:rsidRPr="00592DD4">
              <w:rPr>
                <w:rFonts w:cs="Times New Roman"/>
                <w:bCs/>
                <w:lang w:eastAsia="sk-SK"/>
              </w:rPr>
              <w:t xml:space="preserve">Výdavky štátneho rozpočtu podľa kapitol ŠR a zdrojov v roku </w:t>
            </w:r>
            <w:r w:rsidR="00DF1C0F">
              <w:rPr>
                <w:rFonts w:cs="Times New Roman"/>
              </w:rPr>
              <w:t>2022</w:t>
            </w:r>
          </w:p>
        </w:tc>
      </w:tr>
      <w:tr w:rsidR="001F4D7C" w:rsidRPr="001F4D7C" w14:paraId="36D3921B" w14:textId="77777777" w:rsidTr="0070573A">
        <w:trPr>
          <w:trHeight w:val="242"/>
          <w:jc w:val="center"/>
        </w:trPr>
        <w:tc>
          <w:tcPr>
            <w:tcW w:w="1169" w:type="dxa"/>
            <w:vAlign w:val="center"/>
          </w:tcPr>
          <w:p w14:paraId="276767A7" w14:textId="44B192D5"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13  </w:t>
            </w:r>
          </w:p>
        </w:tc>
        <w:tc>
          <w:tcPr>
            <w:tcW w:w="8080" w:type="dxa"/>
            <w:vAlign w:val="center"/>
          </w:tcPr>
          <w:p w14:paraId="450047E9" w14:textId="55FB62EE" w:rsidR="001F4D7C" w:rsidRPr="00592DD4" w:rsidRDefault="001F4D7C" w:rsidP="001F4D7C">
            <w:pPr>
              <w:spacing w:after="0" w:line="240" w:lineRule="auto"/>
              <w:rPr>
                <w:rFonts w:cs="Times New Roman"/>
              </w:rPr>
            </w:pPr>
            <w:r w:rsidRPr="00592DD4">
              <w:rPr>
                <w:rFonts w:cs="Times New Roman"/>
              </w:rPr>
              <w:t>Výdavky štátneho rozpočtu na vedu a techn</w:t>
            </w:r>
            <w:r w:rsidR="00A21287">
              <w:rPr>
                <w:rFonts w:cs="Times New Roman"/>
              </w:rPr>
              <w:t xml:space="preserve">iku podľa kapitol ŠR za rok </w:t>
            </w:r>
            <w:r w:rsidR="00DF1C0F">
              <w:rPr>
                <w:rFonts w:cs="Times New Roman"/>
              </w:rPr>
              <w:t>2022</w:t>
            </w:r>
          </w:p>
        </w:tc>
      </w:tr>
      <w:tr w:rsidR="001F4D7C" w:rsidRPr="001F4D7C" w14:paraId="370AE01F" w14:textId="77777777" w:rsidTr="0070573A">
        <w:trPr>
          <w:trHeight w:val="242"/>
          <w:jc w:val="center"/>
        </w:trPr>
        <w:tc>
          <w:tcPr>
            <w:tcW w:w="1169" w:type="dxa"/>
            <w:vAlign w:val="center"/>
          </w:tcPr>
          <w:p w14:paraId="6D98F531" w14:textId="17D1D1BD"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14</w:t>
            </w:r>
          </w:p>
        </w:tc>
        <w:tc>
          <w:tcPr>
            <w:tcW w:w="8080" w:type="dxa"/>
            <w:vAlign w:val="center"/>
          </w:tcPr>
          <w:p w14:paraId="20033B69" w14:textId="2A294B99" w:rsidR="001F4D7C" w:rsidRPr="00592DD4" w:rsidRDefault="001F4D7C" w:rsidP="00A21287">
            <w:pPr>
              <w:spacing w:after="0" w:line="240" w:lineRule="auto"/>
              <w:rPr>
                <w:rFonts w:cs="Times New Roman"/>
              </w:rPr>
            </w:pPr>
            <w:r w:rsidRPr="00592DD4">
              <w:rPr>
                <w:rFonts w:cs="Times New Roman"/>
              </w:rPr>
              <w:t xml:space="preserve">Výdavky štátneho rozpočtu na vedu a techniku podľa funkčnej klasifikácie za rok </w:t>
            </w:r>
            <w:r w:rsidR="00DF1C0F">
              <w:rPr>
                <w:rFonts w:cs="Times New Roman"/>
              </w:rPr>
              <w:t>2022</w:t>
            </w:r>
          </w:p>
        </w:tc>
      </w:tr>
      <w:tr w:rsidR="00E42AD5" w:rsidRPr="001F4D7C" w14:paraId="74497272" w14:textId="77777777" w:rsidTr="0070573A">
        <w:trPr>
          <w:trHeight w:val="242"/>
          <w:jc w:val="center"/>
        </w:trPr>
        <w:tc>
          <w:tcPr>
            <w:tcW w:w="1169" w:type="dxa"/>
            <w:vAlign w:val="center"/>
          </w:tcPr>
          <w:p w14:paraId="156DFDD8" w14:textId="7D77B198" w:rsidR="00E42AD5" w:rsidRPr="00592DD4" w:rsidRDefault="00E42AD5" w:rsidP="001F4D7C">
            <w:pPr>
              <w:spacing w:after="0" w:line="240" w:lineRule="auto"/>
              <w:rPr>
                <w:rFonts w:cs="Times New Roman"/>
              </w:rPr>
            </w:pPr>
            <w:r w:rsidRPr="00592DD4">
              <w:rPr>
                <w:rFonts w:cs="Times New Roman"/>
              </w:rPr>
              <w:t>Tab. č. 15</w:t>
            </w:r>
          </w:p>
        </w:tc>
        <w:tc>
          <w:tcPr>
            <w:tcW w:w="8080" w:type="dxa"/>
            <w:vAlign w:val="center"/>
          </w:tcPr>
          <w:p w14:paraId="37AFF4A7" w14:textId="6AF1DA82" w:rsidR="00E42AD5" w:rsidRPr="00592DD4" w:rsidRDefault="00E42AD5" w:rsidP="00A21287">
            <w:pPr>
              <w:spacing w:after="0" w:line="240" w:lineRule="auto"/>
              <w:rPr>
                <w:rFonts w:cs="Times New Roman"/>
              </w:rPr>
            </w:pPr>
            <w:r w:rsidRPr="00E42AD5">
              <w:rPr>
                <w:rFonts w:cs="Times New Roman"/>
              </w:rPr>
              <w:t xml:space="preserve">Čerpanie rezervy predsedu vlády SR za rok </w:t>
            </w:r>
            <w:r w:rsidR="00DF1C0F">
              <w:rPr>
                <w:rFonts w:cs="Times New Roman"/>
              </w:rPr>
              <w:t>2022</w:t>
            </w:r>
          </w:p>
        </w:tc>
      </w:tr>
      <w:tr w:rsidR="001F4D7C" w:rsidRPr="001F4D7C" w14:paraId="1A5310C3" w14:textId="77777777" w:rsidTr="0070573A">
        <w:trPr>
          <w:jc w:val="center"/>
        </w:trPr>
        <w:tc>
          <w:tcPr>
            <w:tcW w:w="1169" w:type="dxa"/>
            <w:vAlign w:val="center"/>
          </w:tcPr>
          <w:p w14:paraId="3744C8D9" w14:textId="38118C78" w:rsidR="001F4D7C" w:rsidRPr="00592DD4" w:rsidRDefault="00E42AD5" w:rsidP="001F4D7C">
            <w:pPr>
              <w:spacing w:after="0" w:line="240" w:lineRule="auto"/>
              <w:rPr>
                <w:rFonts w:cs="Times New Roman"/>
              </w:rPr>
            </w:pPr>
            <w:r w:rsidRPr="00592DD4">
              <w:rPr>
                <w:rFonts w:cs="Times New Roman"/>
              </w:rPr>
              <w:t>Tab. č. 16</w:t>
            </w:r>
          </w:p>
        </w:tc>
        <w:tc>
          <w:tcPr>
            <w:tcW w:w="8080" w:type="dxa"/>
            <w:vAlign w:val="center"/>
          </w:tcPr>
          <w:p w14:paraId="64DA0086" w14:textId="748FCC4B" w:rsidR="001F4D7C" w:rsidRPr="00592DD4" w:rsidRDefault="001F4D7C" w:rsidP="001F4D7C">
            <w:pPr>
              <w:spacing w:after="0" w:line="240" w:lineRule="auto"/>
              <w:rPr>
                <w:rFonts w:cs="Times New Roman"/>
              </w:rPr>
            </w:pPr>
            <w:r w:rsidRPr="00592DD4">
              <w:rPr>
                <w:rFonts w:cs="Times New Roman"/>
              </w:rPr>
              <w:t xml:space="preserve">Prehľad výdavkov štátneho rozpočtu na </w:t>
            </w:r>
            <w:r w:rsidR="00A21287">
              <w:rPr>
                <w:rFonts w:cs="Times New Roman"/>
              </w:rPr>
              <w:t xml:space="preserve">realizáciu programov za rok </w:t>
            </w:r>
            <w:r w:rsidR="00DF1C0F">
              <w:rPr>
                <w:rFonts w:cs="Times New Roman"/>
              </w:rPr>
              <w:t>2022</w:t>
            </w:r>
          </w:p>
        </w:tc>
      </w:tr>
      <w:tr w:rsidR="001F4D7C" w:rsidRPr="00E42AD5" w14:paraId="5AFDF903" w14:textId="77777777" w:rsidTr="0070573A">
        <w:trPr>
          <w:jc w:val="center"/>
        </w:trPr>
        <w:tc>
          <w:tcPr>
            <w:tcW w:w="1169" w:type="dxa"/>
          </w:tcPr>
          <w:p w14:paraId="7FB6DAE2" w14:textId="261D0BCD" w:rsidR="001F4D7C" w:rsidRPr="00592DD4" w:rsidRDefault="00E42AD5" w:rsidP="001F4D7C">
            <w:pPr>
              <w:spacing w:after="0" w:line="240" w:lineRule="auto"/>
              <w:rPr>
                <w:rFonts w:cs="Times New Roman"/>
              </w:rPr>
            </w:pPr>
            <w:r w:rsidRPr="00592DD4">
              <w:rPr>
                <w:rFonts w:cs="Times New Roman"/>
              </w:rPr>
              <w:t>Tab. č. 17</w:t>
            </w:r>
          </w:p>
        </w:tc>
        <w:tc>
          <w:tcPr>
            <w:tcW w:w="8080" w:type="dxa"/>
            <w:vAlign w:val="center"/>
          </w:tcPr>
          <w:p w14:paraId="24F80C56" w14:textId="7D8DA435" w:rsidR="001F4D7C" w:rsidRPr="00592DD4" w:rsidRDefault="001F4D7C" w:rsidP="00A21287">
            <w:pPr>
              <w:spacing w:after="0" w:line="240" w:lineRule="auto"/>
              <w:rPr>
                <w:rFonts w:cs="Times New Roman"/>
              </w:rPr>
            </w:pPr>
            <w:r w:rsidRPr="00592DD4">
              <w:rPr>
                <w:rFonts w:cs="Times New Roman"/>
              </w:rPr>
              <w:t>Prehľad príjmov a</w:t>
            </w:r>
            <w:r w:rsidR="00A21287">
              <w:rPr>
                <w:rFonts w:cs="Times New Roman"/>
              </w:rPr>
              <w:t xml:space="preserve"> </w:t>
            </w:r>
            <w:r w:rsidRPr="00592DD4">
              <w:rPr>
                <w:rFonts w:cs="Times New Roman"/>
              </w:rPr>
              <w:t>výdavkov z rozpočtu Európsk</w:t>
            </w:r>
            <w:r w:rsidR="00A21287">
              <w:rPr>
                <w:rFonts w:cs="Times New Roman"/>
              </w:rPr>
              <w:t xml:space="preserve">ej únie zaradených do príjmov a </w:t>
            </w:r>
            <w:r w:rsidRPr="00592DD4">
              <w:rPr>
                <w:rFonts w:cs="Times New Roman"/>
              </w:rPr>
              <w:t>výdavkov štátneho rozpočtu podľa kapitol ŠR</w:t>
            </w:r>
          </w:p>
        </w:tc>
      </w:tr>
      <w:tr w:rsidR="001F4D7C" w:rsidRPr="001F4D7C" w14:paraId="45750A3A" w14:textId="77777777" w:rsidTr="0070573A">
        <w:trPr>
          <w:jc w:val="center"/>
        </w:trPr>
        <w:tc>
          <w:tcPr>
            <w:tcW w:w="1169" w:type="dxa"/>
          </w:tcPr>
          <w:p w14:paraId="5C46C3A7" w14:textId="20A3DE4B" w:rsidR="001F4D7C" w:rsidRPr="00592DD4" w:rsidRDefault="00E42AD5" w:rsidP="001F4D7C">
            <w:pPr>
              <w:spacing w:after="0" w:line="240" w:lineRule="auto"/>
              <w:rPr>
                <w:rFonts w:cs="Times New Roman"/>
              </w:rPr>
            </w:pPr>
            <w:r w:rsidRPr="00592DD4">
              <w:rPr>
                <w:rFonts w:cs="Times New Roman"/>
              </w:rPr>
              <w:t>Tab. č. 18</w:t>
            </w:r>
          </w:p>
        </w:tc>
        <w:tc>
          <w:tcPr>
            <w:tcW w:w="8080" w:type="dxa"/>
            <w:vAlign w:val="center"/>
          </w:tcPr>
          <w:p w14:paraId="21CCB629" w14:textId="0D7F7599" w:rsidR="001F4D7C" w:rsidRPr="00592DD4" w:rsidRDefault="001F4D7C" w:rsidP="00AC0510">
            <w:pPr>
              <w:spacing w:after="0" w:line="240" w:lineRule="auto"/>
              <w:rPr>
                <w:rFonts w:cs="Times New Roman"/>
              </w:rPr>
            </w:pPr>
            <w:r w:rsidRPr="00592DD4">
              <w:rPr>
                <w:rFonts w:cs="Times New Roman"/>
                <w:bCs/>
                <w:lang w:eastAsia="sk-SK"/>
              </w:rPr>
              <w:t xml:space="preserve">Prostriedky </w:t>
            </w:r>
            <w:r w:rsidR="00AC0510">
              <w:rPr>
                <w:rFonts w:cs="Times New Roman"/>
                <w:bCs/>
                <w:lang w:eastAsia="sk-SK"/>
              </w:rPr>
              <w:t>ŠR</w:t>
            </w:r>
            <w:r w:rsidRPr="00592DD4">
              <w:rPr>
                <w:rFonts w:cs="Times New Roman"/>
                <w:bCs/>
                <w:lang w:eastAsia="sk-SK"/>
              </w:rPr>
              <w:t xml:space="preserve"> na financovanie spoločných programov </w:t>
            </w:r>
            <w:r w:rsidR="00AC0510">
              <w:rPr>
                <w:rFonts w:cs="Times New Roman"/>
                <w:bCs/>
                <w:lang w:eastAsia="sk-SK"/>
              </w:rPr>
              <w:t>SR</w:t>
            </w:r>
            <w:r w:rsidRPr="00592DD4">
              <w:rPr>
                <w:rFonts w:cs="Times New Roman"/>
                <w:bCs/>
                <w:lang w:eastAsia="sk-SK"/>
              </w:rPr>
              <w:t xml:space="preserve"> a EÚ podľa kapitol ŠR</w:t>
            </w:r>
          </w:p>
        </w:tc>
      </w:tr>
      <w:tr w:rsidR="001F4D7C" w:rsidRPr="001F4D7C" w14:paraId="003C4931" w14:textId="77777777" w:rsidTr="0070573A">
        <w:trPr>
          <w:jc w:val="center"/>
        </w:trPr>
        <w:tc>
          <w:tcPr>
            <w:tcW w:w="1169" w:type="dxa"/>
            <w:vAlign w:val="center"/>
          </w:tcPr>
          <w:p w14:paraId="361629EA" w14:textId="15241995" w:rsidR="001F4D7C" w:rsidRPr="00592DD4" w:rsidRDefault="00E42AD5" w:rsidP="001F4D7C">
            <w:pPr>
              <w:tabs>
                <w:tab w:val="left" w:pos="1310"/>
              </w:tabs>
              <w:spacing w:after="0" w:line="240" w:lineRule="auto"/>
              <w:ind w:right="34"/>
              <w:rPr>
                <w:rFonts w:cs="Times New Roman"/>
              </w:rPr>
            </w:pPr>
            <w:r w:rsidRPr="00592DD4">
              <w:rPr>
                <w:rFonts w:cs="Times New Roman"/>
              </w:rPr>
              <w:t>Tab. č. 19</w:t>
            </w:r>
          </w:p>
        </w:tc>
        <w:tc>
          <w:tcPr>
            <w:tcW w:w="8080" w:type="dxa"/>
            <w:vAlign w:val="center"/>
          </w:tcPr>
          <w:p w14:paraId="0B52BD7E" w14:textId="2A27CA2C" w:rsidR="001F4D7C" w:rsidRPr="00592DD4" w:rsidRDefault="001F4D7C" w:rsidP="00A21287">
            <w:pPr>
              <w:spacing w:after="0" w:line="240" w:lineRule="auto"/>
              <w:rPr>
                <w:rFonts w:cs="Times New Roman"/>
              </w:rPr>
            </w:pPr>
            <w:r w:rsidRPr="00592DD4">
              <w:rPr>
                <w:rFonts w:cs="Times New Roman"/>
              </w:rPr>
              <w:t xml:space="preserve">Prehľad vzťahu jednotlivých kapitol ŠR k štátnemu rozpočtu za rok </w:t>
            </w:r>
            <w:r w:rsidR="00DF1C0F">
              <w:rPr>
                <w:rFonts w:cs="Times New Roman"/>
              </w:rPr>
              <w:t>2022</w:t>
            </w:r>
          </w:p>
        </w:tc>
      </w:tr>
      <w:tr w:rsidR="001F4D7C" w:rsidRPr="001F4D7C" w14:paraId="18423ED8" w14:textId="77777777" w:rsidTr="0070573A">
        <w:trPr>
          <w:jc w:val="center"/>
        </w:trPr>
        <w:tc>
          <w:tcPr>
            <w:tcW w:w="1169" w:type="dxa"/>
            <w:vAlign w:val="center"/>
          </w:tcPr>
          <w:p w14:paraId="23D09C0B" w14:textId="170B98ED" w:rsidR="001F4D7C" w:rsidRPr="00592DD4" w:rsidRDefault="0028456F" w:rsidP="0028456F">
            <w:pPr>
              <w:spacing w:after="0" w:line="240" w:lineRule="auto"/>
              <w:rPr>
                <w:rFonts w:cs="Times New Roman"/>
              </w:rPr>
            </w:pPr>
            <w:r>
              <w:rPr>
                <w:rFonts w:cs="Times New Roman"/>
              </w:rPr>
              <w:t>Tab. č. 20</w:t>
            </w:r>
          </w:p>
        </w:tc>
        <w:tc>
          <w:tcPr>
            <w:tcW w:w="8080" w:type="dxa"/>
            <w:vAlign w:val="center"/>
          </w:tcPr>
          <w:p w14:paraId="14FF112A" w14:textId="55AF44EE" w:rsidR="001F4D7C" w:rsidRPr="00592DD4" w:rsidRDefault="001F4D7C" w:rsidP="00DF1C0F">
            <w:pPr>
              <w:spacing w:after="0" w:line="240" w:lineRule="auto"/>
              <w:rPr>
                <w:rFonts w:cs="Times New Roman"/>
              </w:rPr>
            </w:pPr>
            <w:r w:rsidRPr="00592DD4">
              <w:rPr>
                <w:rFonts w:cs="Times New Roman"/>
              </w:rPr>
              <w:t xml:space="preserve">Vývoj príjmov a výdavkov štátneho rozpočtu v rokoch </w:t>
            </w:r>
            <w:r w:rsidR="00DF1C0F">
              <w:rPr>
                <w:rFonts w:cs="Times New Roman"/>
              </w:rPr>
              <w:t>2022</w:t>
            </w:r>
            <w:r w:rsidR="00A21287">
              <w:rPr>
                <w:rFonts w:cs="Times New Roman"/>
              </w:rPr>
              <w:t xml:space="preserve"> a 202</w:t>
            </w:r>
            <w:r w:rsidR="00DF1C0F">
              <w:rPr>
                <w:rFonts w:cs="Times New Roman"/>
              </w:rPr>
              <w:t>1</w:t>
            </w:r>
          </w:p>
        </w:tc>
      </w:tr>
      <w:tr w:rsidR="001F4D7C" w:rsidRPr="001F4D7C" w14:paraId="269AD9FB" w14:textId="77777777" w:rsidTr="0070573A">
        <w:trPr>
          <w:jc w:val="center"/>
        </w:trPr>
        <w:tc>
          <w:tcPr>
            <w:tcW w:w="1169" w:type="dxa"/>
            <w:vAlign w:val="center"/>
          </w:tcPr>
          <w:p w14:paraId="40719BFE" w14:textId="2220FFB5" w:rsidR="001F4D7C" w:rsidRPr="00592DD4" w:rsidRDefault="00E42AD5" w:rsidP="0028456F">
            <w:pPr>
              <w:spacing w:after="0" w:line="240" w:lineRule="auto"/>
              <w:rPr>
                <w:rFonts w:cs="Times New Roman"/>
              </w:rPr>
            </w:pPr>
            <w:r w:rsidRPr="00592DD4">
              <w:rPr>
                <w:rFonts w:cs="Times New Roman"/>
              </w:rPr>
              <w:t>Tab. č. 21</w:t>
            </w:r>
          </w:p>
        </w:tc>
        <w:tc>
          <w:tcPr>
            <w:tcW w:w="8080" w:type="dxa"/>
            <w:vAlign w:val="center"/>
          </w:tcPr>
          <w:p w14:paraId="617A299A" w14:textId="2886A587" w:rsidR="001F4D7C" w:rsidRPr="00592DD4" w:rsidRDefault="001F4D7C" w:rsidP="001F4D7C">
            <w:pPr>
              <w:spacing w:after="0" w:line="240" w:lineRule="auto"/>
              <w:rPr>
                <w:rFonts w:cs="Times New Roman"/>
              </w:rPr>
            </w:pPr>
            <w:r w:rsidRPr="00592DD4">
              <w:rPr>
                <w:rFonts w:cs="Times New Roman"/>
              </w:rPr>
              <w:t xml:space="preserve">Záväzné limity </w:t>
            </w:r>
            <w:r w:rsidR="00A21287">
              <w:rPr>
                <w:rFonts w:cs="Times New Roman"/>
              </w:rPr>
              <w:t xml:space="preserve">dotácií zo ŠR obciam za rok </w:t>
            </w:r>
            <w:r w:rsidR="00DF1C0F">
              <w:rPr>
                <w:rFonts w:cs="Times New Roman"/>
              </w:rPr>
              <w:t>2022</w:t>
            </w:r>
          </w:p>
        </w:tc>
      </w:tr>
      <w:tr w:rsidR="001F4D7C" w:rsidRPr="001F4D7C" w14:paraId="702974FD" w14:textId="77777777" w:rsidTr="0070573A">
        <w:trPr>
          <w:trHeight w:val="242"/>
          <w:jc w:val="center"/>
        </w:trPr>
        <w:tc>
          <w:tcPr>
            <w:tcW w:w="1169" w:type="dxa"/>
            <w:vAlign w:val="center"/>
          </w:tcPr>
          <w:p w14:paraId="1DA92E47" w14:textId="4146BC82" w:rsidR="001F4D7C" w:rsidRPr="00592DD4" w:rsidRDefault="00E42AD5" w:rsidP="001F4D7C">
            <w:pPr>
              <w:spacing w:after="0" w:line="240" w:lineRule="auto"/>
              <w:rPr>
                <w:rFonts w:cs="Times New Roman"/>
              </w:rPr>
            </w:pPr>
            <w:r w:rsidRPr="00592DD4">
              <w:rPr>
                <w:rFonts w:cs="Times New Roman"/>
              </w:rPr>
              <w:t>Tab. č. 22</w:t>
            </w:r>
          </w:p>
        </w:tc>
        <w:tc>
          <w:tcPr>
            <w:tcW w:w="8080" w:type="dxa"/>
            <w:vAlign w:val="center"/>
          </w:tcPr>
          <w:p w14:paraId="7E612731" w14:textId="15EF5A09" w:rsidR="001F4D7C" w:rsidRPr="00592DD4" w:rsidRDefault="001F4D7C" w:rsidP="00A21287">
            <w:pPr>
              <w:spacing w:after="0" w:line="240" w:lineRule="auto"/>
              <w:rPr>
                <w:rFonts w:cs="Times New Roman"/>
              </w:rPr>
            </w:pPr>
            <w:r w:rsidRPr="00592DD4">
              <w:rPr>
                <w:rFonts w:cs="Times New Roman"/>
              </w:rPr>
              <w:t xml:space="preserve">Záväzné limity dotácií zo ŠR vyšším územným celkom za rok </w:t>
            </w:r>
            <w:r w:rsidR="00DF1C0F">
              <w:rPr>
                <w:rFonts w:cs="Times New Roman"/>
              </w:rPr>
              <w:t>2022</w:t>
            </w:r>
          </w:p>
        </w:tc>
      </w:tr>
      <w:tr w:rsidR="001F4D7C" w:rsidRPr="001F4D7C" w14:paraId="126CDC94" w14:textId="77777777" w:rsidTr="0070573A">
        <w:trPr>
          <w:jc w:val="center"/>
        </w:trPr>
        <w:tc>
          <w:tcPr>
            <w:tcW w:w="1169" w:type="dxa"/>
            <w:vAlign w:val="center"/>
          </w:tcPr>
          <w:p w14:paraId="017A0739" w14:textId="66292DA7" w:rsidR="001F4D7C" w:rsidRPr="00592DD4" w:rsidRDefault="00E42AD5" w:rsidP="001F4D7C">
            <w:pPr>
              <w:spacing w:after="0" w:line="240" w:lineRule="auto"/>
              <w:rPr>
                <w:rFonts w:cs="Times New Roman"/>
              </w:rPr>
            </w:pPr>
            <w:r w:rsidRPr="00592DD4">
              <w:rPr>
                <w:rFonts w:cs="Times New Roman"/>
              </w:rPr>
              <w:t>Tab. č. 23</w:t>
            </w:r>
          </w:p>
        </w:tc>
        <w:tc>
          <w:tcPr>
            <w:tcW w:w="8080" w:type="dxa"/>
            <w:vAlign w:val="center"/>
          </w:tcPr>
          <w:p w14:paraId="4173CC2E" w14:textId="091AE321" w:rsidR="001F4D7C" w:rsidRPr="00592DD4" w:rsidRDefault="001F4D7C" w:rsidP="00BF476F">
            <w:pPr>
              <w:spacing w:after="0" w:line="240" w:lineRule="auto"/>
              <w:rPr>
                <w:rFonts w:cs="Times New Roman"/>
              </w:rPr>
            </w:pPr>
            <w:r w:rsidRPr="00592DD4">
              <w:rPr>
                <w:rFonts w:cs="Times New Roman"/>
              </w:rPr>
              <w:t xml:space="preserve">Prehľad o plnení limitu počtu zamestnancov, miezd, platov, služobných príjmov a ostatných osobných vyrovnaní v kapitolách ŠR za rok </w:t>
            </w:r>
            <w:r w:rsidR="00DF1C0F">
              <w:rPr>
                <w:rFonts w:cs="Times New Roman"/>
              </w:rPr>
              <w:t>2022</w:t>
            </w:r>
          </w:p>
        </w:tc>
      </w:tr>
      <w:tr w:rsidR="001F4D7C" w:rsidRPr="001F4D7C" w14:paraId="3C64672D" w14:textId="77777777" w:rsidTr="0070573A">
        <w:trPr>
          <w:jc w:val="center"/>
        </w:trPr>
        <w:tc>
          <w:tcPr>
            <w:tcW w:w="1169" w:type="dxa"/>
            <w:vAlign w:val="center"/>
          </w:tcPr>
          <w:p w14:paraId="7556CCDD" w14:textId="0A40EA27" w:rsidR="001F4D7C" w:rsidRPr="00592DD4" w:rsidRDefault="00E42AD5" w:rsidP="001F4D7C">
            <w:pPr>
              <w:spacing w:after="0" w:line="240" w:lineRule="auto"/>
              <w:rPr>
                <w:rFonts w:cs="Times New Roman"/>
              </w:rPr>
            </w:pPr>
            <w:r w:rsidRPr="00592DD4">
              <w:rPr>
                <w:rFonts w:cs="Times New Roman"/>
              </w:rPr>
              <w:t>Tab. č. 24</w:t>
            </w:r>
          </w:p>
        </w:tc>
        <w:tc>
          <w:tcPr>
            <w:tcW w:w="8080" w:type="dxa"/>
            <w:vAlign w:val="center"/>
          </w:tcPr>
          <w:p w14:paraId="1DFE35D8" w14:textId="2BC414AB" w:rsidR="001F4D7C" w:rsidRPr="00592DD4" w:rsidRDefault="001F4D7C" w:rsidP="00A21287">
            <w:pPr>
              <w:spacing w:after="0" w:line="240" w:lineRule="auto"/>
              <w:rPr>
                <w:rFonts w:cs="Times New Roman"/>
              </w:rPr>
            </w:pPr>
            <w:r w:rsidRPr="00592DD4">
              <w:rPr>
                <w:rFonts w:cs="Times New Roman"/>
              </w:rPr>
              <w:t xml:space="preserve">Prehľad o čerpaní miezd, platov, služobných príjmov a ostatných osobných vyrovnaní v kapitolách ŠR za rok </w:t>
            </w:r>
            <w:r w:rsidR="00DF1C0F">
              <w:rPr>
                <w:rFonts w:cs="Times New Roman"/>
              </w:rPr>
              <w:t>2022</w:t>
            </w:r>
          </w:p>
        </w:tc>
      </w:tr>
      <w:tr w:rsidR="001F4D7C" w:rsidRPr="001F4D7C" w14:paraId="14E28127" w14:textId="77777777" w:rsidTr="0070573A">
        <w:trPr>
          <w:jc w:val="center"/>
        </w:trPr>
        <w:tc>
          <w:tcPr>
            <w:tcW w:w="1169" w:type="dxa"/>
            <w:vAlign w:val="center"/>
          </w:tcPr>
          <w:p w14:paraId="72D6FCAA" w14:textId="33DAD774" w:rsidR="001F4D7C" w:rsidRPr="00592DD4" w:rsidRDefault="00E42AD5" w:rsidP="001F4D7C">
            <w:pPr>
              <w:spacing w:after="0" w:line="240" w:lineRule="auto"/>
              <w:rPr>
                <w:rFonts w:cs="Times New Roman"/>
              </w:rPr>
            </w:pPr>
            <w:r w:rsidRPr="00592DD4">
              <w:rPr>
                <w:rFonts w:cs="Times New Roman"/>
              </w:rPr>
              <w:t>Tab. č. 25</w:t>
            </w:r>
          </w:p>
        </w:tc>
        <w:tc>
          <w:tcPr>
            <w:tcW w:w="8080" w:type="dxa"/>
            <w:vAlign w:val="center"/>
          </w:tcPr>
          <w:p w14:paraId="3CA8055C" w14:textId="77AC97E8" w:rsidR="001F4D7C" w:rsidRPr="00592DD4" w:rsidRDefault="001F4D7C" w:rsidP="00A21287">
            <w:pPr>
              <w:spacing w:after="0" w:line="240" w:lineRule="auto"/>
              <w:rPr>
                <w:rFonts w:cs="Times New Roman"/>
              </w:rPr>
            </w:pPr>
            <w:r w:rsidRPr="00592DD4">
              <w:rPr>
                <w:rFonts w:cs="Times New Roman"/>
              </w:rPr>
              <w:t xml:space="preserve">Systemizácia colníkov v štátnej službe za rok </w:t>
            </w:r>
            <w:r w:rsidR="00DF1C0F">
              <w:rPr>
                <w:rFonts w:cs="Times New Roman"/>
              </w:rPr>
              <w:t>2022</w:t>
            </w:r>
          </w:p>
        </w:tc>
      </w:tr>
      <w:tr w:rsidR="001F4D7C" w:rsidRPr="001F4D7C" w14:paraId="57ECBBC9" w14:textId="77777777" w:rsidTr="0070573A">
        <w:trPr>
          <w:jc w:val="center"/>
        </w:trPr>
        <w:tc>
          <w:tcPr>
            <w:tcW w:w="1169" w:type="dxa"/>
            <w:vAlign w:val="center"/>
          </w:tcPr>
          <w:p w14:paraId="508169C4" w14:textId="00A613C9" w:rsidR="001F4D7C" w:rsidRPr="00592DD4" w:rsidRDefault="00E42AD5" w:rsidP="001F4D7C">
            <w:pPr>
              <w:spacing w:after="0" w:line="240" w:lineRule="auto"/>
              <w:rPr>
                <w:rFonts w:cs="Times New Roman"/>
              </w:rPr>
            </w:pPr>
            <w:r w:rsidRPr="00592DD4">
              <w:rPr>
                <w:rFonts w:cs="Times New Roman"/>
              </w:rPr>
              <w:t>Tab. č. 26</w:t>
            </w:r>
          </w:p>
        </w:tc>
        <w:tc>
          <w:tcPr>
            <w:tcW w:w="8080" w:type="dxa"/>
            <w:vAlign w:val="center"/>
          </w:tcPr>
          <w:p w14:paraId="0FC371AD" w14:textId="00FC4BC0" w:rsidR="001F4D7C" w:rsidRPr="00592DD4" w:rsidRDefault="001F4D7C" w:rsidP="00A21287">
            <w:pPr>
              <w:spacing w:after="0" w:line="240" w:lineRule="auto"/>
              <w:rPr>
                <w:rFonts w:cs="Times New Roman"/>
              </w:rPr>
            </w:pPr>
            <w:r w:rsidRPr="00592DD4">
              <w:rPr>
                <w:rFonts w:cs="Times New Roman"/>
                <w:snapToGrid w:val="0"/>
                <w:color w:val="000000"/>
              </w:rPr>
              <w:t xml:space="preserve">Systemizácia príslušníkov Hasičského záchranného zboru a príslušníkov Horskej záchrannej služby v štátnej službe za rok </w:t>
            </w:r>
            <w:r w:rsidR="00DF1C0F">
              <w:rPr>
                <w:rFonts w:cs="Times New Roman"/>
                <w:snapToGrid w:val="0"/>
                <w:color w:val="000000"/>
              </w:rPr>
              <w:t>2022</w:t>
            </w:r>
          </w:p>
        </w:tc>
      </w:tr>
      <w:tr w:rsidR="001F4D7C" w:rsidRPr="001F4D7C" w14:paraId="3126ED5B" w14:textId="77777777" w:rsidTr="0070573A">
        <w:trPr>
          <w:jc w:val="center"/>
        </w:trPr>
        <w:tc>
          <w:tcPr>
            <w:tcW w:w="1169" w:type="dxa"/>
            <w:vAlign w:val="center"/>
          </w:tcPr>
          <w:p w14:paraId="2FECE1DE" w14:textId="3760F0BA" w:rsidR="001F4D7C" w:rsidRPr="00592DD4" w:rsidRDefault="00E42AD5" w:rsidP="001F4D7C">
            <w:pPr>
              <w:spacing w:after="0" w:line="240" w:lineRule="auto"/>
              <w:rPr>
                <w:rFonts w:cs="Times New Roman"/>
              </w:rPr>
            </w:pPr>
            <w:r w:rsidRPr="00592DD4">
              <w:rPr>
                <w:rFonts w:cs="Times New Roman"/>
              </w:rPr>
              <w:t>Tab. č. 27</w:t>
            </w:r>
          </w:p>
        </w:tc>
        <w:tc>
          <w:tcPr>
            <w:tcW w:w="8080" w:type="dxa"/>
            <w:vAlign w:val="center"/>
          </w:tcPr>
          <w:p w14:paraId="2DA1BEF1" w14:textId="1E37FEFB" w:rsidR="001F4D7C" w:rsidRPr="00592DD4" w:rsidRDefault="001F4D7C" w:rsidP="00A21287">
            <w:pPr>
              <w:spacing w:after="0" w:line="240" w:lineRule="auto"/>
              <w:rPr>
                <w:rFonts w:cs="Times New Roman"/>
              </w:rPr>
            </w:pPr>
            <w:r w:rsidRPr="00592DD4">
              <w:rPr>
                <w:rFonts w:cs="Times New Roman"/>
              </w:rPr>
              <w:t xml:space="preserve">Systemizácia policajtov v štátnej službe za rok </w:t>
            </w:r>
            <w:r w:rsidR="00DF1C0F">
              <w:rPr>
                <w:rFonts w:cs="Times New Roman"/>
              </w:rPr>
              <w:t>2022</w:t>
            </w:r>
          </w:p>
        </w:tc>
      </w:tr>
      <w:tr w:rsidR="001F4D7C" w:rsidRPr="001F4D7C" w14:paraId="0987432A" w14:textId="77777777" w:rsidTr="0070573A">
        <w:trPr>
          <w:jc w:val="center"/>
        </w:trPr>
        <w:tc>
          <w:tcPr>
            <w:tcW w:w="1169" w:type="dxa"/>
            <w:vAlign w:val="center"/>
          </w:tcPr>
          <w:p w14:paraId="3D6C92AD" w14:textId="0AF0ED2A" w:rsidR="001F4D7C" w:rsidRPr="00592DD4" w:rsidRDefault="00E42AD5" w:rsidP="001F4D7C">
            <w:pPr>
              <w:spacing w:after="0" w:line="240" w:lineRule="auto"/>
              <w:rPr>
                <w:rFonts w:cs="Times New Roman"/>
              </w:rPr>
            </w:pPr>
            <w:r w:rsidRPr="00592DD4">
              <w:rPr>
                <w:rFonts w:cs="Times New Roman"/>
              </w:rPr>
              <w:t>Tab. č. 28</w:t>
            </w:r>
          </w:p>
        </w:tc>
        <w:tc>
          <w:tcPr>
            <w:tcW w:w="8080" w:type="dxa"/>
            <w:vAlign w:val="center"/>
          </w:tcPr>
          <w:p w14:paraId="0943CFCB" w14:textId="19A924DA" w:rsidR="001F4D7C" w:rsidRPr="00592DD4" w:rsidRDefault="001F4D7C" w:rsidP="00A21287">
            <w:pPr>
              <w:spacing w:after="0" w:line="240" w:lineRule="auto"/>
              <w:rPr>
                <w:rFonts w:cs="Times New Roman"/>
              </w:rPr>
            </w:pPr>
            <w:r w:rsidRPr="00592DD4">
              <w:rPr>
                <w:rFonts w:cs="Times New Roman"/>
              </w:rPr>
              <w:t xml:space="preserve">Systemizácia profesionálnych vojakov v štátnej službe za rok </w:t>
            </w:r>
            <w:r w:rsidR="00DF1C0F">
              <w:rPr>
                <w:rFonts w:cs="Times New Roman"/>
              </w:rPr>
              <w:t>2022</w:t>
            </w:r>
          </w:p>
        </w:tc>
      </w:tr>
      <w:tr w:rsidR="001F4D7C" w:rsidRPr="001F4D7C" w14:paraId="181E65F6" w14:textId="77777777" w:rsidTr="0070573A">
        <w:trPr>
          <w:jc w:val="center"/>
        </w:trPr>
        <w:tc>
          <w:tcPr>
            <w:tcW w:w="1169" w:type="dxa"/>
            <w:vAlign w:val="center"/>
          </w:tcPr>
          <w:p w14:paraId="25286060" w14:textId="63DBBE0D" w:rsidR="001F4D7C" w:rsidRPr="00592DD4" w:rsidRDefault="00E42AD5" w:rsidP="001F4D7C">
            <w:pPr>
              <w:spacing w:after="0" w:line="240" w:lineRule="auto"/>
              <w:rPr>
                <w:rFonts w:cs="Times New Roman"/>
              </w:rPr>
            </w:pPr>
            <w:r w:rsidRPr="00592DD4">
              <w:rPr>
                <w:rFonts w:cs="Times New Roman"/>
              </w:rPr>
              <w:t>Tab. č. 29</w:t>
            </w:r>
          </w:p>
        </w:tc>
        <w:tc>
          <w:tcPr>
            <w:tcW w:w="8080" w:type="dxa"/>
            <w:vAlign w:val="center"/>
          </w:tcPr>
          <w:p w14:paraId="19060C9B" w14:textId="7D122485" w:rsidR="001F4D7C" w:rsidRPr="00592DD4" w:rsidRDefault="001F4D7C" w:rsidP="00A21287">
            <w:pPr>
              <w:spacing w:after="0" w:line="240" w:lineRule="auto"/>
              <w:rPr>
                <w:rFonts w:cs="Times New Roman"/>
              </w:rPr>
            </w:pPr>
            <w:r w:rsidRPr="00592DD4">
              <w:rPr>
                <w:rFonts w:cs="Times New Roman"/>
              </w:rPr>
              <w:t xml:space="preserve">Príjmy štátnych príspevkových organizácií podľa kategórií a kapitol ŠR za rok </w:t>
            </w:r>
            <w:r w:rsidR="00DF1C0F">
              <w:rPr>
                <w:rFonts w:cs="Times New Roman"/>
              </w:rPr>
              <w:t>2022</w:t>
            </w:r>
          </w:p>
        </w:tc>
      </w:tr>
      <w:tr w:rsidR="001F4D7C" w:rsidRPr="001F4D7C" w14:paraId="0D2A80C5" w14:textId="77777777" w:rsidTr="0070573A">
        <w:trPr>
          <w:jc w:val="center"/>
        </w:trPr>
        <w:tc>
          <w:tcPr>
            <w:tcW w:w="1169" w:type="dxa"/>
            <w:vAlign w:val="center"/>
          </w:tcPr>
          <w:p w14:paraId="613A4510" w14:textId="4C1C9104" w:rsidR="001F4D7C" w:rsidRPr="00592DD4" w:rsidRDefault="00E42AD5" w:rsidP="001F4D7C">
            <w:pPr>
              <w:spacing w:after="0" w:line="240" w:lineRule="auto"/>
              <w:rPr>
                <w:rFonts w:cs="Times New Roman"/>
              </w:rPr>
            </w:pPr>
            <w:r w:rsidRPr="00592DD4">
              <w:rPr>
                <w:rFonts w:cs="Times New Roman"/>
              </w:rPr>
              <w:t>Tab. č. 30</w:t>
            </w:r>
          </w:p>
        </w:tc>
        <w:tc>
          <w:tcPr>
            <w:tcW w:w="8080" w:type="dxa"/>
            <w:vAlign w:val="center"/>
          </w:tcPr>
          <w:p w14:paraId="13786795" w14:textId="4C65038D" w:rsidR="001F4D7C" w:rsidRPr="00592DD4" w:rsidRDefault="001F4D7C" w:rsidP="00A21287">
            <w:pPr>
              <w:spacing w:after="0" w:line="240" w:lineRule="auto"/>
              <w:rPr>
                <w:rFonts w:cs="Times New Roman"/>
              </w:rPr>
            </w:pPr>
            <w:r w:rsidRPr="00592DD4">
              <w:rPr>
                <w:rFonts w:cs="Times New Roman"/>
              </w:rPr>
              <w:t xml:space="preserve">Výdavky štátnych príspevkových organizácií podľa kategórií a kapitol ŠR za rok </w:t>
            </w:r>
            <w:r w:rsidR="00DF1C0F">
              <w:rPr>
                <w:rFonts w:cs="Times New Roman"/>
              </w:rPr>
              <w:t>2022</w:t>
            </w:r>
          </w:p>
        </w:tc>
      </w:tr>
      <w:tr w:rsidR="001F4D7C" w:rsidRPr="001F4D7C" w14:paraId="6AA2C6F3" w14:textId="77777777" w:rsidTr="0070573A">
        <w:trPr>
          <w:jc w:val="center"/>
        </w:trPr>
        <w:tc>
          <w:tcPr>
            <w:tcW w:w="1169" w:type="dxa"/>
            <w:vAlign w:val="center"/>
          </w:tcPr>
          <w:p w14:paraId="329ABD8A" w14:textId="0BDCFA0C" w:rsidR="001F4D7C" w:rsidRPr="00592DD4" w:rsidRDefault="00E42AD5" w:rsidP="001F4D7C">
            <w:pPr>
              <w:spacing w:after="0" w:line="240" w:lineRule="auto"/>
              <w:rPr>
                <w:rFonts w:cs="Times New Roman"/>
              </w:rPr>
            </w:pPr>
            <w:r w:rsidRPr="00592DD4">
              <w:rPr>
                <w:rFonts w:cs="Times New Roman"/>
              </w:rPr>
              <w:t>Tab. č. 31</w:t>
            </w:r>
          </w:p>
        </w:tc>
        <w:tc>
          <w:tcPr>
            <w:tcW w:w="8080" w:type="dxa"/>
            <w:vAlign w:val="center"/>
          </w:tcPr>
          <w:p w14:paraId="756624E8" w14:textId="6C00B6C4" w:rsidR="001F4D7C" w:rsidRPr="00592DD4" w:rsidRDefault="001F4D7C" w:rsidP="00A21287">
            <w:pPr>
              <w:spacing w:after="0" w:line="240" w:lineRule="auto"/>
              <w:rPr>
                <w:rFonts w:cs="Times New Roman"/>
              </w:rPr>
            </w:pPr>
            <w:r w:rsidRPr="00592DD4">
              <w:rPr>
                <w:rFonts w:cs="Times New Roman"/>
              </w:rPr>
              <w:t xml:space="preserve">Výdavky štátnych príspevkových organizácií podľa funkčnej klasifikácie za rok </w:t>
            </w:r>
            <w:r w:rsidR="00DF1C0F">
              <w:rPr>
                <w:rFonts w:cs="Times New Roman"/>
              </w:rPr>
              <w:t>2022</w:t>
            </w:r>
          </w:p>
        </w:tc>
      </w:tr>
      <w:tr w:rsidR="001F4D7C" w:rsidRPr="001F4D7C" w14:paraId="4D357078" w14:textId="77777777" w:rsidTr="0070573A">
        <w:trPr>
          <w:jc w:val="center"/>
        </w:trPr>
        <w:tc>
          <w:tcPr>
            <w:tcW w:w="1169" w:type="dxa"/>
            <w:vAlign w:val="center"/>
          </w:tcPr>
          <w:p w14:paraId="01B73D0F" w14:textId="377147A5" w:rsidR="001F4D7C" w:rsidRPr="00592DD4" w:rsidRDefault="00E42AD5" w:rsidP="001F4D7C">
            <w:pPr>
              <w:spacing w:after="0" w:line="240" w:lineRule="auto"/>
              <w:rPr>
                <w:rFonts w:cs="Times New Roman"/>
              </w:rPr>
            </w:pPr>
            <w:r>
              <w:rPr>
                <w:rFonts w:cs="Times New Roman"/>
              </w:rPr>
              <w:t>Tab. č. 32</w:t>
            </w:r>
          </w:p>
        </w:tc>
        <w:tc>
          <w:tcPr>
            <w:tcW w:w="8080" w:type="dxa"/>
            <w:vAlign w:val="center"/>
          </w:tcPr>
          <w:p w14:paraId="6DAE27B0" w14:textId="01251B4C" w:rsidR="001F4D7C" w:rsidRPr="00592DD4" w:rsidRDefault="001F4D7C" w:rsidP="00A21287">
            <w:pPr>
              <w:spacing w:after="0" w:line="240" w:lineRule="auto"/>
              <w:rPr>
                <w:rFonts w:cs="Times New Roman"/>
              </w:rPr>
            </w:pPr>
            <w:r w:rsidRPr="00592DD4">
              <w:rPr>
                <w:rFonts w:cs="Times New Roman"/>
              </w:rPr>
              <w:t xml:space="preserve">Finančné operácie štátnych príspevkových organizácií za rok </w:t>
            </w:r>
            <w:r w:rsidR="00DF1C0F">
              <w:rPr>
                <w:rFonts w:cs="Times New Roman"/>
              </w:rPr>
              <w:t>2022</w:t>
            </w:r>
          </w:p>
        </w:tc>
      </w:tr>
    </w:tbl>
    <w:p w14:paraId="61FF2C44" w14:textId="77777777" w:rsidR="005F5B88" w:rsidRPr="005F5B88" w:rsidRDefault="005F5B88" w:rsidP="005F5B88"/>
    <w:p w14:paraId="155213CF" w14:textId="77777777" w:rsidR="005F5B88" w:rsidRDefault="005F5B88" w:rsidP="005F5B88"/>
    <w:p w14:paraId="08CE9D48" w14:textId="77777777" w:rsidR="00881BDB" w:rsidRDefault="00881BDB" w:rsidP="005F5B88"/>
    <w:p w14:paraId="797485A8" w14:textId="77777777" w:rsidR="00881BDB" w:rsidRDefault="00881BDB" w:rsidP="005F5B88"/>
    <w:p w14:paraId="06386835" w14:textId="77777777" w:rsidR="00881BDB" w:rsidRDefault="00881BDB" w:rsidP="005F5B88"/>
    <w:p w14:paraId="3D027B91" w14:textId="77777777" w:rsidR="00881BDB" w:rsidRDefault="00881BDB" w:rsidP="005F5B88"/>
    <w:p w14:paraId="234B3A00" w14:textId="77777777" w:rsidR="00881BDB" w:rsidRDefault="00881BDB" w:rsidP="005F5B88"/>
    <w:p w14:paraId="17FCE10D" w14:textId="77777777" w:rsidR="00881BDB" w:rsidRDefault="00881BDB" w:rsidP="005F5B88"/>
    <w:p w14:paraId="5B527B66" w14:textId="77777777" w:rsidR="00881BDB" w:rsidRDefault="00881BDB" w:rsidP="005F5B88"/>
    <w:sectPr w:rsidR="00881BDB" w:rsidSect="001E345C">
      <w:footerReference w:type="even" r:id="rId15"/>
      <w:footerReference w:type="default" r:id="rId16"/>
      <w:pgSz w:w="11906" w:h="16838"/>
      <w:pgMar w:top="1418" w:right="849" w:bottom="1418" w:left="1276"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BF74B" w14:textId="77777777" w:rsidR="003A0696" w:rsidRDefault="003A0696" w:rsidP="00881BDB">
      <w:pPr>
        <w:spacing w:after="0" w:line="240" w:lineRule="auto"/>
      </w:pPr>
      <w:r>
        <w:separator/>
      </w:r>
    </w:p>
  </w:endnote>
  <w:endnote w:type="continuationSeparator" w:id="0">
    <w:p w14:paraId="75FE65A6" w14:textId="77777777" w:rsidR="003A0696" w:rsidRDefault="003A0696" w:rsidP="0088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utch801 SWC">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Times New Roman"/>
    <w:panose1 w:val="00000000000000000000"/>
    <w:charset w:val="00"/>
    <w:family w:val="roman"/>
    <w:notTrueType/>
    <w:pitch w:val="default"/>
    <w:sig w:usb0="00000003" w:usb1="00000000" w:usb2="00000000" w:usb3="00000000" w:csb0="00000003" w:csb1="00000000"/>
  </w:font>
  <w:font w:name="NeueHaasGroteskText W02">
    <w:altName w:val="Arial"/>
    <w:charset w:val="EE"/>
    <w:family w:val="swiss"/>
    <w:pitch w:val="variable"/>
    <w:sig w:usb0="800000AF" w:usb1="4000204A" w:usb2="00000000" w:usb3="00000000" w:csb0="00000093"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16811"/>
      <w:docPartObj>
        <w:docPartGallery w:val="Page Numbers (Bottom of Page)"/>
        <w:docPartUnique/>
      </w:docPartObj>
    </w:sdtPr>
    <w:sdtEndPr>
      <w:rPr>
        <w:sz w:val="20"/>
        <w:szCs w:val="20"/>
      </w:rPr>
    </w:sdtEndPr>
    <w:sdtContent>
      <w:p w14:paraId="40CDF45F" w14:textId="3459AE84" w:rsidR="003A0696" w:rsidRPr="00CA3D7D" w:rsidRDefault="003A0696">
        <w:pPr>
          <w:pStyle w:val="Pta"/>
          <w:jc w:val="center"/>
          <w:rPr>
            <w:sz w:val="20"/>
            <w:szCs w:val="20"/>
          </w:rPr>
        </w:pPr>
        <w:r w:rsidRPr="00CA3D7D">
          <w:rPr>
            <w:sz w:val="20"/>
            <w:szCs w:val="20"/>
          </w:rPr>
          <w:fldChar w:fldCharType="begin"/>
        </w:r>
        <w:r w:rsidRPr="00CA3D7D">
          <w:rPr>
            <w:sz w:val="20"/>
            <w:szCs w:val="20"/>
          </w:rPr>
          <w:instrText>PAGE   \* MERGEFORMAT</w:instrText>
        </w:r>
        <w:r w:rsidRPr="00CA3D7D">
          <w:rPr>
            <w:sz w:val="20"/>
            <w:szCs w:val="20"/>
          </w:rPr>
          <w:fldChar w:fldCharType="separate"/>
        </w:r>
        <w:r w:rsidR="008E5816">
          <w:rPr>
            <w:noProof/>
            <w:sz w:val="20"/>
            <w:szCs w:val="20"/>
          </w:rPr>
          <w:t>14</w:t>
        </w:r>
        <w:r w:rsidRPr="00CA3D7D">
          <w:rPr>
            <w:sz w:val="20"/>
            <w:szCs w:val="20"/>
          </w:rPr>
          <w:fldChar w:fldCharType="end"/>
        </w:r>
      </w:p>
    </w:sdtContent>
  </w:sdt>
  <w:p w14:paraId="598E35E0" w14:textId="77777777" w:rsidR="003A0696" w:rsidRDefault="003A06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208128"/>
      <w:docPartObj>
        <w:docPartGallery w:val="Page Numbers (Bottom of Page)"/>
        <w:docPartUnique/>
      </w:docPartObj>
    </w:sdtPr>
    <w:sdtEndPr>
      <w:rPr>
        <w:sz w:val="20"/>
        <w:szCs w:val="20"/>
      </w:rPr>
    </w:sdtEndPr>
    <w:sdtContent>
      <w:p w14:paraId="23270C04" w14:textId="6C3381CD" w:rsidR="003A0696" w:rsidRPr="00CA3D7D" w:rsidRDefault="003A0696">
        <w:pPr>
          <w:pStyle w:val="Pta"/>
          <w:jc w:val="center"/>
          <w:rPr>
            <w:sz w:val="20"/>
            <w:szCs w:val="20"/>
          </w:rPr>
        </w:pPr>
        <w:r w:rsidRPr="00CA3D7D">
          <w:rPr>
            <w:sz w:val="20"/>
            <w:szCs w:val="20"/>
          </w:rPr>
          <w:fldChar w:fldCharType="begin"/>
        </w:r>
        <w:r w:rsidRPr="00CA3D7D">
          <w:rPr>
            <w:sz w:val="20"/>
            <w:szCs w:val="20"/>
          </w:rPr>
          <w:instrText>PAGE   \* MERGEFORMAT</w:instrText>
        </w:r>
        <w:r w:rsidRPr="00CA3D7D">
          <w:rPr>
            <w:sz w:val="20"/>
            <w:szCs w:val="20"/>
          </w:rPr>
          <w:fldChar w:fldCharType="separate"/>
        </w:r>
        <w:r w:rsidR="008E5816">
          <w:rPr>
            <w:noProof/>
            <w:sz w:val="20"/>
            <w:szCs w:val="20"/>
          </w:rPr>
          <w:t>15</w:t>
        </w:r>
        <w:r w:rsidRPr="00CA3D7D">
          <w:rPr>
            <w:sz w:val="20"/>
            <w:szCs w:val="20"/>
          </w:rPr>
          <w:fldChar w:fldCharType="end"/>
        </w:r>
      </w:p>
    </w:sdtContent>
  </w:sdt>
  <w:p w14:paraId="2A479206" w14:textId="77777777" w:rsidR="003A0696" w:rsidRDefault="003A06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2341" w14:textId="77777777" w:rsidR="003A0696" w:rsidRDefault="003A0696" w:rsidP="00881BDB">
      <w:pPr>
        <w:spacing w:after="0" w:line="240" w:lineRule="auto"/>
      </w:pPr>
      <w:r>
        <w:separator/>
      </w:r>
    </w:p>
  </w:footnote>
  <w:footnote w:type="continuationSeparator" w:id="0">
    <w:p w14:paraId="7D9CFAB2" w14:textId="77777777" w:rsidR="003A0696" w:rsidRDefault="003A0696" w:rsidP="00881BDB">
      <w:pPr>
        <w:spacing w:after="0" w:line="240" w:lineRule="auto"/>
      </w:pPr>
      <w:r>
        <w:continuationSeparator/>
      </w:r>
    </w:p>
  </w:footnote>
  <w:footnote w:id="1">
    <w:p w14:paraId="3E029329" w14:textId="33E94AAC" w:rsidR="003A0696" w:rsidRDefault="003A0696" w:rsidP="00DF3AB5">
      <w:pPr>
        <w:pStyle w:val="Textpoznmkypodiarou"/>
      </w:pPr>
      <w:r>
        <w:rPr>
          <w:rStyle w:val="Odkaznapoznmkupodiarou"/>
        </w:rPr>
        <w:footnoteRef/>
      </w:r>
      <w:r>
        <w:t xml:space="preserve"> </w:t>
      </w:r>
      <w:r w:rsidRPr="000C3C49">
        <w:rPr>
          <w:sz w:val="18"/>
          <w:szCs w:val="18"/>
        </w:rPr>
        <w:t>Údaje za Slovenskú republiku boli odoslané 31.3.2023 a následne notifikované v </w:t>
      </w:r>
      <w:r w:rsidR="00926F06">
        <w:rPr>
          <w:sz w:val="18"/>
          <w:szCs w:val="18"/>
        </w:rPr>
        <w:t>troch</w:t>
      </w:r>
      <w:r w:rsidRPr="000C3C49">
        <w:rPr>
          <w:sz w:val="18"/>
          <w:szCs w:val="18"/>
        </w:rPr>
        <w:t xml:space="preserve"> kolách otázok zo strany </w:t>
      </w:r>
      <w:proofErr w:type="spellStart"/>
      <w:r w:rsidRPr="000C3C49">
        <w:rPr>
          <w:sz w:val="18"/>
          <w:szCs w:val="18"/>
        </w:rPr>
        <w:t>Eurostatu</w:t>
      </w:r>
      <w:proofErr w:type="spellEnd"/>
      <w:r w:rsidRPr="000C3C49">
        <w:rPr>
          <w:sz w:val="18"/>
          <w:szCs w:val="18"/>
        </w:rPr>
        <w:t xml:space="preserve">. Zverejnené výsledky sú dostupné na webovom sídle </w:t>
      </w:r>
      <w:proofErr w:type="spellStart"/>
      <w:r w:rsidRPr="000C3C49">
        <w:rPr>
          <w:sz w:val="18"/>
          <w:szCs w:val="18"/>
        </w:rPr>
        <w:t>Eurostatu</w:t>
      </w:r>
      <w:proofErr w:type="spellEnd"/>
      <w:r w:rsidRPr="000C3C49">
        <w:rPr>
          <w:sz w:val="18"/>
          <w:szCs w:val="18"/>
        </w:rPr>
        <w:t xml:space="preserve">: </w:t>
      </w:r>
      <w:hyperlink r:id="rId1" w:history="1">
        <w:r w:rsidRPr="000C3C49">
          <w:rPr>
            <w:rStyle w:val="Hypertextovprepojenie"/>
            <w:sz w:val="18"/>
            <w:szCs w:val="18"/>
          </w:rPr>
          <w:t>https://ec.europa.eu/eurostat/news/euro-indicators</w:t>
        </w:r>
      </w:hyperlink>
    </w:p>
  </w:footnote>
  <w:footnote w:id="2">
    <w:p w14:paraId="41E1C466" w14:textId="3B44F6AB" w:rsidR="003A0696" w:rsidRPr="00B237AD" w:rsidRDefault="003A0696" w:rsidP="00B237AD">
      <w:pPr>
        <w:pStyle w:val="Textpoznmkypodiarou"/>
        <w:rPr>
          <w:rFonts w:cs="Times New Roman"/>
          <w:sz w:val="18"/>
          <w:szCs w:val="18"/>
        </w:rPr>
      </w:pPr>
      <w:r w:rsidRPr="00B237AD">
        <w:rPr>
          <w:rStyle w:val="Odkaznapoznmkupodiarou"/>
          <w:rFonts w:cs="Times New Roman"/>
          <w:sz w:val="18"/>
          <w:szCs w:val="18"/>
        </w:rPr>
        <w:footnoteRef/>
      </w:r>
      <w:r w:rsidRPr="00B237AD">
        <w:rPr>
          <w:rFonts w:cs="Times New Roman"/>
          <w:sz w:val="18"/>
          <w:szCs w:val="18"/>
        </w:rPr>
        <w:t xml:space="preserve"> Rast reálneho HDP v rokoch 2020 a 2021 bol odhadnutý zo zverejnených revidovaných dát o nominálnom HDP a predpokladu o nezmenenom deflátore. Rasty zložiek HDP sú nerevidované. Revízia HDP bude zverejnená 28.4.2023</w:t>
      </w:r>
    </w:p>
    <w:p w14:paraId="158053B6" w14:textId="745C50BD" w:rsidR="003A0696" w:rsidRDefault="003A0696">
      <w:pPr>
        <w:pStyle w:val="Textpoznmkypodiarou"/>
      </w:pPr>
    </w:p>
  </w:footnote>
  <w:footnote w:id="3">
    <w:p w14:paraId="3419D04F" w14:textId="77777777" w:rsidR="003A0696" w:rsidRPr="00D90EFE" w:rsidRDefault="003A0696" w:rsidP="007C5FE8">
      <w:pPr>
        <w:pStyle w:val="Textpoznmkypodiarou"/>
      </w:pPr>
      <w:r w:rsidRPr="00E3550B">
        <w:rPr>
          <w:rStyle w:val="Odkaznapoznmkupodiarou"/>
          <w:sz w:val="16"/>
        </w:rPr>
        <w:footnoteRef/>
      </w:r>
      <w:r w:rsidRPr="00E3550B">
        <w:rPr>
          <w:sz w:val="16"/>
        </w:rPr>
        <w:t xml:space="preserve"> </w:t>
      </w:r>
      <w:r w:rsidRPr="000C3C49">
        <w:rPr>
          <w:sz w:val="18"/>
          <w:szCs w:val="18"/>
        </w:rPr>
        <w:t xml:space="preserve">Časový rad očakávaných úrovní HDP pre roky 2021 až 2024 vychádza z revidovaných údajov o HDP za rok 2020 zaslaných do jesennej notifikácie </w:t>
      </w:r>
      <w:proofErr w:type="spellStart"/>
      <w:r w:rsidRPr="000C3C49">
        <w:rPr>
          <w:sz w:val="18"/>
          <w:szCs w:val="18"/>
        </w:rPr>
        <w:t>Eurostatu</w:t>
      </w:r>
      <w:proofErr w:type="spellEnd"/>
      <w:r w:rsidRPr="000C3C49">
        <w:rPr>
          <w:sz w:val="18"/>
          <w:szCs w:val="18"/>
        </w:rPr>
        <w:t xml:space="preserve"> a prepočítaný reťazením nominálnych medziročných rastov zo septembrovej prognózy Výboru pre makroekonomické prognózy.</w:t>
      </w:r>
    </w:p>
  </w:footnote>
  <w:footnote w:id="4">
    <w:p w14:paraId="4142BEBA" w14:textId="77777777" w:rsidR="003A0696" w:rsidRPr="000C3C49" w:rsidRDefault="003A0696" w:rsidP="003A0696">
      <w:pPr>
        <w:pStyle w:val="Textpoznmkypodiarou"/>
        <w:rPr>
          <w:sz w:val="18"/>
          <w:szCs w:val="18"/>
        </w:rPr>
      </w:pPr>
      <w:r w:rsidRPr="000C3C49">
        <w:rPr>
          <w:rStyle w:val="Odkaznapoznmkupodiarou"/>
          <w:sz w:val="18"/>
          <w:szCs w:val="18"/>
        </w:rPr>
        <w:footnoteRef/>
      </w:r>
      <w:r w:rsidRPr="000C3C49">
        <w:rPr>
          <w:sz w:val="18"/>
          <w:szCs w:val="18"/>
        </w:rPr>
        <w:t xml:space="preserve"> Zákon č. 357/2022 Z. z., ktorým sa mení zákonom č. 534/2021 Z. z. o štátnom rozpočte na rok 2022.</w:t>
      </w:r>
    </w:p>
  </w:footnote>
  <w:footnote w:id="5">
    <w:p w14:paraId="389BC1BC" w14:textId="77777777" w:rsidR="003A0696" w:rsidRPr="000C3C49" w:rsidRDefault="003A0696" w:rsidP="003A0696">
      <w:pPr>
        <w:pStyle w:val="Textpoznmkypodiarou"/>
        <w:rPr>
          <w:b/>
          <w:sz w:val="18"/>
          <w:szCs w:val="18"/>
        </w:rPr>
      </w:pPr>
      <w:r w:rsidRPr="000C3C49">
        <w:rPr>
          <w:rStyle w:val="Odkaznapoznmkupodiarou"/>
          <w:sz w:val="18"/>
          <w:szCs w:val="18"/>
        </w:rPr>
        <w:footnoteRef/>
      </w:r>
      <w:r w:rsidRPr="000C3C49">
        <w:rPr>
          <w:sz w:val="18"/>
          <w:szCs w:val="18"/>
        </w:rPr>
        <w:t xml:space="preserve"> </w:t>
      </w:r>
      <w:r w:rsidRPr="000C3C49">
        <w:rPr>
          <w:rStyle w:val="Siln"/>
          <w:rFonts w:cs="Helvetica"/>
          <w:b w:val="0"/>
          <w:color w:val="333333"/>
          <w:sz w:val="18"/>
          <w:szCs w:val="18"/>
        </w:rPr>
        <w:t>Nariadenie Rady (ES) č. 479/2009 z 25. mája 2009 o uplatňovaní Protokolu o postupe pri nadmernom schodku.</w:t>
      </w:r>
    </w:p>
  </w:footnote>
  <w:footnote w:id="6">
    <w:p w14:paraId="4A640CCF" w14:textId="77777777" w:rsidR="003A0696" w:rsidRPr="000C3C49" w:rsidRDefault="003A0696" w:rsidP="003A0696">
      <w:pPr>
        <w:pStyle w:val="Textpoznmkypodiarou"/>
        <w:rPr>
          <w:sz w:val="18"/>
          <w:szCs w:val="18"/>
        </w:rPr>
      </w:pPr>
      <w:r w:rsidRPr="000C3C49">
        <w:rPr>
          <w:rStyle w:val="Odkaznapoznmkupodiarou"/>
          <w:sz w:val="18"/>
          <w:szCs w:val="18"/>
        </w:rPr>
        <w:footnoteRef/>
      </w:r>
      <w:r w:rsidRPr="000C3C49">
        <w:rPr>
          <w:sz w:val="18"/>
          <w:szCs w:val="18"/>
        </w:rPr>
        <w:t xml:space="preserve"> Uznesením č. 577/2021; </w:t>
      </w:r>
      <w:r w:rsidRPr="000C3C49">
        <w:rPr>
          <w:rStyle w:val="Hypertextovprepojenie"/>
          <w:sz w:val="18"/>
          <w:szCs w:val="18"/>
        </w:rPr>
        <w:t>https://rokovania.gov.sk/RVL/Material/26512/1</w:t>
      </w:r>
    </w:p>
  </w:footnote>
  <w:footnote w:id="7">
    <w:p w14:paraId="7B4C2DEC" w14:textId="77777777" w:rsidR="003A0696" w:rsidRPr="000C3C49" w:rsidRDefault="003A0696" w:rsidP="003A0696">
      <w:pPr>
        <w:pStyle w:val="Textpoznmkypodiarou"/>
        <w:jc w:val="left"/>
        <w:rPr>
          <w:sz w:val="18"/>
          <w:szCs w:val="18"/>
        </w:rPr>
      </w:pPr>
      <w:r w:rsidRPr="000C3C49">
        <w:rPr>
          <w:rStyle w:val="Odkaznapoznmkupodiarou"/>
          <w:sz w:val="18"/>
          <w:szCs w:val="18"/>
        </w:rPr>
        <w:footnoteRef/>
      </w:r>
      <w:r w:rsidRPr="000C3C49">
        <w:rPr>
          <w:sz w:val="18"/>
          <w:szCs w:val="18"/>
        </w:rPr>
        <w:t xml:space="preserve"> Uznesením č. 1194/2021; </w:t>
      </w:r>
      <w:hyperlink r:id="rId2" w:history="1">
        <w:r w:rsidRPr="000C3C49">
          <w:rPr>
            <w:rStyle w:val="Hypertextovprepojenie"/>
            <w:sz w:val="18"/>
            <w:szCs w:val="18"/>
          </w:rPr>
          <w:t>https://www.nrsr.sk/web/Default.aspx?sid=schodze/uznesenie&amp;MasterID=13292</w:t>
        </w:r>
      </w:hyperlink>
    </w:p>
  </w:footnote>
  <w:footnote w:id="8">
    <w:p w14:paraId="348AB6F0" w14:textId="77777777" w:rsidR="003A0696" w:rsidRDefault="003A0696" w:rsidP="003A0696">
      <w:pPr>
        <w:pStyle w:val="Textpoznmkypodiarou"/>
      </w:pPr>
      <w:r w:rsidRPr="000C3C49">
        <w:rPr>
          <w:rStyle w:val="Odkaznapoznmkupodiarou"/>
          <w:sz w:val="18"/>
          <w:szCs w:val="18"/>
        </w:rPr>
        <w:footnoteRef/>
      </w:r>
      <w:r w:rsidRPr="000C3C49">
        <w:rPr>
          <w:sz w:val="18"/>
          <w:szCs w:val="18"/>
        </w:rPr>
        <w:t xml:space="preserve"> Zákon č. 357/2022 Z. z., ktorým sa mení a dopĺňa zákon č. 354/2021 Z. z. o štátnom rozpočte na rok 2022</w:t>
      </w:r>
    </w:p>
  </w:footnote>
  <w:footnote w:id="9">
    <w:p w14:paraId="4898E6EF" w14:textId="77777777" w:rsidR="003A0696" w:rsidRPr="00926F06" w:rsidRDefault="003A0696" w:rsidP="003A0696">
      <w:pPr>
        <w:pStyle w:val="Textpoznmkypodiarou"/>
        <w:rPr>
          <w:sz w:val="18"/>
          <w:szCs w:val="18"/>
        </w:rPr>
      </w:pPr>
      <w:r w:rsidRPr="00D14ECD">
        <w:rPr>
          <w:rStyle w:val="Odkaznapoznmkupodiarou"/>
          <w:sz w:val="16"/>
          <w:szCs w:val="16"/>
        </w:rPr>
        <w:footnoteRef/>
      </w:r>
      <w:r w:rsidRPr="00D14ECD">
        <w:rPr>
          <w:sz w:val="16"/>
          <w:szCs w:val="16"/>
        </w:rPr>
        <w:t xml:space="preserve"> </w:t>
      </w:r>
      <w:r w:rsidRPr="00926F06">
        <w:rPr>
          <w:sz w:val="18"/>
          <w:szCs w:val="18"/>
        </w:rPr>
        <w:t>Štatistický úrad SR podľa harmonogramu zverejňovania plánuje 28.4. zverejniť zrevidované HDP v stálych cenách a % rastu HDP sa tým môže zmeniť.</w:t>
      </w:r>
    </w:p>
  </w:footnote>
  <w:footnote w:id="10">
    <w:p w14:paraId="2CE03F2F" w14:textId="77777777" w:rsidR="003A0696" w:rsidRPr="00995C6D" w:rsidRDefault="003A0696" w:rsidP="003A0696">
      <w:pPr>
        <w:pStyle w:val="Textpoznmkypodiarou"/>
        <w:rPr>
          <w:sz w:val="18"/>
          <w:szCs w:val="18"/>
        </w:rPr>
      </w:pPr>
      <w:r w:rsidRPr="00926F06">
        <w:rPr>
          <w:rStyle w:val="Odkaznapoznmkupodiarou"/>
          <w:sz w:val="18"/>
          <w:szCs w:val="18"/>
        </w:rPr>
        <w:footnoteRef/>
      </w:r>
      <w:r w:rsidRPr="00926F06">
        <w:rPr>
          <w:sz w:val="18"/>
          <w:szCs w:val="18"/>
        </w:rPr>
        <w:t xml:space="preserve"> Obdobne ako v rozpočte na príslušný rok, hospodárenie jednotlivých zložiek verejnej správy sa prezentuje nekonsolidované a príjmy a výdavky celej verejnej správy na konsolidovanej báze.</w:t>
      </w:r>
    </w:p>
  </w:footnote>
  <w:footnote w:id="11">
    <w:p w14:paraId="31E4B82E" w14:textId="77777777" w:rsidR="003A0696" w:rsidRPr="00DF3455" w:rsidRDefault="003A0696" w:rsidP="003A0696">
      <w:pPr>
        <w:pStyle w:val="Textpoznmkypodiarou"/>
        <w:rPr>
          <w:sz w:val="18"/>
          <w:szCs w:val="18"/>
        </w:rPr>
      </w:pPr>
      <w:r>
        <w:rPr>
          <w:rStyle w:val="Odkaznapoznmkupodiarou"/>
        </w:rPr>
        <w:footnoteRef/>
      </w:r>
      <w:r>
        <w:t xml:space="preserve"> </w:t>
      </w:r>
      <w:r w:rsidRPr="00043311">
        <w:rPr>
          <w:sz w:val="16"/>
          <w:szCs w:val="16"/>
        </w:rPr>
        <w:t xml:space="preserve">Daňový vplyv bol zaplatený v rámci januárovej platby, čo by podľa </w:t>
      </w:r>
      <w:proofErr w:type="spellStart"/>
      <w:r w:rsidRPr="00043311">
        <w:rPr>
          <w:sz w:val="16"/>
          <w:szCs w:val="16"/>
        </w:rPr>
        <w:t>akrualizačnej</w:t>
      </w:r>
      <w:proofErr w:type="spellEnd"/>
      <w:r w:rsidRPr="00043311">
        <w:rPr>
          <w:sz w:val="16"/>
          <w:szCs w:val="16"/>
        </w:rPr>
        <w:t xml:space="preserve"> metodiky malo byt zaznamenané v decembrových mzdách, teda v roku 2022.</w:t>
      </w:r>
    </w:p>
  </w:footnote>
  <w:footnote w:id="12">
    <w:p w14:paraId="2E7A88D7" w14:textId="77777777" w:rsidR="003A0696" w:rsidRPr="00506EA0" w:rsidRDefault="003A0696" w:rsidP="003A0696">
      <w:pPr>
        <w:pStyle w:val="Textpoznmkypodiarou"/>
        <w:rPr>
          <w:sz w:val="16"/>
          <w:szCs w:val="16"/>
          <w:highlight w:val="yellow"/>
        </w:rPr>
      </w:pPr>
      <w:r w:rsidRPr="00ED0F5F">
        <w:rPr>
          <w:rStyle w:val="Odkaznapoznmkupodiarou"/>
          <w:rFonts w:eastAsiaTheme="majorEastAsia"/>
          <w:sz w:val="18"/>
          <w:szCs w:val="18"/>
        </w:rPr>
        <w:footnoteRef/>
      </w:r>
      <w:r w:rsidRPr="00ED0F5F">
        <w:rPr>
          <w:sz w:val="18"/>
          <w:szCs w:val="18"/>
        </w:rPr>
        <w:t xml:space="preserve"> </w:t>
      </w:r>
      <w:r w:rsidRPr="00506EA0">
        <w:rPr>
          <w:sz w:val="16"/>
          <w:szCs w:val="16"/>
        </w:rPr>
        <w:t>Výnos DPFO z podnikania za rok 2022 je len odhad, pretože daňové priznania za rok 2022 sa podávajú v roku 2023 a skutočný výnos dane bude známy až na začiatku roka 2024.</w:t>
      </w:r>
    </w:p>
  </w:footnote>
  <w:footnote w:id="13">
    <w:p w14:paraId="2DE06890" w14:textId="77777777" w:rsidR="003A0696" w:rsidRPr="00506EA0" w:rsidRDefault="003A0696" w:rsidP="003A0696">
      <w:pPr>
        <w:pStyle w:val="Textpoznmkypodiarou"/>
        <w:rPr>
          <w:color w:val="FF0000"/>
          <w:sz w:val="16"/>
          <w:szCs w:val="16"/>
          <w:highlight w:val="yellow"/>
        </w:rPr>
      </w:pPr>
      <w:r w:rsidRPr="00506EA0">
        <w:rPr>
          <w:rStyle w:val="Odkaznapoznmkupodiarou"/>
          <w:rFonts w:eastAsiaTheme="majorEastAsia"/>
          <w:sz w:val="16"/>
          <w:szCs w:val="16"/>
        </w:rPr>
        <w:footnoteRef/>
      </w:r>
      <w:r w:rsidRPr="00506EA0">
        <w:rPr>
          <w:sz w:val="16"/>
          <w:szCs w:val="16"/>
        </w:rPr>
        <w:t xml:space="preserve"> Výnos DPPO za rok 2022 je len odhad, pretože daňové priznania za rok 2022 sa podávajú v roku 2023 a skutočný výnos dane bude známy až na začiatku roka 2024.</w:t>
      </w:r>
    </w:p>
  </w:footnote>
  <w:footnote w:id="14">
    <w:p w14:paraId="15182898" w14:textId="77777777" w:rsidR="003A0696" w:rsidRPr="00506EA0" w:rsidRDefault="003A0696" w:rsidP="003A0696">
      <w:pPr>
        <w:pStyle w:val="Textpoznmkypodiarou"/>
        <w:rPr>
          <w:color w:val="FF0000"/>
          <w:sz w:val="16"/>
          <w:szCs w:val="16"/>
        </w:rPr>
      </w:pPr>
      <w:r w:rsidRPr="00506EA0">
        <w:rPr>
          <w:rStyle w:val="Odkaznapoznmkupodiarou"/>
          <w:rFonts w:eastAsiaTheme="majorEastAsia"/>
          <w:sz w:val="16"/>
          <w:szCs w:val="16"/>
        </w:rPr>
        <w:footnoteRef/>
      </w:r>
      <w:r w:rsidRPr="00506EA0">
        <w:rPr>
          <w:sz w:val="16"/>
          <w:szCs w:val="16"/>
        </w:rPr>
        <w:t xml:space="preserve"> Výnos DPH za rok 2022 je predbežný odhad. Skutočnosť bude známa v apríli 2023.</w:t>
      </w:r>
    </w:p>
  </w:footnote>
  <w:footnote w:id="15">
    <w:p w14:paraId="5AD9FF3F" w14:textId="77777777" w:rsidR="003A0696" w:rsidRPr="00474145" w:rsidRDefault="003A0696" w:rsidP="003A0696">
      <w:pPr>
        <w:pStyle w:val="Textpoznmkypodiarou"/>
        <w:rPr>
          <w:sz w:val="18"/>
          <w:szCs w:val="18"/>
        </w:rPr>
      </w:pPr>
      <w:r w:rsidRPr="00506EA0">
        <w:rPr>
          <w:rStyle w:val="Odkaznapoznmkupodiarou"/>
          <w:sz w:val="16"/>
          <w:szCs w:val="16"/>
        </w:rPr>
        <w:footnoteRef/>
      </w:r>
      <w:r w:rsidRPr="00506EA0">
        <w:rPr>
          <w:sz w:val="16"/>
          <w:szCs w:val="16"/>
        </w:rPr>
        <w:t xml:space="preserve"> Solidárny príspevok z činností v odvetviach ropy, zemného plynu, uhlia a rafinérií za rok 2022 je odhad, pretože daňové priznania za rok 2022 sa podávajú v roku 2023 a skutočný výnos dane bude známy v priebehu roka 2023, prípadne až na začiatku roka 2024.</w:t>
      </w:r>
    </w:p>
  </w:footnote>
  <w:footnote w:id="16">
    <w:p w14:paraId="7821FE48" w14:textId="77777777" w:rsidR="003A0696" w:rsidRPr="00926F06" w:rsidRDefault="003A0696" w:rsidP="003A0696">
      <w:pPr>
        <w:pStyle w:val="Textpoznmkypodiarou"/>
        <w:rPr>
          <w:sz w:val="18"/>
          <w:szCs w:val="18"/>
        </w:rPr>
      </w:pPr>
      <w:r w:rsidRPr="00926F06">
        <w:rPr>
          <w:rStyle w:val="Odkaznapoznmkupodiarou"/>
          <w:sz w:val="18"/>
          <w:szCs w:val="18"/>
        </w:rPr>
        <w:footnoteRef/>
      </w:r>
      <w:r w:rsidRPr="00926F06">
        <w:rPr>
          <w:sz w:val="18"/>
          <w:szCs w:val="18"/>
        </w:rPr>
        <w:t xml:space="preserve"> </w:t>
      </w:r>
      <w:proofErr w:type="spellStart"/>
      <w:r w:rsidRPr="00926F06">
        <w:rPr>
          <w:sz w:val="18"/>
          <w:szCs w:val="18"/>
        </w:rPr>
        <w:t>Superdividendy</w:t>
      </w:r>
      <w:proofErr w:type="spellEnd"/>
      <w:r w:rsidRPr="00926F06">
        <w:rPr>
          <w:sz w:val="18"/>
          <w:szCs w:val="18"/>
        </w:rPr>
        <w:t xml:space="preserve"> sú dividendy, ktoré sú vysoké z pohľadu poslednej (nedávnej) výšky úrovne dividend a ziskov. </w:t>
      </w:r>
      <w:proofErr w:type="spellStart"/>
      <w:r w:rsidRPr="00926F06">
        <w:rPr>
          <w:sz w:val="18"/>
          <w:szCs w:val="18"/>
        </w:rPr>
        <w:t>Superdividendy</w:t>
      </w:r>
      <w:proofErr w:type="spellEnd"/>
      <w:r w:rsidRPr="00926F06">
        <w:rPr>
          <w:sz w:val="18"/>
          <w:szCs w:val="18"/>
        </w:rPr>
        <w:t xml:space="preserve"> rozdeľujú čisté bohatstvo podniku, keď znižujú vlastné zdroje podniku. Kým dividendy prináležia bežnému zisku, ktorý pochádza zo štandardných hlavných činností podniku, </w:t>
      </w:r>
      <w:proofErr w:type="spellStart"/>
      <w:r w:rsidRPr="00926F06">
        <w:rPr>
          <w:sz w:val="18"/>
          <w:szCs w:val="18"/>
        </w:rPr>
        <w:t>superdividendy</w:t>
      </w:r>
      <w:proofErr w:type="spellEnd"/>
      <w:r w:rsidRPr="00926F06">
        <w:rPr>
          <w:sz w:val="18"/>
          <w:szCs w:val="18"/>
        </w:rPr>
        <w:t xml:space="preserve"> prináležia iným (mimoriadnym) výnosom. Na určenie výšky </w:t>
      </w:r>
      <w:proofErr w:type="spellStart"/>
      <w:r w:rsidRPr="00926F06">
        <w:rPr>
          <w:sz w:val="18"/>
          <w:szCs w:val="18"/>
        </w:rPr>
        <w:t>superdividend</w:t>
      </w:r>
      <w:proofErr w:type="spellEnd"/>
      <w:r w:rsidRPr="00926F06">
        <w:rPr>
          <w:sz w:val="18"/>
          <w:szCs w:val="18"/>
        </w:rPr>
        <w:t xml:space="preserve"> sa používa tzv. </w:t>
      </w:r>
      <w:proofErr w:type="spellStart"/>
      <w:r w:rsidRPr="00926F06">
        <w:rPr>
          <w:sz w:val="18"/>
          <w:szCs w:val="18"/>
        </w:rPr>
        <w:t>superdividendový</w:t>
      </w:r>
      <w:proofErr w:type="spellEnd"/>
      <w:r w:rsidRPr="00926F06">
        <w:rPr>
          <w:sz w:val="18"/>
          <w:szCs w:val="18"/>
        </w:rPr>
        <w:t xml:space="preserve"> test.</w:t>
      </w:r>
    </w:p>
  </w:footnote>
  <w:footnote w:id="17">
    <w:p w14:paraId="4B250DA9" w14:textId="77777777" w:rsidR="003A0696" w:rsidRPr="00CA0A2B" w:rsidRDefault="003A0696" w:rsidP="003A0696">
      <w:pPr>
        <w:pStyle w:val="Textpoznmkypodiarou"/>
        <w:rPr>
          <w:sz w:val="16"/>
          <w:szCs w:val="16"/>
        </w:rPr>
      </w:pPr>
      <w:r w:rsidRPr="00CA0A2B">
        <w:rPr>
          <w:rStyle w:val="Odkaznapoznmkupodiarou"/>
          <w:sz w:val="16"/>
          <w:szCs w:val="16"/>
        </w:rPr>
        <w:footnoteRef/>
      </w:r>
      <w:r w:rsidRPr="00CA0A2B">
        <w:rPr>
          <w:sz w:val="16"/>
          <w:szCs w:val="16"/>
        </w:rPr>
        <w:t xml:space="preserve"> </w:t>
      </w:r>
      <w:proofErr w:type="spellStart"/>
      <w:r w:rsidRPr="00CA0A2B">
        <w:rPr>
          <w:sz w:val="16"/>
          <w:szCs w:val="16"/>
        </w:rPr>
        <w:t>Superdividendy</w:t>
      </w:r>
      <w:proofErr w:type="spellEnd"/>
      <w:r w:rsidRPr="00CA0A2B">
        <w:rPr>
          <w:sz w:val="16"/>
          <w:szCs w:val="16"/>
        </w:rPr>
        <w:t xml:space="preserve"> sú dividendy, ktoré sú vysoké z pohľadu poslednej (nedávnej) výšky úrovne dividend a ziskov. </w:t>
      </w:r>
      <w:proofErr w:type="spellStart"/>
      <w:r w:rsidRPr="00CA0A2B">
        <w:rPr>
          <w:sz w:val="16"/>
          <w:szCs w:val="16"/>
        </w:rPr>
        <w:t>Superdividendy</w:t>
      </w:r>
      <w:proofErr w:type="spellEnd"/>
      <w:r w:rsidRPr="00CA0A2B">
        <w:rPr>
          <w:sz w:val="16"/>
          <w:szCs w:val="16"/>
        </w:rPr>
        <w:t xml:space="preserve"> rozdeľujú čisté bohatstvo podniku, keď znižujú vlastné zdroje podniku. Kým dividendy prináležia bežnému zisku, ktorý pochádza zo štandardných hlavných činností podniku, </w:t>
      </w:r>
      <w:proofErr w:type="spellStart"/>
      <w:r w:rsidRPr="00CA0A2B">
        <w:rPr>
          <w:sz w:val="16"/>
          <w:szCs w:val="16"/>
        </w:rPr>
        <w:t>superdividendy</w:t>
      </w:r>
      <w:proofErr w:type="spellEnd"/>
      <w:r w:rsidRPr="00CA0A2B">
        <w:rPr>
          <w:sz w:val="16"/>
          <w:szCs w:val="16"/>
        </w:rPr>
        <w:t xml:space="preserve"> prináležia iným (mimoriadnym) výnosom. Na určenie výšky </w:t>
      </w:r>
      <w:proofErr w:type="spellStart"/>
      <w:r w:rsidRPr="00CA0A2B">
        <w:rPr>
          <w:sz w:val="16"/>
          <w:szCs w:val="16"/>
        </w:rPr>
        <w:t>superdividend</w:t>
      </w:r>
      <w:proofErr w:type="spellEnd"/>
      <w:r w:rsidRPr="00CA0A2B">
        <w:rPr>
          <w:sz w:val="16"/>
          <w:szCs w:val="16"/>
        </w:rPr>
        <w:t xml:space="preserve"> sa používa tzv. </w:t>
      </w:r>
      <w:proofErr w:type="spellStart"/>
      <w:r w:rsidRPr="00CA0A2B">
        <w:rPr>
          <w:sz w:val="16"/>
          <w:szCs w:val="16"/>
        </w:rPr>
        <w:t>superdividendový</w:t>
      </w:r>
      <w:proofErr w:type="spellEnd"/>
      <w:r w:rsidRPr="00CA0A2B">
        <w:rPr>
          <w:sz w:val="16"/>
          <w:szCs w:val="16"/>
        </w:rPr>
        <w:t xml:space="preserve"> test.</w:t>
      </w:r>
    </w:p>
  </w:footnote>
  <w:footnote w:id="18">
    <w:p w14:paraId="6789EFD3" w14:textId="77777777" w:rsidR="003A0696" w:rsidRPr="003234A0" w:rsidRDefault="003A0696" w:rsidP="003A0696">
      <w:pPr>
        <w:pStyle w:val="Textpoznmkypodiarou"/>
        <w:rPr>
          <w:sz w:val="18"/>
          <w:szCs w:val="18"/>
        </w:rPr>
      </w:pPr>
      <w:r w:rsidRPr="003234A0">
        <w:rPr>
          <w:rStyle w:val="Odkaznapoznmkupodiarou"/>
          <w:sz w:val="18"/>
          <w:szCs w:val="18"/>
        </w:rPr>
        <w:footnoteRef/>
      </w:r>
      <w:r w:rsidRPr="003234A0">
        <w:rPr>
          <w:sz w:val="18"/>
          <w:szCs w:val="18"/>
        </w:rPr>
        <w:t xml:space="preserve"> Systémová korekcia vzniká v dôsledku opakujúceho sa nedostatku zisteného v rámci viacerých projektov, je dôsledkom závažného nedostatku účinného fungovania systémov riadenia a kontroly, a to vrátane nestanovenia vhodných postupov.</w:t>
      </w:r>
    </w:p>
  </w:footnote>
  <w:footnote w:id="19">
    <w:p w14:paraId="31C24CEB" w14:textId="77777777" w:rsidR="003A0696" w:rsidRDefault="003A0696" w:rsidP="003A0696">
      <w:pPr>
        <w:pStyle w:val="Textpoznmkypodiarou"/>
      </w:pPr>
      <w:r w:rsidRPr="003234A0">
        <w:rPr>
          <w:rStyle w:val="Odkaznapoznmkupodiarou"/>
          <w:sz w:val="18"/>
          <w:szCs w:val="18"/>
        </w:rPr>
        <w:footnoteRef/>
      </w:r>
      <w:r w:rsidRPr="003234A0">
        <w:rPr>
          <w:sz w:val="18"/>
          <w:szCs w:val="18"/>
        </w:rPr>
        <w:t xml:space="preserve"> Individuálna nezrovnalosť je zistený nedostatok (jednorazová chyba), ktorý sa viaže k jednej operácii, resp. k jednému projektu a je nezávislý od iných chýb alebo nedostatkov v systéme riadenia a kontroly.</w:t>
      </w:r>
    </w:p>
  </w:footnote>
  <w:footnote w:id="20">
    <w:p w14:paraId="060D8FFE" w14:textId="77777777" w:rsidR="003A0696" w:rsidRPr="003234A0" w:rsidRDefault="003A0696" w:rsidP="003A0696">
      <w:pPr>
        <w:pStyle w:val="Textpoznmkypodiarou"/>
        <w:rPr>
          <w:sz w:val="18"/>
          <w:szCs w:val="18"/>
        </w:rPr>
      </w:pPr>
      <w:r w:rsidRPr="003234A0">
        <w:rPr>
          <w:rStyle w:val="Odkaznapoznmkupodiarou"/>
          <w:sz w:val="18"/>
          <w:szCs w:val="18"/>
        </w:rPr>
        <w:footnoteRef/>
      </w:r>
      <w:r w:rsidRPr="003234A0">
        <w:rPr>
          <w:sz w:val="18"/>
          <w:szCs w:val="18"/>
        </w:rPr>
        <w:t xml:space="preserve"> Vláda SR schválila „Návrh finančnej stabilizácie zdravotníckych zariadení,“ na svojom rokovaní 2. decembra 2020 uznesením č. 757/2020.</w:t>
      </w:r>
    </w:p>
  </w:footnote>
  <w:footnote w:id="21">
    <w:p w14:paraId="5159B4BA" w14:textId="77777777" w:rsidR="003A0696" w:rsidRPr="003234A0" w:rsidRDefault="003A0696" w:rsidP="003A0696">
      <w:pPr>
        <w:pStyle w:val="Textpoznmkypodiarou"/>
        <w:rPr>
          <w:sz w:val="18"/>
          <w:szCs w:val="18"/>
        </w:rPr>
      </w:pPr>
      <w:r w:rsidRPr="003234A0">
        <w:rPr>
          <w:rStyle w:val="Odkaznapoznmkupodiarou"/>
          <w:sz w:val="18"/>
          <w:szCs w:val="18"/>
        </w:rPr>
        <w:footnoteRef/>
      </w:r>
      <w:r w:rsidRPr="003234A0">
        <w:rPr>
          <w:sz w:val="18"/>
          <w:szCs w:val="18"/>
        </w:rPr>
        <w:t xml:space="preserve"> Bližší popis je uvedený v úvode kapitoly 2.2 v časti o daňových a odvodových príjmoch: „Výnos sociálnych a zdravotných odvodov“.</w:t>
      </w:r>
    </w:p>
  </w:footnote>
  <w:footnote w:id="22">
    <w:p w14:paraId="797718E9" w14:textId="77777777" w:rsidR="003A0696" w:rsidRPr="00412EB1" w:rsidRDefault="003A0696" w:rsidP="003A0696">
      <w:pPr>
        <w:pStyle w:val="Textpoznmkypodiarou"/>
        <w:rPr>
          <w:sz w:val="16"/>
          <w:szCs w:val="16"/>
        </w:rPr>
      </w:pPr>
      <w:r w:rsidRPr="003234A0">
        <w:rPr>
          <w:rStyle w:val="Odkaznapoznmkupodiarou"/>
          <w:sz w:val="18"/>
          <w:szCs w:val="18"/>
        </w:rPr>
        <w:footnoteRef/>
      </w:r>
      <w:r w:rsidRPr="003234A0">
        <w:rPr>
          <w:sz w:val="18"/>
          <w:szCs w:val="18"/>
        </w:rPr>
        <w:t xml:space="preserve"> </w:t>
      </w:r>
      <w:r w:rsidRPr="003234A0">
        <w:rPr>
          <w:rFonts w:cs="Times New Roman"/>
          <w:sz w:val="18"/>
          <w:szCs w:val="18"/>
        </w:rPr>
        <w:t>Starobný dôchodok vypláca Sociálna poisťovňa vopred v pravidelných mesačných termínoch v zmysle zákona č. 461/2003 Z. z. o Sociálnom poistení v znení neskorších predpisov. V tomto prípade vplyv časovo posunutého výdavku sa týka dôchodkových dávok, ktoré Sociálna poisťovňa vypláca v decembri bežného roka, na ktoré vznikol nárok v mesiaci január nasledujúceho roka (t. j. výplatný termín pripadá na sviatok resp. víkend).</w:t>
      </w:r>
      <w:r w:rsidRPr="003234A0">
        <w:rPr>
          <w:sz w:val="18"/>
          <w:szCs w:val="18"/>
        </w:rPr>
        <w:t>V súlade s metodikou ESA 2010 sa dôchodkové dávky časovo rozlišujú do obdobia, s ktorým vecne súvisia.</w:t>
      </w:r>
    </w:p>
  </w:footnote>
  <w:footnote w:id="23">
    <w:p w14:paraId="69039E93" w14:textId="77777777" w:rsidR="003A0696" w:rsidRDefault="003A0696" w:rsidP="003A0696">
      <w:pPr>
        <w:pStyle w:val="Textpoznmkypodiarou"/>
      </w:pPr>
      <w:r>
        <w:rPr>
          <w:rStyle w:val="Odkaznapoznmkupodiarou"/>
        </w:rPr>
        <w:footnoteRef/>
      </w:r>
      <w:r>
        <w:t xml:space="preserve"> </w:t>
      </w:r>
      <w:r w:rsidRPr="00270836">
        <w:rPr>
          <w:sz w:val="16"/>
          <w:szCs w:val="16"/>
        </w:rPr>
        <w:t>Okrem týchto vzťahov sa pri výpočte maastrichtského dlhu v rámci zložky ,,štátny dlh“ abstrahuje od záväzkov Ministerstva financií SR voči</w:t>
      </w:r>
      <w:r>
        <w:rPr>
          <w:sz w:val="16"/>
          <w:szCs w:val="16"/>
        </w:rPr>
        <w:t> </w:t>
      </w:r>
      <w:r w:rsidRPr="00270836">
        <w:rPr>
          <w:sz w:val="16"/>
          <w:szCs w:val="16"/>
        </w:rPr>
        <w:t>Štátnej pokladnici z tzv. refinančného systému (</w:t>
      </w:r>
      <w:r>
        <w:rPr>
          <w:sz w:val="16"/>
          <w:szCs w:val="16"/>
        </w:rPr>
        <w:t>17 310 376 </w:t>
      </w:r>
      <w:r w:rsidRPr="00270836">
        <w:rPr>
          <w:sz w:val="16"/>
          <w:szCs w:val="16"/>
        </w:rPr>
        <w:t>tis. eur) a od záväzkov z vkladov subjektov verejnej správy v Štátnej pokladnici (</w:t>
      </w:r>
      <w:r w:rsidRPr="001C3CFC">
        <w:rPr>
          <w:sz w:val="16"/>
          <w:szCs w:val="16"/>
        </w:rPr>
        <w:t>8 </w:t>
      </w:r>
      <w:r>
        <w:rPr>
          <w:sz w:val="16"/>
          <w:szCs w:val="16"/>
        </w:rPr>
        <w:t>649</w:t>
      </w:r>
      <w:r w:rsidRPr="001C3CFC">
        <w:rPr>
          <w:sz w:val="16"/>
          <w:szCs w:val="16"/>
        </w:rPr>
        <w:t> </w:t>
      </w:r>
      <w:r>
        <w:rPr>
          <w:sz w:val="16"/>
          <w:szCs w:val="16"/>
        </w:rPr>
        <w:t>443</w:t>
      </w:r>
      <w:r w:rsidRPr="001C3CFC">
        <w:rPr>
          <w:sz w:val="16"/>
          <w:szCs w:val="16"/>
        </w:rPr>
        <w:t> tis. eur).</w:t>
      </w:r>
    </w:p>
  </w:footnote>
  <w:footnote w:id="24">
    <w:p w14:paraId="755207BF" w14:textId="77777777" w:rsidR="003A0696" w:rsidRPr="008624ED" w:rsidRDefault="003A0696" w:rsidP="00F75126">
      <w:pPr>
        <w:pStyle w:val="Textpoznmkypodiarou"/>
        <w:rPr>
          <w:sz w:val="16"/>
          <w:szCs w:val="16"/>
        </w:rPr>
      </w:pPr>
      <w:r>
        <w:rPr>
          <w:rStyle w:val="Odkaznapoznmkupodiarou"/>
        </w:rPr>
        <w:footnoteRef/>
      </w:r>
      <w:r>
        <w:t xml:space="preserve"> </w:t>
      </w:r>
      <w:r w:rsidRPr="008624ED">
        <w:rPr>
          <w:rFonts w:cs="Times New Roman"/>
          <w:sz w:val="16"/>
          <w:szCs w:val="16"/>
        </w:rPr>
        <w:t>Podľa zákona č. 534/2021 Z. z. o štátnom rozpočte na rok 2022 v znení zákona č. 357/202</w:t>
      </w:r>
      <w:r>
        <w:rPr>
          <w:rFonts w:cs="Times New Roman"/>
          <w:sz w:val="16"/>
          <w:szCs w:val="16"/>
        </w:rPr>
        <w:t>2</w:t>
      </w:r>
      <w:r w:rsidRPr="008624ED">
        <w:rPr>
          <w:rFonts w:cs="Times New Roman"/>
          <w:sz w:val="16"/>
          <w:szCs w:val="16"/>
        </w:rPr>
        <w:t xml:space="preserve"> Z. z.</w:t>
      </w:r>
    </w:p>
  </w:footnote>
  <w:footnote w:id="25">
    <w:p w14:paraId="67002830" w14:textId="77777777" w:rsidR="003A0696" w:rsidRPr="00C50D59" w:rsidRDefault="003A0696" w:rsidP="00F75126">
      <w:pPr>
        <w:pStyle w:val="Textpoznmkypodiarou"/>
        <w:rPr>
          <w:rFonts w:cs="Times New Roman"/>
          <w:sz w:val="16"/>
          <w:szCs w:val="16"/>
        </w:rPr>
      </w:pPr>
      <w:r w:rsidRPr="00C50D59">
        <w:rPr>
          <w:rFonts w:cs="Times New Roman"/>
          <w:sz w:val="16"/>
          <w:szCs w:val="16"/>
        </w:rPr>
        <w:footnoteRef/>
      </w:r>
      <w:r w:rsidRPr="00C50D59">
        <w:rPr>
          <w:rFonts w:cs="Times New Roman"/>
          <w:sz w:val="16"/>
          <w:szCs w:val="16"/>
        </w:rPr>
        <w:t xml:space="preserve"> Novela štátneho rozpočtu na rok 2022 nadobudla účinnosť 4.11.2022, takže väčšina rozpočtových opatrení sa týkala štátneho rozpočtu na rok 2022 ešte pôvodne schváleného v decembri 2021, </w:t>
      </w:r>
    </w:p>
  </w:footnote>
  <w:footnote w:id="26">
    <w:p w14:paraId="3078CFC1" w14:textId="7366832E" w:rsidR="003A0696" w:rsidRPr="009E5A5B" w:rsidRDefault="003A0696" w:rsidP="004C3312">
      <w:pPr>
        <w:pStyle w:val="Textpoznmkypodiarou"/>
        <w:rPr>
          <w:sz w:val="16"/>
          <w:szCs w:val="16"/>
        </w:rPr>
      </w:pPr>
      <w:r>
        <w:rPr>
          <w:rStyle w:val="Odkaznapoznmkupodiarou"/>
        </w:rPr>
        <w:footnoteRef/>
      </w:r>
      <w:r>
        <w:t xml:space="preserve"> </w:t>
      </w:r>
      <w:r w:rsidRPr="009E5A5B">
        <w:rPr>
          <w:sz w:val="16"/>
          <w:szCs w:val="16"/>
        </w:rPr>
        <w:t>Vo výkazoch príjmov a výdavkov štátneho rozpočtu je zaznamenaný výnos dane z príjmov fyzických osôb (DPFO) v štátnom rozpočte  vo výške -11 975 tis. eur a výnos zo sankcií 39 817 tis. eur. Výnos DPFO bez sankcií je znížený o prevod dane územným samosprávam, ktorý už zahŕňa sankcie. A z toho dôvodu je výnos z DPFO na účte štátneho rozpočtu vo FIN výkaze podhodnotený, a to o 7 045 tis. eur a sankcie sú o uvedenú sumu zároveň nadhodnotené. V tabuľke sú preto uvedené upravené výnosy DPFO a sankcií, pričom na celkové príjmy táto úprava vplyv nemá.</w:t>
      </w:r>
    </w:p>
  </w:footnote>
  <w:footnote w:id="27">
    <w:p w14:paraId="25C6F907" w14:textId="77777777" w:rsidR="003A0696" w:rsidRPr="004B63E7" w:rsidRDefault="003A0696" w:rsidP="004C3312">
      <w:pPr>
        <w:pStyle w:val="Textpoznmkypodiarou"/>
        <w:rPr>
          <w:sz w:val="17"/>
          <w:szCs w:val="17"/>
        </w:rPr>
      </w:pPr>
      <w:r w:rsidRPr="004B63E7">
        <w:rPr>
          <w:rStyle w:val="Odkaznapoznmkupodiarou"/>
          <w:sz w:val="17"/>
          <w:szCs w:val="17"/>
        </w:rPr>
        <w:footnoteRef/>
      </w:r>
      <w:r w:rsidRPr="004B63E7">
        <w:rPr>
          <w:sz w:val="17"/>
          <w:szCs w:val="17"/>
        </w:rPr>
        <w:t xml:space="preserve"> Správca dane môže na žiadosť daňového dlžníka, ktorým je fyzická osoba, povoliť úľavu na dani alebo odpustiť daňový nedoplatok na dani okrem daňového nedoplatku na dani z pridanej hodnoty a spotrebných daniach, ak by jeho vymáhaním bola vážne ohrozená výživa daňového dlžníka alebo osôb odkázaných na jeho výživu. Splnenie tejto podmienky je daňový dlžník povinný preukázať.</w:t>
      </w:r>
    </w:p>
  </w:footnote>
  <w:footnote w:id="28">
    <w:p w14:paraId="5D4C5A2F" w14:textId="77777777" w:rsidR="003A0696" w:rsidRPr="004B63E7" w:rsidRDefault="003A0696" w:rsidP="004C3312">
      <w:pPr>
        <w:spacing w:after="0" w:line="240" w:lineRule="auto"/>
        <w:rPr>
          <w:sz w:val="17"/>
          <w:szCs w:val="17"/>
        </w:rPr>
      </w:pPr>
      <w:r w:rsidRPr="004B63E7">
        <w:rPr>
          <w:rStyle w:val="Odkaznapoznmkupodiarou"/>
          <w:sz w:val="17"/>
          <w:szCs w:val="17"/>
        </w:rPr>
        <w:footnoteRef/>
      </w:r>
      <w:r w:rsidRPr="004B63E7">
        <w:rPr>
          <w:sz w:val="17"/>
          <w:szCs w:val="17"/>
        </w:rPr>
        <w:t xml:space="preserve"> Finančné riaditeľstvo na žiadosť daňového subjektu odpustí sankciu z dôvodov uvedených v odseku 1 písm. a) alebo môže povoliť úľavu zo sankcie alebo odpustiť sankciu z dôvodov uvedených v odseku 1 písm. b) a c), ak výška uloženej sankcie v jednotlivom prípade nepresiahne, ak ide o</w:t>
      </w:r>
    </w:p>
    <w:p w14:paraId="552C9257" w14:textId="77777777" w:rsidR="003A0696" w:rsidRPr="004B63E7" w:rsidRDefault="003A0696" w:rsidP="004C3312">
      <w:pPr>
        <w:spacing w:after="0" w:line="240" w:lineRule="auto"/>
        <w:rPr>
          <w:sz w:val="17"/>
          <w:szCs w:val="17"/>
        </w:rPr>
      </w:pPr>
      <w:r w:rsidRPr="004B63E7">
        <w:rPr>
          <w:sz w:val="17"/>
          <w:szCs w:val="17"/>
        </w:rPr>
        <w:t>a) fyzickú osobu, sumu 166 000 eur,</w:t>
      </w:r>
    </w:p>
    <w:p w14:paraId="29F70892" w14:textId="77777777" w:rsidR="003A0696" w:rsidRPr="00EF2F88" w:rsidRDefault="003A0696" w:rsidP="004C3312">
      <w:pPr>
        <w:pStyle w:val="Textpoznmkypodiarou"/>
        <w:rPr>
          <w:sz w:val="16"/>
          <w:szCs w:val="16"/>
        </w:rPr>
      </w:pPr>
      <w:r w:rsidRPr="004B63E7">
        <w:rPr>
          <w:sz w:val="17"/>
          <w:szCs w:val="17"/>
        </w:rPr>
        <w:t>b) právnickú osobu, sumu 1 660 000 eur</w:t>
      </w:r>
    </w:p>
  </w:footnote>
  <w:footnote w:id="29">
    <w:p w14:paraId="59418269" w14:textId="77777777" w:rsidR="003A0696" w:rsidRPr="0030178C" w:rsidRDefault="003A0696" w:rsidP="00697268">
      <w:pPr>
        <w:spacing w:after="0" w:line="240" w:lineRule="auto"/>
        <w:rPr>
          <w:rFonts w:cs="Times New Roman"/>
          <w:sz w:val="16"/>
          <w:szCs w:val="16"/>
        </w:rPr>
      </w:pPr>
      <w:r w:rsidRPr="0030178C">
        <w:rPr>
          <w:rStyle w:val="Odkaznapoznmkupodiarou"/>
          <w:rFonts w:cs="Times New Roman"/>
          <w:sz w:val="16"/>
          <w:szCs w:val="16"/>
        </w:rPr>
        <w:footnoteRef/>
      </w:r>
      <w:r w:rsidRPr="0030178C">
        <w:rPr>
          <w:rFonts w:cs="Times New Roman"/>
          <w:sz w:val="16"/>
          <w:szCs w:val="16"/>
        </w:rPr>
        <w:t xml:space="preserve"> </w:t>
      </w:r>
      <w:r w:rsidRPr="0030178C">
        <w:rPr>
          <w:rFonts w:cs="Times New Roman"/>
          <w:color w:val="000000"/>
          <w:sz w:val="16"/>
          <w:szCs w:val="16"/>
          <w:lang w:eastAsia="sk-SK"/>
        </w:rPr>
        <w:t>Napríklad podľa zákona č. 580/2004 Z. z. o zdravotnom poistení v znení neskorších predpisov, zákona č. 461/2003 Z. z. o sociálnom poistení v znení neskorších predpisov.</w:t>
      </w:r>
    </w:p>
    <w:p w14:paraId="4134DAD9" w14:textId="77777777" w:rsidR="003A0696" w:rsidRDefault="003A0696" w:rsidP="00697268">
      <w:pPr>
        <w:pStyle w:val="Textpoznmkypodiarou"/>
      </w:pPr>
    </w:p>
  </w:footnote>
  <w:footnote w:id="30">
    <w:p w14:paraId="7190D4FB" w14:textId="77777777" w:rsidR="003A0696" w:rsidRPr="00995FFF" w:rsidRDefault="003A0696" w:rsidP="00574126">
      <w:pPr>
        <w:pStyle w:val="Textpoznmkypodiarou"/>
        <w:rPr>
          <w:sz w:val="18"/>
          <w:szCs w:val="18"/>
        </w:rPr>
      </w:pPr>
      <w:r w:rsidRPr="00995FFF">
        <w:rPr>
          <w:sz w:val="18"/>
          <w:szCs w:val="18"/>
        </w:rPr>
        <w:footnoteRef/>
      </w:r>
      <w:r w:rsidRPr="00995FFF">
        <w:rPr>
          <w:sz w:val="18"/>
          <w:szCs w:val="18"/>
        </w:rPr>
        <w:t xml:space="preserve"> Na základe uznesenia vlády SR č. 709/2022 k návrhu na doplnenie Štátnych finančných aktív</w:t>
      </w:r>
    </w:p>
  </w:footnote>
  <w:footnote w:id="31">
    <w:p w14:paraId="5C47A2F5" w14:textId="77777777" w:rsidR="003A0696" w:rsidRPr="004C6E9B" w:rsidRDefault="003A0696" w:rsidP="00574126">
      <w:pPr>
        <w:pStyle w:val="Textpoznmkypodiarou"/>
        <w:rPr>
          <w:sz w:val="16"/>
          <w:szCs w:val="16"/>
        </w:rPr>
      </w:pPr>
      <w:r w:rsidRPr="00995FFF">
        <w:rPr>
          <w:sz w:val="18"/>
          <w:szCs w:val="18"/>
        </w:rPr>
        <w:footnoteRef/>
      </w:r>
      <w:r w:rsidRPr="00995FFF">
        <w:rPr>
          <w:sz w:val="18"/>
          <w:szCs w:val="18"/>
        </w:rPr>
        <w:t xml:space="preserve"> Na základe uznesenia vlády SR č. 649/2021 a na základe podpísanej Zmluvy o úprave vzťahov v súvislosti s použitím finančných aktív medzi MF SR a </w:t>
      </w:r>
      <w:proofErr w:type="spellStart"/>
      <w:r w:rsidRPr="00995FFF">
        <w:rPr>
          <w:sz w:val="18"/>
          <w:szCs w:val="18"/>
        </w:rPr>
        <w:t>MPaRV</w:t>
      </w:r>
      <w:proofErr w:type="spellEnd"/>
      <w:r w:rsidRPr="00995FFF">
        <w:rPr>
          <w:sz w:val="18"/>
          <w:szCs w:val="18"/>
        </w:rPr>
        <w:t xml:space="preserve"> SR</w:t>
      </w:r>
    </w:p>
  </w:footnote>
  <w:footnote w:id="32">
    <w:p w14:paraId="23896648" w14:textId="52A16524" w:rsidR="003A0696" w:rsidRPr="00F04CFD" w:rsidRDefault="003A0696" w:rsidP="004C3312">
      <w:pPr>
        <w:pStyle w:val="Textpoznmkypodiarou"/>
        <w:rPr>
          <w:rFonts w:cs="Times New Roman"/>
        </w:rPr>
      </w:pPr>
      <w:r>
        <w:rPr>
          <w:rStyle w:val="Odkaznapoznmkupodiarou"/>
        </w:rPr>
        <w:footnoteRef/>
      </w:r>
      <w:r>
        <w:t xml:space="preserve"> </w:t>
      </w:r>
      <w:r w:rsidRPr="00FA3029">
        <w:rPr>
          <w:sz w:val="16"/>
          <w:szCs w:val="16"/>
        </w:rPr>
        <w:t>§ 1</w:t>
      </w:r>
      <w:r>
        <w:rPr>
          <w:sz w:val="16"/>
          <w:szCs w:val="16"/>
        </w:rPr>
        <w:t>0</w:t>
      </w:r>
      <w:r w:rsidRPr="00FA3029">
        <w:rPr>
          <w:sz w:val="16"/>
          <w:szCs w:val="16"/>
        </w:rPr>
        <w:t xml:space="preserve"> zákona č. 523/2004 Z. z. o rozpočtových pravidlách verejnej správy a o zmene a doplnení niektorých zákonov v </w:t>
      </w:r>
      <w:proofErr w:type="spellStart"/>
      <w:r w:rsidRPr="00FA3029">
        <w:rPr>
          <w:sz w:val="16"/>
          <w:szCs w:val="16"/>
        </w:rPr>
        <w:t>z.n.p</w:t>
      </w:r>
      <w:proofErr w:type="spellEnd"/>
    </w:p>
  </w:footnote>
  <w:footnote w:id="33">
    <w:p w14:paraId="21D0FE32" w14:textId="77777777" w:rsidR="003A0696" w:rsidRPr="00D14ECD" w:rsidRDefault="003A0696" w:rsidP="004C3312">
      <w:pPr>
        <w:pStyle w:val="Textpoznmkypodiarou"/>
        <w:rPr>
          <w:sz w:val="16"/>
          <w:szCs w:val="16"/>
        </w:rPr>
      </w:pPr>
      <w:r>
        <w:rPr>
          <w:rStyle w:val="Odkaznapoznmkupodiarou"/>
        </w:rPr>
        <w:footnoteRef/>
      </w:r>
      <w:r>
        <w:t xml:space="preserve"> </w:t>
      </w:r>
      <w:r w:rsidRPr="00D14ECD">
        <w:rPr>
          <w:sz w:val="16"/>
          <w:szCs w:val="16"/>
        </w:rPr>
        <w:t>Tab. č. 15 Čerpanie rezerv predsedu vlády 2022</w:t>
      </w:r>
    </w:p>
  </w:footnote>
  <w:footnote w:id="34">
    <w:p w14:paraId="5E280663" w14:textId="77777777" w:rsidR="003A0696" w:rsidRPr="009044E0" w:rsidRDefault="003A0696" w:rsidP="00436461">
      <w:pPr>
        <w:pStyle w:val="Textpoznmkypodiarou"/>
        <w:rPr>
          <w:sz w:val="18"/>
          <w:szCs w:val="18"/>
        </w:rPr>
      </w:pPr>
      <w:r w:rsidRPr="009044E0">
        <w:rPr>
          <w:rStyle w:val="Odkaznapoznmkupodiarou"/>
          <w:sz w:val="18"/>
          <w:szCs w:val="18"/>
        </w:rPr>
        <w:footnoteRef/>
      </w:r>
      <w:r w:rsidRPr="009044E0">
        <w:rPr>
          <w:sz w:val="18"/>
          <w:szCs w:val="18"/>
        </w:rPr>
        <w:t xml:space="preserve"> Štátne finančné pasíva, ktorými sú najmä záväzky z vydaných štátnych dlhopisov a pokladničných poukážok, záväzky z prijatých vládnych úverov sú bližšie hodnotené v Súhrnnej účtovnej závierke, keďže ide o stavovú veličinu. Výdavkové finančné operácie na splátky istín a rozpočtové výdavky na úhradu úrokov z týchto záväzkov sú predmetom hotovostného plnenie štátneho rozpočtu opisovaného v tomto Štátnom záverečnom účte. </w:t>
      </w:r>
    </w:p>
  </w:footnote>
  <w:footnote w:id="35">
    <w:p w14:paraId="4089E0BA" w14:textId="77777777" w:rsidR="003A0696" w:rsidRPr="009044E0" w:rsidRDefault="003A0696" w:rsidP="00436461">
      <w:pPr>
        <w:pStyle w:val="Textpoznmkypodiarou"/>
        <w:rPr>
          <w:sz w:val="18"/>
          <w:szCs w:val="18"/>
        </w:rPr>
      </w:pPr>
      <w:r w:rsidRPr="009044E0">
        <w:rPr>
          <w:rStyle w:val="Odkaznapoznmkupodiarou"/>
          <w:rFonts w:eastAsiaTheme="majorEastAsia"/>
          <w:sz w:val="18"/>
          <w:szCs w:val="18"/>
        </w:rPr>
        <w:footnoteRef/>
      </w:r>
      <w:r w:rsidRPr="009044E0">
        <w:rPr>
          <w:sz w:val="18"/>
          <w:szCs w:val="18"/>
        </w:rPr>
        <w:t xml:space="preserve"> § 13 zákona č. 523/2004 Z. z. o rozpočtových pravidlách verejnej správy a o zmene a doplnení niektorých zákonov v </w:t>
      </w:r>
      <w:proofErr w:type="spellStart"/>
      <w:r w:rsidRPr="009044E0">
        <w:rPr>
          <w:sz w:val="18"/>
          <w:szCs w:val="18"/>
        </w:rPr>
        <w:t>z.n.p</w:t>
      </w:r>
      <w:proofErr w:type="spellEnd"/>
      <w:r w:rsidRPr="009044E0">
        <w:rPr>
          <w:sz w:val="18"/>
          <w:szCs w:val="18"/>
        </w:rPr>
        <w:t>.</w:t>
      </w:r>
    </w:p>
  </w:footnote>
  <w:footnote w:id="36">
    <w:p w14:paraId="047F1478" w14:textId="77777777" w:rsidR="003A0696" w:rsidRPr="009044E0" w:rsidRDefault="003A0696" w:rsidP="00436461">
      <w:pPr>
        <w:pStyle w:val="Textpoznmkypodiarou"/>
        <w:rPr>
          <w:sz w:val="18"/>
          <w:szCs w:val="18"/>
        </w:rPr>
      </w:pPr>
      <w:r w:rsidRPr="009044E0">
        <w:rPr>
          <w:rStyle w:val="Odkaznapoznmkupodiarou"/>
          <w:rFonts w:eastAsiaTheme="majorEastAsia"/>
          <w:sz w:val="18"/>
          <w:szCs w:val="18"/>
        </w:rPr>
        <w:footnoteRef/>
      </w:r>
      <w:r w:rsidRPr="009044E0">
        <w:rPr>
          <w:sz w:val="18"/>
          <w:szCs w:val="18"/>
        </w:rPr>
        <w:t xml:space="preserve"> Zákon č. 384/2011 Z. z. o osobitnom odvode vybraných finančných inštitúcií a o doplnení niektorých zákonov v </w:t>
      </w:r>
      <w:proofErr w:type="spellStart"/>
      <w:r w:rsidRPr="009044E0">
        <w:rPr>
          <w:sz w:val="18"/>
          <w:szCs w:val="18"/>
        </w:rPr>
        <w:t>z.n.p</w:t>
      </w:r>
      <w:proofErr w:type="spellEnd"/>
      <w:r w:rsidRPr="009044E0">
        <w:rPr>
          <w:sz w:val="18"/>
          <w:szCs w:val="18"/>
        </w:rPr>
        <w:t>.</w:t>
      </w:r>
    </w:p>
  </w:footnote>
  <w:footnote w:id="37">
    <w:p w14:paraId="1A40EB5B" w14:textId="77777777" w:rsidR="003A0696" w:rsidRPr="00FA3029" w:rsidRDefault="003A0696" w:rsidP="00436461">
      <w:pPr>
        <w:pStyle w:val="Textpoznmkypodiarou"/>
        <w:rPr>
          <w:sz w:val="16"/>
          <w:szCs w:val="16"/>
        </w:rPr>
      </w:pPr>
      <w:r w:rsidRPr="009044E0">
        <w:rPr>
          <w:rStyle w:val="Odkaznapoznmkupodiarou"/>
          <w:rFonts w:eastAsiaTheme="majorEastAsia"/>
          <w:sz w:val="18"/>
          <w:szCs w:val="18"/>
        </w:rPr>
        <w:footnoteRef/>
      </w:r>
      <w:r w:rsidRPr="009044E0">
        <w:rPr>
          <w:sz w:val="18"/>
          <w:szCs w:val="18"/>
        </w:rPr>
        <w:t xml:space="preserve"> Zákon č. 235/2012 Z. z. o osobitnom odvode z podnikania v regulovaných odvetviach a o zmene a doplnení niektorých zákonov v </w:t>
      </w:r>
      <w:proofErr w:type="spellStart"/>
      <w:r w:rsidRPr="009044E0">
        <w:rPr>
          <w:sz w:val="18"/>
          <w:szCs w:val="18"/>
        </w:rPr>
        <w:t>z.n.p</w:t>
      </w:r>
      <w:proofErr w:type="spellEnd"/>
      <w:r w:rsidRPr="009044E0">
        <w:rPr>
          <w:sz w:val="18"/>
          <w:szCs w:val="18"/>
        </w:rPr>
        <w:t>.</w:t>
      </w:r>
    </w:p>
  </w:footnote>
  <w:footnote w:id="38">
    <w:p w14:paraId="3697F3FF" w14:textId="77777777" w:rsidR="003A0696" w:rsidRDefault="003A0696" w:rsidP="001006BF">
      <w:pPr>
        <w:pStyle w:val="Textkomentra"/>
      </w:pPr>
      <w:r w:rsidRPr="00D63B64">
        <w:rPr>
          <w:rStyle w:val="Odkaznapoznmkupodiarou"/>
        </w:rPr>
        <w:footnoteRef/>
      </w:r>
      <w:r w:rsidRPr="00D63B64">
        <w:t xml:space="preserve"> Rozhodnutie Rady (EÚ, </w:t>
      </w:r>
      <w:proofErr w:type="spellStart"/>
      <w:r w:rsidRPr="00D63B64">
        <w:t>Euratom</w:t>
      </w:r>
      <w:proofErr w:type="spellEnd"/>
      <w:r w:rsidRPr="00D63B64">
        <w:t xml:space="preserve">) 2020/2053 o systéme vlastných zdrojov Európskej únie a o zrušení rozhodnutia 2014/335/EÚ. Rozhodnutie zaviedlo s platnosťou </w:t>
      </w:r>
      <w:r w:rsidRPr="00523DB4">
        <w:t>od 1.1.2021 nový vlastný zdroj fina</w:t>
      </w:r>
      <w:r>
        <w:t>ncovania všeobecného rozpočtu EÚ</w:t>
      </w:r>
      <w:r w:rsidRPr="00523DB4">
        <w:t xml:space="preserve"> a to zdroj založený na </w:t>
      </w:r>
      <w:r w:rsidRPr="00523DB4">
        <w:rPr>
          <w:u w:val="single"/>
        </w:rPr>
        <w:t>nerecyklovanom plastovom odpade</w:t>
      </w:r>
      <w:r w:rsidRPr="00523DB4">
        <w:t xml:space="preserve">. Už v roku 2021 zaplatila SR v decembrovej platbe </w:t>
      </w:r>
      <w:r>
        <w:t>do rozpočtu EÚ retroaktívne ročný príspevok vo výške 35,3 mil. eur. Od roku 2022 sa tento príspevok platí každý mesiac spolu s ďalšími vlastnými zdrojmi.</w:t>
      </w:r>
    </w:p>
    <w:p w14:paraId="7E784976" w14:textId="77777777" w:rsidR="003A0696" w:rsidRDefault="003A0696" w:rsidP="001006BF">
      <w:pPr>
        <w:pStyle w:val="Textpoznmkypodiarou"/>
      </w:pPr>
    </w:p>
  </w:footnote>
  <w:footnote w:id="39">
    <w:p w14:paraId="11D12105" w14:textId="77777777" w:rsidR="003A0696" w:rsidRPr="002C39DC" w:rsidRDefault="003A0696" w:rsidP="00001E09">
      <w:pPr>
        <w:pStyle w:val="Textpoznmkypodiarou"/>
        <w:rPr>
          <w:sz w:val="18"/>
          <w:szCs w:val="18"/>
        </w:rPr>
      </w:pPr>
      <w:r w:rsidRPr="002C39DC">
        <w:rPr>
          <w:rStyle w:val="Odkaznapoznmkupodiarou"/>
          <w:sz w:val="18"/>
          <w:szCs w:val="18"/>
        </w:rPr>
        <w:footnoteRef/>
      </w:r>
      <w:r w:rsidRPr="002C39DC">
        <w:rPr>
          <w:sz w:val="18"/>
          <w:szCs w:val="18"/>
        </w:rPr>
        <w:t xml:space="preserve"> V zmysle pravidla n+3 je potrebné deklarovať na EK do 31. decembra tretieho rozpočtového roku  nasledujúceho po roku prijatia rozpočtového záväzku za operačný program (čl. 136 nariadenia EP a Rady EÚ č. 1303/2013).</w:t>
      </w:r>
    </w:p>
  </w:footnote>
  <w:footnote w:id="40">
    <w:p w14:paraId="1EEC7275" w14:textId="77777777" w:rsidR="003A0696" w:rsidRPr="004B6D63" w:rsidRDefault="003A0696" w:rsidP="00001E09">
      <w:pPr>
        <w:pStyle w:val="Textpoznmkypodiarou"/>
      </w:pPr>
      <w:r w:rsidRPr="002C39DC">
        <w:rPr>
          <w:rStyle w:val="Odkaznapoznmkupodiarou"/>
          <w:sz w:val="18"/>
          <w:szCs w:val="18"/>
        </w:rPr>
        <w:footnoteRef/>
      </w:r>
      <w:r w:rsidRPr="002C39DC">
        <w:rPr>
          <w:sz w:val="18"/>
          <w:szCs w:val="18"/>
        </w:rPr>
        <w:t xml:space="preserve"> Na základe uznesenie vlády SR č. 257/2020 zo dňa 28.04.2020 - </w:t>
      </w:r>
      <w:r w:rsidRPr="002C39DC">
        <w:rPr>
          <w:rFonts w:eastAsia="Calibri"/>
          <w:bCs/>
          <w:i/>
          <w:iCs/>
          <w:sz w:val="18"/>
          <w:szCs w:val="18"/>
        </w:rPr>
        <w:t>Návrh opatrení financovaných z operačných programov európskych štrukturálnych a investičných fondov na boj s pandémiou COVID-19 a odstraňovanie a zmiernenie jej dôsledkov.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1171"/>
    <w:multiLevelType w:val="hybridMultilevel"/>
    <w:tmpl w:val="8AE854D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CAC3A1E"/>
    <w:multiLevelType w:val="multilevel"/>
    <w:tmpl w:val="D8FAB112"/>
    <w:lvl w:ilvl="0">
      <w:start w:val="1"/>
      <w:numFmt w:val="decimal"/>
      <w:pStyle w:val="Nadpis1"/>
      <w:lvlText w:val="%1"/>
      <w:lvlJc w:val="left"/>
      <w:pPr>
        <w:ind w:left="3977" w:hanging="432"/>
      </w:pPr>
    </w:lvl>
    <w:lvl w:ilvl="1">
      <w:start w:val="1"/>
      <w:numFmt w:val="decimal"/>
      <w:pStyle w:val="Nadpis2"/>
      <w:lvlText w:val="%1.%2"/>
      <w:lvlJc w:val="left"/>
      <w:pPr>
        <w:ind w:left="5396" w:hanging="576"/>
      </w:pPr>
    </w:lvl>
    <w:lvl w:ilvl="2">
      <w:start w:val="1"/>
      <w:numFmt w:val="decimal"/>
      <w:pStyle w:val="Nadpis3"/>
      <w:lvlText w:val="%1.%2.%3"/>
      <w:lvlJc w:val="left"/>
      <w:pPr>
        <w:ind w:left="256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D811F48"/>
    <w:multiLevelType w:val="hybridMultilevel"/>
    <w:tmpl w:val="AA9814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D6907"/>
    <w:multiLevelType w:val="hybridMultilevel"/>
    <w:tmpl w:val="E4B6CE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22705E7E"/>
    <w:multiLevelType w:val="hybridMultilevel"/>
    <w:tmpl w:val="01EAB926"/>
    <w:lvl w:ilvl="0" w:tplc="041B0005">
      <w:start w:val="1"/>
      <w:numFmt w:val="bullet"/>
      <w:lvlText w:val=""/>
      <w:lvlJc w:val="left"/>
      <w:pPr>
        <w:ind w:left="360" w:hanging="360"/>
      </w:pPr>
      <w:rPr>
        <w:rFonts w:ascii="Wingdings" w:hAnsi="Wingdings" w:hint="default"/>
      </w:rPr>
    </w:lvl>
    <w:lvl w:ilvl="1" w:tplc="041B0005">
      <w:start w:val="1"/>
      <w:numFmt w:val="bullet"/>
      <w:lvlText w:val=""/>
      <w:lvlJc w:val="left"/>
      <w:pPr>
        <w:ind w:left="1080" w:hanging="360"/>
      </w:pPr>
      <w:rPr>
        <w:rFonts w:ascii="Wingdings" w:hAnsi="Wingding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56A0C11"/>
    <w:multiLevelType w:val="hybridMultilevel"/>
    <w:tmpl w:val="233611F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E4A080B"/>
    <w:multiLevelType w:val="hybridMultilevel"/>
    <w:tmpl w:val="92FC3B0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30382081"/>
    <w:multiLevelType w:val="hybridMultilevel"/>
    <w:tmpl w:val="7DA0E8F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3074125A"/>
    <w:multiLevelType w:val="hybridMultilevel"/>
    <w:tmpl w:val="7EF639DE"/>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9E70846"/>
    <w:multiLevelType w:val="hybridMultilevel"/>
    <w:tmpl w:val="227665D8"/>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E1E4BBE"/>
    <w:multiLevelType w:val="hybridMultilevel"/>
    <w:tmpl w:val="21CE4998"/>
    <w:lvl w:ilvl="0" w:tplc="FFFFFFFF">
      <w:start w:val="1"/>
      <w:numFmt w:val="bullet"/>
      <w:lvlText w:val=""/>
      <w:lvlJc w:val="left"/>
      <w:pPr>
        <w:ind w:left="1287" w:hanging="360"/>
      </w:pPr>
      <w:rPr>
        <w:rFonts w:ascii="Symbol" w:hAnsi="Symbol" w:hint="default"/>
      </w:rPr>
    </w:lvl>
    <w:lvl w:ilvl="1" w:tplc="041B0005">
      <w:start w:val="1"/>
      <w:numFmt w:val="bullet"/>
      <w:lvlText w:val=""/>
      <w:lvlJc w:val="left"/>
      <w:pPr>
        <w:ind w:left="1353" w:hanging="360"/>
      </w:pPr>
      <w:rPr>
        <w:rFonts w:ascii="Wingdings" w:hAnsi="Wingdings" w:hint="default"/>
      </w:rPr>
    </w:lvl>
    <w:lvl w:ilvl="2" w:tplc="041B0005">
      <w:start w:val="1"/>
      <w:numFmt w:val="bullet"/>
      <w:lvlText w:val=""/>
      <w:lvlJc w:val="left"/>
      <w:pPr>
        <w:ind w:left="2727" w:hanging="360"/>
      </w:pPr>
      <w:rPr>
        <w:rFonts w:ascii="Wingdings" w:hAnsi="Wingdings" w:hint="default"/>
      </w:rPr>
    </w:lvl>
    <w:lvl w:ilvl="3" w:tplc="AB0C57A0">
      <w:start w:val="12"/>
      <w:numFmt w:val="bullet"/>
      <w:lvlText w:val="-"/>
      <w:lvlJc w:val="left"/>
      <w:pPr>
        <w:ind w:left="3447" w:hanging="360"/>
      </w:pPr>
      <w:rPr>
        <w:rFonts w:ascii="Times New Roman" w:eastAsia="Times New Roman" w:hAnsi="Times New Roman"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EA46160"/>
    <w:multiLevelType w:val="hybridMultilevel"/>
    <w:tmpl w:val="A894B8EC"/>
    <w:lvl w:ilvl="0" w:tplc="A36E3E12">
      <w:start w:val="3"/>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31167E"/>
    <w:multiLevelType w:val="hybridMultilevel"/>
    <w:tmpl w:val="12523884"/>
    <w:lvl w:ilvl="0" w:tplc="1AE66FC4">
      <w:numFmt w:val="bullet"/>
      <w:lvlText w:val="-"/>
      <w:lvlJc w:val="left"/>
      <w:pPr>
        <w:ind w:left="720"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513472A1"/>
    <w:multiLevelType w:val="hybridMultilevel"/>
    <w:tmpl w:val="DB8C3044"/>
    <w:lvl w:ilvl="0" w:tplc="041B0005">
      <w:start w:val="1"/>
      <w:numFmt w:val="bullet"/>
      <w:lvlText w:val=""/>
      <w:lvlJc w:val="left"/>
      <w:pPr>
        <w:ind w:left="1778" w:hanging="360"/>
      </w:pPr>
      <w:rPr>
        <w:rFonts w:ascii="Wingdings" w:hAnsi="Wingding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4" w15:restartNumberingAfterBreak="0">
    <w:nsid w:val="565826BB"/>
    <w:multiLevelType w:val="hybridMultilevel"/>
    <w:tmpl w:val="E3FE22E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69715723"/>
    <w:multiLevelType w:val="hybridMultilevel"/>
    <w:tmpl w:val="29EED3FE"/>
    <w:lvl w:ilvl="0" w:tplc="041B0005">
      <w:start w:val="1"/>
      <w:numFmt w:val="bullet"/>
      <w:lvlText w:val=""/>
      <w:lvlJc w:val="left"/>
      <w:pPr>
        <w:ind w:left="360" w:hanging="360"/>
      </w:pPr>
      <w:rPr>
        <w:rFonts w:ascii="Wingdings" w:hAnsi="Wingdings" w:hint="default"/>
      </w:rPr>
    </w:lvl>
    <w:lvl w:ilvl="1" w:tplc="041B0005">
      <w:start w:val="1"/>
      <w:numFmt w:val="bullet"/>
      <w:lvlText w:val=""/>
      <w:lvlJc w:val="left"/>
      <w:pPr>
        <w:ind w:left="1080" w:hanging="360"/>
      </w:pPr>
      <w:rPr>
        <w:rFonts w:ascii="Wingdings" w:hAnsi="Wingding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E22678B"/>
    <w:multiLevelType w:val="hybridMultilevel"/>
    <w:tmpl w:val="39D2BF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4A47639"/>
    <w:multiLevelType w:val="hybridMultilevel"/>
    <w:tmpl w:val="0BFE94DC"/>
    <w:lvl w:ilvl="0" w:tplc="617C48F4">
      <w:start w:val="1"/>
      <w:numFmt w:val="decimal"/>
      <w:lvlText w:val="%1)"/>
      <w:lvlJc w:val="left"/>
      <w:pPr>
        <w:ind w:left="720" w:hanging="360"/>
      </w:pPr>
      <w:rPr>
        <w:rFonts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5E059C6"/>
    <w:multiLevelType w:val="hybridMultilevel"/>
    <w:tmpl w:val="7252160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785775C6"/>
    <w:multiLevelType w:val="hybridMultilevel"/>
    <w:tmpl w:val="D8F82C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14"/>
  </w:num>
  <w:num w:numId="5">
    <w:abstractNumId w:val="10"/>
  </w:num>
  <w:num w:numId="6">
    <w:abstractNumId w:val="2"/>
  </w:num>
  <w:num w:numId="7">
    <w:abstractNumId w:val="19"/>
  </w:num>
  <w:num w:numId="8">
    <w:abstractNumId w:val="3"/>
  </w:num>
  <w:num w:numId="9">
    <w:abstractNumId w:val="12"/>
  </w:num>
  <w:num w:numId="10">
    <w:abstractNumId w:val="4"/>
  </w:num>
  <w:num w:numId="11">
    <w:abstractNumId w:val="15"/>
  </w:num>
  <w:num w:numId="12">
    <w:abstractNumId w:val="0"/>
  </w:num>
  <w:num w:numId="13">
    <w:abstractNumId w:val="18"/>
  </w:num>
  <w:num w:numId="14">
    <w:abstractNumId w:val="7"/>
  </w:num>
  <w:num w:numId="15">
    <w:abstractNumId w:val="5"/>
  </w:num>
  <w:num w:numId="16">
    <w:abstractNumId w:val="13"/>
  </w:num>
  <w:num w:numId="17">
    <w:abstractNumId w:val="8"/>
  </w:num>
  <w:num w:numId="18">
    <w:abstractNumId w:val="9"/>
  </w:num>
  <w:num w:numId="19">
    <w:abstractNumId w:val="6"/>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GrammaticalErrors/>
  <w:proofState w:spelling="clean"/>
  <w:defaultTabStop w:val="510"/>
  <w:hyphenationZone w:val="425"/>
  <w:evenAndOddHeaders/>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B4"/>
    <w:rsid w:val="00000201"/>
    <w:rsid w:val="000009AA"/>
    <w:rsid w:val="00001E09"/>
    <w:rsid w:val="00002B52"/>
    <w:rsid w:val="00002C07"/>
    <w:rsid w:val="00003185"/>
    <w:rsid w:val="00004436"/>
    <w:rsid w:val="0000559C"/>
    <w:rsid w:val="00005A9B"/>
    <w:rsid w:val="00005FDB"/>
    <w:rsid w:val="00006045"/>
    <w:rsid w:val="00006F2B"/>
    <w:rsid w:val="00006FC6"/>
    <w:rsid w:val="00007C06"/>
    <w:rsid w:val="000106B9"/>
    <w:rsid w:val="00010C37"/>
    <w:rsid w:val="00010CE2"/>
    <w:rsid w:val="00011ABC"/>
    <w:rsid w:val="0001332C"/>
    <w:rsid w:val="00014F97"/>
    <w:rsid w:val="000156A6"/>
    <w:rsid w:val="00015756"/>
    <w:rsid w:val="000160CA"/>
    <w:rsid w:val="000172A6"/>
    <w:rsid w:val="000203FA"/>
    <w:rsid w:val="00020746"/>
    <w:rsid w:val="00021DF5"/>
    <w:rsid w:val="00021EB3"/>
    <w:rsid w:val="00022082"/>
    <w:rsid w:val="0002242F"/>
    <w:rsid w:val="000227C0"/>
    <w:rsid w:val="000235AD"/>
    <w:rsid w:val="0002384D"/>
    <w:rsid w:val="000247A8"/>
    <w:rsid w:val="00024990"/>
    <w:rsid w:val="00024D82"/>
    <w:rsid w:val="000265AB"/>
    <w:rsid w:val="00026608"/>
    <w:rsid w:val="00027720"/>
    <w:rsid w:val="00027919"/>
    <w:rsid w:val="00030868"/>
    <w:rsid w:val="000313E4"/>
    <w:rsid w:val="000316FB"/>
    <w:rsid w:val="000337EE"/>
    <w:rsid w:val="00033AD0"/>
    <w:rsid w:val="000347AD"/>
    <w:rsid w:val="0003538A"/>
    <w:rsid w:val="00035949"/>
    <w:rsid w:val="0003620E"/>
    <w:rsid w:val="000379CA"/>
    <w:rsid w:val="00040457"/>
    <w:rsid w:val="0004106B"/>
    <w:rsid w:val="00042458"/>
    <w:rsid w:val="00043311"/>
    <w:rsid w:val="00043553"/>
    <w:rsid w:val="0004373C"/>
    <w:rsid w:val="00044031"/>
    <w:rsid w:val="00044C54"/>
    <w:rsid w:val="00044F35"/>
    <w:rsid w:val="00045828"/>
    <w:rsid w:val="0004591C"/>
    <w:rsid w:val="00045BE3"/>
    <w:rsid w:val="00046082"/>
    <w:rsid w:val="000461C0"/>
    <w:rsid w:val="0004633C"/>
    <w:rsid w:val="00046382"/>
    <w:rsid w:val="00047619"/>
    <w:rsid w:val="00047A6B"/>
    <w:rsid w:val="00047D17"/>
    <w:rsid w:val="00047F86"/>
    <w:rsid w:val="00050148"/>
    <w:rsid w:val="000503CE"/>
    <w:rsid w:val="00051013"/>
    <w:rsid w:val="00051DD2"/>
    <w:rsid w:val="0005259F"/>
    <w:rsid w:val="000535E8"/>
    <w:rsid w:val="00053BA4"/>
    <w:rsid w:val="00053C7A"/>
    <w:rsid w:val="00054518"/>
    <w:rsid w:val="000550BC"/>
    <w:rsid w:val="00056CD8"/>
    <w:rsid w:val="00057121"/>
    <w:rsid w:val="00057E5C"/>
    <w:rsid w:val="0006055A"/>
    <w:rsid w:val="00062135"/>
    <w:rsid w:val="00063234"/>
    <w:rsid w:val="000633AA"/>
    <w:rsid w:val="00063595"/>
    <w:rsid w:val="00063B08"/>
    <w:rsid w:val="00063F2E"/>
    <w:rsid w:val="000643AF"/>
    <w:rsid w:val="00064795"/>
    <w:rsid w:val="00064D2C"/>
    <w:rsid w:val="00064E22"/>
    <w:rsid w:val="00065E4A"/>
    <w:rsid w:val="00066627"/>
    <w:rsid w:val="00070082"/>
    <w:rsid w:val="000702C3"/>
    <w:rsid w:val="0007053F"/>
    <w:rsid w:val="000705FB"/>
    <w:rsid w:val="00070A80"/>
    <w:rsid w:val="00071652"/>
    <w:rsid w:val="0007167C"/>
    <w:rsid w:val="00071D40"/>
    <w:rsid w:val="00072BE7"/>
    <w:rsid w:val="0007321A"/>
    <w:rsid w:val="000736E0"/>
    <w:rsid w:val="00073B7D"/>
    <w:rsid w:val="00073BD6"/>
    <w:rsid w:val="00074436"/>
    <w:rsid w:val="000746D4"/>
    <w:rsid w:val="000747B5"/>
    <w:rsid w:val="000747E2"/>
    <w:rsid w:val="000748F9"/>
    <w:rsid w:val="000754AC"/>
    <w:rsid w:val="0007679C"/>
    <w:rsid w:val="00076C23"/>
    <w:rsid w:val="000779E1"/>
    <w:rsid w:val="00077B7B"/>
    <w:rsid w:val="00077D54"/>
    <w:rsid w:val="00077E09"/>
    <w:rsid w:val="00077E5D"/>
    <w:rsid w:val="000801AF"/>
    <w:rsid w:val="000812C5"/>
    <w:rsid w:val="00081A92"/>
    <w:rsid w:val="000821CD"/>
    <w:rsid w:val="000821EE"/>
    <w:rsid w:val="0008303C"/>
    <w:rsid w:val="00083C0D"/>
    <w:rsid w:val="00083F62"/>
    <w:rsid w:val="00084D1A"/>
    <w:rsid w:val="0008539A"/>
    <w:rsid w:val="0008566D"/>
    <w:rsid w:val="000858FD"/>
    <w:rsid w:val="000866C2"/>
    <w:rsid w:val="0008687F"/>
    <w:rsid w:val="00087077"/>
    <w:rsid w:val="000870CD"/>
    <w:rsid w:val="000909A0"/>
    <w:rsid w:val="00090D49"/>
    <w:rsid w:val="000911E5"/>
    <w:rsid w:val="00091942"/>
    <w:rsid w:val="000920F8"/>
    <w:rsid w:val="0009362B"/>
    <w:rsid w:val="00093D4B"/>
    <w:rsid w:val="00094327"/>
    <w:rsid w:val="00094785"/>
    <w:rsid w:val="000956A5"/>
    <w:rsid w:val="000961B7"/>
    <w:rsid w:val="00096A96"/>
    <w:rsid w:val="00097736"/>
    <w:rsid w:val="00097D1A"/>
    <w:rsid w:val="00097F73"/>
    <w:rsid w:val="000A019E"/>
    <w:rsid w:val="000A02AC"/>
    <w:rsid w:val="000A082F"/>
    <w:rsid w:val="000A08FC"/>
    <w:rsid w:val="000A2B3E"/>
    <w:rsid w:val="000A2B5E"/>
    <w:rsid w:val="000A2CD1"/>
    <w:rsid w:val="000A37A5"/>
    <w:rsid w:val="000A3929"/>
    <w:rsid w:val="000A3C84"/>
    <w:rsid w:val="000A3E55"/>
    <w:rsid w:val="000A3EDD"/>
    <w:rsid w:val="000A3FA3"/>
    <w:rsid w:val="000A43B3"/>
    <w:rsid w:val="000A4AFB"/>
    <w:rsid w:val="000A5247"/>
    <w:rsid w:val="000A52F4"/>
    <w:rsid w:val="000A6683"/>
    <w:rsid w:val="000A69B1"/>
    <w:rsid w:val="000B07EE"/>
    <w:rsid w:val="000B11F9"/>
    <w:rsid w:val="000B224E"/>
    <w:rsid w:val="000B2434"/>
    <w:rsid w:val="000B322D"/>
    <w:rsid w:val="000B3FA7"/>
    <w:rsid w:val="000B476C"/>
    <w:rsid w:val="000B4A89"/>
    <w:rsid w:val="000B5435"/>
    <w:rsid w:val="000B5651"/>
    <w:rsid w:val="000B61F4"/>
    <w:rsid w:val="000B6FD6"/>
    <w:rsid w:val="000B75C0"/>
    <w:rsid w:val="000B7718"/>
    <w:rsid w:val="000B78C4"/>
    <w:rsid w:val="000B790D"/>
    <w:rsid w:val="000C03E3"/>
    <w:rsid w:val="000C0B4D"/>
    <w:rsid w:val="000C16D1"/>
    <w:rsid w:val="000C19A7"/>
    <w:rsid w:val="000C2381"/>
    <w:rsid w:val="000C2605"/>
    <w:rsid w:val="000C2D17"/>
    <w:rsid w:val="000C3131"/>
    <w:rsid w:val="000C3C49"/>
    <w:rsid w:val="000C483D"/>
    <w:rsid w:val="000C4CC0"/>
    <w:rsid w:val="000C4F76"/>
    <w:rsid w:val="000C5B4E"/>
    <w:rsid w:val="000C6109"/>
    <w:rsid w:val="000C6F8E"/>
    <w:rsid w:val="000C71F6"/>
    <w:rsid w:val="000C74CA"/>
    <w:rsid w:val="000C7E91"/>
    <w:rsid w:val="000D0294"/>
    <w:rsid w:val="000D0C1A"/>
    <w:rsid w:val="000D0C9C"/>
    <w:rsid w:val="000D1669"/>
    <w:rsid w:val="000D18AA"/>
    <w:rsid w:val="000D1FAF"/>
    <w:rsid w:val="000D1FBA"/>
    <w:rsid w:val="000D2302"/>
    <w:rsid w:val="000D35AE"/>
    <w:rsid w:val="000D3F48"/>
    <w:rsid w:val="000D42C0"/>
    <w:rsid w:val="000D4942"/>
    <w:rsid w:val="000D5C00"/>
    <w:rsid w:val="000D5CED"/>
    <w:rsid w:val="000D5D8D"/>
    <w:rsid w:val="000D6114"/>
    <w:rsid w:val="000D7202"/>
    <w:rsid w:val="000D731D"/>
    <w:rsid w:val="000D7B65"/>
    <w:rsid w:val="000E0B50"/>
    <w:rsid w:val="000E0E99"/>
    <w:rsid w:val="000E1594"/>
    <w:rsid w:val="000E18B3"/>
    <w:rsid w:val="000E2643"/>
    <w:rsid w:val="000E4EE1"/>
    <w:rsid w:val="000E67F6"/>
    <w:rsid w:val="000E6900"/>
    <w:rsid w:val="000F02FD"/>
    <w:rsid w:val="000F07B6"/>
    <w:rsid w:val="000F0D26"/>
    <w:rsid w:val="000F157D"/>
    <w:rsid w:val="000F21D2"/>
    <w:rsid w:val="000F375D"/>
    <w:rsid w:val="000F3834"/>
    <w:rsid w:val="000F4980"/>
    <w:rsid w:val="000F4E7E"/>
    <w:rsid w:val="000F5B64"/>
    <w:rsid w:val="000F6518"/>
    <w:rsid w:val="000F72B5"/>
    <w:rsid w:val="000F7410"/>
    <w:rsid w:val="000F751F"/>
    <w:rsid w:val="000F7527"/>
    <w:rsid w:val="000F7646"/>
    <w:rsid w:val="000F7DD7"/>
    <w:rsid w:val="0010031C"/>
    <w:rsid w:val="001006BF"/>
    <w:rsid w:val="0010096F"/>
    <w:rsid w:val="0010106D"/>
    <w:rsid w:val="0010218E"/>
    <w:rsid w:val="001027C7"/>
    <w:rsid w:val="00102BBA"/>
    <w:rsid w:val="001033F9"/>
    <w:rsid w:val="0010383D"/>
    <w:rsid w:val="00103E6B"/>
    <w:rsid w:val="001048BE"/>
    <w:rsid w:val="00104953"/>
    <w:rsid w:val="001049B6"/>
    <w:rsid w:val="00104B0B"/>
    <w:rsid w:val="0010515D"/>
    <w:rsid w:val="001051D8"/>
    <w:rsid w:val="0010567A"/>
    <w:rsid w:val="00105B67"/>
    <w:rsid w:val="00105BF8"/>
    <w:rsid w:val="001103E0"/>
    <w:rsid w:val="00110CA4"/>
    <w:rsid w:val="0011109D"/>
    <w:rsid w:val="00111CC0"/>
    <w:rsid w:val="00111D91"/>
    <w:rsid w:val="00111E27"/>
    <w:rsid w:val="00112134"/>
    <w:rsid w:val="00112357"/>
    <w:rsid w:val="001126E7"/>
    <w:rsid w:val="00112E7C"/>
    <w:rsid w:val="00112ECB"/>
    <w:rsid w:val="00113AFD"/>
    <w:rsid w:val="00114152"/>
    <w:rsid w:val="00114612"/>
    <w:rsid w:val="00114A29"/>
    <w:rsid w:val="001153B0"/>
    <w:rsid w:val="0011636A"/>
    <w:rsid w:val="00116BCD"/>
    <w:rsid w:val="00116EA0"/>
    <w:rsid w:val="001179AC"/>
    <w:rsid w:val="001200B1"/>
    <w:rsid w:val="0012020C"/>
    <w:rsid w:val="001205D5"/>
    <w:rsid w:val="001205FE"/>
    <w:rsid w:val="00120749"/>
    <w:rsid w:val="0012087C"/>
    <w:rsid w:val="00122D00"/>
    <w:rsid w:val="00122D65"/>
    <w:rsid w:val="00124CD8"/>
    <w:rsid w:val="0012566C"/>
    <w:rsid w:val="0012574B"/>
    <w:rsid w:val="00125DC5"/>
    <w:rsid w:val="00125FE0"/>
    <w:rsid w:val="001273F0"/>
    <w:rsid w:val="00127C08"/>
    <w:rsid w:val="00127DA4"/>
    <w:rsid w:val="00127ED5"/>
    <w:rsid w:val="00127F66"/>
    <w:rsid w:val="0013027B"/>
    <w:rsid w:val="00130426"/>
    <w:rsid w:val="001311E9"/>
    <w:rsid w:val="00131246"/>
    <w:rsid w:val="0013260D"/>
    <w:rsid w:val="00133B51"/>
    <w:rsid w:val="00133DEA"/>
    <w:rsid w:val="00135126"/>
    <w:rsid w:val="001359C3"/>
    <w:rsid w:val="00135AFC"/>
    <w:rsid w:val="00135D9E"/>
    <w:rsid w:val="00136895"/>
    <w:rsid w:val="00136C54"/>
    <w:rsid w:val="001376BA"/>
    <w:rsid w:val="001402E1"/>
    <w:rsid w:val="00140B5A"/>
    <w:rsid w:val="00141083"/>
    <w:rsid w:val="00141A5D"/>
    <w:rsid w:val="001432A2"/>
    <w:rsid w:val="001436B3"/>
    <w:rsid w:val="00143C91"/>
    <w:rsid w:val="00143CA3"/>
    <w:rsid w:val="00144775"/>
    <w:rsid w:val="00146229"/>
    <w:rsid w:val="00150B92"/>
    <w:rsid w:val="00150F61"/>
    <w:rsid w:val="0015169B"/>
    <w:rsid w:val="00151971"/>
    <w:rsid w:val="00151F12"/>
    <w:rsid w:val="0015273A"/>
    <w:rsid w:val="00153857"/>
    <w:rsid w:val="001547BC"/>
    <w:rsid w:val="00154AB2"/>
    <w:rsid w:val="0015633C"/>
    <w:rsid w:val="00156FC4"/>
    <w:rsid w:val="00161134"/>
    <w:rsid w:val="00161914"/>
    <w:rsid w:val="0016220A"/>
    <w:rsid w:val="00162608"/>
    <w:rsid w:val="00162CED"/>
    <w:rsid w:val="00164536"/>
    <w:rsid w:val="00164F67"/>
    <w:rsid w:val="00164FE8"/>
    <w:rsid w:val="00165021"/>
    <w:rsid w:val="0016515E"/>
    <w:rsid w:val="00165360"/>
    <w:rsid w:val="001656EA"/>
    <w:rsid w:val="00165E7D"/>
    <w:rsid w:val="00165F88"/>
    <w:rsid w:val="001665F3"/>
    <w:rsid w:val="00166B38"/>
    <w:rsid w:val="00167C7A"/>
    <w:rsid w:val="001706CF"/>
    <w:rsid w:val="0017186F"/>
    <w:rsid w:val="00171ABF"/>
    <w:rsid w:val="001726E9"/>
    <w:rsid w:val="0017281B"/>
    <w:rsid w:val="00172AA1"/>
    <w:rsid w:val="001737A0"/>
    <w:rsid w:val="0017407C"/>
    <w:rsid w:val="001742D7"/>
    <w:rsid w:val="001747AE"/>
    <w:rsid w:val="00174B01"/>
    <w:rsid w:val="001757A1"/>
    <w:rsid w:val="00176102"/>
    <w:rsid w:val="00176C4A"/>
    <w:rsid w:val="00177948"/>
    <w:rsid w:val="001802D9"/>
    <w:rsid w:val="00180436"/>
    <w:rsid w:val="001811C6"/>
    <w:rsid w:val="00181EAF"/>
    <w:rsid w:val="00184143"/>
    <w:rsid w:val="00184BAC"/>
    <w:rsid w:val="00184D2D"/>
    <w:rsid w:val="00185548"/>
    <w:rsid w:val="001859BD"/>
    <w:rsid w:val="00186138"/>
    <w:rsid w:val="00186A4D"/>
    <w:rsid w:val="00187814"/>
    <w:rsid w:val="00187F9D"/>
    <w:rsid w:val="001903EC"/>
    <w:rsid w:val="001908BA"/>
    <w:rsid w:val="0019171E"/>
    <w:rsid w:val="00191E3C"/>
    <w:rsid w:val="00192236"/>
    <w:rsid w:val="00192270"/>
    <w:rsid w:val="00192B3E"/>
    <w:rsid w:val="001931A3"/>
    <w:rsid w:val="00193358"/>
    <w:rsid w:val="00194FA4"/>
    <w:rsid w:val="00195857"/>
    <w:rsid w:val="00195AB8"/>
    <w:rsid w:val="00195FE3"/>
    <w:rsid w:val="0019620A"/>
    <w:rsid w:val="0019687C"/>
    <w:rsid w:val="00197430"/>
    <w:rsid w:val="0019788F"/>
    <w:rsid w:val="001A0195"/>
    <w:rsid w:val="001A0EE8"/>
    <w:rsid w:val="001A14AF"/>
    <w:rsid w:val="001A1586"/>
    <w:rsid w:val="001A1993"/>
    <w:rsid w:val="001A1F07"/>
    <w:rsid w:val="001A269C"/>
    <w:rsid w:val="001A2E80"/>
    <w:rsid w:val="001A333C"/>
    <w:rsid w:val="001A38B4"/>
    <w:rsid w:val="001A3E40"/>
    <w:rsid w:val="001A4B6D"/>
    <w:rsid w:val="001A4F1B"/>
    <w:rsid w:val="001A55BE"/>
    <w:rsid w:val="001A56BA"/>
    <w:rsid w:val="001A5BBF"/>
    <w:rsid w:val="001A66EA"/>
    <w:rsid w:val="001A797B"/>
    <w:rsid w:val="001B072E"/>
    <w:rsid w:val="001B1225"/>
    <w:rsid w:val="001B13C6"/>
    <w:rsid w:val="001B148C"/>
    <w:rsid w:val="001B1630"/>
    <w:rsid w:val="001B1B8E"/>
    <w:rsid w:val="001B1FCB"/>
    <w:rsid w:val="001B29DD"/>
    <w:rsid w:val="001B2D89"/>
    <w:rsid w:val="001B34E6"/>
    <w:rsid w:val="001B382F"/>
    <w:rsid w:val="001B38AF"/>
    <w:rsid w:val="001B399E"/>
    <w:rsid w:val="001B4083"/>
    <w:rsid w:val="001B4FF7"/>
    <w:rsid w:val="001B549A"/>
    <w:rsid w:val="001B774D"/>
    <w:rsid w:val="001B7A1A"/>
    <w:rsid w:val="001C0A69"/>
    <w:rsid w:val="001C0BCD"/>
    <w:rsid w:val="001C119A"/>
    <w:rsid w:val="001C159F"/>
    <w:rsid w:val="001C1BFB"/>
    <w:rsid w:val="001C2606"/>
    <w:rsid w:val="001C2A0B"/>
    <w:rsid w:val="001C2E29"/>
    <w:rsid w:val="001C3737"/>
    <w:rsid w:val="001C37AC"/>
    <w:rsid w:val="001C3AA5"/>
    <w:rsid w:val="001C47F8"/>
    <w:rsid w:val="001C4CA7"/>
    <w:rsid w:val="001C4DF1"/>
    <w:rsid w:val="001C4E82"/>
    <w:rsid w:val="001C5135"/>
    <w:rsid w:val="001C531B"/>
    <w:rsid w:val="001C5FA3"/>
    <w:rsid w:val="001C6F9E"/>
    <w:rsid w:val="001C798E"/>
    <w:rsid w:val="001D0537"/>
    <w:rsid w:val="001D0A5F"/>
    <w:rsid w:val="001D0B23"/>
    <w:rsid w:val="001D0D92"/>
    <w:rsid w:val="001D2108"/>
    <w:rsid w:val="001D31B8"/>
    <w:rsid w:val="001D4463"/>
    <w:rsid w:val="001D580F"/>
    <w:rsid w:val="001D59C7"/>
    <w:rsid w:val="001D5F54"/>
    <w:rsid w:val="001D79DF"/>
    <w:rsid w:val="001E076F"/>
    <w:rsid w:val="001E0969"/>
    <w:rsid w:val="001E0C46"/>
    <w:rsid w:val="001E195E"/>
    <w:rsid w:val="001E1E5F"/>
    <w:rsid w:val="001E1EAA"/>
    <w:rsid w:val="001E2155"/>
    <w:rsid w:val="001E2922"/>
    <w:rsid w:val="001E345C"/>
    <w:rsid w:val="001E493B"/>
    <w:rsid w:val="001E5172"/>
    <w:rsid w:val="001E6B52"/>
    <w:rsid w:val="001E7237"/>
    <w:rsid w:val="001E76AC"/>
    <w:rsid w:val="001E7D83"/>
    <w:rsid w:val="001F0570"/>
    <w:rsid w:val="001F121E"/>
    <w:rsid w:val="001F131C"/>
    <w:rsid w:val="001F20A6"/>
    <w:rsid w:val="001F21CC"/>
    <w:rsid w:val="001F2757"/>
    <w:rsid w:val="001F3027"/>
    <w:rsid w:val="001F4330"/>
    <w:rsid w:val="001F469D"/>
    <w:rsid w:val="001F4CEA"/>
    <w:rsid w:val="001F4D7C"/>
    <w:rsid w:val="001F55C8"/>
    <w:rsid w:val="001F588C"/>
    <w:rsid w:val="001F6F5A"/>
    <w:rsid w:val="001F723D"/>
    <w:rsid w:val="001F7763"/>
    <w:rsid w:val="001F78A4"/>
    <w:rsid w:val="001F7AF8"/>
    <w:rsid w:val="00200966"/>
    <w:rsid w:val="00201CFC"/>
    <w:rsid w:val="00202B2E"/>
    <w:rsid w:val="002031C9"/>
    <w:rsid w:val="00203665"/>
    <w:rsid w:val="00203AA3"/>
    <w:rsid w:val="002046BA"/>
    <w:rsid w:val="00204F56"/>
    <w:rsid w:val="002059E7"/>
    <w:rsid w:val="00205FD1"/>
    <w:rsid w:val="00207550"/>
    <w:rsid w:val="00207768"/>
    <w:rsid w:val="00207875"/>
    <w:rsid w:val="00210671"/>
    <w:rsid w:val="00210FD1"/>
    <w:rsid w:val="00211789"/>
    <w:rsid w:val="00211BE4"/>
    <w:rsid w:val="00211E85"/>
    <w:rsid w:val="00213151"/>
    <w:rsid w:val="00213267"/>
    <w:rsid w:val="0021355F"/>
    <w:rsid w:val="002136EE"/>
    <w:rsid w:val="0021385B"/>
    <w:rsid w:val="00214802"/>
    <w:rsid w:val="002152E9"/>
    <w:rsid w:val="00215466"/>
    <w:rsid w:val="0021648B"/>
    <w:rsid w:val="002166EB"/>
    <w:rsid w:val="002168AC"/>
    <w:rsid w:val="00216B52"/>
    <w:rsid w:val="00216D4C"/>
    <w:rsid w:val="00220F9B"/>
    <w:rsid w:val="00223D6E"/>
    <w:rsid w:val="00223DE6"/>
    <w:rsid w:val="002253FA"/>
    <w:rsid w:val="002272DE"/>
    <w:rsid w:val="002276B3"/>
    <w:rsid w:val="0022797E"/>
    <w:rsid w:val="00227A22"/>
    <w:rsid w:val="00230EC4"/>
    <w:rsid w:val="00230FD6"/>
    <w:rsid w:val="0023176D"/>
    <w:rsid w:val="00231D4D"/>
    <w:rsid w:val="002321A0"/>
    <w:rsid w:val="00233CD5"/>
    <w:rsid w:val="002347A1"/>
    <w:rsid w:val="0023509E"/>
    <w:rsid w:val="0023537F"/>
    <w:rsid w:val="002358F0"/>
    <w:rsid w:val="00235FDB"/>
    <w:rsid w:val="002363AD"/>
    <w:rsid w:val="00237058"/>
    <w:rsid w:val="002379D7"/>
    <w:rsid w:val="002405B6"/>
    <w:rsid w:val="00240940"/>
    <w:rsid w:val="002409A9"/>
    <w:rsid w:val="0024131C"/>
    <w:rsid w:val="00241ED1"/>
    <w:rsid w:val="002424FD"/>
    <w:rsid w:val="00242BE6"/>
    <w:rsid w:val="0024394A"/>
    <w:rsid w:val="00244138"/>
    <w:rsid w:val="00244D68"/>
    <w:rsid w:val="00245F8C"/>
    <w:rsid w:val="00246CF3"/>
    <w:rsid w:val="00246E8A"/>
    <w:rsid w:val="00250BFC"/>
    <w:rsid w:val="00251C51"/>
    <w:rsid w:val="00251DF4"/>
    <w:rsid w:val="002536EA"/>
    <w:rsid w:val="00253925"/>
    <w:rsid w:val="00253EDE"/>
    <w:rsid w:val="00254F4F"/>
    <w:rsid w:val="002600B5"/>
    <w:rsid w:val="002604CC"/>
    <w:rsid w:val="00260B27"/>
    <w:rsid w:val="00261D8C"/>
    <w:rsid w:val="00263348"/>
    <w:rsid w:val="002633C2"/>
    <w:rsid w:val="00266F0E"/>
    <w:rsid w:val="00270836"/>
    <w:rsid w:val="00271111"/>
    <w:rsid w:val="00272FD4"/>
    <w:rsid w:val="0027346F"/>
    <w:rsid w:val="002734DC"/>
    <w:rsid w:val="002739FA"/>
    <w:rsid w:val="00274C54"/>
    <w:rsid w:val="0027509D"/>
    <w:rsid w:val="00275367"/>
    <w:rsid w:val="00275CDA"/>
    <w:rsid w:val="002762F6"/>
    <w:rsid w:val="00276DC3"/>
    <w:rsid w:val="00276E75"/>
    <w:rsid w:val="002770D5"/>
    <w:rsid w:val="00277355"/>
    <w:rsid w:val="00280521"/>
    <w:rsid w:val="00280735"/>
    <w:rsid w:val="00281281"/>
    <w:rsid w:val="0028379F"/>
    <w:rsid w:val="0028456F"/>
    <w:rsid w:val="00284EB4"/>
    <w:rsid w:val="00285018"/>
    <w:rsid w:val="00285695"/>
    <w:rsid w:val="00285C26"/>
    <w:rsid w:val="00285FC4"/>
    <w:rsid w:val="002861C2"/>
    <w:rsid w:val="00286D65"/>
    <w:rsid w:val="00286FED"/>
    <w:rsid w:val="002874DF"/>
    <w:rsid w:val="002900DE"/>
    <w:rsid w:val="002908BE"/>
    <w:rsid w:val="00290B39"/>
    <w:rsid w:val="002910FA"/>
    <w:rsid w:val="00291B8E"/>
    <w:rsid w:val="00291BCA"/>
    <w:rsid w:val="002923BD"/>
    <w:rsid w:val="00292A98"/>
    <w:rsid w:val="0029368D"/>
    <w:rsid w:val="00294E64"/>
    <w:rsid w:val="00294F97"/>
    <w:rsid w:val="00295A10"/>
    <w:rsid w:val="00296228"/>
    <w:rsid w:val="0029681C"/>
    <w:rsid w:val="002975AB"/>
    <w:rsid w:val="002A0DA6"/>
    <w:rsid w:val="002A21EC"/>
    <w:rsid w:val="002A2A77"/>
    <w:rsid w:val="002A2EAF"/>
    <w:rsid w:val="002A3869"/>
    <w:rsid w:val="002A3E52"/>
    <w:rsid w:val="002A4114"/>
    <w:rsid w:val="002A452D"/>
    <w:rsid w:val="002A4A8A"/>
    <w:rsid w:val="002A4BE9"/>
    <w:rsid w:val="002A4D0B"/>
    <w:rsid w:val="002A4F8F"/>
    <w:rsid w:val="002A5B11"/>
    <w:rsid w:val="002A79FA"/>
    <w:rsid w:val="002A7B86"/>
    <w:rsid w:val="002A7F5E"/>
    <w:rsid w:val="002B058C"/>
    <w:rsid w:val="002B100E"/>
    <w:rsid w:val="002B1164"/>
    <w:rsid w:val="002B1F0F"/>
    <w:rsid w:val="002B2B4E"/>
    <w:rsid w:val="002B427F"/>
    <w:rsid w:val="002B49D7"/>
    <w:rsid w:val="002B4CA3"/>
    <w:rsid w:val="002B4F8D"/>
    <w:rsid w:val="002B6078"/>
    <w:rsid w:val="002B68D0"/>
    <w:rsid w:val="002B6E3F"/>
    <w:rsid w:val="002B7939"/>
    <w:rsid w:val="002C09C6"/>
    <w:rsid w:val="002C0D06"/>
    <w:rsid w:val="002C37B2"/>
    <w:rsid w:val="002C39DC"/>
    <w:rsid w:val="002C439E"/>
    <w:rsid w:val="002C51C0"/>
    <w:rsid w:val="002C534E"/>
    <w:rsid w:val="002C5374"/>
    <w:rsid w:val="002C610D"/>
    <w:rsid w:val="002C6D0B"/>
    <w:rsid w:val="002C705A"/>
    <w:rsid w:val="002C758A"/>
    <w:rsid w:val="002D0CEA"/>
    <w:rsid w:val="002D0D67"/>
    <w:rsid w:val="002D224F"/>
    <w:rsid w:val="002D2470"/>
    <w:rsid w:val="002D374A"/>
    <w:rsid w:val="002D4ED5"/>
    <w:rsid w:val="002D5411"/>
    <w:rsid w:val="002D67BA"/>
    <w:rsid w:val="002D6BA3"/>
    <w:rsid w:val="002D7346"/>
    <w:rsid w:val="002E0DFC"/>
    <w:rsid w:val="002E0E9B"/>
    <w:rsid w:val="002E1517"/>
    <w:rsid w:val="002E157D"/>
    <w:rsid w:val="002E1BC0"/>
    <w:rsid w:val="002E2A66"/>
    <w:rsid w:val="002E30AA"/>
    <w:rsid w:val="002E30D8"/>
    <w:rsid w:val="002E36BC"/>
    <w:rsid w:val="002E395C"/>
    <w:rsid w:val="002E52D0"/>
    <w:rsid w:val="002E53AE"/>
    <w:rsid w:val="002E53BB"/>
    <w:rsid w:val="002E591A"/>
    <w:rsid w:val="002E5BB3"/>
    <w:rsid w:val="002E5CAD"/>
    <w:rsid w:val="002E6471"/>
    <w:rsid w:val="002E733A"/>
    <w:rsid w:val="002E7C17"/>
    <w:rsid w:val="002F1461"/>
    <w:rsid w:val="002F16EC"/>
    <w:rsid w:val="002F202C"/>
    <w:rsid w:val="002F2778"/>
    <w:rsid w:val="002F2F6E"/>
    <w:rsid w:val="002F39C7"/>
    <w:rsid w:val="002F4E72"/>
    <w:rsid w:val="002F511E"/>
    <w:rsid w:val="002F5193"/>
    <w:rsid w:val="002F5855"/>
    <w:rsid w:val="002F62F8"/>
    <w:rsid w:val="002F7294"/>
    <w:rsid w:val="002F7C29"/>
    <w:rsid w:val="00300B7E"/>
    <w:rsid w:val="0030124F"/>
    <w:rsid w:val="00301993"/>
    <w:rsid w:val="00301E73"/>
    <w:rsid w:val="00302560"/>
    <w:rsid w:val="003027F4"/>
    <w:rsid w:val="00303AB6"/>
    <w:rsid w:val="00304439"/>
    <w:rsid w:val="003044C3"/>
    <w:rsid w:val="003056F8"/>
    <w:rsid w:val="003059F5"/>
    <w:rsid w:val="00305F01"/>
    <w:rsid w:val="00305F9B"/>
    <w:rsid w:val="00305FC5"/>
    <w:rsid w:val="003061C7"/>
    <w:rsid w:val="00306A2A"/>
    <w:rsid w:val="00307207"/>
    <w:rsid w:val="00307871"/>
    <w:rsid w:val="00307928"/>
    <w:rsid w:val="00307A8E"/>
    <w:rsid w:val="00307CE1"/>
    <w:rsid w:val="0031192A"/>
    <w:rsid w:val="0031292B"/>
    <w:rsid w:val="0031296D"/>
    <w:rsid w:val="00312C1B"/>
    <w:rsid w:val="00312CA1"/>
    <w:rsid w:val="00313284"/>
    <w:rsid w:val="003137DC"/>
    <w:rsid w:val="00313879"/>
    <w:rsid w:val="00313A05"/>
    <w:rsid w:val="00315928"/>
    <w:rsid w:val="00315992"/>
    <w:rsid w:val="00316720"/>
    <w:rsid w:val="00316A22"/>
    <w:rsid w:val="00317D5C"/>
    <w:rsid w:val="003203CF"/>
    <w:rsid w:val="0032061A"/>
    <w:rsid w:val="0032150D"/>
    <w:rsid w:val="00322BEC"/>
    <w:rsid w:val="003234A0"/>
    <w:rsid w:val="00323964"/>
    <w:rsid w:val="003259FA"/>
    <w:rsid w:val="003260AC"/>
    <w:rsid w:val="003262F1"/>
    <w:rsid w:val="00326435"/>
    <w:rsid w:val="00326B2A"/>
    <w:rsid w:val="00326E42"/>
    <w:rsid w:val="0032707C"/>
    <w:rsid w:val="0032743B"/>
    <w:rsid w:val="00327600"/>
    <w:rsid w:val="00330490"/>
    <w:rsid w:val="00330ABD"/>
    <w:rsid w:val="00331568"/>
    <w:rsid w:val="00335449"/>
    <w:rsid w:val="003354F2"/>
    <w:rsid w:val="003360E1"/>
    <w:rsid w:val="0033628E"/>
    <w:rsid w:val="0033680F"/>
    <w:rsid w:val="00336881"/>
    <w:rsid w:val="00336B7F"/>
    <w:rsid w:val="0033744D"/>
    <w:rsid w:val="00337847"/>
    <w:rsid w:val="00340046"/>
    <w:rsid w:val="0034124E"/>
    <w:rsid w:val="003421E9"/>
    <w:rsid w:val="00344297"/>
    <w:rsid w:val="0034481B"/>
    <w:rsid w:val="003459D0"/>
    <w:rsid w:val="00345AD8"/>
    <w:rsid w:val="00346A92"/>
    <w:rsid w:val="00347085"/>
    <w:rsid w:val="0034738C"/>
    <w:rsid w:val="00347802"/>
    <w:rsid w:val="003506AF"/>
    <w:rsid w:val="00350745"/>
    <w:rsid w:val="0035143E"/>
    <w:rsid w:val="00351659"/>
    <w:rsid w:val="0035297E"/>
    <w:rsid w:val="00352FE0"/>
    <w:rsid w:val="00353072"/>
    <w:rsid w:val="00353C53"/>
    <w:rsid w:val="00353F0C"/>
    <w:rsid w:val="00354633"/>
    <w:rsid w:val="00354C9D"/>
    <w:rsid w:val="003555C9"/>
    <w:rsid w:val="003559E4"/>
    <w:rsid w:val="003566E5"/>
    <w:rsid w:val="00361085"/>
    <w:rsid w:val="00362185"/>
    <w:rsid w:val="00362208"/>
    <w:rsid w:val="003632AE"/>
    <w:rsid w:val="0036331A"/>
    <w:rsid w:val="003633EA"/>
    <w:rsid w:val="003635C6"/>
    <w:rsid w:val="00363F60"/>
    <w:rsid w:val="003641D1"/>
    <w:rsid w:val="00364857"/>
    <w:rsid w:val="003655FE"/>
    <w:rsid w:val="00365D11"/>
    <w:rsid w:val="0036644E"/>
    <w:rsid w:val="0036650F"/>
    <w:rsid w:val="0036697B"/>
    <w:rsid w:val="00367871"/>
    <w:rsid w:val="00370208"/>
    <w:rsid w:val="00370401"/>
    <w:rsid w:val="0037056C"/>
    <w:rsid w:val="00370CC4"/>
    <w:rsid w:val="00371115"/>
    <w:rsid w:val="003720FA"/>
    <w:rsid w:val="003721C9"/>
    <w:rsid w:val="00372C28"/>
    <w:rsid w:val="00372D66"/>
    <w:rsid w:val="00373A75"/>
    <w:rsid w:val="0037415F"/>
    <w:rsid w:val="003741D3"/>
    <w:rsid w:val="003754BC"/>
    <w:rsid w:val="00377378"/>
    <w:rsid w:val="00377642"/>
    <w:rsid w:val="00377F60"/>
    <w:rsid w:val="003801EF"/>
    <w:rsid w:val="00380877"/>
    <w:rsid w:val="0038139D"/>
    <w:rsid w:val="00381469"/>
    <w:rsid w:val="00381820"/>
    <w:rsid w:val="00381A82"/>
    <w:rsid w:val="00382A08"/>
    <w:rsid w:val="00382D98"/>
    <w:rsid w:val="0038330D"/>
    <w:rsid w:val="00383F10"/>
    <w:rsid w:val="003843F0"/>
    <w:rsid w:val="00384A61"/>
    <w:rsid w:val="003853C7"/>
    <w:rsid w:val="003855B7"/>
    <w:rsid w:val="003857BB"/>
    <w:rsid w:val="003859C1"/>
    <w:rsid w:val="00385DE7"/>
    <w:rsid w:val="00386824"/>
    <w:rsid w:val="00387B36"/>
    <w:rsid w:val="00387BCC"/>
    <w:rsid w:val="00387CAF"/>
    <w:rsid w:val="00390238"/>
    <w:rsid w:val="003913E4"/>
    <w:rsid w:val="00391C90"/>
    <w:rsid w:val="0039249B"/>
    <w:rsid w:val="00396442"/>
    <w:rsid w:val="00397392"/>
    <w:rsid w:val="00397B80"/>
    <w:rsid w:val="00397CD2"/>
    <w:rsid w:val="003A0393"/>
    <w:rsid w:val="003A03FC"/>
    <w:rsid w:val="003A0432"/>
    <w:rsid w:val="003A0696"/>
    <w:rsid w:val="003A0A95"/>
    <w:rsid w:val="003A1173"/>
    <w:rsid w:val="003A146D"/>
    <w:rsid w:val="003A16A8"/>
    <w:rsid w:val="003A21ED"/>
    <w:rsid w:val="003A2A5E"/>
    <w:rsid w:val="003A2EBD"/>
    <w:rsid w:val="003A3BAB"/>
    <w:rsid w:val="003A3F12"/>
    <w:rsid w:val="003A4748"/>
    <w:rsid w:val="003A4D09"/>
    <w:rsid w:val="003A5900"/>
    <w:rsid w:val="003A599A"/>
    <w:rsid w:val="003A61EF"/>
    <w:rsid w:val="003A648A"/>
    <w:rsid w:val="003A6566"/>
    <w:rsid w:val="003A6C49"/>
    <w:rsid w:val="003A70DE"/>
    <w:rsid w:val="003A70DF"/>
    <w:rsid w:val="003B076C"/>
    <w:rsid w:val="003B1124"/>
    <w:rsid w:val="003B15E8"/>
    <w:rsid w:val="003B1754"/>
    <w:rsid w:val="003B1965"/>
    <w:rsid w:val="003B1D36"/>
    <w:rsid w:val="003B307E"/>
    <w:rsid w:val="003B3B17"/>
    <w:rsid w:val="003B3FA1"/>
    <w:rsid w:val="003B450C"/>
    <w:rsid w:val="003B4DC9"/>
    <w:rsid w:val="003B57EC"/>
    <w:rsid w:val="003B6649"/>
    <w:rsid w:val="003B68F5"/>
    <w:rsid w:val="003B7DEF"/>
    <w:rsid w:val="003C0AC0"/>
    <w:rsid w:val="003C22B1"/>
    <w:rsid w:val="003C2C8A"/>
    <w:rsid w:val="003C3ABB"/>
    <w:rsid w:val="003C3B9B"/>
    <w:rsid w:val="003C3EA4"/>
    <w:rsid w:val="003C400C"/>
    <w:rsid w:val="003C440C"/>
    <w:rsid w:val="003C45AF"/>
    <w:rsid w:val="003C5315"/>
    <w:rsid w:val="003C541C"/>
    <w:rsid w:val="003C5ADA"/>
    <w:rsid w:val="003C5D1E"/>
    <w:rsid w:val="003C77D5"/>
    <w:rsid w:val="003D0D1E"/>
    <w:rsid w:val="003D27B0"/>
    <w:rsid w:val="003D2CB8"/>
    <w:rsid w:val="003D35D5"/>
    <w:rsid w:val="003D4172"/>
    <w:rsid w:val="003D5851"/>
    <w:rsid w:val="003D591D"/>
    <w:rsid w:val="003D5A59"/>
    <w:rsid w:val="003D74E7"/>
    <w:rsid w:val="003E01D2"/>
    <w:rsid w:val="003E10EA"/>
    <w:rsid w:val="003E1502"/>
    <w:rsid w:val="003E19FA"/>
    <w:rsid w:val="003E1F41"/>
    <w:rsid w:val="003E1F86"/>
    <w:rsid w:val="003E2409"/>
    <w:rsid w:val="003E2C66"/>
    <w:rsid w:val="003E32F3"/>
    <w:rsid w:val="003E361B"/>
    <w:rsid w:val="003E3E21"/>
    <w:rsid w:val="003E3E82"/>
    <w:rsid w:val="003E428F"/>
    <w:rsid w:val="003E4840"/>
    <w:rsid w:val="003E5627"/>
    <w:rsid w:val="003E57B9"/>
    <w:rsid w:val="003E5812"/>
    <w:rsid w:val="003E594E"/>
    <w:rsid w:val="003E5ACD"/>
    <w:rsid w:val="003E5DF8"/>
    <w:rsid w:val="003E6AA8"/>
    <w:rsid w:val="003E6C13"/>
    <w:rsid w:val="003E7903"/>
    <w:rsid w:val="003E7AC3"/>
    <w:rsid w:val="003F0535"/>
    <w:rsid w:val="003F0DD9"/>
    <w:rsid w:val="003F0E10"/>
    <w:rsid w:val="003F12C5"/>
    <w:rsid w:val="003F16BB"/>
    <w:rsid w:val="003F1DE2"/>
    <w:rsid w:val="003F1E84"/>
    <w:rsid w:val="003F2524"/>
    <w:rsid w:val="003F25F2"/>
    <w:rsid w:val="003F3165"/>
    <w:rsid w:val="003F3205"/>
    <w:rsid w:val="003F328C"/>
    <w:rsid w:val="003F3567"/>
    <w:rsid w:val="003F468D"/>
    <w:rsid w:val="003F4E07"/>
    <w:rsid w:val="003F5846"/>
    <w:rsid w:val="003F5C26"/>
    <w:rsid w:val="003F5C9A"/>
    <w:rsid w:val="003F605E"/>
    <w:rsid w:val="003F6330"/>
    <w:rsid w:val="003F64BA"/>
    <w:rsid w:val="003F6FD3"/>
    <w:rsid w:val="00400055"/>
    <w:rsid w:val="004004A4"/>
    <w:rsid w:val="00400A6C"/>
    <w:rsid w:val="00401151"/>
    <w:rsid w:val="00402275"/>
    <w:rsid w:val="00402471"/>
    <w:rsid w:val="00403199"/>
    <w:rsid w:val="00403301"/>
    <w:rsid w:val="0040343C"/>
    <w:rsid w:val="00403B2D"/>
    <w:rsid w:val="004044D7"/>
    <w:rsid w:val="00406DDB"/>
    <w:rsid w:val="00406EBD"/>
    <w:rsid w:val="0040746C"/>
    <w:rsid w:val="0040791D"/>
    <w:rsid w:val="0041022D"/>
    <w:rsid w:val="0041115C"/>
    <w:rsid w:val="00411EBB"/>
    <w:rsid w:val="00411F2A"/>
    <w:rsid w:val="004121C1"/>
    <w:rsid w:val="00412666"/>
    <w:rsid w:val="00412B53"/>
    <w:rsid w:val="00412EB1"/>
    <w:rsid w:val="004135D5"/>
    <w:rsid w:val="00414CFB"/>
    <w:rsid w:val="00415038"/>
    <w:rsid w:val="00415451"/>
    <w:rsid w:val="00415605"/>
    <w:rsid w:val="00415AB8"/>
    <w:rsid w:val="00416834"/>
    <w:rsid w:val="004168DE"/>
    <w:rsid w:val="00416AA7"/>
    <w:rsid w:val="0041776E"/>
    <w:rsid w:val="004179BC"/>
    <w:rsid w:val="0042118D"/>
    <w:rsid w:val="004212F3"/>
    <w:rsid w:val="00421837"/>
    <w:rsid w:val="004218B4"/>
    <w:rsid w:val="00422C0A"/>
    <w:rsid w:val="004230A5"/>
    <w:rsid w:val="00423379"/>
    <w:rsid w:val="00423874"/>
    <w:rsid w:val="004239B2"/>
    <w:rsid w:val="00423FCA"/>
    <w:rsid w:val="004240C3"/>
    <w:rsid w:val="00424B19"/>
    <w:rsid w:val="0042505D"/>
    <w:rsid w:val="00425C58"/>
    <w:rsid w:val="0042635A"/>
    <w:rsid w:val="004265B0"/>
    <w:rsid w:val="00426B17"/>
    <w:rsid w:val="00427D0F"/>
    <w:rsid w:val="00430A99"/>
    <w:rsid w:val="0043153C"/>
    <w:rsid w:val="00431549"/>
    <w:rsid w:val="00432C31"/>
    <w:rsid w:val="00432E24"/>
    <w:rsid w:val="0043380F"/>
    <w:rsid w:val="0043399E"/>
    <w:rsid w:val="00433CB1"/>
    <w:rsid w:val="004344F0"/>
    <w:rsid w:val="00434F30"/>
    <w:rsid w:val="004354AF"/>
    <w:rsid w:val="0043572E"/>
    <w:rsid w:val="00436461"/>
    <w:rsid w:val="00436E70"/>
    <w:rsid w:val="00436F7E"/>
    <w:rsid w:val="00437773"/>
    <w:rsid w:val="00437B91"/>
    <w:rsid w:val="00437F0A"/>
    <w:rsid w:val="0044026B"/>
    <w:rsid w:val="004428D1"/>
    <w:rsid w:val="004437B3"/>
    <w:rsid w:val="00443DF7"/>
    <w:rsid w:val="004441F8"/>
    <w:rsid w:val="00444209"/>
    <w:rsid w:val="00444436"/>
    <w:rsid w:val="00444F86"/>
    <w:rsid w:val="00444F89"/>
    <w:rsid w:val="004457A4"/>
    <w:rsid w:val="004466D9"/>
    <w:rsid w:val="00446775"/>
    <w:rsid w:val="00446D0C"/>
    <w:rsid w:val="0044744A"/>
    <w:rsid w:val="0044781D"/>
    <w:rsid w:val="004505D4"/>
    <w:rsid w:val="00450ECA"/>
    <w:rsid w:val="0045297A"/>
    <w:rsid w:val="00453217"/>
    <w:rsid w:val="0045434A"/>
    <w:rsid w:val="004546C1"/>
    <w:rsid w:val="00455BDF"/>
    <w:rsid w:val="004567F7"/>
    <w:rsid w:val="00456B40"/>
    <w:rsid w:val="0045778F"/>
    <w:rsid w:val="00460216"/>
    <w:rsid w:val="0046030A"/>
    <w:rsid w:val="004603BE"/>
    <w:rsid w:val="004604CA"/>
    <w:rsid w:val="0046086B"/>
    <w:rsid w:val="00460AE0"/>
    <w:rsid w:val="00460FC4"/>
    <w:rsid w:val="0046114C"/>
    <w:rsid w:val="00462067"/>
    <w:rsid w:val="00462703"/>
    <w:rsid w:val="00462D1E"/>
    <w:rsid w:val="00463C67"/>
    <w:rsid w:val="00465D8E"/>
    <w:rsid w:val="004668B8"/>
    <w:rsid w:val="0047038C"/>
    <w:rsid w:val="004706F8"/>
    <w:rsid w:val="00470D91"/>
    <w:rsid w:val="004710E7"/>
    <w:rsid w:val="00471D81"/>
    <w:rsid w:val="00471D97"/>
    <w:rsid w:val="00471EDD"/>
    <w:rsid w:val="00472152"/>
    <w:rsid w:val="004728A5"/>
    <w:rsid w:val="00473490"/>
    <w:rsid w:val="00473662"/>
    <w:rsid w:val="0047458C"/>
    <w:rsid w:val="004758FB"/>
    <w:rsid w:val="004759D4"/>
    <w:rsid w:val="00476126"/>
    <w:rsid w:val="0047684A"/>
    <w:rsid w:val="00477377"/>
    <w:rsid w:val="0048038C"/>
    <w:rsid w:val="004805E9"/>
    <w:rsid w:val="00480A4B"/>
    <w:rsid w:val="00480B55"/>
    <w:rsid w:val="00481AFA"/>
    <w:rsid w:val="004820B5"/>
    <w:rsid w:val="00483B69"/>
    <w:rsid w:val="00483BC9"/>
    <w:rsid w:val="0048413F"/>
    <w:rsid w:val="00484192"/>
    <w:rsid w:val="00484382"/>
    <w:rsid w:val="0048578C"/>
    <w:rsid w:val="004901E5"/>
    <w:rsid w:val="0049177B"/>
    <w:rsid w:val="00492F18"/>
    <w:rsid w:val="0049359B"/>
    <w:rsid w:val="00494227"/>
    <w:rsid w:val="00494C63"/>
    <w:rsid w:val="00494FAB"/>
    <w:rsid w:val="004967E3"/>
    <w:rsid w:val="00496BB1"/>
    <w:rsid w:val="00497587"/>
    <w:rsid w:val="00497930"/>
    <w:rsid w:val="00497A3C"/>
    <w:rsid w:val="00497D9E"/>
    <w:rsid w:val="004A00A6"/>
    <w:rsid w:val="004A0D87"/>
    <w:rsid w:val="004A1839"/>
    <w:rsid w:val="004A24CE"/>
    <w:rsid w:val="004A29BC"/>
    <w:rsid w:val="004A2F63"/>
    <w:rsid w:val="004A3C53"/>
    <w:rsid w:val="004A4621"/>
    <w:rsid w:val="004A47FF"/>
    <w:rsid w:val="004A5585"/>
    <w:rsid w:val="004A5951"/>
    <w:rsid w:val="004A5D5F"/>
    <w:rsid w:val="004A71C4"/>
    <w:rsid w:val="004A7EE5"/>
    <w:rsid w:val="004B0C23"/>
    <w:rsid w:val="004B0FC9"/>
    <w:rsid w:val="004B12FB"/>
    <w:rsid w:val="004B21D2"/>
    <w:rsid w:val="004B2662"/>
    <w:rsid w:val="004B2AB6"/>
    <w:rsid w:val="004B4082"/>
    <w:rsid w:val="004B49B1"/>
    <w:rsid w:val="004B4F61"/>
    <w:rsid w:val="004B56F7"/>
    <w:rsid w:val="004B5D5E"/>
    <w:rsid w:val="004B6124"/>
    <w:rsid w:val="004B63E7"/>
    <w:rsid w:val="004B6995"/>
    <w:rsid w:val="004B7FC9"/>
    <w:rsid w:val="004C03DD"/>
    <w:rsid w:val="004C05A3"/>
    <w:rsid w:val="004C05E1"/>
    <w:rsid w:val="004C15B6"/>
    <w:rsid w:val="004C1B2A"/>
    <w:rsid w:val="004C214D"/>
    <w:rsid w:val="004C247B"/>
    <w:rsid w:val="004C2D7E"/>
    <w:rsid w:val="004C3312"/>
    <w:rsid w:val="004C3436"/>
    <w:rsid w:val="004C36D8"/>
    <w:rsid w:val="004C3989"/>
    <w:rsid w:val="004C3C10"/>
    <w:rsid w:val="004C4DE0"/>
    <w:rsid w:val="004C5923"/>
    <w:rsid w:val="004C765D"/>
    <w:rsid w:val="004C796B"/>
    <w:rsid w:val="004C7B10"/>
    <w:rsid w:val="004C7D74"/>
    <w:rsid w:val="004D00A1"/>
    <w:rsid w:val="004D24AB"/>
    <w:rsid w:val="004D2DE1"/>
    <w:rsid w:val="004D37B5"/>
    <w:rsid w:val="004D3FB1"/>
    <w:rsid w:val="004D4D11"/>
    <w:rsid w:val="004D5206"/>
    <w:rsid w:val="004D5FE3"/>
    <w:rsid w:val="004D66A6"/>
    <w:rsid w:val="004D6EE7"/>
    <w:rsid w:val="004D7008"/>
    <w:rsid w:val="004D751D"/>
    <w:rsid w:val="004D7C1A"/>
    <w:rsid w:val="004E0C1A"/>
    <w:rsid w:val="004E0FD1"/>
    <w:rsid w:val="004E1DB3"/>
    <w:rsid w:val="004E1DED"/>
    <w:rsid w:val="004E279E"/>
    <w:rsid w:val="004E38F6"/>
    <w:rsid w:val="004E3B7F"/>
    <w:rsid w:val="004E3D66"/>
    <w:rsid w:val="004E64D3"/>
    <w:rsid w:val="004E6F37"/>
    <w:rsid w:val="004E7160"/>
    <w:rsid w:val="004E7773"/>
    <w:rsid w:val="004E78B7"/>
    <w:rsid w:val="004F0026"/>
    <w:rsid w:val="004F1EFC"/>
    <w:rsid w:val="004F23A6"/>
    <w:rsid w:val="004F3825"/>
    <w:rsid w:val="004F3BEB"/>
    <w:rsid w:val="004F3CBA"/>
    <w:rsid w:val="004F51B5"/>
    <w:rsid w:val="004F52DB"/>
    <w:rsid w:val="004F6392"/>
    <w:rsid w:val="004F6C3B"/>
    <w:rsid w:val="004F6EA0"/>
    <w:rsid w:val="004F6F5B"/>
    <w:rsid w:val="004F7095"/>
    <w:rsid w:val="004F7FA9"/>
    <w:rsid w:val="0050153F"/>
    <w:rsid w:val="00501E92"/>
    <w:rsid w:val="00502FDD"/>
    <w:rsid w:val="005036E3"/>
    <w:rsid w:val="0050402E"/>
    <w:rsid w:val="00504963"/>
    <w:rsid w:val="005050C0"/>
    <w:rsid w:val="005053E6"/>
    <w:rsid w:val="00505B7C"/>
    <w:rsid w:val="0050652C"/>
    <w:rsid w:val="00506EA0"/>
    <w:rsid w:val="00507DFC"/>
    <w:rsid w:val="00510AEE"/>
    <w:rsid w:val="00510AF9"/>
    <w:rsid w:val="00512257"/>
    <w:rsid w:val="005128F7"/>
    <w:rsid w:val="00512C7A"/>
    <w:rsid w:val="005133ED"/>
    <w:rsid w:val="005133F0"/>
    <w:rsid w:val="00513A78"/>
    <w:rsid w:val="00513B89"/>
    <w:rsid w:val="0051484D"/>
    <w:rsid w:val="00514D92"/>
    <w:rsid w:val="00514FC6"/>
    <w:rsid w:val="005159A9"/>
    <w:rsid w:val="00516BF4"/>
    <w:rsid w:val="00517E1F"/>
    <w:rsid w:val="005209F3"/>
    <w:rsid w:val="00520A6F"/>
    <w:rsid w:val="0052153F"/>
    <w:rsid w:val="00523353"/>
    <w:rsid w:val="0052495C"/>
    <w:rsid w:val="00524DFB"/>
    <w:rsid w:val="00525148"/>
    <w:rsid w:val="005259F5"/>
    <w:rsid w:val="00525BB6"/>
    <w:rsid w:val="00530112"/>
    <w:rsid w:val="005301DF"/>
    <w:rsid w:val="00531E10"/>
    <w:rsid w:val="00532A8E"/>
    <w:rsid w:val="00533A68"/>
    <w:rsid w:val="00533E51"/>
    <w:rsid w:val="005347D5"/>
    <w:rsid w:val="00534CE2"/>
    <w:rsid w:val="005355F5"/>
    <w:rsid w:val="0053563F"/>
    <w:rsid w:val="00536B4C"/>
    <w:rsid w:val="00536C98"/>
    <w:rsid w:val="005371DF"/>
    <w:rsid w:val="00537521"/>
    <w:rsid w:val="005376D3"/>
    <w:rsid w:val="00537EC3"/>
    <w:rsid w:val="005410E9"/>
    <w:rsid w:val="00541EE1"/>
    <w:rsid w:val="0054276F"/>
    <w:rsid w:val="00542A45"/>
    <w:rsid w:val="00543339"/>
    <w:rsid w:val="005433B4"/>
    <w:rsid w:val="00543627"/>
    <w:rsid w:val="005436C5"/>
    <w:rsid w:val="0054373F"/>
    <w:rsid w:val="005437C2"/>
    <w:rsid w:val="00543E28"/>
    <w:rsid w:val="00544916"/>
    <w:rsid w:val="00544A74"/>
    <w:rsid w:val="00545013"/>
    <w:rsid w:val="00545BC2"/>
    <w:rsid w:val="005469A6"/>
    <w:rsid w:val="00547A79"/>
    <w:rsid w:val="00547C43"/>
    <w:rsid w:val="00550176"/>
    <w:rsid w:val="00550504"/>
    <w:rsid w:val="00550549"/>
    <w:rsid w:val="00550751"/>
    <w:rsid w:val="00550BF4"/>
    <w:rsid w:val="00551D9A"/>
    <w:rsid w:val="0055280A"/>
    <w:rsid w:val="0055396F"/>
    <w:rsid w:val="00553F33"/>
    <w:rsid w:val="00554654"/>
    <w:rsid w:val="005566FB"/>
    <w:rsid w:val="0055698B"/>
    <w:rsid w:val="00557059"/>
    <w:rsid w:val="005575CD"/>
    <w:rsid w:val="005578D6"/>
    <w:rsid w:val="00557A9B"/>
    <w:rsid w:val="00561113"/>
    <w:rsid w:val="005613CD"/>
    <w:rsid w:val="005614B1"/>
    <w:rsid w:val="00562DF6"/>
    <w:rsid w:val="00563683"/>
    <w:rsid w:val="00563B26"/>
    <w:rsid w:val="00563E40"/>
    <w:rsid w:val="00564010"/>
    <w:rsid w:val="005641E0"/>
    <w:rsid w:val="00564260"/>
    <w:rsid w:val="005645AB"/>
    <w:rsid w:val="00565590"/>
    <w:rsid w:val="00565D3B"/>
    <w:rsid w:val="00566D5A"/>
    <w:rsid w:val="00566F24"/>
    <w:rsid w:val="00567FAC"/>
    <w:rsid w:val="005717A4"/>
    <w:rsid w:val="00571BA7"/>
    <w:rsid w:val="00572A64"/>
    <w:rsid w:val="00572F67"/>
    <w:rsid w:val="00574126"/>
    <w:rsid w:val="005763CE"/>
    <w:rsid w:val="00577050"/>
    <w:rsid w:val="00577A5E"/>
    <w:rsid w:val="00577EB1"/>
    <w:rsid w:val="0058017A"/>
    <w:rsid w:val="0058106B"/>
    <w:rsid w:val="005812D5"/>
    <w:rsid w:val="00581791"/>
    <w:rsid w:val="00582169"/>
    <w:rsid w:val="0058288E"/>
    <w:rsid w:val="00583E05"/>
    <w:rsid w:val="00584FC8"/>
    <w:rsid w:val="00585AAF"/>
    <w:rsid w:val="00585DEF"/>
    <w:rsid w:val="005861B1"/>
    <w:rsid w:val="0059070B"/>
    <w:rsid w:val="00590F0E"/>
    <w:rsid w:val="00591A3A"/>
    <w:rsid w:val="00592635"/>
    <w:rsid w:val="0059281A"/>
    <w:rsid w:val="00592C72"/>
    <w:rsid w:val="00592DD4"/>
    <w:rsid w:val="005943F0"/>
    <w:rsid w:val="00596D3D"/>
    <w:rsid w:val="00597493"/>
    <w:rsid w:val="005A029E"/>
    <w:rsid w:val="005A0A7B"/>
    <w:rsid w:val="005A1223"/>
    <w:rsid w:val="005A14B8"/>
    <w:rsid w:val="005A17A9"/>
    <w:rsid w:val="005A24A6"/>
    <w:rsid w:val="005A2F64"/>
    <w:rsid w:val="005A3D5C"/>
    <w:rsid w:val="005A42CE"/>
    <w:rsid w:val="005A4506"/>
    <w:rsid w:val="005A48EE"/>
    <w:rsid w:val="005A4D7A"/>
    <w:rsid w:val="005A4F98"/>
    <w:rsid w:val="005A6812"/>
    <w:rsid w:val="005A7D71"/>
    <w:rsid w:val="005A7E6E"/>
    <w:rsid w:val="005B135C"/>
    <w:rsid w:val="005B14E9"/>
    <w:rsid w:val="005B185B"/>
    <w:rsid w:val="005B1A70"/>
    <w:rsid w:val="005B1EDC"/>
    <w:rsid w:val="005B22E6"/>
    <w:rsid w:val="005B3A04"/>
    <w:rsid w:val="005B4281"/>
    <w:rsid w:val="005B47EF"/>
    <w:rsid w:val="005B6D17"/>
    <w:rsid w:val="005B7877"/>
    <w:rsid w:val="005B7B74"/>
    <w:rsid w:val="005C01E4"/>
    <w:rsid w:val="005C1277"/>
    <w:rsid w:val="005C1D11"/>
    <w:rsid w:val="005C251B"/>
    <w:rsid w:val="005C4AEB"/>
    <w:rsid w:val="005C4E71"/>
    <w:rsid w:val="005C58EE"/>
    <w:rsid w:val="005C65B3"/>
    <w:rsid w:val="005C6EFC"/>
    <w:rsid w:val="005D1899"/>
    <w:rsid w:val="005D392B"/>
    <w:rsid w:val="005D4B04"/>
    <w:rsid w:val="005D4E21"/>
    <w:rsid w:val="005D545B"/>
    <w:rsid w:val="005D5A2D"/>
    <w:rsid w:val="005D72CA"/>
    <w:rsid w:val="005D7A85"/>
    <w:rsid w:val="005E01D1"/>
    <w:rsid w:val="005E0D3F"/>
    <w:rsid w:val="005E0EE9"/>
    <w:rsid w:val="005E1134"/>
    <w:rsid w:val="005E31EB"/>
    <w:rsid w:val="005E3558"/>
    <w:rsid w:val="005E427F"/>
    <w:rsid w:val="005E484B"/>
    <w:rsid w:val="005E557B"/>
    <w:rsid w:val="005F16E5"/>
    <w:rsid w:val="005F1B11"/>
    <w:rsid w:val="005F211B"/>
    <w:rsid w:val="005F414B"/>
    <w:rsid w:val="005F4C16"/>
    <w:rsid w:val="005F4CCE"/>
    <w:rsid w:val="005F4E83"/>
    <w:rsid w:val="005F5391"/>
    <w:rsid w:val="005F5A53"/>
    <w:rsid w:val="005F5B88"/>
    <w:rsid w:val="005F6042"/>
    <w:rsid w:val="005F60D7"/>
    <w:rsid w:val="005F6E5F"/>
    <w:rsid w:val="005F7A33"/>
    <w:rsid w:val="006002CE"/>
    <w:rsid w:val="0060044C"/>
    <w:rsid w:val="00602738"/>
    <w:rsid w:val="00602BB9"/>
    <w:rsid w:val="00602D67"/>
    <w:rsid w:val="00603353"/>
    <w:rsid w:val="00603CF3"/>
    <w:rsid w:val="00604735"/>
    <w:rsid w:val="00604E69"/>
    <w:rsid w:val="00604EDD"/>
    <w:rsid w:val="00605987"/>
    <w:rsid w:val="00605DD4"/>
    <w:rsid w:val="0060602C"/>
    <w:rsid w:val="00606726"/>
    <w:rsid w:val="00606E0F"/>
    <w:rsid w:val="006070B3"/>
    <w:rsid w:val="0060719A"/>
    <w:rsid w:val="006071C9"/>
    <w:rsid w:val="00607CED"/>
    <w:rsid w:val="0061035B"/>
    <w:rsid w:val="00610C61"/>
    <w:rsid w:val="0061183B"/>
    <w:rsid w:val="00612131"/>
    <w:rsid w:val="00613E7F"/>
    <w:rsid w:val="00614307"/>
    <w:rsid w:val="00614751"/>
    <w:rsid w:val="00614F69"/>
    <w:rsid w:val="006150D1"/>
    <w:rsid w:val="00615D66"/>
    <w:rsid w:val="0061694F"/>
    <w:rsid w:val="00616D55"/>
    <w:rsid w:val="00617B38"/>
    <w:rsid w:val="00620255"/>
    <w:rsid w:val="0062145E"/>
    <w:rsid w:val="00621823"/>
    <w:rsid w:val="0062185B"/>
    <w:rsid w:val="0062195B"/>
    <w:rsid w:val="0062297D"/>
    <w:rsid w:val="00622F2E"/>
    <w:rsid w:val="00623E6E"/>
    <w:rsid w:val="00624389"/>
    <w:rsid w:val="00624699"/>
    <w:rsid w:val="00624A0B"/>
    <w:rsid w:val="0062515C"/>
    <w:rsid w:val="00626B5B"/>
    <w:rsid w:val="00626C28"/>
    <w:rsid w:val="00626E4F"/>
    <w:rsid w:val="0062736B"/>
    <w:rsid w:val="00630581"/>
    <w:rsid w:val="006306FB"/>
    <w:rsid w:val="00631B26"/>
    <w:rsid w:val="00631ECE"/>
    <w:rsid w:val="00631F1A"/>
    <w:rsid w:val="00631F33"/>
    <w:rsid w:val="006327EF"/>
    <w:rsid w:val="00632F5D"/>
    <w:rsid w:val="006332AD"/>
    <w:rsid w:val="006335E0"/>
    <w:rsid w:val="0063411B"/>
    <w:rsid w:val="006349F7"/>
    <w:rsid w:val="0063503B"/>
    <w:rsid w:val="00635B62"/>
    <w:rsid w:val="00635CBE"/>
    <w:rsid w:val="00635DB0"/>
    <w:rsid w:val="00635F10"/>
    <w:rsid w:val="006364AA"/>
    <w:rsid w:val="00636E18"/>
    <w:rsid w:val="00640A02"/>
    <w:rsid w:val="00640C66"/>
    <w:rsid w:val="0064229B"/>
    <w:rsid w:val="006423E5"/>
    <w:rsid w:val="0064267F"/>
    <w:rsid w:val="00642A8F"/>
    <w:rsid w:val="00642B82"/>
    <w:rsid w:val="00643048"/>
    <w:rsid w:val="00643D58"/>
    <w:rsid w:val="00644E56"/>
    <w:rsid w:val="00644FFF"/>
    <w:rsid w:val="00645CAE"/>
    <w:rsid w:val="00645D80"/>
    <w:rsid w:val="00645E8D"/>
    <w:rsid w:val="00645F04"/>
    <w:rsid w:val="00646061"/>
    <w:rsid w:val="00647F68"/>
    <w:rsid w:val="00650014"/>
    <w:rsid w:val="00650043"/>
    <w:rsid w:val="00650DA9"/>
    <w:rsid w:val="0065101E"/>
    <w:rsid w:val="006516C3"/>
    <w:rsid w:val="00651A6C"/>
    <w:rsid w:val="00651E56"/>
    <w:rsid w:val="00652A6A"/>
    <w:rsid w:val="006534F2"/>
    <w:rsid w:val="00653CDF"/>
    <w:rsid w:val="0065403D"/>
    <w:rsid w:val="00654EBD"/>
    <w:rsid w:val="006552A0"/>
    <w:rsid w:val="00657D4F"/>
    <w:rsid w:val="00660773"/>
    <w:rsid w:val="00661127"/>
    <w:rsid w:val="006614E6"/>
    <w:rsid w:val="006616A2"/>
    <w:rsid w:val="0066223C"/>
    <w:rsid w:val="00662B40"/>
    <w:rsid w:val="00663576"/>
    <w:rsid w:val="006639E0"/>
    <w:rsid w:val="00664B74"/>
    <w:rsid w:val="00665894"/>
    <w:rsid w:val="00665CC5"/>
    <w:rsid w:val="00666F4D"/>
    <w:rsid w:val="00667419"/>
    <w:rsid w:val="00670486"/>
    <w:rsid w:val="006704DE"/>
    <w:rsid w:val="0067071E"/>
    <w:rsid w:val="0067164F"/>
    <w:rsid w:val="00671A62"/>
    <w:rsid w:val="00671F51"/>
    <w:rsid w:val="00672440"/>
    <w:rsid w:val="0067254A"/>
    <w:rsid w:val="006733E7"/>
    <w:rsid w:val="00673E40"/>
    <w:rsid w:val="00673FB2"/>
    <w:rsid w:val="006744E3"/>
    <w:rsid w:val="006746AB"/>
    <w:rsid w:val="00675BBD"/>
    <w:rsid w:val="00675C6B"/>
    <w:rsid w:val="0067601F"/>
    <w:rsid w:val="0067699D"/>
    <w:rsid w:val="00676CEF"/>
    <w:rsid w:val="006777E3"/>
    <w:rsid w:val="00677A44"/>
    <w:rsid w:val="00677C03"/>
    <w:rsid w:val="00680064"/>
    <w:rsid w:val="006809DA"/>
    <w:rsid w:val="00680A79"/>
    <w:rsid w:val="00681CB9"/>
    <w:rsid w:val="00681D17"/>
    <w:rsid w:val="00681EE0"/>
    <w:rsid w:val="00681FC0"/>
    <w:rsid w:val="006822D1"/>
    <w:rsid w:val="00682BB9"/>
    <w:rsid w:val="00682E40"/>
    <w:rsid w:val="00683A61"/>
    <w:rsid w:val="00683D6E"/>
    <w:rsid w:val="00684916"/>
    <w:rsid w:val="0068494F"/>
    <w:rsid w:val="0068671B"/>
    <w:rsid w:val="00690B9D"/>
    <w:rsid w:val="00690EF0"/>
    <w:rsid w:val="006913C3"/>
    <w:rsid w:val="006913FB"/>
    <w:rsid w:val="006927F4"/>
    <w:rsid w:val="006928CA"/>
    <w:rsid w:val="006933D7"/>
    <w:rsid w:val="006936FF"/>
    <w:rsid w:val="006937A0"/>
    <w:rsid w:val="00694130"/>
    <w:rsid w:val="006943E3"/>
    <w:rsid w:val="00694471"/>
    <w:rsid w:val="00694760"/>
    <w:rsid w:val="006949F5"/>
    <w:rsid w:val="00695D7C"/>
    <w:rsid w:val="00696186"/>
    <w:rsid w:val="006967E9"/>
    <w:rsid w:val="006968EA"/>
    <w:rsid w:val="00697006"/>
    <w:rsid w:val="00697268"/>
    <w:rsid w:val="006A0CAD"/>
    <w:rsid w:val="006A1EE3"/>
    <w:rsid w:val="006A3891"/>
    <w:rsid w:val="006A4053"/>
    <w:rsid w:val="006A45BA"/>
    <w:rsid w:val="006A54A5"/>
    <w:rsid w:val="006A570E"/>
    <w:rsid w:val="006A58D2"/>
    <w:rsid w:val="006A729A"/>
    <w:rsid w:val="006A75AB"/>
    <w:rsid w:val="006B037D"/>
    <w:rsid w:val="006B10B9"/>
    <w:rsid w:val="006B2361"/>
    <w:rsid w:val="006B23F4"/>
    <w:rsid w:val="006B2E4F"/>
    <w:rsid w:val="006B3187"/>
    <w:rsid w:val="006B3718"/>
    <w:rsid w:val="006B3D51"/>
    <w:rsid w:val="006B48C3"/>
    <w:rsid w:val="006B4BF0"/>
    <w:rsid w:val="006B4C8A"/>
    <w:rsid w:val="006B54FE"/>
    <w:rsid w:val="006B617A"/>
    <w:rsid w:val="006B625E"/>
    <w:rsid w:val="006B77B8"/>
    <w:rsid w:val="006B783D"/>
    <w:rsid w:val="006C0026"/>
    <w:rsid w:val="006C0351"/>
    <w:rsid w:val="006C0380"/>
    <w:rsid w:val="006C0D20"/>
    <w:rsid w:val="006C0ED5"/>
    <w:rsid w:val="006C12DA"/>
    <w:rsid w:val="006C2586"/>
    <w:rsid w:val="006C28DF"/>
    <w:rsid w:val="006C3825"/>
    <w:rsid w:val="006C394C"/>
    <w:rsid w:val="006C39C7"/>
    <w:rsid w:val="006C4401"/>
    <w:rsid w:val="006C496C"/>
    <w:rsid w:val="006C50E7"/>
    <w:rsid w:val="006C7170"/>
    <w:rsid w:val="006C76D4"/>
    <w:rsid w:val="006C7EB3"/>
    <w:rsid w:val="006D0009"/>
    <w:rsid w:val="006D0C70"/>
    <w:rsid w:val="006D12D2"/>
    <w:rsid w:val="006D1BCA"/>
    <w:rsid w:val="006D1CF4"/>
    <w:rsid w:val="006D2114"/>
    <w:rsid w:val="006D253B"/>
    <w:rsid w:val="006D2695"/>
    <w:rsid w:val="006D31E7"/>
    <w:rsid w:val="006D3318"/>
    <w:rsid w:val="006D3331"/>
    <w:rsid w:val="006D341D"/>
    <w:rsid w:val="006D3AAD"/>
    <w:rsid w:val="006D424B"/>
    <w:rsid w:val="006D4677"/>
    <w:rsid w:val="006D499E"/>
    <w:rsid w:val="006D59A7"/>
    <w:rsid w:val="006D5C28"/>
    <w:rsid w:val="006D66ED"/>
    <w:rsid w:val="006D6BBF"/>
    <w:rsid w:val="006D734D"/>
    <w:rsid w:val="006D748A"/>
    <w:rsid w:val="006D77EF"/>
    <w:rsid w:val="006D7F43"/>
    <w:rsid w:val="006E00BA"/>
    <w:rsid w:val="006E095B"/>
    <w:rsid w:val="006E0B6D"/>
    <w:rsid w:val="006E1848"/>
    <w:rsid w:val="006E204D"/>
    <w:rsid w:val="006E2A38"/>
    <w:rsid w:val="006E2AB3"/>
    <w:rsid w:val="006E2D31"/>
    <w:rsid w:val="006E4112"/>
    <w:rsid w:val="006E4692"/>
    <w:rsid w:val="006E5382"/>
    <w:rsid w:val="006E5635"/>
    <w:rsid w:val="006E6317"/>
    <w:rsid w:val="006E653F"/>
    <w:rsid w:val="006E6879"/>
    <w:rsid w:val="006E69E5"/>
    <w:rsid w:val="006E6CD9"/>
    <w:rsid w:val="006E6F7D"/>
    <w:rsid w:val="006E7698"/>
    <w:rsid w:val="006E7C24"/>
    <w:rsid w:val="006E7E3B"/>
    <w:rsid w:val="006F14F4"/>
    <w:rsid w:val="006F1B72"/>
    <w:rsid w:val="006F231B"/>
    <w:rsid w:val="006F44BE"/>
    <w:rsid w:val="006F4F54"/>
    <w:rsid w:val="006F5E8E"/>
    <w:rsid w:val="006F6649"/>
    <w:rsid w:val="006F6DE5"/>
    <w:rsid w:val="00700207"/>
    <w:rsid w:val="00700390"/>
    <w:rsid w:val="00700DE0"/>
    <w:rsid w:val="007019D5"/>
    <w:rsid w:val="00701AC0"/>
    <w:rsid w:val="00701B52"/>
    <w:rsid w:val="00702083"/>
    <w:rsid w:val="00702DCE"/>
    <w:rsid w:val="00702DF7"/>
    <w:rsid w:val="00703C11"/>
    <w:rsid w:val="00703CF8"/>
    <w:rsid w:val="00703D42"/>
    <w:rsid w:val="0070481D"/>
    <w:rsid w:val="00704E6C"/>
    <w:rsid w:val="00705013"/>
    <w:rsid w:val="007050A5"/>
    <w:rsid w:val="0070573A"/>
    <w:rsid w:val="007059D3"/>
    <w:rsid w:val="00705B33"/>
    <w:rsid w:val="00705E16"/>
    <w:rsid w:val="0070660B"/>
    <w:rsid w:val="00706725"/>
    <w:rsid w:val="00706A90"/>
    <w:rsid w:val="007071ED"/>
    <w:rsid w:val="00707343"/>
    <w:rsid w:val="007104C7"/>
    <w:rsid w:val="00710E4C"/>
    <w:rsid w:val="0071136C"/>
    <w:rsid w:val="00711530"/>
    <w:rsid w:val="00711A8C"/>
    <w:rsid w:val="00711B8C"/>
    <w:rsid w:val="0071244C"/>
    <w:rsid w:val="00712803"/>
    <w:rsid w:val="00712D17"/>
    <w:rsid w:val="0071379D"/>
    <w:rsid w:val="00714545"/>
    <w:rsid w:val="007146C6"/>
    <w:rsid w:val="00715186"/>
    <w:rsid w:val="00715A6A"/>
    <w:rsid w:val="00716F38"/>
    <w:rsid w:val="0072044C"/>
    <w:rsid w:val="0072189B"/>
    <w:rsid w:val="00722048"/>
    <w:rsid w:val="00722558"/>
    <w:rsid w:val="007228CC"/>
    <w:rsid w:val="00723C0C"/>
    <w:rsid w:val="00723D77"/>
    <w:rsid w:val="00724095"/>
    <w:rsid w:val="0072489E"/>
    <w:rsid w:val="007248F0"/>
    <w:rsid w:val="0072513C"/>
    <w:rsid w:val="00725AC6"/>
    <w:rsid w:val="00725FC2"/>
    <w:rsid w:val="00727D27"/>
    <w:rsid w:val="00730382"/>
    <w:rsid w:val="007340D7"/>
    <w:rsid w:val="0073476F"/>
    <w:rsid w:val="00736463"/>
    <w:rsid w:val="007367AB"/>
    <w:rsid w:val="007367CC"/>
    <w:rsid w:val="00736CEA"/>
    <w:rsid w:val="00737156"/>
    <w:rsid w:val="00737580"/>
    <w:rsid w:val="007403E9"/>
    <w:rsid w:val="00740C74"/>
    <w:rsid w:val="00741CF5"/>
    <w:rsid w:val="00742D2D"/>
    <w:rsid w:val="00743099"/>
    <w:rsid w:val="007432B2"/>
    <w:rsid w:val="007436E5"/>
    <w:rsid w:val="00745CCE"/>
    <w:rsid w:val="00747939"/>
    <w:rsid w:val="007504F3"/>
    <w:rsid w:val="00750B9E"/>
    <w:rsid w:val="007521F4"/>
    <w:rsid w:val="0075264E"/>
    <w:rsid w:val="00752862"/>
    <w:rsid w:val="00752D9F"/>
    <w:rsid w:val="00752EB6"/>
    <w:rsid w:val="00753813"/>
    <w:rsid w:val="00753DB7"/>
    <w:rsid w:val="00754596"/>
    <w:rsid w:val="007548F2"/>
    <w:rsid w:val="00755E65"/>
    <w:rsid w:val="00755F94"/>
    <w:rsid w:val="0075634A"/>
    <w:rsid w:val="0075657F"/>
    <w:rsid w:val="00756AF4"/>
    <w:rsid w:val="00757547"/>
    <w:rsid w:val="00760283"/>
    <w:rsid w:val="00762324"/>
    <w:rsid w:val="0076268D"/>
    <w:rsid w:val="007639FE"/>
    <w:rsid w:val="00763A0B"/>
    <w:rsid w:val="00763D06"/>
    <w:rsid w:val="00764998"/>
    <w:rsid w:val="00765190"/>
    <w:rsid w:val="00766879"/>
    <w:rsid w:val="00767661"/>
    <w:rsid w:val="00767F2D"/>
    <w:rsid w:val="00770D06"/>
    <w:rsid w:val="007710DA"/>
    <w:rsid w:val="0077221F"/>
    <w:rsid w:val="007724D7"/>
    <w:rsid w:val="00772677"/>
    <w:rsid w:val="007733FC"/>
    <w:rsid w:val="0077470F"/>
    <w:rsid w:val="00775596"/>
    <w:rsid w:val="00775872"/>
    <w:rsid w:val="007764E9"/>
    <w:rsid w:val="00776CB9"/>
    <w:rsid w:val="007776FE"/>
    <w:rsid w:val="00777BF6"/>
    <w:rsid w:val="00780083"/>
    <w:rsid w:val="0078040B"/>
    <w:rsid w:val="00780543"/>
    <w:rsid w:val="007807BC"/>
    <w:rsid w:val="0078085C"/>
    <w:rsid w:val="00780CA6"/>
    <w:rsid w:val="00781025"/>
    <w:rsid w:val="00781447"/>
    <w:rsid w:val="0078225F"/>
    <w:rsid w:val="00782989"/>
    <w:rsid w:val="007850DA"/>
    <w:rsid w:val="007859D3"/>
    <w:rsid w:val="00785C38"/>
    <w:rsid w:val="007871F0"/>
    <w:rsid w:val="00787919"/>
    <w:rsid w:val="00790178"/>
    <w:rsid w:val="0079025D"/>
    <w:rsid w:val="00790612"/>
    <w:rsid w:val="00791849"/>
    <w:rsid w:val="007918CD"/>
    <w:rsid w:val="00791BB7"/>
    <w:rsid w:val="00791BC9"/>
    <w:rsid w:val="00791C06"/>
    <w:rsid w:val="00791FCC"/>
    <w:rsid w:val="0079276B"/>
    <w:rsid w:val="00792BAC"/>
    <w:rsid w:val="00792DC3"/>
    <w:rsid w:val="00793D48"/>
    <w:rsid w:val="00793D92"/>
    <w:rsid w:val="00794339"/>
    <w:rsid w:val="007945E8"/>
    <w:rsid w:val="007946CB"/>
    <w:rsid w:val="0079471B"/>
    <w:rsid w:val="0079518C"/>
    <w:rsid w:val="00795AAA"/>
    <w:rsid w:val="00795CF7"/>
    <w:rsid w:val="00795E45"/>
    <w:rsid w:val="00796085"/>
    <w:rsid w:val="00796B6C"/>
    <w:rsid w:val="007977C9"/>
    <w:rsid w:val="007A0434"/>
    <w:rsid w:val="007A083F"/>
    <w:rsid w:val="007A1405"/>
    <w:rsid w:val="007A2DF8"/>
    <w:rsid w:val="007A3048"/>
    <w:rsid w:val="007A37F7"/>
    <w:rsid w:val="007A426F"/>
    <w:rsid w:val="007A5A77"/>
    <w:rsid w:val="007A5DB1"/>
    <w:rsid w:val="007A6812"/>
    <w:rsid w:val="007A6ECE"/>
    <w:rsid w:val="007A71EE"/>
    <w:rsid w:val="007A7401"/>
    <w:rsid w:val="007A7713"/>
    <w:rsid w:val="007A778D"/>
    <w:rsid w:val="007A7F4C"/>
    <w:rsid w:val="007B03D6"/>
    <w:rsid w:val="007B047B"/>
    <w:rsid w:val="007B1477"/>
    <w:rsid w:val="007B1D9C"/>
    <w:rsid w:val="007B273C"/>
    <w:rsid w:val="007B2C2E"/>
    <w:rsid w:val="007B3789"/>
    <w:rsid w:val="007B38F3"/>
    <w:rsid w:val="007B3F20"/>
    <w:rsid w:val="007B440D"/>
    <w:rsid w:val="007B49CB"/>
    <w:rsid w:val="007B651D"/>
    <w:rsid w:val="007B7135"/>
    <w:rsid w:val="007B76A2"/>
    <w:rsid w:val="007B7D36"/>
    <w:rsid w:val="007B7F5E"/>
    <w:rsid w:val="007C0760"/>
    <w:rsid w:val="007C0A7A"/>
    <w:rsid w:val="007C1B5E"/>
    <w:rsid w:val="007C36E8"/>
    <w:rsid w:val="007C3FD6"/>
    <w:rsid w:val="007C4622"/>
    <w:rsid w:val="007C490B"/>
    <w:rsid w:val="007C54A2"/>
    <w:rsid w:val="007C5651"/>
    <w:rsid w:val="007C56F9"/>
    <w:rsid w:val="007C5767"/>
    <w:rsid w:val="007C5FE8"/>
    <w:rsid w:val="007C6B3E"/>
    <w:rsid w:val="007C7FB1"/>
    <w:rsid w:val="007C7FB5"/>
    <w:rsid w:val="007D0832"/>
    <w:rsid w:val="007D0A81"/>
    <w:rsid w:val="007D12A6"/>
    <w:rsid w:val="007D17DD"/>
    <w:rsid w:val="007D1D53"/>
    <w:rsid w:val="007D5989"/>
    <w:rsid w:val="007D65C4"/>
    <w:rsid w:val="007D6731"/>
    <w:rsid w:val="007D769F"/>
    <w:rsid w:val="007D7833"/>
    <w:rsid w:val="007D7EF7"/>
    <w:rsid w:val="007E0108"/>
    <w:rsid w:val="007E1679"/>
    <w:rsid w:val="007E199A"/>
    <w:rsid w:val="007E22C9"/>
    <w:rsid w:val="007E3653"/>
    <w:rsid w:val="007E3FEA"/>
    <w:rsid w:val="007E48CF"/>
    <w:rsid w:val="007E4B29"/>
    <w:rsid w:val="007E4E10"/>
    <w:rsid w:val="007E5507"/>
    <w:rsid w:val="007E5EA0"/>
    <w:rsid w:val="007E64DC"/>
    <w:rsid w:val="007E662D"/>
    <w:rsid w:val="007E7471"/>
    <w:rsid w:val="007F069B"/>
    <w:rsid w:val="007F0880"/>
    <w:rsid w:val="007F093C"/>
    <w:rsid w:val="007F0D38"/>
    <w:rsid w:val="007F1ABE"/>
    <w:rsid w:val="007F2028"/>
    <w:rsid w:val="007F394D"/>
    <w:rsid w:val="007F42B1"/>
    <w:rsid w:val="007F4B05"/>
    <w:rsid w:val="007F4CDB"/>
    <w:rsid w:val="007F4FB0"/>
    <w:rsid w:val="007F664D"/>
    <w:rsid w:val="007F699F"/>
    <w:rsid w:val="007F6FCC"/>
    <w:rsid w:val="007F70E9"/>
    <w:rsid w:val="007F723B"/>
    <w:rsid w:val="007F7853"/>
    <w:rsid w:val="007F7C21"/>
    <w:rsid w:val="0080073E"/>
    <w:rsid w:val="008013A0"/>
    <w:rsid w:val="00801FE5"/>
    <w:rsid w:val="0080284F"/>
    <w:rsid w:val="00802B15"/>
    <w:rsid w:val="00804119"/>
    <w:rsid w:val="008056FF"/>
    <w:rsid w:val="00806114"/>
    <w:rsid w:val="0080699E"/>
    <w:rsid w:val="00807128"/>
    <w:rsid w:val="00810578"/>
    <w:rsid w:val="00811A31"/>
    <w:rsid w:val="0081225F"/>
    <w:rsid w:val="0081302C"/>
    <w:rsid w:val="00813772"/>
    <w:rsid w:val="008143CC"/>
    <w:rsid w:val="0081444E"/>
    <w:rsid w:val="00814529"/>
    <w:rsid w:val="00814B7F"/>
    <w:rsid w:val="0081502F"/>
    <w:rsid w:val="00816F72"/>
    <w:rsid w:val="00816FEF"/>
    <w:rsid w:val="008172DD"/>
    <w:rsid w:val="008203D5"/>
    <w:rsid w:val="0082069F"/>
    <w:rsid w:val="008216E2"/>
    <w:rsid w:val="00821E10"/>
    <w:rsid w:val="00822ACE"/>
    <w:rsid w:val="00823135"/>
    <w:rsid w:val="00824768"/>
    <w:rsid w:val="00824C04"/>
    <w:rsid w:val="00825080"/>
    <w:rsid w:val="00825348"/>
    <w:rsid w:val="008254BE"/>
    <w:rsid w:val="00825D98"/>
    <w:rsid w:val="00826C39"/>
    <w:rsid w:val="00827B49"/>
    <w:rsid w:val="00827D73"/>
    <w:rsid w:val="00827DC6"/>
    <w:rsid w:val="00830255"/>
    <w:rsid w:val="008317E9"/>
    <w:rsid w:val="008317F7"/>
    <w:rsid w:val="00831D1A"/>
    <w:rsid w:val="0083210E"/>
    <w:rsid w:val="00832EA1"/>
    <w:rsid w:val="00833763"/>
    <w:rsid w:val="0083391C"/>
    <w:rsid w:val="00833971"/>
    <w:rsid w:val="00834371"/>
    <w:rsid w:val="008346C0"/>
    <w:rsid w:val="00834E51"/>
    <w:rsid w:val="0084035B"/>
    <w:rsid w:val="008407FD"/>
    <w:rsid w:val="00842366"/>
    <w:rsid w:val="0084256F"/>
    <w:rsid w:val="008429C7"/>
    <w:rsid w:val="00842F2E"/>
    <w:rsid w:val="0084300E"/>
    <w:rsid w:val="008430C6"/>
    <w:rsid w:val="008430D3"/>
    <w:rsid w:val="008438A5"/>
    <w:rsid w:val="00843E2C"/>
    <w:rsid w:val="00846579"/>
    <w:rsid w:val="0084726C"/>
    <w:rsid w:val="008472BD"/>
    <w:rsid w:val="00847487"/>
    <w:rsid w:val="00847856"/>
    <w:rsid w:val="008479E9"/>
    <w:rsid w:val="00847B6D"/>
    <w:rsid w:val="00847E13"/>
    <w:rsid w:val="00850506"/>
    <w:rsid w:val="008506D5"/>
    <w:rsid w:val="00850A2C"/>
    <w:rsid w:val="00850E03"/>
    <w:rsid w:val="00850FFD"/>
    <w:rsid w:val="00851405"/>
    <w:rsid w:val="00851B15"/>
    <w:rsid w:val="00851F7C"/>
    <w:rsid w:val="0085227A"/>
    <w:rsid w:val="00852815"/>
    <w:rsid w:val="00852DC6"/>
    <w:rsid w:val="008535D7"/>
    <w:rsid w:val="00854248"/>
    <w:rsid w:val="00854B34"/>
    <w:rsid w:val="008557A1"/>
    <w:rsid w:val="00857C22"/>
    <w:rsid w:val="00860048"/>
    <w:rsid w:val="00860168"/>
    <w:rsid w:val="008602B0"/>
    <w:rsid w:val="0086070E"/>
    <w:rsid w:val="00860772"/>
    <w:rsid w:val="00860D3E"/>
    <w:rsid w:val="00861AB8"/>
    <w:rsid w:val="00862982"/>
    <w:rsid w:val="00863D3D"/>
    <w:rsid w:val="00864E24"/>
    <w:rsid w:val="00865994"/>
    <w:rsid w:val="00865E34"/>
    <w:rsid w:val="008662A3"/>
    <w:rsid w:val="0086660B"/>
    <w:rsid w:val="00866701"/>
    <w:rsid w:val="00867564"/>
    <w:rsid w:val="00867CCC"/>
    <w:rsid w:val="00870046"/>
    <w:rsid w:val="0087029A"/>
    <w:rsid w:val="00870500"/>
    <w:rsid w:val="00870A07"/>
    <w:rsid w:val="00870B05"/>
    <w:rsid w:val="00870B33"/>
    <w:rsid w:val="0087122F"/>
    <w:rsid w:val="008720AB"/>
    <w:rsid w:val="00872D79"/>
    <w:rsid w:val="00872F0C"/>
    <w:rsid w:val="0087380D"/>
    <w:rsid w:val="00873ED9"/>
    <w:rsid w:val="00873FAD"/>
    <w:rsid w:val="0087468A"/>
    <w:rsid w:val="00874CB5"/>
    <w:rsid w:val="008757D1"/>
    <w:rsid w:val="00875F2B"/>
    <w:rsid w:val="00876587"/>
    <w:rsid w:val="008769E0"/>
    <w:rsid w:val="0087703A"/>
    <w:rsid w:val="008771F8"/>
    <w:rsid w:val="008772BC"/>
    <w:rsid w:val="0088066E"/>
    <w:rsid w:val="00880BA0"/>
    <w:rsid w:val="00880E72"/>
    <w:rsid w:val="00880F52"/>
    <w:rsid w:val="0088147E"/>
    <w:rsid w:val="00881642"/>
    <w:rsid w:val="00881BBC"/>
    <w:rsid w:val="00881BDB"/>
    <w:rsid w:val="00882FA3"/>
    <w:rsid w:val="008834CD"/>
    <w:rsid w:val="00883866"/>
    <w:rsid w:val="00883D61"/>
    <w:rsid w:val="0088441B"/>
    <w:rsid w:val="00886B41"/>
    <w:rsid w:val="00887302"/>
    <w:rsid w:val="0088737D"/>
    <w:rsid w:val="008875FD"/>
    <w:rsid w:val="00887DCB"/>
    <w:rsid w:val="008901EE"/>
    <w:rsid w:val="008907AE"/>
    <w:rsid w:val="008909AC"/>
    <w:rsid w:val="00890D13"/>
    <w:rsid w:val="00890D7C"/>
    <w:rsid w:val="00891210"/>
    <w:rsid w:val="00892C68"/>
    <w:rsid w:val="00892FC5"/>
    <w:rsid w:val="00893D44"/>
    <w:rsid w:val="008945E6"/>
    <w:rsid w:val="00895A93"/>
    <w:rsid w:val="0089687F"/>
    <w:rsid w:val="008978E7"/>
    <w:rsid w:val="00897E25"/>
    <w:rsid w:val="008A0537"/>
    <w:rsid w:val="008A1376"/>
    <w:rsid w:val="008A22A4"/>
    <w:rsid w:val="008A29D7"/>
    <w:rsid w:val="008A585A"/>
    <w:rsid w:val="008A5D2A"/>
    <w:rsid w:val="008A5DD4"/>
    <w:rsid w:val="008A62B6"/>
    <w:rsid w:val="008A6314"/>
    <w:rsid w:val="008A6C23"/>
    <w:rsid w:val="008A6D8F"/>
    <w:rsid w:val="008B0541"/>
    <w:rsid w:val="008B1513"/>
    <w:rsid w:val="008B1B98"/>
    <w:rsid w:val="008B1F81"/>
    <w:rsid w:val="008B1FB2"/>
    <w:rsid w:val="008B21BB"/>
    <w:rsid w:val="008B234A"/>
    <w:rsid w:val="008B237B"/>
    <w:rsid w:val="008B2D48"/>
    <w:rsid w:val="008B3212"/>
    <w:rsid w:val="008B3F75"/>
    <w:rsid w:val="008B6A12"/>
    <w:rsid w:val="008B7190"/>
    <w:rsid w:val="008B73F6"/>
    <w:rsid w:val="008B7993"/>
    <w:rsid w:val="008B7B85"/>
    <w:rsid w:val="008B7F70"/>
    <w:rsid w:val="008C040F"/>
    <w:rsid w:val="008C063C"/>
    <w:rsid w:val="008C0B60"/>
    <w:rsid w:val="008C105D"/>
    <w:rsid w:val="008C14DE"/>
    <w:rsid w:val="008C2638"/>
    <w:rsid w:val="008C454A"/>
    <w:rsid w:val="008C4679"/>
    <w:rsid w:val="008C525A"/>
    <w:rsid w:val="008C55DF"/>
    <w:rsid w:val="008C5966"/>
    <w:rsid w:val="008C6022"/>
    <w:rsid w:val="008C70AA"/>
    <w:rsid w:val="008C75DA"/>
    <w:rsid w:val="008D0228"/>
    <w:rsid w:val="008D18AA"/>
    <w:rsid w:val="008D1BAA"/>
    <w:rsid w:val="008D1FFD"/>
    <w:rsid w:val="008D2A70"/>
    <w:rsid w:val="008D2EB0"/>
    <w:rsid w:val="008D3444"/>
    <w:rsid w:val="008D3F21"/>
    <w:rsid w:val="008D43E0"/>
    <w:rsid w:val="008D4660"/>
    <w:rsid w:val="008D46B4"/>
    <w:rsid w:val="008D4732"/>
    <w:rsid w:val="008D4C2B"/>
    <w:rsid w:val="008D5C33"/>
    <w:rsid w:val="008D5E90"/>
    <w:rsid w:val="008D5E94"/>
    <w:rsid w:val="008D7367"/>
    <w:rsid w:val="008D75E2"/>
    <w:rsid w:val="008D79D4"/>
    <w:rsid w:val="008E083F"/>
    <w:rsid w:val="008E0DFD"/>
    <w:rsid w:val="008E0EF3"/>
    <w:rsid w:val="008E169C"/>
    <w:rsid w:val="008E196E"/>
    <w:rsid w:val="008E1F10"/>
    <w:rsid w:val="008E202B"/>
    <w:rsid w:val="008E2137"/>
    <w:rsid w:val="008E21DC"/>
    <w:rsid w:val="008E272D"/>
    <w:rsid w:val="008E27C6"/>
    <w:rsid w:val="008E2E44"/>
    <w:rsid w:val="008E3B15"/>
    <w:rsid w:val="008E4025"/>
    <w:rsid w:val="008E439E"/>
    <w:rsid w:val="008E457F"/>
    <w:rsid w:val="008E4CC7"/>
    <w:rsid w:val="008E5816"/>
    <w:rsid w:val="008E5E05"/>
    <w:rsid w:val="008E6066"/>
    <w:rsid w:val="008E6BBC"/>
    <w:rsid w:val="008E6BE7"/>
    <w:rsid w:val="008E6D5E"/>
    <w:rsid w:val="008E7992"/>
    <w:rsid w:val="008E7D36"/>
    <w:rsid w:val="008E7DDA"/>
    <w:rsid w:val="008F02EC"/>
    <w:rsid w:val="008F0C64"/>
    <w:rsid w:val="008F17AE"/>
    <w:rsid w:val="008F219F"/>
    <w:rsid w:val="008F23E5"/>
    <w:rsid w:val="008F38B0"/>
    <w:rsid w:val="008F3B5D"/>
    <w:rsid w:val="008F43B6"/>
    <w:rsid w:val="008F513A"/>
    <w:rsid w:val="008F6C40"/>
    <w:rsid w:val="008F75C2"/>
    <w:rsid w:val="00900249"/>
    <w:rsid w:val="00901E7F"/>
    <w:rsid w:val="00903E84"/>
    <w:rsid w:val="009044E0"/>
    <w:rsid w:val="00904A6C"/>
    <w:rsid w:val="009051A6"/>
    <w:rsid w:val="009059AF"/>
    <w:rsid w:val="00906D79"/>
    <w:rsid w:val="009104D1"/>
    <w:rsid w:val="00910E61"/>
    <w:rsid w:val="009115E6"/>
    <w:rsid w:val="00911698"/>
    <w:rsid w:val="009117B0"/>
    <w:rsid w:val="00911EB7"/>
    <w:rsid w:val="00911F47"/>
    <w:rsid w:val="00911FBE"/>
    <w:rsid w:val="00912E50"/>
    <w:rsid w:val="00913495"/>
    <w:rsid w:val="0091356D"/>
    <w:rsid w:val="00914618"/>
    <w:rsid w:val="0091494E"/>
    <w:rsid w:val="00916D7C"/>
    <w:rsid w:val="00917CC2"/>
    <w:rsid w:val="00920F21"/>
    <w:rsid w:val="00921942"/>
    <w:rsid w:val="0092254B"/>
    <w:rsid w:val="00922C86"/>
    <w:rsid w:val="0092407C"/>
    <w:rsid w:val="009243E9"/>
    <w:rsid w:val="0092442E"/>
    <w:rsid w:val="00924465"/>
    <w:rsid w:val="0092508E"/>
    <w:rsid w:val="009256E8"/>
    <w:rsid w:val="00925C91"/>
    <w:rsid w:val="0092655D"/>
    <w:rsid w:val="0092674A"/>
    <w:rsid w:val="00926F06"/>
    <w:rsid w:val="00927407"/>
    <w:rsid w:val="0093129E"/>
    <w:rsid w:val="00931F7D"/>
    <w:rsid w:val="00931FAA"/>
    <w:rsid w:val="009320F1"/>
    <w:rsid w:val="00932C82"/>
    <w:rsid w:val="00932E37"/>
    <w:rsid w:val="00933769"/>
    <w:rsid w:val="00933B07"/>
    <w:rsid w:val="00934430"/>
    <w:rsid w:val="00934EB1"/>
    <w:rsid w:val="00935231"/>
    <w:rsid w:val="00935B24"/>
    <w:rsid w:val="00935CD2"/>
    <w:rsid w:val="00936A96"/>
    <w:rsid w:val="0094078E"/>
    <w:rsid w:val="00940C6B"/>
    <w:rsid w:val="00940FA4"/>
    <w:rsid w:val="0094273F"/>
    <w:rsid w:val="00942955"/>
    <w:rsid w:val="00942D75"/>
    <w:rsid w:val="00943A84"/>
    <w:rsid w:val="00943D69"/>
    <w:rsid w:val="00944014"/>
    <w:rsid w:val="00944382"/>
    <w:rsid w:val="00945827"/>
    <w:rsid w:val="00945D72"/>
    <w:rsid w:val="0095178A"/>
    <w:rsid w:val="00952306"/>
    <w:rsid w:val="00954115"/>
    <w:rsid w:val="00954D2B"/>
    <w:rsid w:val="00954EA5"/>
    <w:rsid w:val="00955229"/>
    <w:rsid w:val="009557B9"/>
    <w:rsid w:val="009558AC"/>
    <w:rsid w:val="00955C2F"/>
    <w:rsid w:val="00956BDB"/>
    <w:rsid w:val="00956C56"/>
    <w:rsid w:val="00956FEF"/>
    <w:rsid w:val="0095754A"/>
    <w:rsid w:val="00957B2D"/>
    <w:rsid w:val="00957C24"/>
    <w:rsid w:val="00960A87"/>
    <w:rsid w:val="00961CC4"/>
    <w:rsid w:val="00962B7A"/>
    <w:rsid w:val="009635A8"/>
    <w:rsid w:val="00963754"/>
    <w:rsid w:val="0096376B"/>
    <w:rsid w:val="00963E0F"/>
    <w:rsid w:val="009641BC"/>
    <w:rsid w:val="00966462"/>
    <w:rsid w:val="0096715B"/>
    <w:rsid w:val="00967BF4"/>
    <w:rsid w:val="00967E14"/>
    <w:rsid w:val="00970AB4"/>
    <w:rsid w:val="00970AF9"/>
    <w:rsid w:val="00971AC3"/>
    <w:rsid w:val="00971BE2"/>
    <w:rsid w:val="00971C63"/>
    <w:rsid w:val="00971CC6"/>
    <w:rsid w:val="00972545"/>
    <w:rsid w:val="00972B6D"/>
    <w:rsid w:val="00975959"/>
    <w:rsid w:val="00975B99"/>
    <w:rsid w:val="00976AAC"/>
    <w:rsid w:val="00981019"/>
    <w:rsid w:val="009815F8"/>
    <w:rsid w:val="00981A90"/>
    <w:rsid w:val="009837C7"/>
    <w:rsid w:val="0098453F"/>
    <w:rsid w:val="00984575"/>
    <w:rsid w:val="00984A30"/>
    <w:rsid w:val="0098515B"/>
    <w:rsid w:val="009851E0"/>
    <w:rsid w:val="009864FF"/>
    <w:rsid w:val="009873C3"/>
    <w:rsid w:val="009904D9"/>
    <w:rsid w:val="00991D99"/>
    <w:rsid w:val="0099295D"/>
    <w:rsid w:val="00992FF2"/>
    <w:rsid w:val="00994F35"/>
    <w:rsid w:val="00995C6D"/>
    <w:rsid w:val="00995FFF"/>
    <w:rsid w:val="009960C4"/>
    <w:rsid w:val="00996C44"/>
    <w:rsid w:val="00996D2F"/>
    <w:rsid w:val="009973C7"/>
    <w:rsid w:val="009A0768"/>
    <w:rsid w:val="009A0BA4"/>
    <w:rsid w:val="009A0CAF"/>
    <w:rsid w:val="009A0F27"/>
    <w:rsid w:val="009A1540"/>
    <w:rsid w:val="009A3806"/>
    <w:rsid w:val="009A3A58"/>
    <w:rsid w:val="009A4D30"/>
    <w:rsid w:val="009A5723"/>
    <w:rsid w:val="009A5E72"/>
    <w:rsid w:val="009A78D3"/>
    <w:rsid w:val="009A7EAC"/>
    <w:rsid w:val="009B05B3"/>
    <w:rsid w:val="009B0F0B"/>
    <w:rsid w:val="009B2C0E"/>
    <w:rsid w:val="009B2EC0"/>
    <w:rsid w:val="009B47B3"/>
    <w:rsid w:val="009B48B5"/>
    <w:rsid w:val="009B5822"/>
    <w:rsid w:val="009B6D33"/>
    <w:rsid w:val="009C0447"/>
    <w:rsid w:val="009C0D1E"/>
    <w:rsid w:val="009C238D"/>
    <w:rsid w:val="009C250D"/>
    <w:rsid w:val="009C2CF5"/>
    <w:rsid w:val="009C351B"/>
    <w:rsid w:val="009C3647"/>
    <w:rsid w:val="009C3B2A"/>
    <w:rsid w:val="009C3D39"/>
    <w:rsid w:val="009C424C"/>
    <w:rsid w:val="009C4320"/>
    <w:rsid w:val="009C63C5"/>
    <w:rsid w:val="009C67C9"/>
    <w:rsid w:val="009C6BF0"/>
    <w:rsid w:val="009C703E"/>
    <w:rsid w:val="009C79A9"/>
    <w:rsid w:val="009D0294"/>
    <w:rsid w:val="009D046C"/>
    <w:rsid w:val="009D0E19"/>
    <w:rsid w:val="009D3C19"/>
    <w:rsid w:val="009D462F"/>
    <w:rsid w:val="009D4666"/>
    <w:rsid w:val="009D48BA"/>
    <w:rsid w:val="009D4E9C"/>
    <w:rsid w:val="009D5B22"/>
    <w:rsid w:val="009D6B23"/>
    <w:rsid w:val="009D79F5"/>
    <w:rsid w:val="009E1846"/>
    <w:rsid w:val="009E2B08"/>
    <w:rsid w:val="009E2E54"/>
    <w:rsid w:val="009E3231"/>
    <w:rsid w:val="009E3910"/>
    <w:rsid w:val="009E3EEF"/>
    <w:rsid w:val="009E404B"/>
    <w:rsid w:val="009E4259"/>
    <w:rsid w:val="009E4C72"/>
    <w:rsid w:val="009E6B93"/>
    <w:rsid w:val="009E7884"/>
    <w:rsid w:val="009F0E95"/>
    <w:rsid w:val="009F1299"/>
    <w:rsid w:val="009F186B"/>
    <w:rsid w:val="009F1C9B"/>
    <w:rsid w:val="009F25E6"/>
    <w:rsid w:val="009F3474"/>
    <w:rsid w:val="009F3963"/>
    <w:rsid w:val="009F4124"/>
    <w:rsid w:val="009F4CD0"/>
    <w:rsid w:val="009F566E"/>
    <w:rsid w:val="009F7FF6"/>
    <w:rsid w:val="00A001B6"/>
    <w:rsid w:val="00A00362"/>
    <w:rsid w:val="00A00FDD"/>
    <w:rsid w:val="00A0115B"/>
    <w:rsid w:val="00A02135"/>
    <w:rsid w:val="00A02569"/>
    <w:rsid w:val="00A04B0C"/>
    <w:rsid w:val="00A06265"/>
    <w:rsid w:val="00A0658E"/>
    <w:rsid w:val="00A07359"/>
    <w:rsid w:val="00A1063B"/>
    <w:rsid w:val="00A10B2A"/>
    <w:rsid w:val="00A11A80"/>
    <w:rsid w:val="00A11D21"/>
    <w:rsid w:val="00A11D93"/>
    <w:rsid w:val="00A13B27"/>
    <w:rsid w:val="00A13BB5"/>
    <w:rsid w:val="00A13DC4"/>
    <w:rsid w:val="00A13E42"/>
    <w:rsid w:val="00A13FDC"/>
    <w:rsid w:val="00A15EC2"/>
    <w:rsid w:val="00A162C1"/>
    <w:rsid w:val="00A1636E"/>
    <w:rsid w:val="00A1647A"/>
    <w:rsid w:val="00A164E5"/>
    <w:rsid w:val="00A17C2A"/>
    <w:rsid w:val="00A208E5"/>
    <w:rsid w:val="00A20EDF"/>
    <w:rsid w:val="00A21287"/>
    <w:rsid w:val="00A21294"/>
    <w:rsid w:val="00A22275"/>
    <w:rsid w:val="00A22355"/>
    <w:rsid w:val="00A226A7"/>
    <w:rsid w:val="00A2318B"/>
    <w:rsid w:val="00A236F5"/>
    <w:rsid w:val="00A2483A"/>
    <w:rsid w:val="00A2490F"/>
    <w:rsid w:val="00A252D7"/>
    <w:rsid w:val="00A263D7"/>
    <w:rsid w:val="00A265D6"/>
    <w:rsid w:val="00A2662C"/>
    <w:rsid w:val="00A268F0"/>
    <w:rsid w:val="00A303F6"/>
    <w:rsid w:val="00A30E61"/>
    <w:rsid w:val="00A30F13"/>
    <w:rsid w:val="00A313BD"/>
    <w:rsid w:val="00A31782"/>
    <w:rsid w:val="00A328FB"/>
    <w:rsid w:val="00A32910"/>
    <w:rsid w:val="00A34256"/>
    <w:rsid w:val="00A34259"/>
    <w:rsid w:val="00A34E1A"/>
    <w:rsid w:val="00A357E5"/>
    <w:rsid w:val="00A35B5E"/>
    <w:rsid w:val="00A35EE1"/>
    <w:rsid w:val="00A36542"/>
    <w:rsid w:val="00A3774E"/>
    <w:rsid w:val="00A428FA"/>
    <w:rsid w:val="00A42AD5"/>
    <w:rsid w:val="00A43638"/>
    <w:rsid w:val="00A43BEA"/>
    <w:rsid w:val="00A4418A"/>
    <w:rsid w:val="00A44746"/>
    <w:rsid w:val="00A447A8"/>
    <w:rsid w:val="00A44C19"/>
    <w:rsid w:val="00A454C4"/>
    <w:rsid w:val="00A45C24"/>
    <w:rsid w:val="00A45CBD"/>
    <w:rsid w:val="00A464E2"/>
    <w:rsid w:val="00A47930"/>
    <w:rsid w:val="00A50103"/>
    <w:rsid w:val="00A50582"/>
    <w:rsid w:val="00A50A25"/>
    <w:rsid w:val="00A55088"/>
    <w:rsid w:val="00A55096"/>
    <w:rsid w:val="00A555B3"/>
    <w:rsid w:val="00A55687"/>
    <w:rsid w:val="00A56E80"/>
    <w:rsid w:val="00A57EE4"/>
    <w:rsid w:val="00A61343"/>
    <w:rsid w:val="00A61C4D"/>
    <w:rsid w:val="00A62355"/>
    <w:rsid w:val="00A62E0F"/>
    <w:rsid w:val="00A640D5"/>
    <w:rsid w:val="00A64224"/>
    <w:rsid w:val="00A642D7"/>
    <w:rsid w:val="00A651C1"/>
    <w:rsid w:val="00A656BB"/>
    <w:rsid w:val="00A65AF1"/>
    <w:rsid w:val="00A669DB"/>
    <w:rsid w:val="00A67914"/>
    <w:rsid w:val="00A71CC7"/>
    <w:rsid w:val="00A71FEE"/>
    <w:rsid w:val="00A7238A"/>
    <w:rsid w:val="00A73023"/>
    <w:rsid w:val="00A7421E"/>
    <w:rsid w:val="00A74FD5"/>
    <w:rsid w:val="00A75AFE"/>
    <w:rsid w:val="00A77698"/>
    <w:rsid w:val="00A77A4A"/>
    <w:rsid w:val="00A77F29"/>
    <w:rsid w:val="00A80AAF"/>
    <w:rsid w:val="00A8128C"/>
    <w:rsid w:val="00A81A8E"/>
    <w:rsid w:val="00A81C2B"/>
    <w:rsid w:val="00A83DC7"/>
    <w:rsid w:val="00A83FD8"/>
    <w:rsid w:val="00A83FEC"/>
    <w:rsid w:val="00A8438E"/>
    <w:rsid w:val="00A84A20"/>
    <w:rsid w:val="00A84F7A"/>
    <w:rsid w:val="00A869E6"/>
    <w:rsid w:val="00A87036"/>
    <w:rsid w:val="00A872F0"/>
    <w:rsid w:val="00A878F4"/>
    <w:rsid w:val="00A87E55"/>
    <w:rsid w:val="00A87F55"/>
    <w:rsid w:val="00A90367"/>
    <w:rsid w:val="00A903E4"/>
    <w:rsid w:val="00A91356"/>
    <w:rsid w:val="00A91B3E"/>
    <w:rsid w:val="00A920EA"/>
    <w:rsid w:val="00A92E0A"/>
    <w:rsid w:val="00A92EDA"/>
    <w:rsid w:val="00A93C97"/>
    <w:rsid w:val="00A9663D"/>
    <w:rsid w:val="00A970E1"/>
    <w:rsid w:val="00A974C2"/>
    <w:rsid w:val="00AA08D4"/>
    <w:rsid w:val="00AA0B6D"/>
    <w:rsid w:val="00AA0DBC"/>
    <w:rsid w:val="00AA0E56"/>
    <w:rsid w:val="00AA0ED4"/>
    <w:rsid w:val="00AA1189"/>
    <w:rsid w:val="00AA1AA2"/>
    <w:rsid w:val="00AA1EB9"/>
    <w:rsid w:val="00AA2486"/>
    <w:rsid w:val="00AA3241"/>
    <w:rsid w:val="00AA32B4"/>
    <w:rsid w:val="00AA43DB"/>
    <w:rsid w:val="00AA476E"/>
    <w:rsid w:val="00AA4DCF"/>
    <w:rsid w:val="00AA5B6D"/>
    <w:rsid w:val="00AA652C"/>
    <w:rsid w:val="00AA6832"/>
    <w:rsid w:val="00AA6E49"/>
    <w:rsid w:val="00AA7E19"/>
    <w:rsid w:val="00AB0350"/>
    <w:rsid w:val="00AB035A"/>
    <w:rsid w:val="00AB0898"/>
    <w:rsid w:val="00AB0C4A"/>
    <w:rsid w:val="00AB0EFE"/>
    <w:rsid w:val="00AB10A9"/>
    <w:rsid w:val="00AB1731"/>
    <w:rsid w:val="00AB176E"/>
    <w:rsid w:val="00AB21D9"/>
    <w:rsid w:val="00AB2491"/>
    <w:rsid w:val="00AB2D5B"/>
    <w:rsid w:val="00AB2F9D"/>
    <w:rsid w:val="00AB3F63"/>
    <w:rsid w:val="00AB41C5"/>
    <w:rsid w:val="00AB488C"/>
    <w:rsid w:val="00AB5D32"/>
    <w:rsid w:val="00AB6419"/>
    <w:rsid w:val="00AB7C7E"/>
    <w:rsid w:val="00AC0510"/>
    <w:rsid w:val="00AC1638"/>
    <w:rsid w:val="00AC174C"/>
    <w:rsid w:val="00AC1CF5"/>
    <w:rsid w:val="00AC293D"/>
    <w:rsid w:val="00AC2B5B"/>
    <w:rsid w:val="00AC465E"/>
    <w:rsid w:val="00AC665A"/>
    <w:rsid w:val="00AC7DD3"/>
    <w:rsid w:val="00AD00C9"/>
    <w:rsid w:val="00AD09B5"/>
    <w:rsid w:val="00AD09F0"/>
    <w:rsid w:val="00AD18A4"/>
    <w:rsid w:val="00AD2C5F"/>
    <w:rsid w:val="00AD4A64"/>
    <w:rsid w:val="00AD5035"/>
    <w:rsid w:val="00AD5A41"/>
    <w:rsid w:val="00AD6CF6"/>
    <w:rsid w:val="00AD75B8"/>
    <w:rsid w:val="00AD7B6E"/>
    <w:rsid w:val="00AE0294"/>
    <w:rsid w:val="00AE02C9"/>
    <w:rsid w:val="00AE1F8C"/>
    <w:rsid w:val="00AE2893"/>
    <w:rsid w:val="00AE3137"/>
    <w:rsid w:val="00AE34EE"/>
    <w:rsid w:val="00AE3D2B"/>
    <w:rsid w:val="00AE4A27"/>
    <w:rsid w:val="00AE5247"/>
    <w:rsid w:val="00AE6122"/>
    <w:rsid w:val="00AF065B"/>
    <w:rsid w:val="00AF181B"/>
    <w:rsid w:val="00AF18DB"/>
    <w:rsid w:val="00AF3FEB"/>
    <w:rsid w:val="00AF4582"/>
    <w:rsid w:val="00AF4BE6"/>
    <w:rsid w:val="00AF4D15"/>
    <w:rsid w:val="00AF53F9"/>
    <w:rsid w:val="00AF5529"/>
    <w:rsid w:val="00AF58B9"/>
    <w:rsid w:val="00AF58F9"/>
    <w:rsid w:val="00AF598C"/>
    <w:rsid w:val="00AF5C05"/>
    <w:rsid w:val="00AF6706"/>
    <w:rsid w:val="00AF67C8"/>
    <w:rsid w:val="00AF6DFE"/>
    <w:rsid w:val="00AF7377"/>
    <w:rsid w:val="00AF7C97"/>
    <w:rsid w:val="00AF7DF0"/>
    <w:rsid w:val="00AF7F63"/>
    <w:rsid w:val="00B00B95"/>
    <w:rsid w:val="00B00EE0"/>
    <w:rsid w:val="00B012D6"/>
    <w:rsid w:val="00B02097"/>
    <w:rsid w:val="00B020F5"/>
    <w:rsid w:val="00B0344E"/>
    <w:rsid w:val="00B0398F"/>
    <w:rsid w:val="00B03A73"/>
    <w:rsid w:val="00B0429F"/>
    <w:rsid w:val="00B050BC"/>
    <w:rsid w:val="00B0596A"/>
    <w:rsid w:val="00B05F80"/>
    <w:rsid w:val="00B06430"/>
    <w:rsid w:val="00B06485"/>
    <w:rsid w:val="00B06AE8"/>
    <w:rsid w:val="00B07C92"/>
    <w:rsid w:val="00B10BCC"/>
    <w:rsid w:val="00B1180A"/>
    <w:rsid w:val="00B119A9"/>
    <w:rsid w:val="00B11E87"/>
    <w:rsid w:val="00B127F1"/>
    <w:rsid w:val="00B1398A"/>
    <w:rsid w:val="00B13BEC"/>
    <w:rsid w:val="00B1417D"/>
    <w:rsid w:val="00B1440A"/>
    <w:rsid w:val="00B1662E"/>
    <w:rsid w:val="00B170DE"/>
    <w:rsid w:val="00B1749D"/>
    <w:rsid w:val="00B17CEF"/>
    <w:rsid w:val="00B17F0D"/>
    <w:rsid w:val="00B2103D"/>
    <w:rsid w:val="00B2111F"/>
    <w:rsid w:val="00B21EE1"/>
    <w:rsid w:val="00B21FF0"/>
    <w:rsid w:val="00B2244B"/>
    <w:rsid w:val="00B237AD"/>
    <w:rsid w:val="00B23C47"/>
    <w:rsid w:val="00B25023"/>
    <w:rsid w:val="00B25831"/>
    <w:rsid w:val="00B25DF7"/>
    <w:rsid w:val="00B2708A"/>
    <w:rsid w:val="00B27986"/>
    <w:rsid w:val="00B27B57"/>
    <w:rsid w:val="00B31223"/>
    <w:rsid w:val="00B313B6"/>
    <w:rsid w:val="00B319C9"/>
    <w:rsid w:val="00B32509"/>
    <w:rsid w:val="00B330A9"/>
    <w:rsid w:val="00B3489C"/>
    <w:rsid w:val="00B36DAC"/>
    <w:rsid w:val="00B36E22"/>
    <w:rsid w:val="00B36EB3"/>
    <w:rsid w:val="00B3763F"/>
    <w:rsid w:val="00B37F43"/>
    <w:rsid w:val="00B40B75"/>
    <w:rsid w:val="00B40C1B"/>
    <w:rsid w:val="00B412B1"/>
    <w:rsid w:val="00B41EFC"/>
    <w:rsid w:val="00B42742"/>
    <w:rsid w:val="00B42968"/>
    <w:rsid w:val="00B44585"/>
    <w:rsid w:val="00B44B76"/>
    <w:rsid w:val="00B44DE2"/>
    <w:rsid w:val="00B44FC0"/>
    <w:rsid w:val="00B465D8"/>
    <w:rsid w:val="00B4679B"/>
    <w:rsid w:val="00B476AF"/>
    <w:rsid w:val="00B501C3"/>
    <w:rsid w:val="00B50B4C"/>
    <w:rsid w:val="00B518A1"/>
    <w:rsid w:val="00B52E1B"/>
    <w:rsid w:val="00B531B8"/>
    <w:rsid w:val="00B53338"/>
    <w:rsid w:val="00B53FFF"/>
    <w:rsid w:val="00B56006"/>
    <w:rsid w:val="00B5642D"/>
    <w:rsid w:val="00B5689D"/>
    <w:rsid w:val="00B56A1D"/>
    <w:rsid w:val="00B56A72"/>
    <w:rsid w:val="00B56DEB"/>
    <w:rsid w:val="00B573FA"/>
    <w:rsid w:val="00B60B60"/>
    <w:rsid w:val="00B60E36"/>
    <w:rsid w:val="00B60EAD"/>
    <w:rsid w:val="00B61487"/>
    <w:rsid w:val="00B61ADD"/>
    <w:rsid w:val="00B61C4B"/>
    <w:rsid w:val="00B62071"/>
    <w:rsid w:val="00B622D1"/>
    <w:rsid w:val="00B62DB5"/>
    <w:rsid w:val="00B63021"/>
    <w:rsid w:val="00B63B26"/>
    <w:rsid w:val="00B65E87"/>
    <w:rsid w:val="00B70436"/>
    <w:rsid w:val="00B71526"/>
    <w:rsid w:val="00B71F88"/>
    <w:rsid w:val="00B72C90"/>
    <w:rsid w:val="00B73402"/>
    <w:rsid w:val="00B73898"/>
    <w:rsid w:val="00B7671D"/>
    <w:rsid w:val="00B76DAE"/>
    <w:rsid w:val="00B7729C"/>
    <w:rsid w:val="00B77625"/>
    <w:rsid w:val="00B7765C"/>
    <w:rsid w:val="00B7767F"/>
    <w:rsid w:val="00B77A90"/>
    <w:rsid w:val="00B77CDE"/>
    <w:rsid w:val="00B77CE8"/>
    <w:rsid w:val="00B8022D"/>
    <w:rsid w:val="00B81041"/>
    <w:rsid w:val="00B8145B"/>
    <w:rsid w:val="00B81485"/>
    <w:rsid w:val="00B81657"/>
    <w:rsid w:val="00B81AD7"/>
    <w:rsid w:val="00B8297D"/>
    <w:rsid w:val="00B831FA"/>
    <w:rsid w:val="00B84957"/>
    <w:rsid w:val="00B850E1"/>
    <w:rsid w:val="00B85910"/>
    <w:rsid w:val="00B85D60"/>
    <w:rsid w:val="00B86748"/>
    <w:rsid w:val="00B86965"/>
    <w:rsid w:val="00B86AD5"/>
    <w:rsid w:val="00B871AC"/>
    <w:rsid w:val="00B871F3"/>
    <w:rsid w:val="00B874DC"/>
    <w:rsid w:val="00B900B3"/>
    <w:rsid w:val="00B9052A"/>
    <w:rsid w:val="00B905B3"/>
    <w:rsid w:val="00B90AE1"/>
    <w:rsid w:val="00B90B86"/>
    <w:rsid w:val="00B910B0"/>
    <w:rsid w:val="00B911F8"/>
    <w:rsid w:val="00B912F9"/>
    <w:rsid w:val="00B9138A"/>
    <w:rsid w:val="00B91C5C"/>
    <w:rsid w:val="00B91D78"/>
    <w:rsid w:val="00B920B4"/>
    <w:rsid w:val="00B92F77"/>
    <w:rsid w:val="00B92FF9"/>
    <w:rsid w:val="00B933CE"/>
    <w:rsid w:val="00B938AC"/>
    <w:rsid w:val="00B93A5F"/>
    <w:rsid w:val="00B94D28"/>
    <w:rsid w:val="00B950A2"/>
    <w:rsid w:val="00B9572C"/>
    <w:rsid w:val="00B96228"/>
    <w:rsid w:val="00B96905"/>
    <w:rsid w:val="00B972D0"/>
    <w:rsid w:val="00B9740C"/>
    <w:rsid w:val="00BA01F3"/>
    <w:rsid w:val="00BA0ED1"/>
    <w:rsid w:val="00BA12C0"/>
    <w:rsid w:val="00BA1795"/>
    <w:rsid w:val="00BA3301"/>
    <w:rsid w:val="00BA38E1"/>
    <w:rsid w:val="00BA4619"/>
    <w:rsid w:val="00BA5125"/>
    <w:rsid w:val="00BA6397"/>
    <w:rsid w:val="00BA7D90"/>
    <w:rsid w:val="00BA7F25"/>
    <w:rsid w:val="00BB0860"/>
    <w:rsid w:val="00BB09F8"/>
    <w:rsid w:val="00BB12ED"/>
    <w:rsid w:val="00BB180C"/>
    <w:rsid w:val="00BB1B8F"/>
    <w:rsid w:val="00BB1D4F"/>
    <w:rsid w:val="00BB234F"/>
    <w:rsid w:val="00BB23C3"/>
    <w:rsid w:val="00BB26F9"/>
    <w:rsid w:val="00BB2AB4"/>
    <w:rsid w:val="00BB3555"/>
    <w:rsid w:val="00BB3707"/>
    <w:rsid w:val="00BB3915"/>
    <w:rsid w:val="00BB3BED"/>
    <w:rsid w:val="00BB4267"/>
    <w:rsid w:val="00BB4B5E"/>
    <w:rsid w:val="00BB4DD7"/>
    <w:rsid w:val="00BB4F23"/>
    <w:rsid w:val="00BB5166"/>
    <w:rsid w:val="00BB6048"/>
    <w:rsid w:val="00BB6208"/>
    <w:rsid w:val="00BB6715"/>
    <w:rsid w:val="00BB69CA"/>
    <w:rsid w:val="00BB6D87"/>
    <w:rsid w:val="00BB72CA"/>
    <w:rsid w:val="00BB7E4F"/>
    <w:rsid w:val="00BC2708"/>
    <w:rsid w:val="00BC3049"/>
    <w:rsid w:val="00BC36DF"/>
    <w:rsid w:val="00BC3B84"/>
    <w:rsid w:val="00BC4157"/>
    <w:rsid w:val="00BC45B8"/>
    <w:rsid w:val="00BC626F"/>
    <w:rsid w:val="00BC71DB"/>
    <w:rsid w:val="00BC7851"/>
    <w:rsid w:val="00BC7993"/>
    <w:rsid w:val="00BD0032"/>
    <w:rsid w:val="00BD02D9"/>
    <w:rsid w:val="00BD2284"/>
    <w:rsid w:val="00BD240E"/>
    <w:rsid w:val="00BD29FE"/>
    <w:rsid w:val="00BD413B"/>
    <w:rsid w:val="00BD751C"/>
    <w:rsid w:val="00BD79E7"/>
    <w:rsid w:val="00BD7AC2"/>
    <w:rsid w:val="00BE095B"/>
    <w:rsid w:val="00BE0E94"/>
    <w:rsid w:val="00BE0F79"/>
    <w:rsid w:val="00BE191B"/>
    <w:rsid w:val="00BE2156"/>
    <w:rsid w:val="00BE2165"/>
    <w:rsid w:val="00BE272D"/>
    <w:rsid w:val="00BE44CB"/>
    <w:rsid w:val="00BE4C33"/>
    <w:rsid w:val="00BE5055"/>
    <w:rsid w:val="00BE56E0"/>
    <w:rsid w:val="00BE618B"/>
    <w:rsid w:val="00BE63AE"/>
    <w:rsid w:val="00BE65B1"/>
    <w:rsid w:val="00BE6F66"/>
    <w:rsid w:val="00BE71E6"/>
    <w:rsid w:val="00BF0355"/>
    <w:rsid w:val="00BF0EB7"/>
    <w:rsid w:val="00BF1387"/>
    <w:rsid w:val="00BF1990"/>
    <w:rsid w:val="00BF2E37"/>
    <w:rsid w:val="00BF4235"/>
    <w:rsid w:val="00BF476F"/>
    <w:rsid w:val="00BF4866"/>
    <w:rsid w:val="00BF4B27"/>
    <w:rsid w:val="00BF5D19"/>
    <w:rsid w:val="00BF620D"/>
    <w:rsid w:val="00BF67ED"/>
    <w:rsid w:val="00BF6FCF"/>
    <w:rsid w:val="00BF744F"/>
    <w:rsid w:val="00BF751E"/>
    <w:rsid w:val="00BF7976"/>
    <w:rsid w:val="00C00478"/>
    <w:rsid w:val="00C006CB"/>
    <w:rsid w:val="00C009A2"/>
    <w:rsid w:val="00C00D3A"/>
    <w:rsid w:val="00C00E65"/>
    <w:rsid w:val="00C0149A"/>
    <w:rsid w:val="00C0162E"/>
    <w:rsid w:val="00C01921"/>
    <w:rsid w:val="00C01F52"/>
    <w:rsid w:val="00C0235C"/>
    <w:rsid w:val="00C024B4"/>
    <w:rsid w:val="00C0259E"/>
    <w:rsid w:val="00C03A90"/>
    <w:rsid w:val="00C05148"/>
    <w:rsid w:val="00C06501"/>
    <w:rsid w:val="00C0741C"/>
    <w:rsid w:val="00C0771E"/>
    <w:rsid w:val="00C0783D"/>
    <w:rsid w:val="00C11A19"/>
    <w:rsid w:val="00C11AC8"/>
    <w:rsid w:val="00C120AF"/>
    <w:rsid w:val="00C12647"/>
    <w:rsid w:val="00C12E3A"/>
    <w:rsid w:val="00C1329E"/>
    <w:rsid w:val="00C14555"/>
    <w:rsid w:val="00C148B1"/>
    <w:rsid w:val="00C158A4"/>
    <w:rsid w:val="00C15DD8"/>
    <w:rsid w:val="00C16766"/>
    <w:rsid w:val="00C1685C"/>
    <w:rsid w:val="00C173C5"/>
    <w:rsid w:val="00C22128"/>
    <w:rsid w:val="00C22C0E"/>
    <w:rsid w:val="00C22C38"/>
    <w:rsid w:val="00C2345E"/>
    <w:rsid w:val="00C23982"/>
    <w:rsid w:val="00C23BDA"/>
    <w:rsid w:val="00C24120"/>
    <w:rsid w:val="00C2434C"/>
    <w:rsid w:val="00C24614"/>
    <w:rsid w:val="00C24665"/>
    <w:rsid w:val="00C24825"/>
    <w:rsid w:val="00C253F8"/>
    <w:rsid w:val="00C254DF"/>
    <w:rsid w:val="00C26A07"/>
    <w:rsid w:val="00C26DDF"/>
    <w:rsid w:val="00C27205"/>
    <w:rsid w:val="00C304A4"/>
    <w:rsid w:val="00C30641"/>
    <w:rsid w:val="00C3071E"/>
    <w:rsid w:val="00C31056"/>
    <w:rsid w:val="00C31F3B"/>
    <w:rsid w:val="00C32052"/>
    <w:rsid w:val="00C32417"/>
    <w:rsid w:val="00C33790"/>
    <w:rsid w:val="00C34351"/>
    <w:rsid w:val="00C34E95"/>
    <w:rsid w:val="00C350CE"/>
    <w:rsid w:val="00C35AA3"/>
    <w:rsid w:val="00C36507"/>
    <w:rsid w:val="00C370DF"/>
    <w:rsid w:val="00C37509"/>
    <w:rsid w:val="00C37597"/>
    <w:rsid w:val="00C37707"/>
    <w:rsid w:val="00C37B3A"/>
    <w:rsid w:val="00C40E08"/>
    <w:rsid w:val="00C414C0"/>
    <w:rsid w:val="00C41BC9"/>
    <w:rsid w:val="00C41F61"/>
    <w:rsid w:val="00C420F3"/>
    <w:rsid w:val="00C427F9"/>
    <w:rsid w:val="00C428DA"/>
    <w:rsid w:val="00C42FE9"/>
    <w:rsid w:val="00C43EFB"/>
    <w:rsid w:val="00C441D4"/>
    <w:rsid w:val="00C442E3"/>
    <w:rsid w:val="00C464CF"/>
    <w:rsid w:val="00C46D89"/>
    <w:rsid w:val="00C4733A"/>
    <w:rsid w:val="00C50050"/>
    <w:rsid w:val="00C5091D"/>
    <w:rsid w:val="00C509D3"/>
    <w:rsid w:val="00C50A41"/>
    <w:rsid w:val="00C51AE3"/>
    <w:rsid w:val="00C52DA0"/>
    <w:rsid w:val="00C53138"/>
    <w:rsid w:val="00C53668"/>
    <w:rsid w:val="00C53E67"/>
    <w:rsid w:val="00C54C4D"/>
    <w:rsid w:val="00C56599"/>
    <w:rsid w:val="00C565F3"/>
    <w:rsid w:val="00C566E3"/>
    <w:rsid w:val="00C56741"/>
    <w:rsid w:val="00C568F0"/>
    <w:rsid w:val="00C57293"/>
    <w:rsid w:val="00C574C1"/>
    <w:rsid w:val="00C57FB2"/>
    <w:rsid w:val="00C604BE"/>
    <w:rsid w:val="00C60C49"/>
    <w:rsid w:val="00C6204D"/>
    <w:rsid w:val="00C620FF"/>
    <w:rsid w:val="00C62E98"/>
    <w:rsid w:val="00C62EDE"/>
    <w:rsid w:val="00C63A86"/>
    <w:rsid w:val="00C64D79"/>
    <w:rsid w:val="00C651BD"/>
    <w:rsid w:val="00C65E25"/>
    <w:rsid w:val="00C663FA"/>
    <w:rsid w:val="00C67377"/>
    <w:rsid w:val="00C675C9"/>
    <w:rsid w:val="00C704A7"/>
    <w:rsid w:val="00C70D4E"/>
    <w:rsid w:val="00C718C5"/>
    <w:rsid w:val="00C71C3F"/>
    <w:rsid w:val="00C71EBE"/>
    <w:rsid w:val="00C72B71"/>
    <w:rsid w:val="00C7303B"/>
    <w:rsid w:val="00C7327F"/>
    <w:rsid w:val="00C74456"/>
    <w:rsid w:val="00C7509B"/>
    <w:rsid w:val="00C75173"/>
    <w:rsid w:val="00C75512"/>
    <w:rsid w:val="00C75B27"/>
    <w:rsid w:val="00C75C3F"/>
    <w:rsid w:val="00C767BF"/>
    <w:rsid w:val="00C7747E"/>
    <w:rsid w:val="00C80446"/>
    <w:rsid w:val="00C80A84"/>
    <w:rsid w:val="00C8173C"/>
    <w:rsid w:val="00C83274"/>
    <w:rsid w:val="00C840B4"/>
    <w:rsid w:val="00C84627"/>
    <w:rsid w:val="00C8500A"/>
    <w:rsid w:val="00C85020"/>
    <w:rsid w:val="00C85F06"/>
    <w:rsid w:val="00C86013"/>
    <w:rsid w:val="00C87100"/>
    <w:rsid w:val="00C91667"/>
    <w:rsid w:val="00C91C7D"/>
    <w:rsid w:val="00C922BD"/>
    <w:rsid w:val="00C923B7"/>
    <w:rsid w:val="00C92682"/>
    <w:rsid w:val="00C935CE"/>
    <w:rsid w:val="00C9381A"/>
    <w:rsid w:val="00C94046"/>
    <w:rsid w:val="00C94250"/>
    <w:rsid w:val="00C945B5"/>
    <w:rsid w:val="00C945BC"/>
    <w:rsid w:val="00C94D88"/>
    <w:rsid w:val="00C96910"/>
    <w:rsid w:val="00C97AF7"/>
    <w:rsid w:val="00CA0323"/>
    <w:rsid w:val="00CA0809"/>
    <w:rsid w:val="00CA0835"/>
    <w:rsid w:val="00CA106E"/>
    <w:rsid w:val="00CA1B5D"/>
    <w:rsid w:val="00CA279A"/>
    <w:rsid w:val="00CA27C6"/>
    <w:rsid w:val="00CA2D13"/>
    <w:rsid w:val="00CA3ABE"/>
    <w:rsid w:val="00CA3D7D"/>
    <w:rsid w:val="00CA4B91"/>
    <w:rsid w:val="00CA4BE5"/>
    <w:rsid w:val="00CA5851"/>
    <w:rsid w:val="00CA5E2F"/>
    <w:rsid w:val="00CA77E8"/>
    <w:rsid w:val="00CA7B8B"/>
    <w:rsid w:val="00CA7DCB"/>
    <w:rsid w:val="00CB3C45"/>
    <w:rsid w:val="00CB43A9"/>
    <w:rsid w:val="00CB4AD6"/>
    <w:rsid w:val="00CB4F6C"/>
    <w:rsid w:val="00CB6968"/>
    <w:rsid w:val="00CB7BF2"/>
    <w:rsid w:val="00CC0072"/>
    <w:rsid w:val="00CC0F34"/>
    <w:rsid w:val="00CC1476"/>
    <w:rsid w:val="00CC1964"/>
    <w:rsid w:val="00CC1E89"/>
    <w:rsid w:val="00CC1F8B"/>
    <w:rsid w:val="00CC2AE1"/>
    <w:rsid w:val="00CC3205"/>
    <w:rsid w:val="00CC3880"/>
    <w:rsid w:val="00CC444F"/>
    <w:rsid w:val="00CC554F"/>
    <w:rsid w:val="00CC5633"/>
    <w:rsid w:val="00CC5ED2"/>
    <w:rsid w:val="00CC62B4"/>
    <w:rsid w:val="00CC6374"/>
    <w:rsid w:val="00CC6645"/>
    <w:rsid w:val="00CC6D25"/>
    <w:rsid w:val="00CD077D"/>
    <w:rsid w:val="00CD07BA"/>
    <w:rsid w:val="00CD134F"/>
    <w:rsid w:val="00CD1433"/>
    <w:rsid w:val="00CD1E8D"/>
    <w:rsid w:val="00CD260F"/>
    <w:rsid w:val="00CD4148"/>
    <w:rsid w:val="00CD42EC"/>
    <w:rsid w:val="00CD5FC1"/>
    <w:rsid w:val="00CD663F"/>
    <w:rsid w:val="00CE1795"/>
    <w:rsid w:val="00CE18B4"/>
    <w:rsid w:val="00CE18D3"/>
    <w:rsid w:val="00CE1E98"/>
    <w:rsid w:val="00CE31C1"/>
    <w:rsid w:val="00CE362A"/>
    <w:rsid w:val="00CE4290"/>
    <w:rsid w:val="00CE446E"/>
    <w:rsid w:val="00CE4ED5"/>
    <w:rsid w:val="00CE5F98"/>
    <w:rsid w:val="00CE6178"/>
    <w:rsid w:val="00CE623C"/>
    <w:rsid w:val="00CE6BD5"/>
    <w:rsid w:val="00CE6D28"/>
    <w:rsid w:val="00CE73C2"/>
    <w:rsid w:val="00CE7CC6"/>
    <w:rsid w:val="00CE7E53"/>
    <w:rsid w:val="00CF0415"/>
    <w:rsid w:val="00CF0B68"/>
    <w:rsid w:val="00CF2884"/>
    <w:rsid w:val="00CF37CE"/>
    <w:rsid w:val="00CF419B"/>
    <w:rsid w:val="00CF41A4"/>
    <w:rsid w:val="00CF4AE9"/>
    <w:rsid w:val="00CF5584"/>
    <w:rsid w:val="00CF5BE2"/>
    <w:rsid w:val="00CF64DA"/>
    <w:rsid w:val="00CF6502"/>
    <w:rsid w:val="00CF709A"/>
    <w:rsid w:val="00D0015E"/>
    <w:rsid w:val="00D003A5"/>
    <w:rsid w:val="00D0053A"/>
    <w:rsid w:val="00D0091C"/>
    <w:rsid w:val="00D00F1A"/>
    <w:rsid w:val="00D04835"/>
    <w:rsid w:val="00D04C2C"/>
    <w:rsid w:val="00D05093"/>
    <w:rsid w:val="00D059F9"/>
    <w:rsid w:val="00D075A6"/>
    <w:rsid w:val="00D07B24"/>
    <w:rsid w:val="00D07E14"/>
    <w:rsid w:val="00D1154D"/>
    <w:rsid w:val="00D11F55"/>
    <w:rsid w:val="00D12013"/>
    <w:rsid w:val="00D120D9"/>
    <w:rsid w:val="00D127B8"/>
    <w:rsid w:val="00D12ECB"/>
    <w:rsid w:val="00D130FA"/>
    <w:rsid w:val="00D13751"/>
    <w:rsid w:val="00D13819"/>
    <w:rsid w:val="00D13A4A"/>
    <w:rsid w:val="00D14ECD"/>
    <w:rsid w:val="00D166E3"/>
    <w:rsid w:val="00D16A60"/>
    <w:rsid w:val="00D1782A"/>
    <w:rsid w:val="00D2014E"/>
    <w:rsid w:val="00D20476"/>
    <w:rsid w:val="00D20819"/>
    <w:rsid w:val="00D21587"/>
    <w:rsid w:val="00D2172A"/>
    <w:rsid w:val="00D2263A"/>
    <w:rsid w:val="00D2271A"/>
    <w:rsid w:val="00D2391D"/>
    <w:rsid w:val="00D24024"/>
    <w:rsid w:val="00D253A4"/>
    <w:rsid w:val="00D25FEA"/>
    <w:rsid w:val="00D261D6"/>
    <w:rsid w:val="00D263E3"/>
    <w:rsid w:val="00D265F5"/>
    <w:rsid w:val="00D26F54"/>
    <w:rsid w:val="00D31146"/>
    <w:rsid w:val="00D314BB"/>
    <w:rsid w:val="00D317C8"/>
    <w:rsid w:val="00D31B91"/>
    <w:rsid w:val="00D322F5"/>
    <w:rsid w:val="00D335CA"/>
    <w:rsid w:val="00D34BA8"/>
    <w:rsid w:val="00D351AB"/>
    <w:rsid w:val="00D351E1"/>
    <w:rsid w:val="00D35BBE"/>
    <w:rsid w:val="00D36579"/>
    <w:rsid w:val="00D36F61"/>
    <w:rsid w:val="00D37962"/>
    <w:rsid w:val="00D40CDE"/>
    <w:rsid w:val="00D41AD0"/>
    <w:rsid w:val="00D41B32"/>
    <w:rsid w:val="00D42F2A"/>
    <w:rsid w:val="00D43B14"/>
    <w:rsid w:val="00D45A9A"/>
    <w:rsid w:val="00D4620A"/>
    <w:rsid w:val="00D46E50"/>
    <w:rsid w:val="00D46EC6"/>
    <w:rsid w:val="00D50C99"/>
    <w:rsid w:val="00D5121D"/>
    <w:rsid w:val="00D5241C"/>
    <w:rsid w:val="00D52C62"/>
    <w:rsid w:val="00D52F29"/>
    <w:rsid w:val="00D535B1"/>
    <w:rsid w:val="00D54F91"/>
    <w:rsid w:val="00D56D11"/>
    <w:rsid w:val="00D570C8"/>
    <w:rsid w:val="00D572CA"/>
    <w:rsid w:val="00D575C2"/>
    <w:rsid w:val="00D57D15"/>
    <w:rsid w:val="00D57FF9"/>
    <w:rsid w:val="00D612F7"/>
    <w:rsid w:val="00D61F13"/>
    <w:rsid w:val="00D627BA"/>
    <w:rsid w:val="00D63B64"/>
    <w:rsid w:val="00D63BA2"/>
    <w:rsid w:val="00D643CE"/>
    <w:rsid w:val="00D6565A"/>
    <w:rsid w:val="00D65994"/>
    <w:rsid w:val="00D65C1F"/>
    <w:rsid w:val="00D6622C"/>
    <w:rsid w:val="00D676D0"/>
    <w:rsid w:val="00D679B5"/>
    <w:rsid w:val="00D70C96"/>
    <w:rsid w:val="00D715AF"/>
    <w:rsid w:val="00D715E7"/>
    <w:rsid w:val="00D719DE"/>
    <w:rsid w:val="00D71C66"/>
    <w:rsid w:val="00D7452C"/>
    <w:rsid w:val="00D74893"/>
    <w:rsid w:val="00D74A23"/>
    <w:rsid w:val="00D761CB"/>
    <w:rsid w:val="00D76A78"/>
    <w:rsid w:val="00D779A1"/>
    <w:rsid w:val="00D8124D"/>
    <w:rsid w:val="00D8132F"/>
    <w:rsid w:val="00D81A11"/>
    <w:rsid w:val="00D828E6"/>
    <w:rsid w:val="00D82CA8"/>
    <w:rsid w:val="00D82E5B"/>
    <w:rsid w:val="00D83632"/>
    <w:rsid w:val="00D83E0F"/>
    <w:rsid w:val="00D842DA"/>
    <w:rsid w:val="00D84794"/>
    <w:rsid w:val="00D84981"/>
    <w:rsid w:val="00D85083"/>
    <w:rsid w:val="00D8576F"/>
    <w:rsid w:val="00D8751E"/>
    <w:rsid w:val="00D90A90"/>
    <w:rsid w:val="00D9182B"/>
    <w:rsid w:val="00D922C9"/>
    <w:rsid w:val="00D92F90"/>
    <w:rsid w:val="00D9317C"/>
    <w:rsid w:val="00D935EF"/>
    <w:rsid w:val="00D9398A"/>
    <w:rsid w:val="00D93C66"/>
    <w:rsid w:val="00D93D55"/>
    <w:rsid w:val="00D9466F"/>
    <w:rsid w:val="00D953FE"/>
    <w:rsid w:val="00D957AD"/>
    <w:rsid w:val="00D95EE9"/>
    <w:rsid w:val="00D97CA6"/>
    <w:rsid w:val="00DA209F"/>
    <w:rsid w:val="00DA251F"/>
    <w:rsid w:val="00DA25FA"/>
    <w:rsid w:val="00DA28BE"/>
    <w:rsid w:val="00DA2A65"/>
    <w:rsid w:val="00DA562D"/>
    <w:rsid w:val="00DA6082"/>
    <w:rsid w:val="00DA6790"/>
    <w:rsid w:val="00DA69C1"/>
    <w:rsid w:val="00DA7E33"/>
    <w:rsid w:val="00DA7EA3"/>
    <w:rsid w:val="00DB005E"/>
    <w:rsid w:val="00DB08A8"/>
    <w:rsid w:val="00DB08D4"/>
    <w:rsid w:val="00DB2343"/>
    <w:rsid w:val="00DB2499"/>
    <w:rsid w:val="00DB2BA0"/>
    <w:rsid w:val="00DB3511"/>
    <w:rsid w:val="00DB4BD3"/>
    <w:rsid w:val="00DB4C1F"/>
    <w:rsid w:val="00DB4D6A"/>
    <w:rsid w:val="00DB5113"/>
    <w:rsid w:val="00DB5223"/>
    <w:rsid w:val="00DB5323"/>
    <w:rsid w:val="00DB6376"/>
    <w:rsid w:val="00DB674E"/>
    <w:rsid w:val="00DB7048"/>
    <w:rsid w:val="00DB720E"/>
    <w:rsid w:val="00DC03E6"/>
    <w:rsid w:val="00DC0589"/>
    <w:rsid w:val="00DC1969"/>
    <w:rsid w:val="00DC1A1A"/>
    <w:rsid w:val="00DC21D4"/>
    <w:rsid w:val="00DC2482"/>
    <w:rsid w:val="00DC2846"/>
    <w:rsid w:val="00DC2F84"/>
    <w:rsid w:val="00DC3B76"/>
    <w:rsid w:val="00DC3CAA"/>
    <w:rsid w:val="00DC3EBD"/>
    <w:rsid w:val="00DC418D"/>
    <w:rsid w:val="00DC45D0"/>
    <w:rsid w:val="00DC4760"/>
    <w:rsid w:val="00DC4EEE"/>
    <w:rsid w:val="00DC4FC8"/>
    <w:rsid w:val="00DC5529"/>
    <w:rsid w:val="00DC5EDB"/>
    <w:rsid w:val="00DC663C"/>
    <w:rsid w:val="00DC6B0D"/>
    <w:rsid w:val="00DC6D03"/>
    <w:rsid w:val="00DC79F8"/>
    <w:rsid w:val="00DC7CDE"/>
    <w:rsid w:val="00DD0108"/>
    <w:rsid w:val="00DD088F"/>
    <w:rsid w:val="00DD0CBF"/>
    <w:rsid w:val="00DD13A1"/>
    <w:rsid w:val="00DD15A3"/>
    <w:rsid w:val="00DD21F8"/>
    <w:rsid w:val="00DD2218"/>
    <w:rsid w:val="00DD3074"/>
    <w:rsid w:val="00DD32E3"/>
    <w:rsid w:val="00DD36B6"/>
    <w:rsid w:val="00DD400F"/>
    <w:rsid w:val="00DD4150"/>
    <w:rsid w:val="00DD5D4A"/>
    <w:rsid w:val="00DD7034"/>
    <w:rsid w:val="00DD7A66"/>
    <w:rsid w:val="00DE0207"/>
    <w:rsid w:val="00DE0719"/>
    <w:rsid w:val="00DE14CE"/>
    <w:rsid w:val="00DE17D3"/>
    <w:rsid w:val="00DE1DF0"/>
    <w:rsid w:val="00DE203D"/>
    <w:rsid w:val="00DE260D"/>
    <w:rsid w:val="00DE2A01"/>
    <w:rsid w:val="00DE31EF"/>
    <w:rsid w:val="00DE34E3"/>
    <w:rsid w:val="00DE4B01"/>
    <w:rsid w:val="00DE4F24"/>
    <w:rsid w:val="00DE6802"/>
    <w:rsid w:val="00DE765D"/>
    <w:rsid w:val="00DF1AD2"/>
    <w:rsid w:val="00DF1C0F"/>
    <w:rsid w:val="00DF249B"/>
    <w:rsid w:val="00DF2AC9"/>
    <w:rsid w:val="00DF2C01"/>
    <w:rsid w:val="00DF2CA6"/>
    <w:rsid w:val="00DF30C6"/>
    <w:rsid w:val="00DF3219"/>
    <w:rsid w:val="00DF3416"/>
    <w:rsid w:val="00DF3562"/>
    <w:rsid w:val="00DF3AB5"/>
    <w:rsid w:val="00DF3FAB"/>
    <w:rsid w:val="00DF406F"/>
    <w:rsid w:val="00DF52A4"/>
    <w:rsid w:val="00DF58B0"/>
    <w:rsid w:val="00DF5AE8"/>
    <w:rsid w:val="00DF61A8"/>
    <w:rsid w:val="00DF6828"/>
    <w:rsid w:val="00DF7798"/>
    <w:rsid w:val="00DF7916"/>
    <w:rsid w:val="00DF7D6D"/>
    <w:rsid w:val="00E00C05"/>
    <w:rsid w:val="00E00F3E"/>
    <w:rsid w:val="00E01630"/>
    <w:rsid w:val="00E01755"/>
    <w:rsid w:val="00E01859"/>
    <w:rsid w:val="00E0194A"/>
    <w:rsid w:val="00E01F1C"/>
    <w:rsid w:val="00E0303F"/>
    <w:rsid w:val="00E042D6"/>
    <w:rsid w:val="00E0490B"/>
    <w:rsid w:val="00E049D5"/>
    <w:rsid w:val="00E05268"/>
    <w:rsid w:val="00E05A6E"/>
    <w:rsid w:val="00E05FE9"/>
    <w:rsid w:val="00E06401"/>
    <w:rsid w:val="00E104B3"/>
    <w:rsid w:val="00E1218F"/>
    <w:rsid w:val="00E12228"/>
    <w:rsid w:val="00E122F8"/>
    <w:rsid w:val="00E12309"/>
    <w:rsid w:val="00E1262F"/>
    <w:rsid w:val="00E12EA6"/>
    <w:rsid w:val="00E13934"/>
    <w:rsid w:val="00E14C34"/>
    <w:rsid w:val="00E15228"/>
    <w:rsid w:val="00E1552F"/>
    <w:rsid w:val="00E161CC"/>
    <w:rsid w:val="00E16EAF"/>
    <w:rsid w:val="00E176A1"/>
    <w:rsid w:val="00E1796E"/>
    <w:rsid w:val="00E20111"/>
    <w:rsid w:val="00E20480"/>
    <w:rsid w:val="00E2122B"/>
    <w:rsid w:val="00E21498"/>
    <w:rsid w:val="00E22584"/>
    <w:rsid w:val="00E226B4"/>
    <w:rsid w:val="00E23024"/>
    <w:rsid w:val="00E235A0"/>
    <w:rsid w:val="00E23B5F"/>
    <w:rsid w:val="00E23F29"/>
    <w:rsid w:val="00E24084"/>
    <w:rsid w:val="00E245DD"/>
    <w:rsid w:val="00E24BCF"/>
    <w:rsid w:val="00E25157"/>
    <w:rsid w:val="00E25337"/>
    <w:rsid w:val="00E258FF"/>
    <w:rsid w:val="00E25D99"/>
    <w:rsid w:val="00E25DA3"/>
    <w:rsid w:val="00E2630C"/>
    <w:rsid w:val="00E30577"/>
    <w:rsid w:val="00E30907"/>
    <w:rsid w:val="00E317C3"/>
    <w:rsid w:val="00E33214"/>
    <w:rsid w:val="00E33868"/>
    <w:rsid w:val="00E35D7C"/>
    <w:rsid w:val="00E35F80"/>
    <w:rsid w:val="00E3655B"/>
    <w:rsid w:val="00E36730"/>
    <w:rsid w:val="00E369C8"/>
    <w:rsid w:val="00E401DD"/>
    <w:rsid w:val="00E4065A"/>
    <w:rsid w:val="00E4097C"/>
    <w:rsid w:val="00E41BA4"/>
    <w:rsid w:val="00E41CEC"/>
    <w:rsid w:val="00E42893"/>
    <w:rsid w:val="00E42AD5"/>
    <w:rsid w:val="00E4372C"/>
    <w:rsid w:val="00E43BB2"/>
    <w:rsid w:val="00E43D52"/>
    <w:rsid w:val="00E443FB"/>
    <w:rsid w:val="00E44943"/>
    <w:rsid w:val="00E44C5B"/>
    <w:rsid w:val="00E46A5C"/>
    <w:rsid w:val="00E47978"/>
    <w:rsid w:val="00E47D38"/>
    <w:rsid w:val="00E5051B"/>
    <w:rsid w:val="00E5093C"/>
    <w:rsid w:val="00E50B32"/>
    <w:rsid w:val="00E52890"/>
    <w:rsid w:val="00E53736"/>
    <w:rsid w:val="00E53B12"/>
    <w:rsid w:val="00E54925"/>
    <w:rsid w:val="00E55D38"/>
    <w:rsid w:val="00E57BA8"/>
    <w:rsid w:val="00E62410"/>
    <w:rsid w:val="00E627BB"/>
    <w:rsid w:val="00E62ABF"/>
    <w:rsid w:val="00E6344C"/>
    <w:rsid w:val="00E63664"/>
    <w:rsid w:val="00E640BC"/>
    <w:rsid w:val="00E647A3"/>
    <w:rsid w:val="00E64EDC"/>
    <w:rsid w:val="00E653E5"/>
    <w:rsid w:val="00E656B0"/>
    <w:rsid w:val="00E65CED"/>
    <w:rsid w:val="00E65D14"/>
    <w:rsid w:val="00E66ADE"/>
    <w:rsid w:val="00E66FB4"/>
    <w:rsid w:val="00E67726"/>
    <w:rsid w:val="00E7041D"/>
    <w:rsid w:val="00E71234"/>
    <w:rsid w:val="00E71DEF"/>
    <w:rsid w:val="00E71F3B"/>
    <w:rsid w:val="00E71F7C"/>
    <w:rsid w:val="00E71F8F"/>
    <w:rsid w:val="00E72683"/>
    <w:rsid w:val="00E727EF"/>
    <w:rsid w:val="00E72F8B"/>
    <w:rsid w:val="00E73114"/>
    <w:rsid w:val="00E73897"/>
    <w:rsid w:val="00E73DA2"/>
    <w:rsid w:val="00E7453B"/>
    <w:rsid w:val="00E7456D"/>
    <w:rsid w:val="00E7627F"/>
    <w:rsid w:val="00E7738F"/>
    <w:rsid w:val="00E77B31"/>
    <w:rsid w:val="00E80718"/>
    <w:rsid w:val="00E813CC"/>
    <w:rsid w:val="00E828EB"/>
    <w:rsid w:val="00E829EA"/>
    <w:rsid w:val="00E8327D"/>
    <w:rsid w:val="00E832E2"/>
    <w:rsid w:val="00E8464F"/>
    <w:rsid w:val="00E8481D"/>
    <w:rsid w:val="00E85BE7"/>
    <w:rsid w:val="00E85D3F"/>
    <w:rsid w:val="00E85E31"/>
    <w:rsid w:val="00E8651C"/>
    <w:rsid w:val="00E86559"/>
    <w:rsid w:val="00E8699D"/>
    <w:rsid w:val="00E86CF0"/>
    <w:rsid w:val="00E87117"/>
    <w:rsid w:val="00E87CB0"/>
    <w:rsid w:val="00E905A0"/>
    <w:rsid w:val="00E90A4D"/>
    <w:rsid w:val="00E90F1F"/>
    <w:rsid w:val="00E90F7C"/>
    <w:rsid w:val="00E91994"/>
    <w:rsid w:val="00E91A24"/>
    <w:rsid w:val="00E91E7B"/>
    <w:rsid w:val="00E91EE6"/>
    <w:rsid w:val="00E92051"/>
    <w:rsid w:val="00E929F6"/>
    <w:rsid w:val="00E936AB"/>
    <w:rsid w:val="00E9399B"/>
    <w:rsid w:val="00E939EA"/>
    <w:rsid w:val="00E94054"/>
    <w:rsid w:val="00E9456D"/>
    <w:rsid w:val="00E94F0E"/>
    <w:rsid w:val="00E95469"/>
    <w:rsid w:val="00E95D61"/>
    <w:rsid w:val="00E96173"/>
    <w:rsid w:val="00E96286"/>
    <w:rsid w:val="00E963CB"/>
    <w:rsid w:val="00E9647D"/>
    <w:rsid w:val="00E96903"/>
    <w:rsid w:val="00E96EA5"/>
    <w:rsid w:val="00E97642"/>
    <w:rsid w:val="00E97BE7"/>
    <w:rsid w:val="00EA0787"/>
    <w:rsid w:val="00EA08EF"/>
    <w:rsid w:val="00EA177A"/>
    <w:rsid w:val="00EA2261"/>
    <w:rsid w:val="00EA25DE"/>
    <w:rsid w:val="00EA2CD5"/>
    <w:rsid w:val="00EA3540"/>
    <w:rsid w:val="00EA4C6C"/>
    <w:rsid w:val="00EA4EC2"/>
    <w:rsid w:val="00EA55FF"/>
    <w:rsid w:val="00EA5675"/>
    <w:rsid w:val="00EA5901"/>
    <w:rsid w:val="00EA66A4"/>
    <w:rsid w:val="00EA6F16"/>
    <w:rsid w:val="00EA75EF"/>
    <w:rsid w:val="00EA7851"/>
    <w:rsid w:val="00EB4DCD"/>
    <w:rsid w:val="00EB5625"/>
    <w:rsid w:val="00EB6D86"/>
    <w:rsid w:val="00EC0088"/>
    <w:rsid w:val="00EC13E4"/>
    <w:rsid w:val="00EC15C6"/>
    <w:rsid w:val="00EC1909"/>
    <w:rsid w:val="00EC2583"/>
    <w:rsid w:val="00EC2B04"/>
    <w:rsid w:val="00EC3088"/>
    <w:rsid w:val="00EC358D"/>
    <w:rsid w:val="00EC45AA"/>
    <w:rsid w:val="00EC4841"/>
    <w:rsid w:val="00EC5594"/>
    <w:rsid w:val="00EC586F"/>
    <w:rsid w:val="00EC5F2E"/>
    <w:rsid w:val="00EC623B"/>
    <w:rsid w:val="00EC63CB"/>
    <w:rsid w:val="00EC7566"/>
    <w:rsid w:val="00ED0E78"/>
    <w:rsid w:val="00ED0F55"/>
    <w:rsid w:val="00ED10AA"/>
    <w:rsid w:val="00ED135D"/>
    <w:rsid w:val="00ED1E29"/>
    <w:rsid w:val="00ED2943"/>
    <w:rsid w:val="00ED35DC"/>
    <w:rsid w:val="00ED3DB1"/>
    <w:rsid w:val="00ED4D98"/>
    <w:rsid w:val="00ED568D"/>
    <w:rsid w:val="00ED5FB3"/>
    <w:rsid w:val="00ED7A6E"/>
    <w:rsid w:val="00EE0233"/>
    <w:rsid w:val="00EE19AB"/>
    <w:rsid w:val="00EE2535"/>
    <w:rsid w:val="00EE2A63"/>
    <w:rsid w:val="00EE2C76"/>
    <w:rsid w:val="00EE2ED8"/>
    <w:rsid w:val="00EE41D4"/>
    <w:rsid w:val="00EE41EF"/>
    <w:rsid w:val="00EE41F9"/>
    <w:rsid w:val="00EE5A2F"/>
    <w:rsid w:val="00EE5C5E"/>
    <w:rsid w:val="00EE5D6B"/>
    <w:rsid w:val="00EE615D"/>
    <w:rsid w:val="00EE70B2"/>
    <w:rsid w:val="00EE7216"/>
    <w:rsid w:val="00EF013C"/>
    <w:rsid w:val="00EF01AD"/>
    <w:rsid w:val="00EF0B8E"/>
    <w:rsid w:val="00EF14FA"/>
    <w:rsid w:val="00EF18BD"/>
    <w:rsid w:val="00EF1CE1"/>
    <w:rsid w:val="00EF1D89"/>
    <w:rsid w:val="00EF26E7"/>
    <w:rsid w:val="00EF2F88"/>
    <w:rsid w:val="00EF2FA7"/>
    <w:rsid w:val="00EF372B"/>
    <w:rsid w:val="00EF378D"/>
    <w:rsid w:val="00EF411A"/>
    <w:rsid w:val="00EF45AE"/>
    <w:rsid w:val="00EF469D"/>
    <w:rsid w:val="00EF4EC3"/>
    <w:rsid w:val="00EF531F"/>
    <w:rsid w:val="00EF60B1"/>
    <w:rsid w:val="00EF6122"/>
    <w:rsid w:val="00EF7FD0"/>
    <w:rsid w:val="00F001CF"/>
    <w:rsid w:val="00F011A1"/>
    <w:rsid w:val="00F01243"/>
    <w:rsid w:val="00F01300"/>
    <w:rsid w:val="00F013EE"/>
    <w:rsid w:val="00F01693"/>
    <w:rsid w:val="00F02221"/>
    <w:rsid w:val="00F031B1"/>
    <w:rsid w:val="00F038DB"/>
    <w:rsid w:val="00F050FA"/>
    <w:rsid w:val="00F057AA"/>
    <w:rsid w:val="00F05830"/>
    <w:rsid w:val="00F05C85"/>
    <w:rsid w:val="00F0639F"/>
    <w:rsid w:val="00F064C8"/>
    <w:rsid w:val="00F0707E"/>
    <w:rsid w:val="00F07523"/>
    <w:rsid w:val="00F07624"/>
    <w:rsid w:val="00F07DDF"/>
    <w:rsid w:val="00F10825"/>
    <w:rsid w:val="00F108F7"/>
    <w:rsid w:val="00F10B3E"/>
    <w:rsid w:val="00F11052"/>
    <w:rsid w:val="00F113DA"/>
    <w:rsid w:val="00F11BD2"/>
    <w:rsid w:val="00F12D4A"/>
    <w:rsid w:val="00F138A0"/>
    <w:rsid w:val="00F13F63"/>
    <w:rsid w:val="00F14247"/>
    <w:rsid w:val="00F149D2"/>
    <w:rsid w:val="00F153FB"/>
    <w:rsid w:val="00F15657"/>
    <w:rsid w:val="00F165E6"/>
    <w:rsid w:val="00F16CAD"/>
    <w:rsid w:val="00F16F20"/>
    <w:rsid w:val="00F1734F"/>
    <w:rsid w:val="00F17E79"/>
    <w:rsid w:val="00F200D7"/>
    <w:rsid w:val="00F20525"/>
    <w:rsid w:val="00F20854"/>
    <w:rsid w:val="00F2159C"/>
    <w:rsid w:val="00F21EBF"/>
    <w:rsid w:val="00F224DE"/>
    <w:rsid w:val="00F228DB"/>
    <w:rsid w:val="00F22E19"/>
    <w:rsid w:val="00F23903"/>
    <w:rsid w:val="00F244F1"/>
    <w:rsid w:val="00F24D8C"/>
    <w:rsid w:val="00F251A1"/>
    <w:rsid w:val="00F25438"/>
    <w:rsid w:val="00F25D04"/>
    <w:rsid w:val="00F25F9F"/>
    <w:rsid w:val="00F260DA"/>
    <w:rsid w:val="00F263D1"/>
    <w:rsid w:val="00F264C2"/>
    <w:rsid w:val="00F269B7"/>
    <w:rsid w:val="00F30250"/>
    <w:rsid w:val="00F30CD1"/>
    <w:rsid w:val="00F32215"/>
    <w:rsid w:val="00F32C92"/>
    <w:rsid w:val="00F35FD2"/>
    <w:rsid w:val="00F3637B"/>
    <w:rsid w:val="00F37B0F"/>
    <w:rsid w:val="00F37F1B"/>
    <w:rsid w:val="00F409EF"/>
    <w:rsid w:val="00F4119C"/>
    <w:rsid w:val="00F41CD6"/>
    <w:rsid w:val="00F44AE2"/>
    <w:rsid w:val="00F44E65"/>
    <w:rsid w:val="00F45B6E"/>
    <w:rsid w:val="00F45C50"/>
    <w:rsid w:val="00F46AE3"/>
    <w:rsid w:val="00F47711"/>
    <w:rsid w:val="00F47A62"/>
    <w:rsid w:val="00F508CB"/>
    <w:rsid w:val="00F51200"/>
    <w:rsid w:val="00F5156C"/>
    <w:rsid w:val="00F516D7"/>
    <w:rsid w:val="00F51AD0"/>
    <w:rsid w:val="00F528EF"/>
    <w:rsid w:val="00F52A6B"/>
    <w:rsid w:val="00F52A91"/>
    <w:rsid w:val="00F5374A"/>
    <w:rsid w:val="00F53AB4"/>
    <w:rsid w:val="00F542A1"/>
    <w:rsid w:val="00F554C5"/>
    <w:rsid w:val="00F55A67"/>
    <w:rsid w:val="00F55BF5"/>
    <w:rsid w:val="00F5689C"/>
    <w:rsid w:val="00F56C03"/>
    <w:rsid w:val="00F57C05"/>
    <w:rsid w:val="00F57C75"/>
    <w:rsid w:val="00F6147C"/>
    <w:rsid w:val="00F61685"/>
    <w:rsid w:val="00F61999"/>
    <w:rsid w:val="00F61AED"/>
    <w:rsid w:val="00F61D9C"/>
    <w:rsid w:val="00F6202C"/>
    <w:rsid w:val="00F638B4"/>
    <w:rsid w:val="00F63B1F"/>
    <w:rsid w:val="00F63BD6"/>
    <w:rsid w:val="00F63F1C"/>
    <w:rsid w:val="00F646BE"/>
    <w:rsid w:val="00F647BE"/>
    <w:rsid w:val="00F648FB"/>
    <w:rsid w:val="00F64E5B"/>
    <w:rsid w:val="00F66103"/>
    <w:rsid w:val="00F67656"/>
    <w:rsid w:val="00F678B7"/>
    <w:rsid w:val="00F7014B"/>
    <w:rsid w:val="00F70CF4"/>
    <w:rsid w:val="00F7158C"/>
    <w:rsid w:val="00F71D21"/>
    <w:rsid w:val="00F728B1"/>
    <w:rsid w:val="00F73214"/>
    <w:rsid w:val="00F73AF0"/>
    <w:rsid w:val="00F74C63"/>
    <w:rsid w:val="00F75126"/>
    <w:rsid w:val="00F75E6F"/>
    <w:rsid w:val="00F76676"/>
    <w:rsid w:val="00F76EE4"/>
    <w:rsid w:val="00F77214"/>
    <w:rsid w:val="00F7753E"/>
    <w:rsid w:val="00F77758"/>
    <w:rsid w:val="00F77FBE"/>
    <w:rsid w:val="00F805C2"/>
    <w:rsid w:val="00F8104D"/>
    <w:rsid w:val="00F81B26"/>
    <w:rsid w:val="00F81D8D"/>
    <w:rsid w:val="00F82871"/>
    <w:rsid w:val="00F82A99"/>
    <w:rsid w:val="00F8362A"/>
    <w:rsid w:val="00F8377D"/>
    <w:rsid w:val="00F83BC3"/>
    <w:rsid w:val="00F847A3"/>
    <w:rsid w:val="00F84AAF"/>
    <w:rsid w:val="00F8692C"/>
    <w:rsid w:val="00F86FC0"/>
    <w:rsid w:val="00F879F4"/>
    <w:rsid w:val="00F87C6C"/>
    <w:rsid w:val="00F87CEC"/>
    <w:rsid w:val="00F9041E"/>
    <w:rsid w:val="00F904F8"/>
    <w:rsid w:val="00F90C56"/>
    <w:rsid w:val="00F91121"/>
    <w:rsid w:val="00F9138B"/>
    <w:rsid w:val="00F917D3"/>
    <w:rsid w:val="00F92294"/>
    <w:rsid w:val="00F93367"/>
    <w:rsid w:val="00F93545"/>
    <w:rsid w:val="00F93905"/>
    <w:rsid w:val="00F93DBE"/>
    <w:rsid w:val="00F94C23"/>
    <w:rsid w:val="00F94C4D"/>
    <w:rsid w:val="00F95476"/>
    <w:rsid w:val="00F955A2"/>
    <w:rsid w:val="00F95C1C"/>
    <w:rsid w:val="00F95C2E"/>
    <w:rsid w:val="00F95EB1"/>
    <w:rsid w:val="00F960F6"/>
    <w:rsid w:val="00F961C2"/>
    <w:rsid w:val="00F96615"/>
    <w:rsid w:val="00F96B84"/>
    <w:rsid w:val="00F96E9F"/>
    <w:rsid w:val="00F9760B"/>
    <w:rsid w:val="00F97C6B"/>
    <w:rsid w:val="00F97D5F"/>
    <w:rsid w:val="00FA01A0"/>
    <w:rsid w:val="00FA0757"/>
    <w:rsid w:val="00FA0777"/>
    <w:rsid w:val="00FA1207"/>
    <w:rsid w:val="00FA147C"/>
    <w:rsid w:val="00FA1A9C"/>
    <w:rsid w:val="00FA1DA9"/>
    <w:rsid w:val="00FA3029"/>
    <w:rsid w:val="00FA367A"/>
    <w:rsid w:val="00FA40C1"/>
    <w:rsid w:val="00FA433C"/>
    <w:rsid w:val="00FA4349"/>
    <w:rsid w:val="00FA4AB0"/>
    <w:rsid w:val="00FA4D00"/>
    <w:rsid w:val="00FA5033"/>
    <w:rsid w:val="00FA6037"/>
    <w:rsid w:val="00FA6340"/>
    <w:rsid w:val="00FA677F"/>
    <w:rsid w:val="00FA6ECC"/>
    <w:rsid w:val="00FA739E"/>
    <w:rsid w:val="00FB1705"/>
    <w:rsid w:val="00FB2B46"/>
    <w:rsid w:val="00FB2D24"/>
    <w:rsid w:val="00FB329C"/>
    <w:rsid w:val="00FB3580"/>
    <w:rsid w:val="00FB3886"/>
    <w:rsid w:val="00FB3BCC"/>
    <w:rsid w:val="00FB4470"/>
    <w:rsid w:val="00FB55C2"/>
    <w:rsid w:val="00FB5694"/>
    <w:rsid w:val="00FB5CA6"/>
    <w:rsid w:val="00FB6FE9"/>
    <w:rsid w:val="00FB7394"/>
    <w:rsid w:val="00FC07F3"/>
    <w:rsid w:val="00FC0C5E"/>
    <w:rsid w:val="00FC0E33"/>
    <w:rsid w:val="00FC14C6"/>
    <w:rsid w:val="00FC34D1"/>
    <w:rsid w:val="00FC37F8"/>
    <w:rsid w:val="00FC3877"/>
    <w:rsid w:val="00FC4BC7"/>
    <w:rsid w:val="00FC6CF0"/>
    <w:rsid w:val="00FC7EAC"/>
    <w:rsid w:val="00FD053A"/>
    <w:rsid w:val="00FD06FB"/>
    <w:rsid w:val="00FD14C0"/>
    <w:rsid w:val="00FD16F6"/>
    <w:rsid w:val="00FD1BDD"/>
    <w:rsid w:val="00FD1EBD"/>
    <w:rsid w:val="00FD219C"/>
    <w:rsid w:val="00FD2D36"/>
    <w:rsid w:val="00FD2F49"/>
    <w:rsid w:val="00FD3E40"/>
    <w:rsid w:val="00FD412A"/>
    <w:rsid w:val="00FD41C1"/>
    <w:rsid w:val="00FD499D"/>
    <w:rsid w:val="00FD5593"/>
    <w:rsid w:val="00FD65E7"/>
    <w:rsid w:val="00FD6BDC"/>
    <w:rsid w:val="00FE0833"/>
    <w:rsid w:val="00FE0A2F"/>
    <w:rsid w:val="00FE1AC6"/>
    <w:rsid w:val="00FE205C"/>
    <w:rsid w:val="00FE31D9"/>
    <w:rsid w:val="00FE4021"/>
    <w:rsid w:val="00FE4470"/>
    <w:rsid w:val="00FE5D1D"/>
    <w:rsid w:val="00FF0031"/>
    <w:rsid w:val="00FF0041"/>
    <w:rsid w:val="00FF197E"/>
    <w:rsid w:val="00FF1A40"/>
    <w:rsid w:val="00FF1D2A"/>
    <w:rsid w:val="00FF2688"/>
    <w:rsid w:val="00FF325A"/>
    <w:rsid w:val="00FF326D"/>
    <w:rsid w:val="00FF36A7"/>
    <w:rsid w:val="00FF3E17"/>
    <w:rsid w:val="00FF475B"/>
    <w:rsid w:val="00FF53B4"/>
    <w:rsid w:val="00FF5F2E"/>
    <w:rsid w:val="00FF65F3"/>
    <w:rsid w:val="00FF67E2"/>
    <w:rsid w:val="00FF6E28"/>
    <w:rsid w:val="00FF6E50"/>
    <w:rsid w:val="00FF6EC8"/>
    <w:rsid w:val="00FF6F83"/>
    <w:rsid w:val="00FF72B2"/>
    <w:rsid w:val="00FF73D1"/>
    <w:rsid w:val="00FF7451"/>
    <w:rsid w:val="00FF75DA"/>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033A2647"/>
  <w15:chartTrackingRefBased/>
  <w15:docId w15:val="{805AD8B1-5288-49A9-A1DD-26C13BB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1EF"/>
    <w:pPr>
      <w:spacing w:after="120" w:line="336" w:lineRule="auto"/>
      <w:jc w:val="both"/>
    </w:pPr>
    <w:rPr>
      <w:rFonts w:ascii="Times New Roman" w:hAnsi="Times New Roman"/>
    </w:rPr>
  </w:style>
  <w:style w:type="paragraph" w:styleId="Nadpis1">
    <w:name w:val="heading 1"/>
    <w:basedOn w:val="Normlny"/>
    <w:next w:val="Normlny"/>
    <w:link w:val="Nadpis1Char"/>
    <w:uiPriority w:val="9"/>
    <w:qFormat/>
    <w:rsid w:val="00ED135D"/>
    <w:pPr>
      <w:keepNext/>
      <w:numPr>
        <w:numId w:val="1"/>
      </w:numPr>
      <w:spacing w:before="120"/>
      <w:ind w:left="4402"/>
      <w:jc w:val="center"/>
      <w:outlineLvl w:val="0"/>
    </w:pPr>
    <w:rPr>
      <w:rFonts w:eastAsiaTheme="majorEastAsia" w:cstheme="majorBidi"/>
      <w:b/>
      <w:sz w:val="26"/>
      <w:szCs w:val="32"/>
    </w:rPr>
  </w:style>
  <w:style w:type="paragraph" w:styleId="Nadpis2">
    <w:name w:val="heading 2"/>
    <w:basedOn w:val="Normlny"/>
    <w:next w:val="Normlny"/>
    <w:link w:val="Nadpis2Char"/>
    <w:uiPriority w:val="9"/>
    <w:unhideWhenUsed/>
    <w:qFormat/>
    <w:rsid w:val="00005A9B"/>
    <w:pPr>
      <w:keepNext/>
      <w:numPr>
        <w:ilvl w:val="1"/>
        <w:numId w:val="1"/>
      </w:numPr>
      <w:spacing w:before="120"/>
      <w:ind w:left="578" w:hanging="578"/>
      <w:jc w:val="center"/>
      <w:outlineLvl w:val="1"/>
    </w:pPr>
    <w:rPr>
      <w:rFonts w:eastAsiaTheme="majorEastAsia" w:cstheme="majorBidi"/>
      <w:b/>
      <w:sz w:val="24"/>
      <w:szCs w:val="26"/>
    </w:rPr>
  </w:style>
  <w:style w:type="paragraph" w:styleId="Nadpis3">
    <w:name w:val="heading 3"/>
    <w:basedOn w:val="Normlny"/>
    <w:next w:val="Normlny"/>
    <w:link w:val="Nadpis3Char"/>
    <w:uiPriority w:val="9"/>
    <w:unhideWhenUsed/>
    <w:qFormat/>
    <w:rsid w:val="00642B82"/>
    <w:pPr>
      <w:keepNext/>
      <w:keepLines/>
      <w:numPr>
        <w:ilvl w:val="2"/>
        <w:numId w:val="1"/>
      </w:numPr>
      <w:spacing w:before="120" w:line="240" w:lineRule="auto"/>
      <w:ind w:left="0" w:firstLine="0"/>
      <w:jc w:val="center"/>
      <w:outlineLvl w:val="2"/>
    </w:pPr>
    <w:rPr>
      <w:rFonts w:eastAsiaTheme="majorEastAsia" w:cstheme="majorBidi"/>
      <w:b/>
      <w:sz w:val="24"/>
      <w:szCs w:val="24"/>
    </w:rPr>
  </w:style>
  <w:style w:type="paragraph" w:styleId="Nadpis4">
    <w:name w:val="heading 4"/>
    <w:basedOn w:val="Normlny"/>
    <w:next w:val="Normlny"/>
    <w:link w:val="Nadpis4Char"/>
    <w:uiPriority w:val="9"/>
    <w:unhideWhenUsed/>
    <w:qFormat/>
    <w:rsid w:val="00F61D9C"/>
    <w:pPr>
      <w:keepNext/>
      <w:keepLines/>
      <w:numPr>
        <w:ilvl w:val="3"/>
        <w:numId w:val="1"/>
      </w:numPr>
      <w:spacing w:before="120"/>
      <w:ind w:left="862" w:hanging="862"/>
      <w:jc w:val="center"/>
      <w:outlineLvl w:val="3"/>
    </w:pPr>
    <w:rPr>
      <w:rFonts w:eastAsiaTheme="majorEastAsia" w:cstheme="majorBidi"/>
      <w:b/>
      <w:iCs/>
    </w:rPr>
  </w:style>
  <w:style w:type="paragraph" w:styleId="Nadpis5">
    <w:name w:val="heading 5"/>
    <w:basedOn w:val="Normlny"/>
    <w:next w:val="Normlny"/>
    <w:link w:val="Nadpis5Char"/>
    <w:uiPriority w:val="9"/>
    <w:unhideWhenUsed/>
    <w:qFormat/>
    <w:rsid w:val="009C63C5"/>
    <w:pPr>
      <w:keepNext/>
      <w:keepLines/>
      <w:numPr>
        <w:ilvl w:val="4"/>
        <w:numId w:val="1"/>
      </w:numPr>
      <w:spacing w:before="40" w:after="0"/>
      <w:outlineLvl w:val="4"/>
    </w:pPr>
    <w:rPr>
      <w:rFonts w:eastAsiaTheme="majorEastAsia" w:cstheme="majorBidi"/>
      <w:b/>
    </w:rPr>
  </w:style>
  <w:style w:type="paragraph" w:styleId="Nadpis6">
    <w:name w:val="heading 6"/>
    <w:basedOn w:val="Normlny"/>
    <w:next w:val="Normlny"/>
    <w:link w:val="Nadpis6Char"/>
    <w:uiPriority w:val="9"/>
    <w:semiHidden/>
    <w:unhideWhenUsed/>
    <w:qFormat/>
    <w:rsid w:val="005F5B8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F5B8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F5B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F5B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135D"/>
    <w:rPr>
      <w:rFonts w:ascii="Times New Roman" w:eastAsiaTheme="majorEastAsia" w:hAnsi="Times New Roman" w:cstheme="majorBidi"/>
      <w:b/>
      <w:sz w:val="26"/>
      <w:szCs w:val="32"/>
    </w:rPr>
  </w:style>
  <w:style w:type="character" w:customStyle="1" w:styleId="Nadpis2Char">
    <w:name w:val="Nadpis 2 Char"/>
    <w:basedOn w:val="Predvolenpsmoodseku"/>
    <w:link w:val="Nadpis2"/>
    <w:uiPriority w:val="9"/>
    <w:rsid w:val="00005A9B"/>
    <w:rPr>
      <w:rFonts w:ascii="Times New Roman" w:eastAsiaTheme="majorEastAsia" w:hAnsi="Times New Roman" w:cstheme="majorBidi"/>
      <w:b/>
      <w:sz w:val="24"/>
      <w:szCs w:val="26"/>
    </w:rPr>
  </w:style>
  <w:style w:type="character" w:customStyle="1" w:styleId="Nadpis3Char">
    <w:name w:val="Nadpis 3 Char"/>
    <w:basedOn w:val="Predvolenpsmoodseku"/>
    <w:link w:val="Nadpis3"/>
    <w:uiPriority w:val="9"/>
    <w:rsid w:val="00642B82"/>
    <w:rPr>
      <w:rFonts w:ascii="Times New Roman" w:eastAsiaTheme="majorEastAsia" w:hAnsi="Times New Roman" w:cstheme="majorBidi"/>
      <w:b/>
      <w:sz w:val="24"/>
      <w:szCs w:val="24"/>
    </w:rPr>
  </w:style>
  <w:style w:type="character" w:customStyle="1" w:styleId="Nadpis4Char">
    <w:name w:val="Nadpis 4 Char"/>
    <w:basedOn w:val="Predvolenpsmoodseku"/>
    <w:link w:val="Nadpis4"/>
    <w:uiPriority w:val="9"/>
    <w:rsid w:val="00F61D9C"/>
    <w:rPr>
      <w:rFonts w:ascii="Times New Roman" w:eastAsiaTheme="majorEastAsia" w:hAnsi="Times New Roman" w:cstheme="majorBidi"/>
      <w:b/>
      <w:iCs/>
    </w:rPr>
  </w:style>
  <w:style w:type="character" w:customStyle="1" w:styleId="Nadpis5Char">
    <w:name w:val="Nadpis 5 Char"/>
    <w:basedOn w:val="Predvolenpsmoodseku"/>
    <w:link w:val="Nadpis5"/>
    <w:uiPriority w:val="9"/>
    <w:rsid w:val="009C63C5"/>
    <w:rPr>
      <w:rFonts w:ascii="Times New Roman" w:eastAsiaTheme="majorEastAsia" w:hAnsi="Times New Roman" w:cstheme="majorBidi"/>
      <w:b/>
    </w:rPr>
  </w:style>
  <w:style w:type="character" w:customStyle="1" w:styleId="Nadpis6Char">
    <w:name w:val="Nadpis 6 Char"/>
    <w:basedOn w:val="Predvolenpsmoodseku"/>
    <w:link w:val="Nadpis6"/>
    <w:uiPriority w:val="9"/>
    <w:semiHidden/>
    <w:rsid w:val="005F5B88"/>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5F5B88"/>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5F5B8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F5B88"/>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iPriority w:val="99"/>
    <w:unhideWhenUsed/>
    <w:rsid w:val="00881B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1BDB"/>
    <w:rPr>
      <w:rFonts w:ascii="Times New Roman" w:hAnsi="Times New Roman"/>
    </w:rPr>
  </w:style>
  <w:style w:type="paragraph" w:styleId="Pta">
    <w:name w:val="footer"/>
    <w:basedOn w:val="Normlny"/>
    <w:link w:val="PtaChar"/>
    <w:unhideWhenUsed/>
    <w:rsid w:val="00881BDB"/>
    <w:pPr>
      <w:tabs>
        <w:tab w:val="center" w:pos="4536"/>
        <w:tab w:val="right" w:pos="9072"/>
      </w:tabs>
      <w:spacing w:after="0" w:line="240" w:lineRule="auto"/>
    </w:pPr>
  </w:style>
  <w:style w:type="character" w:customStyle="1" w:styleId="PtaChar">
    <w:name w:val="Päta Char"/>
    <w:basedOn w:val="Predvolenpsmoodseku"/>
    <w:link w:val="Pta"/>
    <w:rsid w:val="00881BDB"/>
    <w:rPr>
      <w:rFonts w:ascii="Times New Roman" w:hAnsi="Times New Roman"/>
    </w:rPr>
  </w:style>
  <w:style w:type="paragraph" w:styleId="Obsah1">
    <w:name w:val="toc 1"/>
    <w:basedOn w:val="Normlny"/>
    <w:next w:val="Normlny"/>
    <w:autoRedefine/>
    <w:uiPriority w:val="39"/>
    <w:unhideWhenUsed/>
    <w:rsid w:val="003B450C"/>
    <w:pPr>
      <w:tabs>
        <w:tab w:val="left" w:pos="332"/>
        <w:tab w:val="right" w:pos="8493"/>
      </w:tabs>
      <w:spacing w:before="240" w:after="0" w:line="240" w:lineRule="auto"/>
      <w:jc w:val="left"/>
    </w:pPr>
    <w:rPr>
      <w:b/>
      <w:bCs/>
      <w:noProof/>
      <w:sz w:val="20"/>
    </w:rPr>
  </w:style>
  <w:style w:type="paragraph" w:styleId="Obsah2">
    <w:name w:val="toc 2"/>
    <w:basedOn w:val="Normlny"/>
    <w:next w:val="Normlny"/>
    <w:autoRedefine/>
    <w:uiPriority w:val="39"/>
    <w:unhideWhenUsed/>
    <w:rsid w:val="00C464CF"/>
    <w:pPr>
      <w:tabs>
        <w:tab w:val="left" w:pos="502"/>
        <w:tab w:val="right" w:pos="8493"/>
      </w:tabs>
      <w:spacing w:after="0" w:line="240" w:lineRule="auto"/>
      <w:jc w:val="left"/>
    </w:pPr>
    <w:rPr>
      <w:b/>
      <w:bCs/>
      <w:noProof/>
      <w:sz w:val="20"/>
    </w:rPr>
  </w:style>
  <w:style w:type="paragraph" w:styleId="Obsah3">
    <w:name w:val="toc 3"/>
    <w:basedOn w:val="Normlny"/>
    <w:next w:val="Normlny"/>
    <w:autoRedefine/>
    <w:uiPriority w:val="39"/>
    <w:unhideWhenUsed/>
    <w:rsid w:val="00E813CC"/>
    <w:pPr>
      <w:tabs>
        <w:tab w:val="left" w:pos="666"/>
        <w:tab w:val="right" w:pos="8493"/>
      </w:tabs>
      <w:spacing w:after="0" w:line="240" w:lineRule="auto"/>
      <w:jc w:val="left"/>
    </w:pPr>
    <w:rPr>
      <w:rFonts w:cs="Times New Roman"/>
      <w:noProof/>
    </w:rPr>
  </w:style>
  <w:style w:type="character" w:styleId="Hypertextovprepojenie">
    <w:name w:val="Hyperlink"/>
    <w:basedOn w:val="Predvolenpsmoodseku"/>
    <w:uiPriority w:val="99"/>
    <w:unhideWhenUsed/>
    <w:rsid w:val="0021355F"/>
    <w:rPr>
      <w:color w:val="0563C1" w:themeColor="hyperlink"/>
      <w:u w:val="single"/>
    </w:rPr>
  </w:style>
  <w:style w:type="paragraph" w:styleId="Obsah4">
    <w:name w:val="toc 4"/>
    <w:basedOn w:val="Normlny"/>
    <w:next w:val="Normlny"/>
    <w:autoRedefine/>
    <w:uiPriority w:val="39"/>
    <w:unhideWhenUsed/>
    <w:rsid w:val="007F2028"/>
    <w:pPr>
      <w:tabs>
        <w:tab w:val="left" w:pos="833"/>
      </w:tabs>
      <w:spacing w:after="0" w:line="240" w:lineRule="auto"/>
      <w:jc w:val="left"/>
    </w:pPr>
    <w:rPr>
      <w:rFonts w:asciiTheme="minorHAnsi" w:hAnsiTheme="minorHAnsi"/>
    </w:rPr>
  </w:style>
  <w:style w:type="paragraph" w:styleId="Obsah5">
    <w:name w:val="toc 5"/>
    <w:basedOn w:val="Normlny"/>
    <w:next w:val="Normlny"/>
    <w:autoRedefine/>
    <w:uiPriority w:val="39"/>
    <w:unhideWhenUsed/>
    <w:rsid w:val="007D65C4"/>
    <w:pPr>
      <w:spacing w:after="0"/>
      <w:jc w:val="left"/>
    </w:pPr>
    <w:rPr>
      <w:rFonts w:asciiTheme="minorHAnsi" w:hAnsiTheme="minorHAnsi"/>
    </w:rPr>
  </w:style>
  <w:style w:type="paragraph" w:styleId="Obsah6">
    <w:name w:val="toc 6"/>
    <w:basedOn w:val="Normlny"/>
    <w:next w:val="Normlny"/>
    <w:autoRedefine/>
    <w:uiPriority w:val="39"/>
    <w:unhideWhenUsed/>
    <w:rsid w:val="007D65C4"/>
    <w:pPr>
      <w:spacing w:after="0"/>
      <w:jc w:val="left"/>
    </w:pPr>
    <w:rPr>
      <w:rFonts w:asciiTheme="minorHAnsi" w:hAnsiTheme="minorHAnsi"/>
    </w:rPr>
  </w:style>
  <w:style w:type="paragraph" w:styleId="Obsah7">
    <w:name w:val="toc 7"/>
    <w:basedOn w:val="Normlny"/>
    <w:next w:val="Normlny"/>
    <w:autoRedefine/>
    <w:uiPriority w:val="39"/>
    <w:unhideWhenUsed/>
    <w:rsid w:val="007D65C4"/>
    <w:pPr>
      <w:spacing w:after="0"/>
      <w:jc w:val="left"/>
    </w:pPr>
    <w:rPr>
      <w:rFonts w:asciiTheme="minorHAnsi" w:hAnsiTheme="minorHAnsi"/>
    </w:rPr>
  </w:style>
  <w:style w:type="paragraph" w:styleId="Obsah8">
    <w:name w:val="toc 8"/>
    <w:basedOn w:val="Normlny"/>
    <w:next w:val="Normlny"/>
    <w:autoRedefine/>
    <w:uiPriority w:val="39"/>
    <w:unhideWhenUsed/>
    <w:rsid w:val="007D65C4"/>
    <w:pPr>
      <w:spacing w:after="0"/>
      <w:jc w:val="left"/>
    </w:pPr>
    <w:rPr>
      <w:rFonts w:asciiTheme="minorHAnsi" w:hAnsiTheme="minorHAnsi"/>
    </w:rPr>
  </w:style>
  <w:style w:type="paragraph" w:styleId="Obsah9">
    <w:name w:val="toc 9"/>
    <w:basedOn w:val="Normlny"/>
    <w:next w:val="Normlny"/>
    <w:autoRedefine/>
    <w:uiPriority w:val="39"/>
    <w:unhideWhenUsed/>
    <w:rsid w:val="007D65C4"/>
    <w:pPr>
      <w:spacing w:after="0"/>
      <w:jc w:val="left"/>
    </w:pPr>
    <w:rPr>
      <w:rFonts w:asciiTheme="minorHAnsi" w:hAnsiTheme="minorHAnsi"/>
    </w:rPr>
  </w:style>
  <w:style w:type="character" w:customStyle="1" w:styleId="st1">
    <w:name w:val="st1"/>
    <w:basedOn w:val="Predvolenpsmoodseku"/>
    <w:rsid w:val="00743099"/>
  </w:style>
  <w:style w:type="character" w:customStyle="1" w:styleId="awspan1">
    <w:name w:val="awspan1"/>
    <w:basedOn w:val="Predvolenpsmoodseku"/>
    <w:rsid w:val="00743099"/>
    <w:rPr>
      <w:color w:val="000000"/>
      <w:sz w:val="24"/>
      <w:szCs w:val="24"/>
    </w:rPr>
  </w:style>
  <w:style w:type="paragraph" w:styleId="Odsekzoznamu">
    <w:name w:val="List Paragraph"/>
    <w:basedOn w:val="Normlny"/>
    <w:uiPriority w:val="34"/>
    <w:qFormat/>
    <w:rsid w:val="00530112"/>
    <w:pPr>
      <w:spacing w:after="0" w:line="240" w:lineRule="auto"/>
      <w:ind w:left="720"/>
      <w:contextualSpacing/>
      <w:jc w:val="left"/>
    </w:pPr>
    <w:rPr>
      <w:rFonts w:ascii="Calibri" w:hAnsi="Calibri" w:cs="Times New Roman"/>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Plonk"/>
    <w:basedOn w:val="Normlny"/>
    <w:link w:val="TextpoznmkypodiarouChar"/>
    <w:unhideWhenUsed/>
    <w:qFormat/>
    <w:rsid w:val="00237058"/>
    <w:pPr>
      <w:spacing w:after="0" w:line="240" w:lineRule="auto"/>
    </w:pPr>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Plonk Char"/>
    <w:basedOn w:val="Predvolenpsmoodseku"/>
    <w:link w:val="Textpoznmkypodiarou"/>
    <w:rsid w:val="00237058"/>
    <w:rPr>
      <w:rFonts w:ascii="Times New Roman" w:hAnsi="Times New Roman"/>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link w:val="Char2"/>
    <w:uiPriority w:val="99"/>
    <w:unhideWhenUsed/>
    <w:qFormat/>
    <w:rsid w:val="00237058"/>
    <w:rPr>
      <w:vertAlign w:val="superscript"/>
    </w:rPr>
  </w:style>
  <w:style w:type="paragraph" w:customStyle="1" w:styleId="Char2">
    <w:name w:val="Char2"/>
    <w:basedOn w:val="Normlny"/>
    <w:link w:val="Odkaznapoznmkupodiarou"/>
    <w:uiPriority w:val="99"/>
    <w:rsid w:val="00415AB8"/>
    <w:pPr>
      <w:spacing w:after="0" w:line="240" w:lineRule="exact"/>
      <w:jc w:val="left"/>
    </w:pPr>
    <w:rPr>
      <w:rFonts w:asciiTheme="minorHAnsi" w:hAnsiTheme="minorHAnsi"/>
      <w:vertAlign w:val="superscript"/>
    </w:rPr>
  </w:style>
  <w:style w:type="paragraph" w:customStyle="1" w:styleId="Zkladntext1">
    <w:name w:val="Základný text1"/>
    <w:rsid w:val="00F057AA"/>
    <w:pPr>
      <w:spacing w:after="0" w:line="240" w:lineRule="auto"/>
    </w:pPr>
    <w:rPr>
      <w:rFonts w:ascii="Dutch801 SWC" w:eastAsia="Times New Roman" w:hAnsi="Dutch801 SWC" w:cs="Times New Roman"/>
      <w:color w:val="000000"/>
      <w:sz w:val="24"/>
      <w:szCs w:val="20"/>
      <w:lang w:val="en-US" w:eastAsia="sk-SK"/>
    </w:rPr>
  </w:style>
  <w:style w:type="character" w:styleId="Odkaznakomentr">
    <w:name w:val="annotation reference"/>
    <w:basedOn w:val="Predvolenpsmoodseku"/>
    <w:uiPriority w:val="99"/>
    <w:semiHidden/>
    <w:unhideWhenUsed/>
    <w:rsid w:val="005717A4"/>
    <w:rPr>
      <w:sz w:val="16"/>
      <w:szCs w:val="16"/>
    </w:rPr>
  </w:style>
  <w:style w:type="paragraph" w:styleId="Textkomentra">
    <w:name w:val="annotation text"/>
    <w:basedOn w:val="Normlny"/>
    <w:link w:val="TextkomentraChar"/>
    <w:uiPriority w:val="99"/>
    <w:unhideWhenUsed/>
    <w:rsid w:val="005717A4"/>
    <w:pPr>
      <w:spacing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5717A4"/>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5434A"/>
    <w:pPr>
      <w:spacing w:after="0"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rsid w:val="0045434A"/>
    <w:rPr>
      <w:rFonts w:ascii="Segoe UI" w:hAnsi="Segoe UI"/>
      <w:sz w:val="18"/>
      <w:szCs w:val="18"/>
    </w:rPr>
  </w:style>
  <w:style w:type="paragraph" w:customStyle="1" w:styleId="Zkladntext">
    <w:name w:val="Základní text"/>
    <w:rsid w:val="00ED135D"/>
    <w:pPr>
      <w:widowControl w:val="0"/>
      <w:spacing w:after="0" w:line="240" w:lineRule="auto"/>
    </w:pPr>
    <w:rPr>
      <w:rFonts w:ascii="Times New Roman" w:eastAsia="Times New Roman" w:hAnsi="Times New Roman" w:cs="Times New Roman"/>
      <w:color w:val="000000"/>
      <w:sz w:val="26"/>
      <w:szCs w:val="20"/>
      <w:lang w:eastAsia="sk-SK"/>
    </w:rPr>
  </w:style>
  <w:style w:type="paragraph" w:styleId="Zkladntext0">
    <w:name w:val="Body Text"/>
    <w:basedOn w:val="Normlny"/>
    <w:link w:val="ZkladntextChar"/>
    <w:rsid w:val="005F6E5F"/>
    <w:pPr>
      <w:spacing w:after="0" w:line="240" w:lineRule="auto"/>
    </w:pPr>
    <w:rPr>
      <w:rFonts w:eastAsia="Times New Roman" w:cs="Times New Roman"/>
      <w:sz w:val="24"/>
      <w:szCs w:val="20"/>
      <w:lang w:eastAsia="sk-SK"/>
    </w:rPr>
  </w:style>
  <w:style w:type="character" w:customStyle="1" w:styleId="ZkladntextChar">
    <w:name w:val="Základný text Char"/>
    <w:basedOn w:val="Predvolenpsmoodseku"/>
    <w:link w:val="Zkladntext0"/>
    <w:rsid w:val="005F6E5F"/>
    <w:rPr>
      <w:rFonts w:ascii="Times New Roman" w:eastAsia="Times New Roman" w:hAnsi="Times New Roman" w:cs="Times New Roman"/>
      <w:sz w:val="24"/>
      <w:szCs w:val="20"/>
      <w:lang w:eastAsia="sk-SK"/>
    </w:rPr>
  </w:style>
  <w:style w:type="paragraph" w:styleId="Revzia">
    <w:name w:val="Revision"/>
    <w:hidden/>
    <w:uiPriority w:val="99"/>
    <w:semiHidden/>
    <w:rsid w:val="00F61D9C"/>
    <w:pPr>
      <w:spacing w:after="0" w:line="240" w:lineRule="auto"/>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8F75C2"/>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8F75C2"/>
    <w:pPr>
      <w:spacing w:after="0" w:line="240" w:lineRule="auto"/>
      <w:ind w:firstLine="708"/>
      <w:jc w:val="left"/>
    </w:pPr>
    <w:rPr>
      <w:rFonts w:cs="Times New Roman"/>
      <w:sz w:val="24"/>
      <w:szCs w:val="24"/>
      <w:lang w:eastAsia="sk-SK"/>
    </w:rPr>
  </w:style>
  <w:style w:type="paragraph" w:styleId="Bezriadkovania">
    <w:name w:val="No Spacing"/>
    <w:uiPriority w:val="1"/>
    <w:qFormat/>
    <w:rsid w:val="00872F0C"/>
    <w:pPr>
      <w:spacing w:after="0" w:line="240" w:lineRule="auto"/>
      <w:jc w:val="both"/>
    </w:pPr>
    <w:rPr>
      <w:rFonts w:ascii="Times New Roman" w:eastAsia="Times New Roman" w:hAnsi="Times New Roman" w:cs="Times New Roman"/>
      <w:szCs w:val="36"/>
    </w:rPr>
  </w:style>
  <w:style w:type="paragraph" w:customStyle="1" w:styleId="textCharCharCharChar">
    <w:name w:val="text Char Char Char Char"/>
    <w:basedOn w:val="Normlny"/>
    <w:link w:val="textCharCharCharCharChar"/>
    <w:rsid w:val="00872F0C"/>
    <w:pPr>
      <w:spacing w:line="240" w:lineRule="auto"/>
      <w:ind w:firstLine="510"/>
    </w:pPr>
    <w:rPr>
      <w:rFonts w:eastAsia="Batang" w:cs="Times New Roman"/>
      <w:color w:val="000000"/>
      <w:szCs w:val="24"/>
      <w:lang w:eastAsia="sk-SK"/>
    </w:rPr>
  </w:style>
  <w:style w:type="character" w:customStyle="1" w:styleId="textCharCharCharCharChar">
    <w:name w:val="text Char Char Char Char Char"/>
    <w:link w:val="textCharCharCharChar"/>
    <w:rsid w:val="00872F0C"/>
    <w:rPr>
      <w:rFonts w:ascii="Times New Roman" w:eastAsia="Batang" w:hAnsi="Times New Roman" w:cs="Times New Roman"/>
      <w:color w:val="000000"/>
      <w:szCs w:val="24"/>
      <w:lang w:eastAsia="sk-SK"/>
    </w:rPr>
  </w:style>
  <w:style w:type="character" w:styleId="Siln">
    <w:name w:val="Strong"/>
    <w:basedOn w:val="Predvolenpsmoodseku"/>
    <w:uiPriority w:val="22"/>
    <w:qFormat/>
    <w:rsid w:val="00872F0C"/>
    <w:rPr>
      <w:b/>
      <w:bCs/>
    </w:rPr>
  </w:style>
  <w:style w:type="paragraph" w:customStyle="1" w:styleId="default">
    <w:name w:val="default"/>
    <w:basedOn w:val="Normlny"/>
    <w:rsid w:val="00614751"/>
    <w:pPr>
      <w:autoSpaceDE w:val="0"/>
      <w:autoSpaceDN w:val="0"/>
      <w:spacing w:after="0" w:line="240" w:lineRule="auto"/>
      <w:jc w:val="left"/>
    </w:pPr>
    <w:rPr>
      <w:rFonts w:eastAsia="Times New Roman" w:cs="Times New Roman"/>
      <w:color w:val="000000"/>
      <w:sz w:val="24"/>
      <w:szCs w:val="24"/>
      <w:lang w:eastAsia="sk-SK"/>
    </w:rPr>
  </w:style>
  <w:style w:type="character" w:styleId="PouitHypertextovPrepojenie">
    <w:name w:val="FollowedHyperlink"/>
    <w:basedOn w:val="Predvolenpsmoodseku"/>
    <w:uiPriority w:val="99"/>
    <w:semiHidden/>
    <w:unhideWhenUsed/>
    <w:rsid w:val="00614751"/>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E5051B"/>
    <w:rPr>
      <w:rFonts w:eastAsiaTheme="minorHAnsi" w:cstheme="minorBidi"/>
      <w:b/>
      <w:bCs/>
    </w:rPr>
  </w:style>
  <w:style w:type="character" w:customStyle="1" w:styleId="PredmetkomentraChar">
    <w:name w:val="Predmet komentára Char"/>
    <w:basedOn w:val="TextkomentraChar"/>
    <w:link w:val="Predmetkomentra"/>
    <w:uiPriority w:val="99"/>
    <w:semiHidden/>
    <w:rsid w:val="00E5051B"/>
    <w:rPr>
      <w:rFonts w:ascii="Times New Roman" w:eastAsia="Times New Roman" w:hAnsi="Times New Roman" w:cs="Times New Roman"/>
      <w:b/>
      <w:bCs/>
      <w:sz w:val="20"/>
      <w:szCs w:val="20"/>
    </w:rPr>
  </w:style>
  <w:style w:type="character" w:customStyle="1" w:styleId="h1a2">
    <w:name w:val="h1a2"/>
    <w:basedOn w:val="Predvolenpsmoodseku"/>
    <w:rsid w:val="00BD02D9"/>
    <w:rPr>
      <w:vanish w:val="0"/>
      <w:webHidden w:val="0"/>
      <w:sz w:val="24"/>
      <w:szCs w:val="24"/>
      <w:specVanish w:val="0"/>
    </w:rPr>
  </w:style>
  <w:style w:type="paragraph" w:styleId="Hlavikaobsahu">
    <w:name w:val="TOC Heading"/>
    <w:basedOn w:val="Nadpis1"/>
    <w:next w:val="Normlny"/>
    <w:uiPriority w:val="39"/>
    <w:unhideWhenUsed/>
    <w:qFormat/>
    <w:rsid w:val="00BB3915"/>
    <w:pPr>
      <w:keepLines/>
      <w:numPr>
        <w:numId w:val="0"/>
      </w:numPr>
      <w:spacing w:before="240" w:after="0" w:line="259" w:lineRule="auto"/>
      <w:jc w:val="left"/>
      <w:outlineLvl w:val="9"/>
    </w:pPr>
    <w:rPr>
      <w:rFonts w:asciiTheme="majorHAnsi" w:hAnsiTheme="majorHAnsi"/>
      <w:b w:val="0"/>
      <w:color w:val="2E74B5" w:themeColor="accent1" w:themeShade="BF"/>
      <w:sz w:val="32"/>
      <w:lang w:eastAsia="sk-SK"/>
    </w:rPr>
  </w:style>
  <w:style w:type="paragraph" w:styleId="Normlnywebov">
    <w:name w:val="Normal (Web)"/>
    <w:basedOn w:val="Normlny"/>
    <w:uiPriority w:val="99"/>
    <w:unhideWhenUsed/>
    <w:rsid w:val="00CE1795"/>
    <w:pPr>
      <w:spacing w:before="100" w:beforeAutospacing="1" w:after="100" w:afterAutospacing="1" w:line="240" w:lineRule="auto"/>
      <w:jc w:val="left"/>
    </w:pPr>
    <w:rPr>
      <w:rFonts w:cs="Times New Roman"/>
      <w:sz w:val="24"/>
      <w:szCs w:val="24"/>
      <w:lang w:eastAsia="sk-SK"/>
    </w:rPr>
  </w:style>
  <w:style w:type="paragraph" w:styleId="Textvysvetlivky">
    <w:name w:val="endnote text"/>
    <w:basedOn w:val="Normlny"/>
    <w:link w:val="TextvysvetlivkyChar"/>
    <w:uiPriority w:val="99"/>
    <w:semiHidden/>
    <w:unhideWhenUsed/>
    <w:rsid w:val="00537E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37EC3"/>
    <w:rPr>
      <w:rFonts w:ascii="Times New Roman" w:hAnsi="Times New Roman"/>
      <w:sz w:val="20"/>
      <w:szCs w:val="20"/>
    </w:rPr>
  </w:style>
  <w:style w:type="character" w:styleId="Odkaznavysvetlivku">
    <w:name w:val="endnote reference"/>
    <w:basedOn w:val="Predvolenpsmoodseku"/>
    <w:uiPriority w:val="99"/>
    <w:semiHidden/>
    <w:unhideWhenUsed/>
    <w:rsid w:val="00537EC3"/>
    <w:rPr>
      <w:vertAlign w:val="superscript"/>
    </w:rPr>
  </w:style>
  <w:style w:type="character" w:customStyle="1" w:styleId="ZarkazkladnhotextuChar1">
    <w:name w:val="Zarážka základného textu Char1"/>
    <w:basedOn w:val="Predvolenpsmoodseku"/>
    <w:uiPriority w:val="99"/>
    <w:semiHidden/>
    <w:rsid w:val="0078085C"/>
    <w:rPr>
      <w:rFonts w:ascii="Times New Roman" w:hAnsi="Times New Roman"/>
    </w:rPr>
  </w:style>
  <w:style w:type="paragraph" w:styleId="Obyajntext">
    <w:name w:val="Plain Text"/>
    <w:basedOn w:val="Normlny"/>
    <w:link w:val="ObyajntextChar"/>
    <w:uiPriority w:val="99"/>
    <w:unhideWhenUsed/>
    <w:rsid w:val="0078085C"/>
    <w:pPr>
      <w:spacing w:after="0" w:line="240" w:lineRule="auto"/>
      <w:jc w:val="left"/>
    </w:pPr>
    <w:rPr>
      <w:rFonts w:ascii="Arial Narrow" w:hAnsi="Arial Narrow"/>
    </w:rPr>
  </w:style>
  <w:style w:type="character" w:customStyle="1" w:styleId="ObyajntextChar">
    <w:name w:val="Obyčajný text Char"/>
    <w:basedOn w:val="Predvolenpsmoodseku"/>
    <w:link w:val="Obyajntext"/>
    <w:uiPriority w:val="99"/>
    <w:rsid w:val="0078085C"/>
    <w:rPr>
      <w:rFonts w:ascii="Arial Narrow" w:hAnsi="Arial Narrow"/>
    </w:rPr>
  </w:style>
  <w:style w:type="paragraph" w:customStyle="1" w:styleId="b-typo-p">
    <w:name w:val="b-typo-p"/>
    <w:basedOn w:val="Normlny"/>
    <w:rsid w:val="0078085C"/>
    <w:pPr>
      <w:spacing w:before="100" w:beforeAutospacing="1" w:after="100" w:afterAutospacing="1" w:line="240" w:lineRule="auto"/>
      <w:jc w:val="left"/>
    </w:pPr>
    <w:rPr>
      <w:rFonts w:eastAsia="Times New Roman" w:cs="Times New Roman"/>
      <w:sz w:val="24"/>
      <w:szCs w:val="24"/>
      <w:lang w:eastAsia="sk-SK"/>
    </w:rPr>
  </w:style>
  <w:style w:type="numbering" w:customStyle="1" w:styleId="Bezzoznamu1">
    <w:name w:val="Bez zoznamu1"/>
    <w:next w:val="Bezzoznamu"/>
    <w:uiPriority w:val="99"/>
    <w:semiHidden/>
    <w:unhideWhenUsed/>
    <w:rsid w:val="00867564"/>
  </w:style>
  <w:style w:type="paragraph" w:customStyle="1" w:styleId="xxmsonormal">
    <w:name w:val="xxmsonormal"/>
    <w:basedOn w:val="Normlny"/>
    <w:uiPriority w:val="99"/>
    <w:rsid w:val="00867564"/>
    <w:pPr>
      <w:spacing w:after="0" w:line="240" w:lineRule="auto"/>
      <w:jc w:val="left"/>
    </w:pPr>
    <w:rPr>
      <w:rFonts w:cs="Times New Roman"/>
      <w:sz w:val="24"/>
      <w:szCs w:val="24"/>
      <w:lang w:eastAsia="sk-SK"/>
    </w:rPr>
  </w:style>
  <w:style w:type="paragraph" w:customStyle="1" w:styleId="xmsonormal">
    <w:name w:val="x_msonormal"/>
    <w:basedOn w:val="Normlny"/>
    <w:rsid w:val="00867564"/>
    <w:pPr>
      <w:spacing w:before="100" w:beforeAutospacing="1" w:after="100" w:afterAutospacing="1" w:line="240" w:lineRule="auto"/>
      <w:jc w:val="left"/>
    </w:pPr>
    <w:rPr>
      <w:rFonts w:eastAsia="Times New Roman" w:cs="Times New Roman"/>
      <w:sz w:val="24"/>
      <w:szCs w:val="24"/>
      <w:lang w:eastAsia="sk-SK"/>
    </w:rPr>
  </w:style>
  <w:style w:type="character" w:customStyle="1" w:styleId="acopre1">
    <w:name w:val="acopre1"/>
    <w:basedOn w:val="Predvolenpsmoodseku"/>
    <w:rsid w:val="00005FDB"/>
  </w:style>
  <w:style w:type="paragraph" w:customStyle="1" w:styleId="Default0">
    <w:name w:val="Default"/>
    <w:rsid w:val="00CB3C4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0"/>
    <w:next w:val="Default0"/>
    <w:uiPriority w:val="99"/>
    <w:rsid w:val="00CB3C45"/>
    <w:rPr>
      <w:rFonts w:cstheme="minorBidi"/>
      <w:color w:val="auto"/>
    </w:rPr>
  </w:style>
  <w:style w:type="paragraph" w:customStyle="1" w:styleId="CM3">
    <w:name w:val="CM3"/>
    <w:basedOn w:val="Default0"/>
    <w:next w:val="Default0"/>
    <w:uiPriority w:val="99"/>
    <w:rsid w:val="00CB3C45"/>
    <w:rPr>
      <w:rFonts w:cstheme="minorBidi"/>
      <w:color w:val="auto"/>
    </w:rPr>
  </w:style>
  <w:style w:type="paragraph" w:customStyle="1" w:styleId="CM4">
    <w:name w:val="CM4"/>
    <w:basedOn w:val="Default0"/>
    <w:next w:val="Default0"/>
    <w:uiPriority w:val="99"/>
    <w:rsid w:val="00CB3C45"/>
    <w:rPr>
      <w:rFonts w:cstheme="minorBidi"/>
      <w:color w:val="auto"/>
    </w:rPr>
  </w:style>
  <w:style w:type="numbering" w:customStyle="1" w:styleId="Bezzoznamu2">
    <w:name w:val="Bez zoznamu2"/>
    <w:next w:val="Bezzoznamu"/>
    <w:uiPriority w:val="99"/>
    <w:semiHidden/>
    <w:unhideWhenUsed/>
    <w:rsid w:val="00D97CA6"/>
  </w:style>
  <w:style w:type="numbering" w:customStyle="1" w:styleId="Bezzoznamu11">
    <w:name w:val="Bez zoznamu11"/>
    <w:next w:val="Bezzoznamu"/>
    <w:uiPriority w:val="99"/>
    <w:semiHidden/>
    <w:unhideWhenUsed/>
    <w:rsid w:val="00D97CA6"/>
  </w:style>
  <w:style w:type="numbering" w:customStyle="1" w:styleId="Bezzoznamu111">
    <w:name w:val="Bez zoznamu111"/>
    <w:next w:val="Bezzoznamu"/>
    <w:uiPriority w:val="99"/>
    <w:semiHidden/>
    <w:unhideWhenUsed/>
    <w:rsid w:val="00D97CA6"/>
  </w:style>
  <w:style w:type="paragraph" w:customStyle="1" w:styleId="yiv9055684040xmsonormal">
    <w:name w:val="yiv9055684040xmsonormal"/>
    <w:basedOn w:val="Normlny"/>
    <w:rsid w:val="00D97CA6"/>
    <w:pPr>
      <w:spacing w:before="100" w:beforeAutospacing="1" w:after="100" w:afterAutospacing="1" w:line="240" w:lineRule="auto"/>
      <w:jc w:val="left"/>
    </w:pPr>
    <w:rPr>
      <w:rFonts w:eastAsia="Times New Roman" w:cs="Times New Roman"/>
      <w:sz w:val="24"/>
      <w:szCs w:val="24"/>
      <w:lang w:eastAsia="sk-SK"/>
    </w:rPr>
  </w:style>
  <w:style w:type="numbering" w:customStyle="1" w:styleId="Bezzoznamu3">
    <w:name w:val="Bez zoznamu3"/>
    <w:next w:val="Bezzoznamu"/>
    <w:uiPriority w:val="99"/>
    <w:semiHidden/>
    <w:unhideWhenUsed/>
    <w:rsid w:val="0095178A"/>
  </w:style>
  <w:style w:type="numbering" w:customStyle="1" w:styleId="Bezzoznamu12">
    <w:name w:val="Bez zoznamu12"/>
    <w:next w:val="Bezzoznamu"/>
    <w:uiPriority w:val="99"/>
    <w:semiHidden/>
    <w:unhideWhenUsed/>
    <w:rsid w:val="0095178A"/>
  </w:style>
  <w:style w:type="paragraph" w:customStyle="1" w:styleId="Graf">
    <w:name w:val="Graf"/>
    <w:autoRedefine/>
    <w:qFormat/>
    <w:rsid w:val="003234A0"/>
    <w:pPr>
      <w:spacing w:after="0" w:line="240" w:lineRule="auto"/>
      <w:jc w:val="both"/>
    </w:pPr>
    <w:rPr>
      <w:rFonts w:ascii="Times New Roman" w:eastAsia="Arial Narrow" w:hAnsi="Times New Roman" w:cs="Times New Roman"/>
      <w:b/>
      <w:bCs/>
      <w:noProof/>
      <w:color w:val="5B9BD5" w:themeColor="accent1"/>
      <w:sz w:val="20"/>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660">
      <w:bodyDiv w:val="1"/>
      <w:marLeft w:val="0"/>
      <w:marRight w:val="0"/>
      <w:marTop w:val="0"/>
      <w:marBottom w:val="0"/>
      <w:divBdr>
        <w:top w:val="none" w:sz="0" w:space="0" w:color="auto"/>
        <w:left w:val="none" w:sz="0" w:space="0" w:color="auto"/>
        <w:bottom w:val="none" w:sz="0" w:space="0" w:color="auto"/>
        <w:right w:val="none" w:sz="0" w:space="0" w:color="auto"/>
      </w:divBdr>
    </w:div>
    <w:div w:id="83458516">
      <w:bodyDiv w:val="1"/>
      <w:marLeft w:val="0"/>
      <w:marRight w:val="0"/>
      <w:marTop w:val="0"/>
      <w:marBottom w:val="0"/>
      <w:divBdr>
        <w:top w:val="none" w:sz="0" w:space="0" w:color="auto"/>
        <w:left w:val="none" w:sz="0" w:space="0" w:color="auto"/>
        <w:bottom w:val="none" w:sz="0" w:space="0" w:color="auto"/>
        <w:right w:val="none" w:sz="0" w:space="0" w:color="auto"/>
      </w:divBdr>
    </w:div>
    <w:div w:id="103547509">
      <w:bodyDiv w:val="1"/>
      <w:marLeft w:val="0"/>
      <w:marRight w:val="0"/>
      <w:marTop w:val="0"/>
      <w:marBottom w:val="0"/>
      <w:divBdr>
        <w:top w:val="none" w:sz="0" w:space="0" w:color="auto"/>
        <w:left w:val="none" w:sz="0" w:space="0" w:color="auto"/>
        <w:bottom w:val="none" w:sz="0" w:space="0" w:color="auto"/>
        <w:right w:val="none" w:sz="0" w:space="0" w:color="auto"/>
      </w:divBdr>
      <w:divsChild>
        <w:div w:id="562831429">
          <w:marLeft w:val="0"/>
          <w:marRight w:val="0"/>
          <w:marTop w:val="0"/>
          <w:marBottom w:val="0"/>
          <w:divBdr>
            <w:top w:val="none" w:sz="0" w:space="0" w:color="auto"/>
            <w:left w:val="none" w:sz="0" w:space="0" w:color="auto"/>
            <w:bottom w:val="none" w:sz="0" w:space="0" w:color="auto"/>
            <w:right w:val="none" w:sz="0" w:space="0" w:color="auto"/>
          </w:divBdr>
          <w:divsChild>
            <w:div w:id="8848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9">
      <w:bodyDiv w:val="1"/>
      <w:marLeft w:val="0"/>
      <w:marRight w:val="0"/>
      <w:marTop w:val="0"/>
      <w:marBottom w:val="0"/>
      <w:divBdr>
        <w:top w:val="none" w:sz="0" w:space="0" w:color="auto"/>
        <w:left w:val="none" w:sz="0" w:space="0" w:color="auto"/>
        <w:bottom w:val="none" w:sz="0" w:space="0" w:color="auto"/>
        <w:right w:val="none" w:sz="0" w:space="0" w:color="auto"/>
      </w:divBdr>
    </w:div>
    <w:div w:id="120421357">
      <w:bodyDiv w:val="1"/>
      <w:marLeft w:val="0"/>
      <w:marRight w:val="0"/>
      <w:marTop w:val="0"/>
      <w:marBottom w:val="0"/>
      <w:divBdr>
        <w:top w:val="none" w:sz="0" w:space="0" w:color="auto"/>
        <w:left w:val="none" w:sz="0" w:space="0" w:color="auto"/>
        <w:bottom w:val="none" w:sz="0" w:space="0" w:color="auto"/>
        <w:right w:val="none" w:sz="0" w:space="0" w:color="auto"/>
      </w:divBdr>
    </w:div>
    <w:div w:id="130249624">
      <w:bodyDiv w:val="1"/>
      <w:marLeft w:val="0"/>
      <w:marRight w:val="0"/>
      <w:marTop w:val="0"/>
      <w:marBottom w:val="0"/>
      <w:divBdr>
        <w:top w:val="none" w:sz="0" w:space="0" w:color="auto"/>
        <w:left w:val="none" w:sz="0" w:space="0" w:color="auto"/>
        <w:bottom w:val="none" w:sz="0" w:space="0" w:color="auto"/>
        <w:right w:val="none" w:sz="0" w:space="0" w:color="auto"/>
      </w:divBdr>
    </w:div>
    <w:div w:id="184489671">
      <w:bodyDiv w:val="1"/>
      <w:marLeft w:val="0"/>
      <w:marRight w:val="0"/>
      <w:marTop w:val="0"/>
      <w:marBottom w:val="0"/>
      <w:divBdr>
        <w:top w:val="none" w:sz="0" w:space="0" w:color="auto"/>
        <w:left w:val="none" w:sz="0" w:space="0" w:color="auto"/>
        <w:bottom w:val="none" w:sz="0" w:space="0" w:color="auto"/>
        <w:right w:val="none" w:sz="0" w:space="0" w:color="auto"/>
      </w:divBdr>
    </w:div>
    <w:div w:id="208884657">
      <w:bodyDiv w:val="1"/>
      <w:marLeft w:val="0"/>
      <w:marRight w:val="0"/>
      <w:marTop w:val="0"/>
      <w:marBottom w:val="0"/>
      <w:divBdr>
        <w:top w:val="none" w:sz="0" w:space="0" w:color="auto"/>
        <w:left w:val="none" w:sz="0" w:space="0" w:color="auto"/>
        <w:bottom w:val="none" w:sz="0" w:space="0" w:color="auto"/>
        <w:right w:val="none" w:sz="0" w:space="0" w:color="auto"/>
      </w:divBdr>
    </w:div>
    <w:div w:id="221866251">
      <w:bodyDiv w:val="1"/>
      <w:marLeft w:val="0"/>
      <w:marRight w:val="0"/>
      <w:marTop w:val="0"/>
      <w:marBottom w:val="0"/>
      <w:divBdr>
        <w:top w:val="none" w:sz="0" w:space="0" w:color="auto"/>
        <w:left w:val="none" w:sz="0" w:space="0" w:color="auto"/>
        <w:bottom w:val="none" w:sz="0" w:space="0" w:color="auto"/>
        <w:right w:val="none" w:sz="0" w:space="0" w:color="auto"/>
      </w:divBdr>
    </w:div>
    <w:div w:id="232737814">
      <w:bodyDiv w:val="1"/>
      <w:marLeft w:val="0"/>
      <w:marRight w:val="0"/>
      <w:marTop w:val="0"/>
      <w:marBottom w:val="0"/>
      <w:divBdr>
        <w:top w:val="none" w:sz="0" w:space="0" w:color="auto"/>
        <w:left w:val="none" w:sz="0" w:space="0" w:color="auto"/>
        <w:bottom w:val="none" w:sz="0" w:space="0" w:color="auto"/>
        <w:right w:val="none" w:sz="0" w:space="0" w:color="auto"/>
      </w:divBdr>
    </w:div>
    <w:div w:id="236214534">
      <w:bodyDiv w:val="1"/>
      <w:marLeft w:val="0"/>
      <w:marRight w:val="0"/>
      <w:marTop w:val="0"/>
      <w:marBottom w:val="0"/>
      <w:divBdr>
        <w:top w:val="none" w:sz="0" w:space="0" w:color="auto"/>
        <w:left w:val="none" w:sz="0" w:space="0" w:color="auto"/>
        <w:bottom w:val="none" w:sz="0" w:space="0" w:color="auto"/>
        <w:right w:val="none" w:sz="0" w:space="0" w:color="auto"/>
      </w:divBdr>
    </w:div>
    <w:div w:id="246546583">
      <w:bodyDiv w:val="1"/>
      <w:marLeft w:val="0"/>
      <w:marRight w:val="0"/>
      <w:marTop w:val="0"/>
      <w:marBottom w:val="0"/>
      <w:divBdr>
        <w:top w:val="none" w:sz="0" w:space="0" w:color="auto"/>
        <w:left w:val="none" w:sz="0" w:space="0" w:color="auto"/>
        <w:bottom w:val="none" w:sz="0" w:space="0" w:color="auto"/>
        <w:right w:val="none" w:sz="0" w:space="0" w:color="auto"/>
      </w:divBdr>
    </w:div>
    <w:div w:id="251817761">
      <w:bodyDiv w:val="1"/>
      <w:marLeft w:val="0"/>
      <w:marRight w:val="0"/>
      <w:marTop w:val="0"/>
      <w:marBottom w:val="0"/>
      <w:divBdr>
        <w:top w:val="none" w:sz="0" w:space="0" w:color="auto"/>
        <w:left w:val="none" w:sz="0" w:space="0" w:color="auto"/>
        <w:bottom w:val="none" w:sz="0" w:space="0" w:color="auto"/>
        <w:right w:val="none" w:sz="0" w:space="0" w:color="auto"/>
      </w:divBdr>
    </w:div>
    <w:div w:id="265887666">
      <w:bodyDiv w:val="1"/>
      <w:marLeft w:val="0"/>
      <w:marRight w:val="0"/>
      <w:marTop w:val="0"/>
      <w:marBottom w:val="0"/>
      <w:divBdr>
        <w:top w:val="none" w:sz="0" w:space="0" w:color="auto"/>
        <w:left w:val="none" w:sz="0" w:space="0" w:color="auto"/>
        <w:bottom w:val="none" w:sz="0" w:space="0" w:color="auto"/>
        <w:right w:val="none" w:sz="0" w:space="0" w:color="auto"/>
      </w:divBdr>
    </w:div>
    <w:div w:id="273292507">
      <w:bodyDiv w:val="1"/>
      <w:marLeft w:val="0"/>
      <w:marRight w:val="0"/>
      <w:marTop w:val="0"/>
      <w:marBottom w:val="0"/>
      <w:divBdr>
        <w:top w:val="none" w:sz="0" w:space="0" w:color="auto"/>
        <w:left w:val="none" w:sz="0" w:space="0" w:color="auto"/>
        <w:bottom w:val="none" w:sz="0" w:space="0" w:color="auto"/>
        <w:right w:val="none" w:sz="0" w:space="0" w:color="auto"/>
      </w:divBdr>
    </w:div>
    <w:div w:id="278338214">
      <w:bodyDiv w:val="1"/>
      <w:marLeft w:val="0"/>
      <w:marRight w:val="0"/>
      <w:marTop w:val="0"/>
      <w:marBottom w:val="0"/>
      <w:divBdr>
        <w:top w:val="none" w:sz="0" w:space="0" w:color="auto"/>
        <w:left w:val="none" w:sz="0" w:space="0" w:color="auto"/>
        <w:bottom w:val="none" w:sz="0" w:space="0" w:color="auto"/>
        <w:right w:val="none" w:sz="0" w:space="0" w:color="auto"/>
      </w:divBdr>
    </w:div>
    <w:div w:id="282075293">
      <w:bodyDiv w:val="1"/>
      <w:marLeft w:val="0"/>
      <w:marRight w:val="0"/>
      <w:marTop w:val="0"/>
      <w:marBottom w:val="0"/>
      <w:divBdr>
        <w:top w:val="none" w:sz="0" w:space="0" w:color="auto"/>
        <w:left w:val="none" w:sz="0" w:space="0" w:color="auto"/>
        <w:bottom w:val="none" w:sz="0" w:space="0" w:color="auto"/>
        <w:right w:val="none" w:sz="0" w:space="0" w:color="auto"/>
      </w:divBdr>
    </w:div>
    <w:div w:id="305822928">
      <w:bodyDiv w:val="1"/>
      <w:marLeft w:val="0"/>
      <w:marRight w:val="0"/>
      <w:marTop w:val="0"/>
      <w:marBottom w:val="0"/>
      <w:divBdr>
        <w:top w:val="none" w:sz="0" w:space="0" w:color="auto"/>
        <w:left w:val="none" w:sz="0" w:space="0" w:color="auto"/>
        <w:bottom w:val="none" w:sz="0" w:space="0" w:color="auto"/>
        <w:right w:val="none" w:sz="0" w:space="0" w:color="auto"/>
      </w:divBdr>
    </w:div>
    <w:div w:id="325207847">
      <w:bodyDiv w:val="1"/>
      <w:marLeft w:val="0"/>
      <w:marRight w:val="0"/>
      <w:marTop w:val="0"/>
      <w:marBottom w:val="0"/>
      <w:divBdr>
        <w:top w:val="none" w:sz="0" w:space="0" w:color="auto"/>
        <w:left w:val="none" w:sz="0" w:space="0" w:color="auto"/>
        <w:bottom w:val="none" w:sz="0" w:space="0" w:color="auto"/>
        <w:right w:val="none" w:sz="0" w:space="0" w:color="auto"/>
      </w:divBdr>
    </w:div>
    <w:div w:id="365251082">
      <w:bodyDiv w:val="1"/>
      <w:marLeft w:val="0"/>
      <w:marRight w:val="0"/>
      <w:marTop w:val="0"/>
      <w:marBottom w:val="0"/>
      <w:divBdr>
        <w:top w:val="none" w:sz="0" w:space="0" w:color="auto"/>
        <w:left w:val="none" w:sz="0" w:space="0" w:color="auto"/>
        <w:bottom w:val="none" w:sz="0" w:space="0" w:color="auto"/>
        <w:right w:val="none" w:sz="0" w:space="0" w:color="auto"/>
      </w:divBdr>
    </w:div>
    <w:div w:id="366878275">
      <w:bodyDiv w:val="1"/>
      <w:marLeft w:val="0"/>
      <w:marRight w:val="0"/>
      <w:marTop w:val="0"/>
      <w:marBottom w:val="0"/>
      <w:divBdr>
        <w:top w:val="none" w:sz="0" w:space="0" w:color="auto"/>
        <w:left w:val="none" w:sz="0" w:space="0" w:color="auto"/>
        <w:bottom w:val="none" w:sz="0" w:space="0" w:color="auto"/>
        <w:right w:val="none" w:sz="0" w:space="0" w:color="auto"/>
      </w:divBdr>
    </w:div>
    <w:div w:id="398406455">
      <w:bodyDiv w:val="1"/>
      <w:marLeft w:val="0"/>
      <w:marRight w:val="0"/>
      <w:marTop w:val="0"/>
      <w:marBottom w:val="0"/>
      <w:divBdr>
        <w:top w:val="none" w:sz="0" w:space="0" w:color="auto"/>
        <w:left w:val="none" w:sz="0" w:space="0" w:color="auto"/>
        <w:bottom w:val="none" w:sz="0" w:space="0" w:color="auto"/>
        <w:right w:val="none" w:sz="0" w:space="0" w:color="auto"/>
      </w:divBdr>
    </w:div>
    <w:div w:id="404649424">
      <w:bodyDiv w:val="1"/>
      <w:marLeft w:val="0"/>
      <w:marRight w:val="0"/>
      <w:marTop w:val="0"/>
      <w:marBottom w:val="0"/>
      <w:divBdr>
        <w:top w:val="none" w:sz="0" w:space="0" w:color="auto"/>
        <w:left w:val="none" w:sz="0" w:space="0" w:color="auto"/>
        <w:bottom w:val="none" w:sz="0" w:space="0" w:color="auto"/>
        <w:right w:val="none" w:sz="0" w:space="0" w:color="auto"/>
      </w:divBdr>
    </w:div>
    <w:div w:id="419183605">
      <w:bodyDiv w:val="1"/>
      <w:marLeft w:val="0"/>
      <w:marRight w:val="0"/>
      <w:marTop w:val="0"/>
      <w:marBottom w:val="0"/>
      <w:divBdr>
        <w:top w:val="none" w:sz="0" w:space="0" w:color="auto"/>
        <w:left w:val="none" w:sz="0" w:space="0" w:color="auto"/>
        <w:bottom w:val="none" w:sz="0" w:space="0" w:color="auto"/>
        <w:right w:val="none" w:sz="0" w:space="0" w:color="auto"/>
      </w:divBdr>
    </w:div>
    <w:div w:id="420488193">
      <w:bodyDiv w:val="1"/>
      <w:marLeft w:val="0"/>
      <w:marRight w:val="0"/>
      <w:marTop w:val="0"/>
      <w:marBottom w:val="0"/>
      <w:divBdr>
        <w:top w:val="none" w:sz="0" w:space="0" w:color="auto"/>
        <w:left w:val="none" w:sz="0" w:space="0" w:color="auto"/>
        <w:bottom w:val="none" w:sz="0" w:space="0" w:color="auto"/>
        <w:right w:val="none" w:sz="0" w:space="0" w:color="auto"/>
      </w:divBdr>
    </w:div>
    <w:div w:id="431168882">
      <w:bodyDiv w:val="1"/>
      <w:marLeft w:val="0"/>
      <w:marRight w:val="0"/>
      <w:marTop w:val="0"/>
      <w:marBottom w:val="0"/>
      <w:divBdr>
        <w:top w:val="none" w:sz="0" w:space="0" w:color="auto"/>
        <w:left w:val="none" w:sz="0" w:space="0" w:color="auto"/>
        <w:bottom w:val="none" w:sz="0" w:space="0" w:color="auto"/>
        <w:right w:val="none" w:sz="0" w:space="0" w:color="auto"/>
      </w:divBdr>
    </w:div>
    <w:div w:id="451360976">
      <w:bodyDiv w:val="1"/>
      <w:marLeft w:val="0"/>
      <w:marRight w:val="0"/>
      <w:marTop w:val="0"/>
      <w:marBottom w:val="0"/>
      <w:divBdr>
        <w:top w:val="none" w:sz="0" w:space="0" w:color="auto"/>
        <w:left w:val="none" w:sz="0" w:space="0" w:color="auto"/>
        <w:bottom w:val="none" w:sz="0" w:space="0" w:color="auto"/>
        <w:right w:val="none" w:sz="0" w:space="0" w:color="auto"/>
      </w:divBdr>
    </w:div>
    <w:div w:id="475218865">
      <w:bodyDiv w:val="1"/>
      <w:marLeft w:val="0"/>
      <w:marRight w:val="0"/>
      <w:marTop w:val="0"/>
      <w:marBottom w:val="0"/>
      <w:divBdr>
        <w:top w:val="none" w:sz="0" w:space="0" w:color="auto"/>
        <w:left w:val="none" w:sz="0" w:space="0" w:color="auto"/>
        <w:bottom w:val="none" w:sz="0" w:space="0" w:color="auto"/>
        <w:right w:val="none" w:sz="0" w:space="0" w:color="auto"/>
      </w:divBdr>
    </w:div>
    <w:div w:id="551313390">
      <w:bodyDiv w:val="1"/>
      <w:marLeft w:val="0"/>
      <w:marRight w:val="0"/>
      <w:marTop w:val="0"/>
      <w:marBottom w:val="0"/>
      <w:divBdr>
        <w:top w:val="none" w:sz="0" w:space="0" w:color="auto"/>
        <w:left w:val="none" w:sz="0" w:space="0" w:color="auto"/>
        <w:bottom w:val="none" w:sz="0" w:space="0" w:color="auto"/>
        <w:right w:val="none" w:sz="0" w:space="0" w:color="auto"/>
      </w:divBdr>
    </w:div>
    <w:div w:id="607812558">
      <w:bodyDiv w:val="1"/>
      <w:marLeft w:val="0"/>
      <w:marRight w:val="0"/>
      <w:marTop w:val="0"/>
      <w:marBottom w:val="0"/>
      <w:divBdr>
        <w:top w:val="none" w:sz="0" w:space="0" w:color="auto"/>
        <w:left w:val="none" w:sz="0" w:space="0" w:color="auto"/>
        <w:bottom w:val="none" w:sz="0" w:space="0" w:color="auto"/>
        <w:right w:val="none" w:sz="0" w:space="0" w:color="auto"/>
      </w:divBdr>
    </w:div>
    <w:div w:id="607978284">
      <w:bodyDiv w:val="1"/>
      <w:marLeft w:val="0"/>
      <w:marRight w:val="0"/>
      <w:marTop w:val="0"/>
      <w:marBottom w:val="0"/>
      <w:divBdr>
        <w:top w:val="none" w:sz="0" w:space="0" w:color="auto"/>
        <w:left w:val="none" w:sz="0" w:space="0" w:color="auto"/>
        <w:bottom w:val="none" w:sz="0" w:space="0" w:color="auto"/>
        <w:right w:val="none" w:sz="0" w:space="0" w:color="auto"/>
      </w:divBdr>
    </w:div>
    <w:div w:id="609095785">
      <w:bodyDiv w:val="1"/>
      <w:marLeft w:val="0"/>
      <w:marRight w:val="0"/>
      <w:marTop w:val="0"/>
      <w:marBottom w:val="0"/>
      <w:divBdr>
        <w:top w:val="none" w:sz="0" w:space="0" w:color="auto"/>
        <w:left w:val="none" w:sz="0" w:space="0" w:color="auto"/>
        <w:bottom w:val="none" w:sz="0" w:space="0" w:color="auto"/>
        <w:right w:val="none" w:sz="0" w:space="0" w:color="auto"/>
      </w:divBdr>
    </w:div>
    <w:div w:id="616566911">
      <w:bodyDiv w:val="1"/>
      <w:marLeft w:val="0"/>
      <w:marRight w:val="0"/>
      <w:marTop w:val="0"/>
      <w:marBottom w:val="0"/>
      <w:divBdr>
        <w:top w:val="none" w:sz="0" w:space="0" w:color="auto"/>
        <w:left w:val="none" w:sz="0" w:space="0" w:color="auto"/>
        <w:bottom w:val="none" w:sz="0" w:space="0" w:color="auto"/>
        <w:right w:val="none" w:sz="0" w:space="0" w:color="auto"/>
      </w:divBdr>
    </w:div>
    <w:div w:id="621500285">
      <w:bodyDiv w:val="1"/>
      <w:marLeft w:val="0"/>
      <w:marRight w:val="0"/>
      <w:marTop w:val="0"/>
      <w:marBottom w:val="0"/>
      <w:divBdr>
        <w:top w:val="none" w:sz="0" w:space="0" w:color="auto"/>
        <w:left w:val="none" w:sz="0" w:space="0" w:color="auto"/>
        <w:bottom w:val="none" w:sz="0" w:space="0" w:color="auto"/>
        <w:right w:val="none" w:sz="0" w:space="0" w:color="auto"/>
      </w:divBdr>
    </w:div>
    <w:div w:id="640769414">
      <w:bodyDiv w:val="1"/>
      <w:marLeft w:val="0"/>
      <w:marRight w:val="0"/>
      <w:marTop w:val="0"/>
      <w:marBottom w:val="0"/>
      <w:divBdr>
        <w:top w:val="none" w:sz="0" w:space="0" w:color="auto"/>
        <w:left w:val="none" w:sz="0" w:space="0" w:color="auto"/>
        <w:bottom w:val="none" w:sz="0" w:space="0" w:color="auto"/>
        <w:right w:val="none" w:sz="0" w:space="0" w:color="auto"/>
      </w:divBdr>
    </w:div>
    <w:div w:id="672996393">
      <w:bodyDiv w:val="1"/>
      <w:marLeft w:val="0"/>
      <w:marRight w:val="0"/>
      <w:marTop w:val="0"/>
      <w:marBottom w:val="0"/>
      <w:divBdr>
        <w:top w:val="none" w:sz="0" w:space="0" w:color="auto"/>
        <w:left w:val="none" w:sz="0" w:space="0" w:color="auto"/>
        <w:bottom w:val="none" w:sz="0" w:space="0" w:color="auto"/>
        <w:right w:val="none" w:sz="0" w:space="0" w:color="auto"/>
      </w:divBdr>
    </w:div>
    <w:div w:id="745540572">
      <w:bodyDiv w:val="1"/>
      <w:marLeft w:val="0"/>
      <w:marRight w:val="0"/>
      <w:marTop w:val="0"/>
      <w:marBottom w:val="0"/>
      <w:divBdr>
        <w:top w:val="none" w:sz="0" w:space="0" w:color="auto"/>
        <w:left w:val="none" w:sz="0" w:space="0" w:color="auto"/>
        <w:bottom w:val="none" w:sz="0" w:space="0" w:color="auto"/>
        <w:right w:val="none" w:sz="0" w:space="0" w:color="auto"/>
      </w:divBdr>
    </w:div>
    <w:div w:id="752703514">
      <w:bodyDiv w:val="1"/>
      <w:marLeft w:val="0"/>
      <w:marRight w:val="0"/>
      <w:marTop w:val="0"/>
      <w:marBottom w:val="0"/>
      <w:divBdr>
        <w:top w:val="none" w:sz="0" w:space="0" w:color="auto"/>
        <w:left w:val="none" w:sz="0" w:space="0" w:color="auto"/>
        <w:bottom w:val="none" w:sz="0" w:space="0" w:color="auto"/>
        <w:right w:val="none" w:sz="0" w:space="0" w:color="auto"/>
      </w:divBdr>
    </w:div>
    <w:div w:id="756560704">
      <w:bodyDiv w:val="1"/>
      <w:marLeft w:val="0"/>
      <w:marRight w:val="0"/>
      <w:marTop w:val="0"/>
      <w:marBottom w:val="0"/>
      <w:divBdr>
        <w:top w:val="none" w:sz="0" w:space="0" w:color="auto"/>
        <w:left w:val="none" w:sz="0" w:space="0" w:color="auto"/>
        <w:bottom w:val="none" w:sz="0" w:space="0" w:color="auto"/>
        <w:right w:val="none" w:sz="0" w:space="0" w:color="auto"/>
      </w:divBdr>
    </w:div>
    <w:div w:id="757218805">
      <w:bodyDiv w:val="1"/>
      <w:marLeft w:val="0"/>
      <w:marRight w:val="0"/>
      <w:marTop w:val="0"/>
      <w:marBottom w:val="0"/>
      <w:divBdr>
        <w:top w:val="none" w:sz="0" w:space="0" w:color="auto"/>
        <w:left w:val="none" w:sz="0" w:space="0" w:color="auto"/>
        <w:bottom w:val="none" w:sz="0" w:space="0" w:color="auto"/>
        <w:right w:val="none" w:sz="0" w:space="0" w:color="auto"/>
      </w:divBdr>
    </w:div>
    <w:div w:id="759526628">
      <w:bodyDiv w:val="1"/>
      <w:marLeft w:val="0"/>
      <w:marRight w:val="0"/>
      <w:marTop w:val="0"/>
      <w:marBottom w:val="0"/>
      <w:divBdr>
        <w:top w:val="none" w:sz="0" w:space="0" w:color="auto"/>
        <w:left w:val="none" w:sz="0" w:space="0" w:color="auto"/>
        <w:bottom w:val="none" w:sz="0" w:space="0" w:color="auto"/>
        <w:right w:val="none" w:sz="0" w:space="0" w:color="auto"/>
      </w:divBdr>
    </w:div>
    <w:div w:id="792289765">
      <w:bodyDiv w:val="1"/>
      <w:marLeft w:val="0"/>
      <w:marRight w:val="0"/>
      <w:marTop w:val="0"/>
      <w:marBottom w:val="0"/>
      <w:divBdr>
        <w:top w:val="none" w:sz="0" w:space="0" w:color="auto"/>
        <w:left w:val="none" w:sz="0" w:space="0" w:color="auto"/>
        <w:bottom w:val="none" w:sz="0" w:space="0" w:color="auto"/>
        <w:right w:val="none" w:sz="0" w:space="0" w:color="auto"/>
      </w:divBdr>
    </w:div>
    <w:div w:id="826168291">
      <w:bodyDiv w:val="1"/>
      <w:marLeft w:val="0"/>
      <w:marRight w:val="0"/>
      <w:marTop w:val="0"/>
      <w:marBottom w:val="0"/>
      <w:divBdr>
        <w:top w:val="none" w:sz="0" w:space="0" w:color="auto"/>
        <w:left w:val="none" w:sz="0" w:space="0" w:color="auto"/>
        <w:bottom w:val="none" w:sz="0" w:space="0" w:color="auto"/>
        <w:right w:val="none" w:sz="0" w:space="0" w:color="auto"/>
      </w:divBdr>
    </w:div>
    <w:div w:id="828054206">
      <w:bodyDiv w:val="1"/>
      <w:marLeft w:val="0"/>
      <w:marRight w:val="0"/>
      <w:marTop w:val="0"/>
      <w:marBottom w:val="0"/>
      <w:divBdr>
        <w:top w:val="none" w:sz="0" w:space="0" w:color="auto"/>
        <w:left w:val="none" w:sz="0" w:space="0" w:color="auto"/>
        <w:bottom w:val="none" w:sz="0" w:space="0" w:color="auto"/>
        <w:right w:val="none" w:sz="0" w:space="0" w:color="auto"/>
      </w:divBdr>
    </w:div>
    <w:div w:id="842276737">
      <w:bodyDiv w:val="1"/>
      <w:marLeft w:val="0"/>
      <w:marRight w:val="0"/>
      <w:marTop w:val="0"/>
      <w:marBottom w:val="0"/>
      <w:divBdr>
        <w:top w:val="none" w:sz="0" w:space="0" w:color="auto"/>
        <w:left w:val="none" w:sz="0" w:space="0" w:color="auto"/>
        <w:bottom w:val="none" w:sz="0" w:space="0" w:color="auto"/>
        <w:right w:val="none" w:sz="0" w:space="0" w:color="auto"/>
      </w:divBdr>
    </w:div>
    <w:div w:id="843937752">
      <w:bodyDiv w:val="1"/>
      <w:marLeft w:val="0"/>
      <w:marRight w:val="0"/>
      <w:marTop w:val="0"/>
      <w:marBottom w:val="0"/>
      <w:divBdr>
        <w:top w:val="none" w:sz="0" w:space="0" w:color="auto"/>
        <w:left w:val="none" w:sz="0" w:space="0" w:color="auto"/>
        <w:bottom w:val="none" w:sz="0" w:space="0" w:color="auto"/>
        <w:right w:val="none" w:sz="0" w:space="0" w:color="auto"/>
      </w:divBdr>
    </w:div>
    <w:div w:id="845873639">
      <w:bodyDiv w:val="1"/>
      <w:marLeft w:val="0"/>
      <w:marRight w:val="0"/>
      <w:marTop w:val="0"/>
      <w:marBottom w:val="0"/>
      <w:divBdr>
        <w:top w:val="none" w:sz="0" w:space="0" w:color="auto"/>
        <w:left w:val="none" w:sz="0" w:space="0" w:color="auto"/>
        <w:bottom w:val="none" w:sz="0" w:space="0" w:color="auto"/>
        <w:right w:val="none" w:sz="0" w:space="0" w:color="auto"/>
      </w:divBdr>
    </w:div>
    <w:div w:id="850340764">
      <w:bodyDiv w:val="1"/>
      <w:marLeft w:val="0"/>
      <w:marRight w:val="0"/>
      <w:marTop w:val="0"/>
      <w:marBottom w:val="0"/>
      <w:divBdr>
        <w:top w:val="none" w:sz="0" w:space="0" w:color="auto"/>
        <w:left w:val="none" w:sz="0" w:space="0" w:color="auto"/>
        <w:bottom w:val="none" w:sz="0" w:space="0" w:color="auto"/>
        <w:right w:val="none" w:sz="0" w:space="0" w:color="auto"/>
      </w:divBdr>
    </w:div>
    <w:div w:id="924342122">
      <w:bodyDiv w:val="1"/>
      <w:marLeft w:val="0"/>
      <w:marRight w:val="0"/>
      <w:marTop w:val="0"/>
      <w:marBottom w:val="0"/>
      <w:divBdr>
        <w:top w:val="none" w:sz="0" w:space="0" w:color="auto"/>
        <w:left w:val="none" w:sz="0" w:space="0" w:color="auto"/>
        <w:bottom w:val="none" w:sz="0" w:space="0" w:color="auto"/>
        <w:right w:val="none" w:sz="0" w:space="0" w:color="auto"/>
      </w:divBdr>
    </w:div>
    <w:div w:id="930705010">
      <w:bodyDiv w:val="1"/>
      <w:marLeft w:val="0"/>
      <w:marRight w:val="0"/>
      <w:marTop w:val="0"/>
      <w:marBottom w:val="0"/>
      <w:divBdr>
        <w:top w:val="none" w:sz="0" w:space="0" w:color="auto"/>
        <w:left w:val="none" w:sz="0" w:space="0" w:color="auto"/>
        <w:bottom w:val="none" w:sz="0" w:space="0" w:color="auto"/>
        <w:right w:val="none" w:sz="0" w:space="0" w:color="auto"/>
      </w:divBdr>
    </w:div>
    <w:div w:id="941111308">
      <w:bodyDiv w:val="1"/>
      <w:marLeft w:val="0"/>
      <w:marRight w:val="0"/>
      <w:marTop w:val="0"/>
      <w:marBottom w:val="0"/>
      <w:divBdr>
        <w:top w:val="none" w:sz="0" w:space="0" w:color="auto"/>
        <w:left w:val="none" w:sz="0" w:space="0" w:color="auto"/>
        <w:bottom w:val="none" w:sz="0" w:space="0" w:color="auto"/>
        <w:right w:val="none" w:sz="0" w:space="0" w:color="auto"/>
      </w:divBdr>
    </w:div>
    <w:div w:id="975842262">
      <w:bodyDiv w:val="1"/>
      <w:marLeft w:val="0"/>
      <w:marRight w:val="0"/>
      <w:marTop w:val="0"/>
      <w:marBottom w:val="0"/>
      <w:divBdr>
        <w:top w:val="none" w:sz="0" w:space="0" w:color="auto"/>
        <w:left w:val="none" w:sz="0" w:space="0" w:color="auto"/>
        <w:bottom w:val="none" w:sz="0" w:space="0" w:color="auto"/>
        <w:right w:val="none" w:sz="0" w:space="0" w:color="auto"/>
      </w:divBdr>
    </w:div>
    <w:div w:id="977958545">
      <w:bodyDiv w:val="1"/>
      <w:marLeft w:val="0"/>
      <w:marRight w:val="0"/>
      <w:marTop w:val="0"/>
      <w:marBottom w:val="0"/>
      <w:divBdr>
        <w:top w:val="none" w:sz="0" w:space="0" w:color="auto"/>
        <w:left w:val="none" w:sz="0" w:space="0" w:color="auto"/>
        <w:bottom w:val="none" w:sz="0" w:space="0" w:color="auto"/>
        <w:right w:val="none" w:sz="0" w:space="0" w:color="auto"/>
      </w:divBdr>
    </w:div>
    <w:div w:id="991255998">
      <w:bodyDiv w:val="1"/>
      <w:marLeft w:val="0"/>
      <w:marRight w:val="0"/>
      <w:marTop w:val="0"/>
      <w:marBottom w:val="0"/>
      <w:divBdr>
        <w:top w:val="none" w:sz="0" w:space="0" w:color="auto"/>
        <w:left w:val="none" w:sz="0" w:space="0" w:color="auto"/>
        <w:bottom w:val="none" w:sz="0" w:space="0" w:color="auto"/>
        <w:right w:val="none" w:sz="0" w:space="0" w:color="auto"/>
      </w:divBdr>
    </w:div>
    <w:div w:id="999192318">
      <w:bodyDiv w:val="1"/>
      <w:marLeft w:val="0"/>
      <w:marRight w:val="0"/>
      <w:marTop w:val="0"/>
      <w:marBottom w:val="0"/>
      <w:divBdr>
        <w:top w:val="none" w:sz="0" w:space="0" w:color="auto"/>
        <w:left w:val="none" w:sz="0" w:space="0" w:color="auto"/>
        <w:bottom w:val="none" w:sz="0" w:space="0" w:color="auto"/>
        <w:right w:val="none" w:sz="0" w:space="0" w:color="auto"/>
      </w:divBdr>
    </w:div>
    <w:div w:id="1012219505">
      <w:bodyDiv w:val="1"/>
      <w:marLeft w:val="0"/>
      <w:marRight w:val="0"/>
      <w:marTop w:val="0"/>
      <w:marBottom w:val="0"/>
      <w:divBdr>
        <w:top w:val="none" w:sz="0" w:space="0" w:color="auto"/>
        <w:left w:val="none" w:sz="0" w:space="0" w:color="auto"/>
        <w:bottom w:val="none" w:sz="0" w:space="0" w:color="auto"/>
        <w:right w:val="none" w:sz="0" w:space="0" w:color="auto"/>
      </w:divBdr>
    </w:div>
    <w:div w:id="1018970716">
      <w:bodyDiv w:val="1"/>
      <w:marLeft w:val="0"/>
      <w:marRight w:val="0"/>
      <w:marTop w:val="0"/>
      <w:marBottom w:val="0"/>
      <w:divBdr>
        <w:top w:val="none" w:sz="0" w:space="0" w:color="auto"/>
        <w:left w:val="none" w:sz="0" w:space="0" w:color="auto"/>
        <w:bottom w:val="none" w:sz="0" w:space="0" w:color="auto"/>
        <w:right w:val="none" w:sz="0" w:space="0" w:color="auto"/>
      </w:divBdr>
    </w:div>
    <w:div w:id="1019815154">
      <w:bodyDiv w:val="1"/>
      <w:marLeft w:val="0"/>
      <w:marRight w:val="0"/>
      <w:marTop w:val="0"/>
      <w:marBottom w:val="0"/>
      <w:divBdr>
        <w:top w:val="none" w:sz="0" w:space="0" w:color="auto"/>
        <w:left w:val="none" w:sz="0" w:space="0" w:color="auto"/>
        <w:bottom w:val="none" w:sz="0" w:space="0" w:color="auto"/>
        <w:right w:val="none" w:sz="0" w:space="0" w:color="auto"/>
      </w:divBdr>
    </w:div>
    <w:div w:id="1064793063">
      <w:bodyDiv w:val="1"/>
      <w:marLeft w:val="0"/>
      <w:marRight w:val="0"/>
      <w:marTop w:val="0"/>
      <w:marBottom w:val="0"/>
      <w:divBdr>
        <w:top w:val="none" w:sz="0" w:space="0" w:color="auto"/>
        <w:left w:val="none" w:sz="0" w:space="0" w:color="auto"/>
        <w:bottom w:val="none" w:sz="0" w:space="0" w:color="auto"/>
        <w:right w:val="none" w:sz="0" w:space="0" w:color="auto"/>
      </w:divBdr>
    </w:div>
    <w:div w:id="1094402443">
      <w:bodyDiv w:val="1"/>
      <w:marLeft w:val="0"/>
      <w:marRight w:val="0"/>
      <w:marTop w:val="0"/>
      <w:marBottom w:val="0"/>
      <w:divBdr>
        <w:top w:val="none" w:sz="0" w:space="0" w:color="auto"/>
        <w:left w:val="none" w:sz="0" w:space="0" w:color="auto"/>
        <w:bottom w:val="none" w:sz="0" w:space="0" w:color="auto"/>
        <w:right w:val="none" w:sz="0" w:space="0" w:color="auto"/>
      </w:divBdr>
    </w:div>
    <w:div w:id="1100636161">
      <w:bodyDiv w:val="1"/>
      <w:marLeft w:val="0"/>
      <w:marRight w:val="0"/>
      <w:marTop w:val="0"/>
      <w:marBottom w:val="0"/>
      <w:divBdr>
        <w:top w:val="none" w:sz="0" w:space="0" w:color="auto"/>
        <w:left w:val="none" w:sz="0" w:space="0" w:color="auto"/>
        <w:bottom w:val="none" w:sz="0" w:space="0" w:color="auto"/>
        <w:right w:val="none" w:sz="0" w:space="0" w:color="auto"/>
      </w:divBdr>
    </w:div>
    <w:div w:id="1116681944">
      <w:bodyDiv w:val="1"/>
      <w:marLeft w:val="0"/>
      <w:marRight w:val="0"/>
      <w:marTop w:val="0"/>
      <w:marBottom w:val="0"/>
      <w:divBdr>
        <w:top w:val="none" w:sz="0" w:space="0" w:color="auto"/>
        <w:left w:val="none" w:sz="0" w:space="0" w:color="auto"/>
        <w:bottom w:val="none" w:sz="0" w:space="0" w:color="auto"/>
        <w:right w:val="none" w:sz="0" w:space="0" w:color="auto"/>
      </w:divBdr>
    </w:div>
    <w:div w:id="1122964428">
      <w:bodyDiv w:val="1"/>
      <w:marLeft w:val="0"/>
      <w:marRight w:val="0"/>
      <w:marTop w:val="0"/>
      <w:marBottom w:val="0"/>
      <w:divBdr>
        <w:top w:val="none" w:sz="0" w:space="0" w:color="auto"/>
        <w:left w:val="none" w:sz="0" w:space="0" w:color="auto"/>
        <w:bottom w:val="none" w:sz="0" w:space="0" w:color="auto"/>
        <w:right w:val="none" w:sz="0" w:space="0" w:color="auto"/>
      </w:divBdr>
    </w:div>
    <w:div w:id="1137844169">
      <w:bodyDiv w:val="1"/>
      <w:marLeft w:val="0"/>
      <w:marRight w:val="0"/>
      <w:marTop w:val="0"/>
      <w:marBottom w:val="0"/>
      <w:divBdr>
        <w:top w:val="none" w:sz="0" w:space="0" w:color="auto"/>
        <w:left w:val="none" w:sz="0" w:space="0" w:color="auto"/>
        <w:bottom w:val="none" w:sz="0" w:space="0" w:color="auto"/>
        <w:right w:val="none" w:sz="0" w:space="0" w:color="auto"/>
      </w:divBdr>
    </w:div>
    <w:div w:id="1155531707">
      <w:bodyDiv w:val="1"/>
      <w:marLeft w:val="0"/>
      <w:marRight w:val="0"/>
      <w:marTop w:val="0"/>
      <w:marBottom w:val="0"/>
      <w:divBdr>
        <w:top w:val="none" w:sz="0" w:space="0" w:color="auto"/>
        <w:left w:val="none" w:sz="0" w:space="0" w:color="auto"/>
        <w:bottom w:val="none" w:sz="0" w:space="0" w:color="auto"/>
        <w:right w:val="none" w:sz="0" w:space="0" w:color="auto"/>
      </w:divBdr>
    </w:div>
    <w:div w:id="1248272175">
      <w:bodyDiv w:val="1"/>
      <w:marLeft w:val="0"/>
      <w:marRight w:val="0"/>
      <w:marTop w:val="0"/>
      <w:marBottom w:val="0"/>
      <w:divBdr>
        <w:top w:val="none" w:sz="0" w:space="0" w:color="auto"/>
        <w:left w:val="none" w:sz="0" w:space="0" w:color="auto"/>
        <w:bottom w:val="none" w:sz="0" w:space="0" w:color="auto"/>
        <w:right w:val="none" w:sz="0" w:space="0" w:color="auto"/>
      </w:divBdr>
    </w:div>
    <w:div w:id="1256472208">
      <w:bodyDiv w:val="1"/>
      <w:marLeft w:val="0"/>
      <w:marRight w:val="0"/>
      <w:marTop w:val="0"/>
      <w:marBottom w:val="0"/>
      <w:divBdr>
        <w:top w:val="none" w:sz="0" w:space="0" w:color="auto"/>
        <w:left w:val="none" w:sz="0" w:space="0" w:color="auto"/>
        <w:bottom w:val="none" w:sz="0" w:space="0" w:color="auto"/>
        <w:right w:val="none" w:sz="0" w:space="0" w:color="auto"/>
      </w:divBdr>
    </w:div>
    <w:div w:id="1268805720">
      <w:bodyDiv w:val="1"/>
      <w:marLeft w:val="0"/>
      <w:marRight w:val="0"/>
      <w:marTop w:val="0"/>
      <w:marBottom w:val="0"/>
      <w:divBdr>
        <w:top w:val="none" w:sz="0" w:space="0" w:color="auto"/>
        <w:left w:val="none" w:sz="0" w:space="0" w:color="auto"/>
        <w:bottom w:val="none" w:sz="0" w:space="0" w:color="auto"/>
        <w:right w:val="none" w:sz="0" w:space="0" w:color="auto"/>
      </w:divBdr>
    </w:div>
    <w:div w:id="1278416898">
      <w:bodyDiv w:val="1"/>
      <w:marLeft w:val="0"/>
      <w:marRight w:val="0"/>
      <w:marTop w:val="0"/>
      <w:marBottom w:val="0"/>
      <w:divBdr>
        <w:top w:val="none" w:sz="0" w:space="0" w:color="auto"/>
        <w:left w:val="none" w:sz="0" w:space="0" w:color="auto"/>
        <w:bottom w:val="none" w:sz="0" w:space="0" w:color="auto"/>
        <w:right w:val="none" w:sz="0" w:space="0" w:color="auto"/>
      </w:divBdr>
    </w:div>
    <w:div w:id="1283154203">
      <w:bodyDiv w:val="1"/>
      <w:marLeft w:val="0"/>
      <w:marRight w:val="0"/>
      <w:marTop w:val="0"/>
      <w:marBottom w:val="0"/>
      <w:divBdr>
        <w:top w:val="none" w:sz="0" w:space="0" w:color="auto"/>
        <w:left w:val="none" w:sz="0" w:space="0" w:color="auto"/>
        <w:bottom w:val="none" w:sz="0" w:space="0" w:color="auto"/>
        <w:right w:val="none" w:sz="0" w:space="0" w:color="auto"/>
      </w:divBdr>
    </w:div>
    <w:div w:id="1370226883">
      <w:bodyDiv w:val="1"/>
      <w:marLeft w:val="0"/>
      <w:marRight w:val="0"/>
      <w:marTop w:val="0"/>
      <w:marBottom w:val="0"/>
      <w:divBdr>
        <w:top w:val="none" w:sz="0" w:space="0" w:color="auto"/>
        <w:left w:val="none" w:sz="0" w:space="0" w:color="auto"/>
        <w:bottom w:val="none" w:sz="0" w:space="0" w:color="auto"/>
        <w:right w:val="none" w:sz="0" w:space="0" w:color="auto"/>
      </w:divBdr>
    </w:div>
    <w:div w:id="1372652125">
      <w:bodyDiv w:val="1"/>
      <w:marLeft w:val="0"/>
      <w:marRight w:val="0"/>
      <w:marTop w:val="0"/>
      <w:marBottom w:val="0"/>
      <w:divBdr>
        <w:top w:val="none" w:sz="0" w:space="0" w:color="auto"/>
        <w:left w:val="none" w:sz="0" w:space="0" w:color="auto"/>
        <w:bottom w:val="none" w:sz="0" w:space="0" w:color="auto"/>
        <w:right w:val="none" w:sz="0" w:space="0" w:color="auto"/>
      </w:divBdr>
    </w:div>
    <w:div w:id="1379476605">
      <w:bodyDiv w:val="1"/>
      <w:marLeft w:val="0"/>
      <w:marRight w:val="0"/>
      <w:marTop w:val="0"/>
      <w:marBottom w:val="0"/>
      <w:divBdr>
        <w:top w:val="none" w:sz="0" w:space="0" w:color="auto"/>
        <w:left w:val="none" w:sz="0" w:space="0" w:color="auto"/>
        <w:bottom w:val="none" w:sz="0" w:space="0" w:color="auto"/>
        <w:right w:val="none" w:sz="0" w:space="0" w:color="auto"/>
      </w:divBdr>
    </w:div>
    <w:div w:id="1380780124">
      <w:bodyDiv w:val="1"/>
      <w:marLeft w:val="0"/>
      <w:marRight w:val="0"/>
      <w:marTop w:val="0"/>
      <w:marBottom w:val="0"/>
      <w:divBdr>
        <w:top w:val="none" w:sz="0" w:space="0" w:color="auto"/>
        <w:left w:val="none" w:sz="0" w:space="0" w:color="auto"/>
        <w:bottom w:val="none" w:sz="0" w:space="0" w:color="auto"/>
        <w:right w:val="none" w:sz="0" w:space="0" w:color="auto"/>
      </w:divBdr>
    </w:div>
    <w:div w:id="1384645267">
      <w:bodyDiv w:val="1"/>
      <w:marLeft w:val="0"/>
      <w:marRight w:val="0"/>
      <w:marTop w:val="0"/>
      <w:marBottom w:val="0"/>
      <w:divBdr>
        <w:top w:val="none" w:sz="0" w:space="0" w:color="auto"/>
        <w:left w:val="none" w:sz="0" w:space="0" w:color="auto"/>
        <w:bottom w:val="none" w:sz="0" w:space="0" w:color="auto"/>
        <w:right w:val="none" w:sz="0" w:space="0" w:color="auto"/>
      </w:divBdr>
    </w:div>
    <w:div w:id="1391272341">
      <w:bodyDiv w:val="1"/>
      <w:marLeft w:val="0"/>
      <w:marRight w:val="0"/>
      <w:marTop w:val="0"/>
      <w:marBottom w:val="0"/>
      <w:divBdr>
        <w:top w:val="none" w:sz="0" w:space="0" w:color="auto"/>
        <w:left w:val="none" w:sz="0" w:space="0" w:color="auto"/>
        <w:bottom w:val="none" w:sz="0" w:space="0" w:color="auto"/>
        <w:right w:val="none" w:sz="0" w:space="0" w:color="auto"/>
      </w:divBdr>
    </w:div>
    <w:div w:id="1395817534">
      <w:bodyDiv w:val="1"/>
      <w:marLeft w:val="0"/>
      <w:marRight w:val="0"/>
      <w:marTop w:val="0"/>
      <w:marBottom w:val="0"/>
      <w:divBdr>
        <w:top w:val="none" w:sz="0" w:space="0" w:color="auto"/>
        <w:left w:val="none" w:sz="0" w:space="0" w:color="auto"/>
        <w:bottom w:val="none" w:sz="0" w:space="0" w:color="auto"/>
        <w:right w:val="none" w:sz="0" w:space="0" w:color="auto"/>
      </w:divBdr>
    </w:div>
    <w:div w:id="1415738975">
      <w:bodyDiv w:val="1"/>
      <w:marLeft w:val="0"/>
      <w:marRight w:val="0"/>
      <w:marTop w:val="0"/>
      <w:marBottom w:val="0"/>
      <w:divBdr>
        <w:top w:val="none" w:sz="0" w:space="0" w:color="auto"/>
        <w:left w:val="none" w:sz="0" w:space="0" w:color="auto"/>
        <w:bottom w:val="none" w:sz="0" w:space="0" w:color="auto"/>
        <w:right w:val="none" w:sz="0" w:space="0" w:color="auto"/>
      </w:divBdr>
    </w:div>
    <w:div w:id="1427848696">
      <w:bodyDiv w:val="1"/>
      <w:marLeft w:val="0"/>
      <w:marRight w:val="0"/>
      <w:marTop w:val="0"/>
      <w:marBottom w:val="0"/>
      <w:divBdr>
        <w:top w:val="none" w:sz="0" w:space="0" w:color="auto"/>
        <w:left w:val="none" w:sz="0" w:space="0" w:color="auto"/>
        <w:bottom w:val="none" w:sz="0" w:space="0" w:color="auto"/>
        <w:right w:val="none" w:sz="0" w:space="0" w:color="auto"/>
      </w:divBdr>
    </w:div>
    <w:div w:id="1447385127">
      <w:bodyDiv w:val="1"/>
      <w:marLeft w:val="0"/>
      <w:marRight w:val="0"/>
      <w:marTop w:val="0"/>
      <w:marBottom w:val="0"/>
      <w:divBdr>
        <w:top w:val="none" w:sz="0" w:space="0" w:color="auto"/>
        <w:left w:val="none" w:sz="0" w:space="0" w:color="auto"/>
        <w:bottom w:val="none" w:sz="0" w:space="0" w:color="auto"/>
        <w:right w:val="none" w:sz="0" w:space="0" w:color="auto"/>
      </w:divBdr>
    </w:div>
    <w:div w:id="1462530602">
      <w:bodyDiv w:val="1"/>
      <w:marLeft w:val="0"/>
      <w:marRight w:val="0"/>
      <w:marTop w:val="0"/>
      <w:marBottom w:val="0"/>
      <w:divBdr>
        <w:top w:val="none" w:sz="0" w:space="0" w:color="auto"/>
        <w:left w:val="none" w:sz="0" w:space="0" w:color="auto"/>
        <w:bottom w:val="none" w:sz="0" w:space="0" w:color="auto"/>
        <w:right w:val="none" w:sz="0" w:space="0" w:color="auto"/>
      </w:divBdr>
    </w:div>
    <w:div w:id="1474912008">
      <w:bodyDiv w:val="1"/>
      <w:marLeft w:val="0"/>
      <w:marRight w:val="0"/>
      <w:marTop w:val="0"/>
      <w:marBottom w:val="0"/>
      <w:divBdr>
        <w:top w:val="none" w:sz="0" w:space="0" w:color="auto"/>
        <w:left w:val="none" w:sz="0" w:space="0" w:color="auto"/>
        <w:bottom w:val="none" w:sz="0" w:space="0" w:color="auto"/>
        <w:right w:val="none" w:sz="0" w:space="0" w:color="auto"/>
      </w:divBdr>
    </w:div>
    <w:div w:id="1475836303">
      <w:bodyDiv w:val="1"/>
      <w:marLeft w:val="0"/>
      <w:marRight w:val="0"/>
      <w:marTop w:val="0"/>
      <w:marBottom w:val="0"/>
      <w:divBdr>
        <w:top w:val="none" w:sz="0" w:space="0" w:color="auto"/>
        <w:left w:val="none" w:sz="0" w:space="0" w:color="auto"/>
        <w:bottom w:val="none" w:sz="0" w:space="0" w:color="auto"/>
        <w:right w:val="none" w:sz="0" w:space="0" w:color="auto"/>
      </w:divBdr>
    </w:div>
    <w:div w:id="1478260026">
      <w:bodyDiv w:val="1"/>
      <w:marLeft w:val="0"/>
      <w:marRight w:val="0"/>
      <w:marTop w:val="0"/>
      <w:marBottom w:val="0"/>
      <w:divBdr>
        <w:top w:val="none" w:sz="0" w:space="0" w:color="auto"/>
        <w:left w:val="none" w:sz="0" w:space="0" w:color="auto"/>
        <w:bottom w:val="none" w:sz="0" w:space="0" w:color="auto"/>
        <w:right w:val="none" w:sz="0" w:space="0" w:color="auto"/>
      </w:divBdr>
    </w:div>
    <w:div w:id="1481535099">
      <w:bodyDiv w:val="1"/>
      <w:marLeft w:val="0"/>
      <w:marRight w:val="0"/>
      <w:marTop w:val="0"/>
      <w:marBottom w:val="0"/>
      <w:divBdr>
        <w:top w:val="none" w:sz="0" w:space="0" w:color="auto"/>
        <w:left w:val="none" w:sz="0" w:space="0" w:color="auto"/>
        <w:bottom w:val="none" w:sz="0" w:space="0" w:color="auto"/>
        <w:right w:val="none" w:sz="0" w:space="0" w:color="auto"/>
      </w:divBdr>
    </w:div>
    <w:div w:id="1512135342">
      <w:bodyDiv w:val="1"/>
      <w:marLeft w:val="0"/>
      <w:marRight w:val="0"/>
      <w:marTop w:val="0"/>
      <w:marBottom w:val="0"/>
      <w:divBdr>
        <w:top w:val="none" w:sz="0" w:space="0" w:color="auto"/>
        <w:left w:val="none" w:sz="0" w:space="0" w:color="auto"/>
        <w:bottom w:val="none" w:sz="0" w:space="0" w:color="auto"/>
        <w:right w:val="none" w:sz="0" w:space="0" w:color="auto"/>
      </w:divBdr>
    </w:div>
    <w:div w:id="1513716708">
      <w:bodyDiv w:val="1"/>
      <w:marLeft w:val="0"/>
      <w:marRight w:val="0"/>
      <w:marTop w:val="0"/>
      <w:marBottom w:val="0"/>
      <w:divBdr>
        <w:top w:val="none" w:sz="0" w:space="0" w:color="auto"/>
        <w:left w:val="none" w:sz="0" w:space="0" w:color="auto"/>
        <w:bottom w:val="none" w:sz="0" w:space="0" w:color="auto"/>
        <w:right w:val="none" w:sz="0" w:space="0" w:color="auto"/>
      </w:divBdr>
    </w:div>
    <w:div w:id="1572036786">
      <w:bodyDiv w:val="1"/>
      <w:marLeft w:val="0"/>
      <w:marRight w:val="0"/>
      <w:marTop w:val="0"/>
      <w:marBottom w:val="0"/>
      <w:divBdr>
        <w:top w:val="none" w:sz="0" w:space="0" w:color="auto"/>
        <w:left w:val="none" w:sz="0" w:space="0" w:color="auto"/>
        <w:bottom w:val="none" w:sz="0" w:space="0" w:color="auto"/>
        <w:right w:val="none" w:sz="0" w:space="0" w:color="auto"/>
      </w:divBdr>
    </w:div>
    <w:div w:id="1598057521">
      <w:bodyDiv w:val="1"/>
      <w:marLeft w:val="0"/>
      <w:marRight w:val="0"/>
      <w:marTop w:val="0"/>
      <w:marBottom w:val="0"/>
      <w:divBdr>
        <w:top w:val="none" w:sz="0" w:space="0" w:color="auto"/>
        <w:left w:val="none" w:sz="0" w:space="0" w:color="auto"/>
        <w:bottom w:val="none" w:sz="0" w:space="0" w:color="auto"/>
        <w:right w:val="none" w:sz="0" w:space="0" w:color="auto"/>
      </w:divBdr>
    </w:div>
    <w:div w:id="1624655750">
      <w:bodyDiv w:val="1"/>
      <w:marLeft w:val="0"/>
      <w:marRight w:val="0"/>
      <w:marTop w:val="0"/>
      <w:marBottom w:val="0"/>
      <w:divBdr>
        <w:top w:val="none" w:sz="0" w:space="0" w:color="auto"/>
        <w:left w:val="none" w:sz="0" w:space="0" w:color="auto"/>
        <w:bottom w:val="none" w:sz="0" w:space="0" w:color="auto"/>
        <w:right w:val="none" w:sz="0" w:space="0" w:color="auto"/>
      </w:divBdr>
    </w:div>
    <w:div w:id="1647398196">
      <w:bodyDiv w:val="1"/>
      <w:marLeft w:val="0"/>
      <w:marRight w:val="0"/>
      <w:marTop w:val="0"/>
      <w:marBottom w:val="0"/>
      <w:divBdr>
        <w:top w:val="none" w:sz="0" w:space="0" w:color="auto"/>
        <w:left w:val="none" w:sz="0" w:space="0" w:color="auto"/>
        <w:bottom w:val="none" w:sz="0" w:space="0" w:color="auto"/>
        <w:right w:val="none" w:sz="0" w:space="0" w:color="auto"/>
      </w:divBdr>
    </w:div>
    <w:div w:id="1660426790">
      <w:bodyDiv w:val="1"/>
      <w:marLeft w:val="0"/>
      <w:marRight w:val="0"/>
      <w:marTop w:val="0"/>
      <w:marBottom w:val="0"/>
      <w:divBdr>
        <w:top w:val="none" w:sz="0" w:space="0" w:color="auto"/>
        <w:left w:val="none" w:sz="0" w:space="0" w:color="auto"/>
        <w:bottom w:val="none" w:sz="0" w:space="0" w:color="auto"/>
        <w:right w:val="none" w:sz="0" w:space="0" w:color="auto"/>
      </w:divBdr>
    </w:div>
    <w:div w:id="1701710505">
      <w:bodyDiv w:val="1"/>
      <w:marLeft w:val="0"/>
      <w:marRight w:val="0"/>
      <w:marTop w:val="0"/>
      <w:marBottom w:val="0"/>
      <w:divBdr>
        <w:top w:val="none" w:sz="0" w:space="0" w:color="auto"/>
        <w:left w:val="none" w:sz="0" w:space="0" w:color="auto"/>
        <w:bottom w:val="none" w:sz="0" w:space="0" w:color="auto"/>
        <w:right w:val="none" w:sz="0" w:space="0" w:color="auto"/>
      </w:divBdr>
      <w:divsChild>
        <w:div w:id="1977250787">
          <w:marLeft w:val="0"/>
          <w:marRight w:val="0"/>
          <w:marTop w:val="0"/>
          <w:marBottom w:val="0"/>
          <w:divBdr>
            <w:top w:val="none" w:sz="0" w:space="0" w:color="auto"/>
            <w:left w:val="none" w:sz="0" w:space="0" w:color="auto"/>
            <w:bottom w:val="none" w:sz="0" w:space="0" w:color="auto"/>
            <w:right w:val="none" w:sz="0" w:space="0" w:color="auto"/>
          </w:divBdr>
          <w:divsChild>
            <w:div w:id="1293634798">
              <w:marLeft w:val="0"/>
              <w:marRight w:val="0"/>
              <w:marTop w:val="0"/>
              <w:marBottom w:val="0"/>
              <w:divBdr>
                <w:top w:val="none" w:sz="0" w:space="0" w:color="auto"/>
                <w:left w:val="none" w:sz="0" w:space="0" w:color="auto"/>
                <w:bottom w:val="none" w:sz="0" w:space="0" w:color="auto"/>
                <w:right w:val="none" w:sz="0" w:space="0" w:color="auto"/>
              </w:divBdr>
              <w:divsChild>
                <w:div w:id="1392540232">
                  <w:marLeft w:val="-225"/>
                  <w:marRight w:val="-225"/>
                  <w:marTop w:val="0"/>
                  <w:marBottom w:val="0"/>
                  <w:divBdr>
                    <w:top w:val="none" w:sz="0" w:space="0" w:color="auto"/>
                    <w:left w:val="none" w:sz="0" w:space="0" w:color="auto"/>
                    <w:bottom w:val="none" w:sz="0" w:space="0" w:color="auto"/>
                    <w:right w:val="none" w:sz="0" w:space="0" w:color="auto"/>
                  </w:divBdr>
                  <w:divsChild>
                    <w:div w:id="895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08258">
      <w:bodyDiv w:val="1"/>
      <w:marLeft w:val="0"/>
      <w:marRight w:val="0"/>
      <w:marTop w:val="0"/>
      <w:marBottom w:val="0"/>
      <w:divBdr>
        <w:top w:val="none" w:sz="0" w:space="0" w:color="auto"/>
        <w:left w:val="none" w:sz="0" w:space="0" w:color="auto"/>
        <w:bottom w:val="none" w:sz="0" w:space="0" w:color="auto"/>
        <w:right w:val="none" w:sz="0" w:space="0" w:color="auto"/>
      </w:divBdr>
    </w:div>
    <w:div w:id="1715350226">
      <w:bodyDiv w:val="1"/>
      <w:marLeft w:val="0"/>
      <w:marRight w:val="0"/>
      <w:marTop w:val="0"/>
      <w:marBottom w:val="0"/>
      <w:divBdr>
        <w:top w:val="none" w:sz="0" w:space="0" w:color="auto"/>
        <w:left w:val="none" w:sz="0" w:space="0" w:color="auto"/>
        <w:bottom w:val="none" w:sz="0" w:space="0" w:color="auto"/>
        <w:right w:val="none" w:sz="0" w:space="0" w:color="auto"/>
      </w:divBdr>
    </w:div>
    <w:div w:id="1729264926">
      <w:bodyDiv w:val="1"/>
      <w:marLeft w:val="0"/>
      <w:marRight w:val="0"/>
      <w:marTop w:val="0"/>
      <w:marBottom w:val="0"/>
      <w:divBdr>
        <w:top w:val="none" w:sz="0" w:space="0" w:color="auto"/>
        <w:left w:val="none" w:sz="0" w:space="0" w:color="auto"/>
        <w:bottom w:val="none" w:sz="0" w:space="0" w:color="auto"/>
        <w:right w:val="none" w:sz="0" w:space="0" w:color="auto"/>
      </w:divBdr>
    </w:div>
    <w:div w:id="1730377035">
      <w:bodyDiv w:val="1"/>
      <w:marLeft w:val="0"/>
      <w:marRight w:val="0"/>
      <w:marTop w:val="0"/>
      <w:marBottom w:val="0"/>
      <w:divBdr>
        <w:top w:val="none" w:sz="0" w:space="0" w:color="auto"/>
        <w:left w:val="none" w:sz="0" w:space="0" w:color="auto"/>
        <w:bottom w:val="none" w:sz="0" w:space="0" w:color="auto"/>
        <w:right w:val="none" w:sz="0" w:space="0" w:color="auto"/>
      </w:divBdr>
    </w:div>
    <w:div w:id="1740907326">
      <w:bodyDiv w:val="1"/>
      <w:marLeft w:val="0"/>
      <w:marRight w:val="0"/>
      <w:marTop w:val="0"/>
      <w:marBottom w:val="0"/>
      <w:divBdr>
        <w:top w:val="none" w:sz="0" w:space="0" w:color="auto"/>
        <w:left w:val="none" w:sz="0" w:space="0" w:color="auto"/>
        <w:bottom w:val="none" w:sz="0" w:space="0" w:color="auto"/>
        <w:right w:val="none" w:sz="0" w:space="0" w:color="auto"/>
      </w:divBdr>
    </w:div>
    <w:div w:id="1744253208">
      <w:bodyDiv w:val="1"/>
      <w:marLeft w:val="0"/>
      <w:marRight w:val="0"/>
      <w:marTop w:val="0"/>
      <w:marBottom w:val="0"/>
      <w:divBdr>
        <w:top w:val="none" w:sz="0" w:space="0" w:color="auto"/>
        <w:left w:val="none" w:sz="0" w:space="0" w:color="auto"/>
        <w:bottom w:val="none" w:sz="0" w:space="0" w:color="auto"/>
        <w:right w:val="none" w:sz="0" w:space="0" w:color="auto"/>
      </w:divBdr>
    </w:div>
    <w:div w:id="1781873342">
      <w:bodyDiv w:val="1"/>
      <w:marLeft w:val="0"/>
      <w:marRight w:val="0"/>
      <w:marTop w:val="0"/>
      <w:marBottom w:val="0"/>
      <w:divBdr>
        <w:top w:val="none" w:sz="0" w:space="0" w:color="auto"/>
        <w:left w:val="none" w:sz="0" w:space="0" w:color="auto"/>
        <w:bottom w:val="none" w:sz="0" w:space="0" w:color="auto"/>
        <w:right w:val="none" w:sz="0" w:space="0" w:color="auto"/>
      </w:divBdr>
    </w:div>
    <w:div w:id="1782914552">
      <w:bodyDiv w:val="1"/>
      <w:marLeft w:val="0"/>
      <w:marRight w:val="0"/>
      <w:marTop w:val="0"/>
      <w:marBottom w:val="0"/>
      <w:divBdr>
        <w:top w:val="none" w:sz="0" w:space="0" w:color="auto"/>
        <w:left w:val="none" w:sz="0" w:space="0" w:color="auto"/>
        <w:bottom w:val="none" w:sz="0" w:space="0" w:color="auto"/>
        <w:right w:val="none" w:sz="0" w:space="0" w:color="auto"/>
      </w:divBdr>
    </w:div>
    <w:div w:id="1800568308">
      <w:bodyDiv w:val="1"/>
      <w:marLeft w:val="0"/>
      <w:marRight w:val="0"/>
      <w:marTop w:val="0"/>
      <w:marBottom w:val="0"/>
      <w:divBdr>
        <w:top w:val="none" w:sz="0" w:space="0" w:color="auto"/>
        <w:left w:val="none" w:sz="0" w:space="0" w:color="auto"/>
        <w:bottom w:val="none" w:sz="0" w:space="0" w:color="auto"/>
        <w:right w:val="none" w:sz="0" w:space="0" w:color="auto"/>
      </w:divBdr>
    </w:div>
    <w:div w:id="1812401138">
      <w:bodyDiv w:val="1"/>
      <w:marLeft w:val="0"/>
      <w:marRight w:val="0"/>
      <w:marTop w:val="0"/>
      <w:marBottom w:val="0"/>
      <w:divBdr>
        <w:top w:val="none" w:sz="0" w:space="0" w:color="auto"/>
        <w:left w:val="none" w:sz="0" w:space="0" w:color="auto"/>
        <w:bottom w:val="none" w:sz="0" w:space="0" w:color="auto"/>
        <w:right w:val="none" w:sz="0" w:space="0" w:color="auto"/>
      </w:divBdr>
    </w:div>
    <w:div w:id="1830435626">
      <w:bodyDiv w:val="1"/>
      <w:marLeft w:val="0"/>
      <w:marRight w:val="0"/>
      <w:marTop w:val="0"/>
      <w:marBottom w:val="0"/>
      <w:divBdr>
        <w:top w:val="none" w:sz="0" w:space="0" w:color="auto"/>
        <w:left w:val="none" w:sz="0" w:space="0" w:color="auto"/>
        <w:bottom w:val="none" w:sz="0" w:space="0" w:color="auto"/>
        <w:right w:val="none" w:sz="0" w:space="0" w:color="auto"/>
      </w:divBdr>
    </w:div>
    <w:div w:id="1853912980">
      <w:bodyDiv w:val="1"/>
      <w:marLeft w:val="0"/>
      <w:marRight w:val="0"/>
      <w:marTop w:val="0"/>
      <w:marBottom w:val="0"/>
      <w:divBdr>
        <w:top w:val="none" w:sz="0" w:space="0" w:color="auto"/>
        <w:left w:val="none" w:sz="0" w:space="0" w:color="auto"/>
        <w:bottom w:val="none" w:sz="0" w:space="0" w:color="auto"/>
        <w:right w:val="none" w:sz="0" w:space="0" w:color="auto"/>
      </w:divBdr>
    </w:div>
    <w:div w:id="1881211947">
      <w:bodyDiv w:val="1"/>
      <w:marLeft w:val="0"/>
      <w:marRight w:val="0"/>
      <w:marTop w:val="0"/>
      <w:marBottom w:val="0"/>
      <w:divBdr>
        <w:top w:val="none" w:sz="0" w:space="0" w:color="auto"/>
        <w:left w:val="none" w:sz="0" w:space="0" w:color="auto"/>
        <w:bottom w:val="none" w:sz="0" w:space="0" w:color="auto"/>
        <w:right w:val="none" w:sz="0" w:space="0" w:color="auto"/>
      </w:divBdr>
    </w:div>
    <w:div w:id="1911382337">
      <w:bodyDiv w:val="1"/>
      <w:marLeft w:val="0"/>
      <w:marRight w:val="0"/>
      <w:marTop w:val="0"/>
      <w:marBottom w:val="0"/>
      <w:divBdr>
        <w:top w:val="none" w:sz="0" w:space="0" w:color="auto"/>
        <w:left w:val="none" w:sz="0" w:space="0" w:color="auto"/>
        <w:bottom w:val="none" w:sz="0" w:space="0" w:color="auto"/>
        <w:right w:val="none" w:sz="0" w:space="0" w:color="auto"/>
      </w:divBdr>
    </w:div>
    <w:div w:id="1916426554">
      <w:bodyDiv w:val="1"/>
      <w:marLeft w:val="0"/>
      <w:marRight w:val="0"/>
      <w:marTop w:val="0"/>
      <w:marBottom w:val="0"/>
      <w:divBdr>
        <w:top w:val="none" w:sz="0" w:space="0" w:color="auto"/>
        <w:left w:val="none" w:sz="0" w:space="0" w:color="auto"/>
        <w:bottom w:val="none" w:sz="0" w:space="0" w:color="auto"/>
        <w:right w:val="none" w:sz="0" w:space="0" w:color="auto"/>
      </w:divBdr>
    </w:div>
    <w:div w:id="1927153433">
      <w:bodyDiv w:val="1"/>
      <w:marLeft w:val="0"/>
      <w:marRight w:val="0"/>
      <w:marTop w:val="0"/>
      <w:marBottom w:val="0"/>
      <w:divBdr>
        <w:top w:val="none" w:sz="0" w:space="0" w:color="auto"/>
        <w:left w:val="none" w:sz="0" w:space="0" w:color="auto"/>
        <w:bottom w:val="none" w:sz="0" w:space="0" w:color="auto"/>
        <w:right w:val="none" w:sz="0" w:space="0" w:color="auto"/>
      </w:divBdr>
    </w:div>
    <w:div w:id="1945573048">
      <w:bodyDiv w:val="1"/>
      <w:marLeft w:val="0"/>
      <w:marRight w:val="0"/>
      <w:marTop w:val="0"/>
      <w:marBottom w:val="0"/>
      <w:divBdr>
        <w:top w:val="none" w:sz="0" w:space="0" w:color="auto"/>
        <w:left w:val="none" w:sz="0" w:space="0" w:color="auto"/>
        <w:bottom w:val="none" w:sz="0" w:space="0" w:color="auto"/>
        <w:right w:val="none" w:sz="0" w:space="0" w:color="auto"/>
      </w:divBdr>
    </w:div>
    <w:div w:id="1950777076">
      <w:bodyDiv w:val="1"/>
      <w:marLeft w:val="0"/>
      <w:marRight w:val="0"/>
      <w:marTop w:val="0"/>
      <w:marBottom w:val="0"/>
      <w:divBdr>
        <w:top w:val="none" w:sz="0" w:space="0" w:color="auto"/>
        <w:left w:val="none" w:sz="0" w:space="0" w:color="auto"/>
        <w:bottom w:val="none" w:sz="0" w:space="0" w:color="auto"/>
        <w:right w:val="none" w:sz="0" w:space="0" w:color="auto"/>
      </w:divBdr>
    </w:div>
    <w:div w:id="1952779478">
      <w:bodyDiv w:val="1"/>
      <w:marLeft w:val="0"/>
      <w:marRight w:val="0"/>
      <w:marTop w:val="0"/>
      <w:marBottom w:val="0"/>
      <w:divBdr>
        <w:top w:val="none" w:sz="0" w:space="0" w:color="auto"/>
        <w:left w:val="none" w:sz="0" w:space="0" w:color="auto"/>
        <w:bottom w:val="none" w:sz="0" w:space="0" w:color="auto"/>
        <w:right w:val="none" w:sz="0" w:space="0" w:color="auto"/>
      </w:divBdr>
    </w:div>
    <w:div w:id="1959605522">
      <w:bodyDiv w:val="1"/>
      <w:marLeft w:val="0"/>
      <w:marRight w:val="0"/>
      <w:marTop w:val="0"/>
      <w:marBottom w:val="0"/>
      <w:divBdr>
        <w:top w:val="none" w:sz="0" w:space="0" w:color="auto"/>
        <w:left w:val="none" w:sz="0" w:space="0" w:color="auto"/>
        <w:bottom w:val="none" w:sz="0" w:space="0" w:color="auto"/>
        <w:right w:val="none" w:sz="0" w:space="0" w:color="auto"/>
      </w:divBdr>
    </w:div>
    <w:div w:id="1964770860">
      <w:bodyDiv w:val="1"/>
      <w:marLeft w:val="0"/>
      <w:marRight w:val="0"/>
      <w:marTop w:val="0"/>
      <w:marBottom w:val="0"/>
      <w:divBdr>
        <w:top w:val="none" w:sz="0" w:space="0" w:color="auto"/>
        <w:left w:val="none" w:sz="0" w:space="0" w:color="auto"/>
        <w:bottom w:val="none" w:sz="0" w:space="0" w:color="auto"/>
        <w:right w:val="none" w:sz="0" w:space="0" w:color="auto"/>
      </w:divBdr>
    </w:div>
    <w:div w:id="1970624127">
      <w:bodyDiv w:val="1"/>
      <w:marLeft w:val="0"/>
      <w:marRight w:val="0"/>
      <w:marTop w:val="0"/>
      <w:marBottom w:val="0"/>
      <w:divBdr>
        <w:top w:val="none" w:sz="0" w:space="0" w:color="auto"/>
        <w:left w:val="none" w:sz="0" w:space="0" w:color="auto"/>
        <w:bottom w:val="none" w:sz="0" w:space="0" w:color="auto"/>
        <w:right w:val="none" w:sz="0" w:space="0" w:color="auto"/>
      </w:divBdr>
    </w:div>
    <w:div w:id="1973318893">
      <w:bodyDiv w:val="1"/>
      <w:marLeft w:val="0"/>
      <w:marRight w:val="0"/>
      <w:marTop w:val="0"/>
      <w:marBottom w:val="0"/>
      <w:divBdr>
        <w:top w:val="none" w:sz="0" w:space="0" w:color="auto"/>
        <w:left w:val="none" w:sz="0" w:space="0" w:color="auto"/>
        <w:bottom w:val="none" w:sz="0" w:space="0" w:color="auto"/>
        <w:right w:val="none" w:sz="0" w:space="0" w:color="auto"/>
      </w:divBdr>
    </w:div>
    <w:div w:id="1979219006">
      <w:bodyDiv w:val="1"/>
      <w:marLeft w:val="0"/>
      <w:marRight w:val="0"/>
      <w:marTop w:val="0"/>
      <w:marBottom w:val="0"/>
      <w:divBdr>
        <w:top w:val="none" w:sz="0" w:space="0" w:color="auto"/>
        <w:left w:val="none" w:sz="0" w:space="0" w:color="auto"/>
        <w:bottom w:val="none" w:sz="0" w:space="0" w:color="auto"/>
        <w:right w:val="none" w:sz="0" w:space="0" w:color="auto"/>
      </w:divBdr>
    </w:div>
    <w:div w:id="2003846990">
      <w:bodyDiv w:val="1"/>
      <w:marLeft w:val="0"/>
      <w:marRight w:val="0"/>
      <w:marTop w:val="0"/>
      <w:marBottom w:val="0"/>
      <w:divBdr>
        <w:top w:val="none" w:sz="0" w:space="0" w:color="auto"/>
        <w:left w:val="none" w:sz="0" w:space="0" w:color="auto"/>
        <w:bottom w:val="none" w:sz="0" w:space="0" w:color="auto"/>
        <w:right w:val="none" w:sz="0" w:space="0" w:color="auto"/>
      </w:divBdr>
    </w:div>
    <w:div w:id="2033455664">
      <w:bodyDiv w:val="1"/>
      <w:marLeft w:val="0"/>
      <w:marRight w:val="0"/>
      <w:marTop w:val="0"/>
      <w:marBottom w:val="0"/>
      <w:divBdr>
        <w:top w:val="none" w:sz="0" w:space="0" w:color="auto"/>
        <w:left w:val="none" w:sz="0" w:space="0" w:color="auto"/>
        <w:bottom w:val="none" w:sz="0" w:space="0" w:color="auto"/>
        <w:right w:val="none" w:sz="0" w:space="0" w:color="auto"/>
      </w:divBdr>
    </w:div>
    <w:div w:id="2046711438">
      <w:bodyDiv w:val="1"/>
      <w:marLeft w:val="0"/>
      <w:marRight w:val="0"/>
      <w:marTop w:val="0"/>
      <w:marBottom w:val="0"/>
      <w:divBdr>
        <w:top w:val="none" w:sz="0" w:space="0" w:color="auto"/>
        <w:left w:val="none" w:sz="0" w:space="0" w:color="auto"/>
        <w:bottom w:val="none" w:sz="0" w:space="0" w:color="auto"/>
        <w:right w:val="none" w:sz="0" w:space="0" w:color="auto"/>
      </w:divBdr>
    </w:div>
    <w:div w:id="2117631807">
      <w:bodyDiv w:val="1"/>
      <w:marLeft w:val="0"/>
      <w:marRight w:val="0"/>
      <w:marTop w:val="0"/>
      <w:marBottom w:val="0"/>
      <w:divBdr>
        <w:top w:val="none" w:sz="0" w:space="0" w:color="auto"/>
        <w:left w:val="none" w:sz="0" w:space="0" w:color="auto"/>
        <w:bottom w:val="none" w:sz="0" w:space="0" w:color="auto"/>
        <w:right w:val="none" w:sz="0" w:space="0" w:color="auto"/>
      </w:divBdr>
    </w:div>
    <w:div w:id="2124764921">
      <w:bodyDiv w:val="1"/>
      <w:marLeft w:val="0"/>
      <w:marRight w:val="0"/>
      <w:marTop w:val="0"/>
      <w:marBottom w:val="0"/>
      <w:divBdr>
        <w:top w:val="none" w:sz="0" w:space="0" w:color="auto"/>
        <w:left w:val="none" w:sz="0" w:space="0" w:color="auto"/>
        <w:bottom w:val="none" w:sz="0" w:space="0" w:color="auto"/>
        <w:right w:val="none" w:sz="0" w:space="0" w:color="auto"/>
      </w:divBdr>
    </w:div>
    <w:div w:id="21437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2" Type="http://schemas.openxmlformats.org/officeDocument/2006/relationships/hyperlink" Target="https://www.nrsr.sk/web/Default.aspx?sid=schodze/uznesenie&amp;MasterID=13292" TargetMode="External"/><Relationship Id="rId1" Type="http://schemas.openxmlformats.org/officeDocument/2006/relationships/hyperlink" Target="https://ec.europa.eu/eurostat/news/euro-indicator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f.mfsr.sk\DfsRoot\ADRESARE\IFP_NEW\3_MAKRO\3_7_Materialy\3_7_8_SZU\SZU%20za%202022\kap1_grafy.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22\kap1_grafy.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22\kap1_grafy.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oleObject" Target="file:///\\mf.mfsr.sk\DfsRoot\ADRESARE\IFP_NEW\3_MAKRO\3_7_Materialy\3_7_8_SZU\SZU%20za%202022\kap1_grafy.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22\kap1_grafy.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VM-DFS.mf.mfsr.sk\FileShare\ADRESARE\IFP_NEW\5_MATERIALY\5_3_Strategicke_materialy\Program_stability\2023\Vstupy\Dlh\DLH_Model_2023_PS_FRRVS_dane_FINAL.xlsm"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VM-DFS.mf.mfsr.sk\FileShare\ADRESARE\IFP_NEW\5_MATERIALY\5_3_Strategicke_materialy\Program_stability\2023\Vstupy\Dlh\DLH_Model_2023_PS_FRRVS_dane_FINAL.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3"/>
          <c:order val="0"/>
          <c:tx>
            <c:strRef>
              <c:f>HDP!$A$5</c:f>
              <c:strCache>
                <c:ptCount val="1"/>
                <c:pt idx="0">
                  <c:v>štatistická diskrepancia</c:v>
                </c:pt>
              </c:strCache>
            </c:strRef>
          </c:tx>
          <c:spPr>
            <a:solidFill>
              <a:srgbClr val="7C7C7C"/>
            </a:solidFill>
          </c:spPr>
          <c:invertIfNegative val="0"/>
          <c:cat>
            <c:numRef>
              <c:f>HDP!$H$1:$O$1</c:f>
              <c:numCache>
                <c:formatCode>General</c:formatCode>
                <c:ptCount val="8"/>
                <c:pt idx="0">
                  <c:v>2015</c:v>
                </c:pt>
                <c:pt idx="1">
                  <c:v>2016</c:v>
                </c:pt>
                <c:pt idx="2">
                  <c:v>2017</c:v>
                </c:pt>
                <c:pt idx="3">
                  <c:v>2018</c:v>
                </c:pt>
                <c:pt idx="4">
                  <c:v>2019</c:v>
                </c:pt>
                <c:pt idx="5">
                  <c:v>2020</c:v>
                </c:pt>
                <c:pt idx="6">
                  <c:v>2021</c:v>
                </c:pt>
                <c:pt idx="7">
                  <c:v>2022</c:v>
                </c:pt>
              </c:numCache>
            </c:numRef>
          </c:cat>
          <c:val>
            <c:numRef>
              <c:f>HDP!$H$5:$O$5</c:f>
              <c:numCache>
                <c:formatCode>0.0</c:formatCode>
                <c:ptCount val="8"/>
                <c:pt idx="0">
                  <c:v>-1.4853808766892129E-2</c:v>
                </c:pt>
                <c:pt idx="1">
                  <c:v>1.9317880628477724E-14</c:v>
                </c:pt>
                <c:pt idx="2">
                  <c:v>-4.6643356169977501E-3</c:v>
                </c:pt>
                <c:pt idx="3">
                  <c:v>-3.1345001826203145E-2</c:v>
                </c:pt>
                <c:pt idx="4">
                  <c:v>2.8064827751438592E-2</c:v>
                </c:pt>
                <c:pt idx="5">
                  <c:v>0.15967614263336616</c:v>
                </c:pt>
                <c:pt idx="6">
                  <c:v>-0.12013126152784404</c:v>
                </c:pt>
                <c:pt idx="7">
                  <c:v>-9.170519570235891E-2</c:v>
                </c:pt>
              </c:numCache>
            </c:numRef>
          </c:val>
          <c:extLst>
            <c:ext xmlns:c16="http://schemas.microsoft.com/office/drawing/2014/chart" uri="{C3380CC4-5D6E-409C-BE32-E72D297353CC}">
              <c16:uniqueId val="{00000000-2B40-46D8-A30C-3767328463BB}"/>
            </c:ext>
          </c:extLst>
        </c:ser>
        <c:ser>
          <c:idx val="1"/>
          <c:order val="2"/>
          <c:tx>
            <c:strRef>
              <c:f>HDP!$A$3</c:f>
              <c:strCache>
                <c:ptCount val="1"/>
                <c:pt idx="0">
                  <c:v>domáci dopyt</c:v>
                </c:pt>
              </c:strCache>
            </c:strRef>
          </c:tx>
          <c:spPr>
            <a:solidFill>
              <a:srgbClr val="2C9ADC"/>
            </a:solidFill>
          </c:spPr>
          <c:invertIfNegative val="0"/>
          <c:cat>
            <c:numRef>
              <c:f>HDP!$H$1:$O$1</c:f>
              <c:numCache>
                <c:formatCode>General</c:formatCode>
                <c:ptCount val="8"/>
                <c:pt idx="0">
                  <c:v>2015</c:v>
                </c:pt>
                <c:pt idx="1">
                  <c:v>2016</c:v>
                </c:pt>
                <c:pt idx="2">
                  <c:v>2017</c:v>
                </c:pt>
                <c:pt idx="3">
                  <c:v>2018</c:v>
                </c:pt>
                <c:pt idx="4">
                  <c:v>2019</c:v>
                </c:pt>
                <c:pt idx="5">
                  <c:v>2020</c:v>
                </c:pt>
                <c:pt idx="6">
                  <c:v>2021</c:v>
                </c:pt>
                <c:pt idx="7">
                  <c:v>2022</c:v>
                </c:pt>
              </c:numCache>
            </c:numRef>
          </c:cat>
          <c:val>
            <c:numRef>
              <c:f>HDP!$H$3:$O$3</c:f>
              <c:numCache>
                <c:formatCode>0.0</c:formatCode>
                <c:ptCount val="8"/>
                <c:pt idx="0">
                  <c:v>6.4932984673302938</c:v>
                </c:pt>
                <c:pt idx="1">
                  <c:v>1.6117380455354435</c:v>
                </c:pt>
                <c:pt idx="2">
                  <c:v>3.1821321814195502</c:v>
                </c:pt>
                <c:pt idx="3">
                  <c:v>3.5866169876851388</c:v>
                </c:pt>
                <c:pt idx="4">
                  <c:v>3.7569771803764009</c:v>
                </c:pt>
                <c:pt idx="5">
                  <c:v>-5.0785158187737389</c:v>
                </c:pt>
                <c:pt idx="6">
                  <c:v>4.0330458256896833</c:v>
                </c:pt>
                <c:pt idx="7">
                  <c:v>3.6832354795793631</c:v>
                </c:pt>
              </c:numCache>
            </c:numRef>
          </c:val>
          <c:extLst>
            <c:ext xmlns:c16="http://schemas.microsoft.com/office/drawing/2014/chart" uri="{C3380CC4-5D6E-409C-BE32-E72D297353CC}">
              <c16:uniqueId val="{00000001-2B40-46D8-A30C-3767328463BB}"/>
            </c:ext>
          </c:extLst>
        </c:ser>
        <c:ser>
          <c:idx val="2"/>
          <c:order val="3"/>
          <c:tx>
            <c:strRef>
              <c:f>HDP!$A$4</c:f>
              <c:strCache>
                <c:ptCount val="1"/>
                <c:pt idx="0">
                  <c:v>zahraničný dopyt</c:v>
                </c:pt>
              </c:strCache>
            </c:strRef>
          </c:tx>
          <c:spPr>
            <a:solidFill>
              <a:srgbClr val="555555"/>
            </a:solidFill>
          </c:spPr>
          <c:invertIfNegative val="0"/>
          <c:cat>
            <c:numRef>
              <c:f>HDP!$H$1:$O$1</c:f>
              <c:numCache>
                <c:formatCode>General</c:formatCode>
                <c:ptCount val="8"/>
                <c:pt idx="0">
                  <c:v>2015</c:v>
                </c:pt>
                <c:pt idx="1">
                  <c:v>2016</c:v>
                </c:pt>
                <c:pt idx="2">
                  <c:v>2017</c:v>
                </c:pt>
                <c:pt idx="3">
                  <c:v>2018</c:v>
                </c:pt>
                <c:pt idx="4">
                  <c:v>2019</c:v>
                </c:pt>
                <c:pt idx="5">
                  <c:v>2020</c:v>
                </c:pt>
                <c:pt idx="6">
                  <c:v>2021</c:v>
                </c:pt>
                <c:pt idx="7">
                  <c:v>2022</c:v>
                </c:pt>
              </c:numCache>
            </c:numRef>
          </c:cat>
          <c:val>
            <c:numRef>
              <c:f>HDP!$H$4:$O$4</c:f>
              <c:numCache>
                <c:formatCode>0.0</c:formatCode>
                <c:ptCount val="8"/>
                <c:pt idx="0">
                  <c:v>-1.3112630524218662</c:v>
                </c:pt>
                <c:pt idx="1">
                  <c:v>0.33221281548790627</c:v>
                </c:pt>
                <c:pt idx="2">
                  <c:v>-0.2393991679535262</c:v>
                </c:pt>
                <c:pt idx="3">
                  <c:v>0.47511772839455479</c:v>
                </c:pt>
                <c:pt idx="4">
                  <c:v>-1.2653488708225271</c:v>
                </c:pt>
                <c:pt idx="5">
                  <c:v>1.5441579102399283</c:v>
                </c:pt>
                <c:pt idx="6">
                  <c:v>-0.89861170343506946</c:v>
                </c:pt>
                <c:pt idx="7">
                  <c:v>-1.9228268816117451</c:v>
                </c:pt>
              </c:numCache>
            </c:numRef>
          </c:val>
          <c:extLst>
            <c:ext xmlns:c16="http://schemas.microsoft.com/office/drawing/2014/chart" uri="{C3380CC4-5D6E-409C-BE32-E72D297353CC}">
              <c16:uniqueId val="{00000002-2B40-46D8-A30C-3767328463BB}"/>
            </c:ext>
          </c:extLst>
        </c:ser>
        <c:dLbls>
          <c:showLegendKey val="0"/>
          <c:showVal val="0"/>
          <c:showCatName val="0"/>
          <c:showSerName val="0"/>
          <c:showPercent val="0"/>
          <c:showBubbleSize val="0"/>
        </c:dLbls>
        <c:gapWidth val="150"/>
        <c:overlap val="100"/>
        <c:axId val="156315056"/>
        <c:axId val="873880"/>
      </c:barChart>
      <c:lineChart>
        <c:grouping val="standard"/>
        <c:varyColors val="0"/>
        <c:ser>
          <c:idx val="0"/>
          <c:order val="1"/>
          <c:tx>
            <c:strRef>
              <c:f>HDP!$A$2</c:f>
              <c:strCache>
                <c:ptCount val="1"/>
                <c:pt idx="0">
                  <c:v>rast HDP</c:v>
                </c:pt>
              </c:strCache>
            </c:strRef>
          </c:tx>
          <c:spPr>
            <a:ln>
              <a:solidFill>
                <a:schemeClr val="tx1"/>
              </a:solidFill>
            </a:ln>
          </c:spPr>
          <c:marker>
            <c:symbol val="none"/>
          </c:marker>
          <c:dLbls>
            <c:dLbl>
              <c:idx val="0"/>
              <c:layout>
                <c:manualLayout>
                  <c:x val="-5.9300718557721267E-2"/>
                  <c:y val="-0.15149174846294899"/>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B40-46D8-A30C-3767328463BB}"/>
                </c:ext>
              </c:extLst>
            </c:dLbl>
            <c:dLbl>
              <c:idx val="4"/>
              <c:layout>
                <c:manualLayout>
                  <c:x val="-5.7103911191428942E-2"/>
                  <c:y val="-8.88280060882800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B40-46D8-A30C-3767328463BB}"/>
                </c:ext>
              </c:extLst>
            </c:dLbl>
            <c:dLbl>
              <c:idx val="5"/>
              <c:layout>
                <c:manualLayout>
                  <c:x val="-9.4209371369562405E-3"/>
                  <c:y val="7.427106696571600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B40-46D8-A30C-3767328463BB}"/>
                </c:ext>
              </c:extLst>
            </c:dLbl>
            <c:dLbl>
              <c:idx val="7"/>
              <c:layout>
                <c:manualLayout>
                  <c:x val="-2.7331009853276536E-4"/>
                  <c:y val="-7.42710669657161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B40-46D8-A30C-3767328463BB}"/>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a:noFill/>
                    </a:ln>
                  </c:spPr>
                </c15:leaderLines>
              </c:ext>
            </c:extLst>
          </c:dLbls>
          <c:cat>
            <c:numRef>
              <c:f>HDP!$H$1:$O$1</c:f>
              <c:numCache>
                <c:formatCode>General</c:formatCode>
                <c:ptCount val="8"/>
                <c:pt idx="0">
                  <c:v>2015</c:v>
                </c:pt>
                <c:pt idx="1">
                  <c:v>2016</c:v>
                </c:pt>
                <c:pt idx="2">
                  <c:v>2017</c:v>
                </c:pt>
                <c:pt idx="3">
                  <c:v>2018</c:v>
                </c:pt>
                <c:pt idx="4">
                  <c:v>2019</c:v>
                </c:pt>
                <c:pt idx="5">
                  <c:v>2020</c:v>
                </c:pt>
                <c:pt idx="6">
                  <c:v>2021</c:v>
                </c:pt>
                <c:pt idx="7">
                  <c:v>2022</c:v>
                </c:pt>
              </c:numCache>
            </c:numRef>
          </c:cat>
          <c:val>
            <c:numRef>
              <c:f>HDP!$H$2:$O$2</c:f>
              <c:numCache>
                <c:formatCode>0.0</c:formatCode>
                <c:ptCount val="8"/>
                <c:pt idx="0">
                  <c:v>5.1671816061415354</c:v>
                </c:pt>
                <c:pt idx="1">
                  <c:v>1.9439508610233691</c:v>
                </c:pt>
                <c:pt idx="2">
                  <c:v>2.9380686778490261</c:v>
                </c:pt>
                <c:pt idx="3">
                  <c:v>4.0303897142534906</c:v>
                </c:pt>
                <c:pt idx="4">
                  <c:v>2.5196931373053122</c:v>
                </c:pt>
                <c:pt idx="5">
                  <c:v>-3.3746817659004447</c:v>
                </c:pt>
                <c:pt idx="6">
                  <c:v>3.0143028607267697</c:v>
                </c:pt>
                <c:pt idx="7">
                  <c:v>1.6687034022652592</c:v>
                </c:pt>
              </c:numCache>
            </c:numRef>
          </c:val>
          <c:smooth val="0"/>
          <c:extLst>
            <c:ext xmlns:c16="http://schemas.microsoft.com/office/drawing/2014/chart" uri="{C3380CC4-5D6E-409C-BE32-E72D297353CC}">
              <c16:uniqueId val="{00000007-2B40-46D8-A30C-3767328463BB}"/>
            </c:ext>
          </c:extLst>
        </c:ser>
        <c:dLbls>
          <c:showLegendKey val="0"/>
          <c:showVal val="0"/>
          <c:showCatName val="0"/>
          <c:showSerName val="0"/>
          <c:showPercent val="0"/>
          <c:showBubbleSize val="0"/>
        </c:dLbls>
        <c:marker val="1"/>
        <c:smooth val="0"/>
        <c:axId val="156315056"/>
        <c:axId val="873880"/>
      </c:lineChart>
      <c:catAx>
        <c:axId val="156315056"/>
        <c:scaling>
          <c:orientation val="minMax"/>
        </c:scaling>
        <c:delete val="0"/>
        <c:axPos val="b"/>
        <c:numFmt formatCode="General" sourceLinked="1"/>
        <c:majorTickMark val="out"/>
        <c:minorTickMark val="none"/>
        <c:tickLblPos val="low"/>
        <c:txPr>
          <a:bodyPr/>
          <a:lstStyle/>
          <a:p>
            <a:pPr>
              <a:defRPr baseline="0">
                <a:latin typeface="Times New Roman" panose="02020603050405020304" pitchFamily="18" charset="0"/>
              </a:defRPr>
            </a:pPr>
            <a:endParaRPr lang="sk-SK"/>
          </a:p>
        </c:txPr>
        <c:crossAx val="873880"/>
        <c:crosses val="autoZero"/>
        <c:auto val="1"/>
        <c:lblAlgn val="ctr"/>
        <c:lblOffset val="100"/>
        <c:noMultiLvlLbl val="0"/>
      </c:catAx>
      <c:valAx>
        <c:axId val="873880"/>
        <c:scaling>
          <c:orientation val="minMax"/>
        </c:scaling>
        <c:delete val="0"/>
        <c:axPos val="l"/>
        <c:majorGridlines>
          <c:spPr>
            <a:ln>
              <a:prstDash val="sysDash"/>
            </a:ln>
          </c:spPr>
        </c:majorGridlines>
        <c:numFmt formatCode="0.0" sourceLinked="0"/>
        <c:majorTickMark val="out"/>
        <c:minorTickMark val="none"/>
        <c:tickLblPos val="nextTo"/>
        <c:txPr>
          <a:bodyPr/>
          <a:lstStyle/>
          <a:p>
            <a:pPr>
              <a:defRPr baseline="0">
                <a:latin typeface="Times New Roman" panose="02020603050405020304" pitchFamily="18" charset="0"/>
              </a:defRPr>
            </a:pPr>
            <a:endParaRPr lang="sk-SK"/>
          </a:p>
        </c:txPr>
        <c:crossAx val="156315056"/>
        <c:crosses val="autoZero"/>
        <c:crossBetween val="between"/>
      </c:valAx>
    </c:plotArea>
    <c:legend>
      <c:legendPos val="r"/>
      <c:layout>
        <c:manualLayout>
          <c:xMode val="edge"/>
          <c:yMode val="edge"/>
          <c:x val="1.4626565121982703E-2"/>
          <c:y val="0.60578051031292324"/>
          <c:w val="0.78078774579407084"/>
          <c:h val="0.27245388846942076"/>
        </c:manualLayout>
      </c:layout>
      <c:overlay val="1"/>
      <c:txPr>
        <a:bodyPr/>
        <a:lstStyle/>
        <a:p>
          <a:pPr>
            <a:defRPr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74453193350831E-2"/>
          <c:y val="0.2030005183521339"/>
          <c:w val="0.89093095636884034"/>
          <c:h val="0.61034285291141099"/>
        </c:manualLayout>
      </c:layout>
      <c:barChart>
        <c:barDir val="col"/>
        <c:grouping val="stacked"/>
        <c:varyColors val="0"/>
        <c:ser>
          <c:idx val="8"/>
          <c:order val="1"/>
          <c:tx>
            <c:strRef>
              <c:f>trh_prace!$A$16</c:f>
              <c:strCache>
                <c:ptCount val="1"/>
                <c:pt idx="0">
                  <c:v>Poľnohospodárstvo</c:v>
                </c:pt>
              </c:strCache>
            </c:strRef>
          </c:tx>
          <c:invertIfNegative val="0"/>
          <c:cat>
            <c:strRef>
              <c:f>trh_prace!$F$15:$M$15</c:f>
              <c:strCache>
                <c:ptCount val="8"/>
                <c:pt idx="0">
                  <c:v>2021Q1</c:v>
                </c:pt>
                <c:pt idx="1">
                  <c:v>2021Q2</c:v>
                </c:pt>
                <c:pt idx="2">
                  <c:v>2021Q3</c:v>
                </c:pt>
                <c:pt idx="3">
                  <c:v>2021Q4</c:v>
                </c:pt>
                <c:pt idx="4">
                  <c:v>2022Q1</c:v>
                </c:pt>
                <c:pt idx="5">
                  <c:v>2022Q2</c:v>
                </c:pt>
                <c:pt idx="6">
                  <c:v>2022Q3</c:v>
                </c:pt>
                <c:pt idx="7">
                  <c:v>2022Q4</c:v>
                </c:pt>
              </c:strCache>
            </c:strRef>
          </c:cat>
          <c:val>
            <c:numRef>
              <c:f>trh_prace!$F$16:$M$16</c:f>
              <c:numCache>
                <c:formatCode>0.00</c:formatCode>
                <c:ptCount val="8"/>
                <c:pt idx="0">
                  <c:v>-0.11504735592257082</c:v>
                </c:pt>
                <c:pt idx="1">
                  <c:v>4.9278613504368719E-2</c:v>
                </c:pt>
                <c:pt idx="2">
                  <c:v>-2.083644899859018E-2</c:v>
                </c:pt>
                <c:pt idx="3">
                  <c:v>-7.6189091042829921E-2</c:v>
                </c:pt>
                <c:pt idx="4">
                  <c:v>0.14946942311216307</c:v>
                </c:pt>
                <c:pt idx="5">
                  <c:v>2.8009637635671682E-2</c:v>
                </c:pt>
                <c:pt idx="6">
                  <c:v>3.596125082539927E-2</c:v>
                </c:pt>
                <c:pt idx="7">
                  <c:v>5.1868393309676512E-2</c:v>
                </c:pt>
              </c:numCache>
            </c:numRef>
          </c:val>
          <c:extLst>
            <c:ext xmlns:c16="http://schemas.microsoft.com/office/drawing/2014/chart" uri="{C3380CC4-5D6E-409C-BE32-E72D297353CC}">
              <c16:uniqueId val="{00000000-9D3E-435B-A46E-CDD159438D6D}"/>
            </c:ext>
          </c:extLst>
        </c:ser>
        <c:ser>
          <c:idx val="0"/>
          <c:order val="2"/>
          <c:tx>
            <c:strRef>
              <c:f>trh_prace!$A$17</c:f>
              <c:strCache>
                <c:ptCount val="1"/>
                <c:pt idx="0">
                  <c:v>Priemysel</c:v>
                </c:pt>
              </c:strCache>
            </c:strRef>
          </c:tx>
          <c:spPr>
            <a:solidFill>
              <a:srgbClr val="FFFFFF">
                <a:lumMod val="50000"/>
              </a:srgbClr>
            </a:solidFill>
          </c:spPr>
          <c:invertIfNegative val="0"/>
          <c:cat>
            <c:strRef>
              <c:f>trh_prace!$F$15:$M$15</c:f>
              <c:strCache>
                <c:ptCount val="8"/>
                <c:pt idx="0">
                  <c:v>2021Q1</c:v>
                </c:pt>
                <c:pt idx="1">
                  <c:v>2021Q2</c:v>
                </c:pt>
                <c:pt idx="2">
                  <c:v>2021Q3</c:v>
                </c:pt>
                <c:pt idx="3">
                  <c:v>2021Q4</c:v>
                </c:pt>
                <c:pt idx="4">
                  <c:v>2022Q1</c:v>
                </c:pt>
                <c:pt idx="5">
                  <c:v>2022Q2</c:v>
                </c:pt>
                <c:pt idx="6">
                  <c:v>2022Q3</c:v>
                </c:pt>
                <c:pt idx="7">
                  <c:v>2022Q4</c:v>
                </c:pt>
              </c:strCache>
            </c:strRef>
          </c:cat>
          <c:val>
            <c:numRef>
              <c:f>trh_prace!$F$17:$M$17</c:f>
              <c:numCache>
                <c:formatCode>0.00</c:formatCode>
                <c:ptCount val="8"/>
                <c:pt idx="0">
                  <c:v>-0.13726050661070771</c:v>
                </c:pt>
                <c:pt idx="1">
                  <c:v>8.8921271709422003E-2</c:v>
                </c:pt>
                <c:pt idx="2">
                  <c:v>-9.4940271646802021E-3</c:v>
                </c:pt>
                <c:pt idx="3">
                  <c:v>1.5212742259785994E-2</c:v>
                </c:pt>
                <c:pt idx="4">
                  <c:v>0.33667060920555064</c:v>
                </c:pt>
                <c:pt idx="5">
                  <c:v>1.5040678197853286E-2</c:v>
                </c:pt>
                <c:pt idx="6">
                  <c:v>-0.1928231559148843</c:v>
                </c:pt>
                <c:pt idx="7">
                  <c:v>2.8957453521024801E-2</c:v>
                </c:pt>
              </c:numCache>
            </c:numRef>
          </c:val>
          <c:extLst>
            <c:ext xmlns:c16="http://schemas.microsoft.com/office/drawing/2014/chart" uri="{C3380CC4-5D6E-409C-BE32-E72D297353CC}">
              <c16:uniqueId val="{00000001-9D3E-435B-A46E-CDD159438D6D}"/>
            </c:ext>
          </c:extLst>
        </c:ser>
        <c:ser>
          <c:idx val="1"/>
          <c:order val="3"/>
          <c:tx>
            <c:strRef>
              <c:f>trh_prace!$A$20</c:f>
              <c:strCache>
                <c:ptCount val="1"/>
                <c:pt idx="0">
                  <c:v>Stavebníctvo</c:v>
                </c:pt>
              </c:strCache>
            </c:strRef>
          </c:tx>
          <c:spPr>
            <a:solidFill>
              <a:srgbClr val="131D2B">
                <a:lumMod val="25000"/>
                <a:lumOff val="75000"/>
              </a:srgbClr>
            </a:solidFill>
          </c:spPr>
          <c:invertIfNegative val="0"/>
          <c:cat>
            <c:strRef>
              <c:f>trh_prace!$F$15:$M$15</c:f>
              <c:strCache>
                <c:ptCount val="8"/>
                <c:pt idx="0">
                  <c:v>2021Q1</c:v>
                </c:pt>
                <c:pt idx="1">
                  <c:v>2021Q2</c:v>
                </c:pt>
                <c:pt idx="2">
                  <c:v>2021Q3</c:v>
                </c:pt>
                <c:pt idx="3">
                  <c:v>2021Q4</c:v>
                </c:pt>
                <c:pt idx="4">
                  <c:v>2022Q1</c:v>
                </c:pt>
                <c:pt idx="5">
                  <c:v>2022Q2</c:v>
                </c:pt>
                <c:pt idx="6">
                  <c:v>2022Q3</c:v>
                </c:pt>
                <c:pt idx="7">
                  <c:v>2022Q4</c:v>
                </c:pt>
              </c:strCache>
            </c:strRef>
          </c:cat>
          <c:val>
            <c:numRef>
              <c:f>trh_prace!$F$20:$M$20</c:f>
              <c:numCache>
                <c:formatCode>0.00</c:formatCode>
                <c:ptCount val="8"/>
                <c:pt idx="0">
                  <c:v>7.2129872328869846E-2</c:v>
                </c:pt>
                <c:pt idx="1">
                  <c:v>2.8147132584826873E-2</c:v>
                </c:pt>
                <c:pt idx="2">
                  <c:v>0.10745894463385822</c:v>
                </c:pt>
                <c:pt idx="3">
                  <c:v>-5.3202804661284533E-2</c:v>
                </c:pt>
                <c:pt idx="4">
                  <c:v>7.1840277199353639E-2</c:v>
                </c:pt>
                <c:pt idx="5">
                  <c:v>1.3134696938622395E-2</c:v>
                </c:pt>
                <c:pt idx="6">
                  <c:v>0.13659508331846842</c:v>
                </c:pt>
                <c:pt idx="7">
                  <c:v>2.0155045774576919E-3</c:v>
                </c:pt>
              </c:numCache>
            </c:numRef>
          </c:val>
          <c:extLst>
            <c:ext xmlns:c16="http://schemas.microsoft.com/office/drawing/2014/chart" uri="{C3380CC4-5D6E-409C-BE32-E72D297353CC}">
              <c16:uniqueId val="{00000002-9D3E-435B-A46E-CDD159438D6D}"/>
            </c:ext>
          </c:extLst>
        </c:ser>
        <c:ser>
          <c:idx val="2"/>
          <c:order val="4"/>
          <c:tx>
            <c:strRef>
              <c:f>trh_prace!$A$19</c:f>
              <c:strCache>
                <c:ptCount val="1"/>
                <c:pt idx="0">
                  <c:v>Verejný sektor</c:v>
                </c:pt>
              </c:strCache>
            </c:strRef>
          </c:tx>
          <c:spPr>
            <a:solidFill>
              <a:srgbClr val="2E75B6"/>
            </a:solidFill>
          </c:spPr>
          <c:invertIfNegative val="0"/>
          <c:cat>
            <c:strRef>
              <c:f>trh_prace!$F$15:$M$15</c:f>
              <c:strCache>
                <c:ptCount val="8"/>
                <c:pt idx="0">
                  <c:v>2021Q1</c:v>
                </c:pt>
                <c:pt idx="1">
                  <c:v>2021Q2</c:v>
                </c:pt>
                <c:pt idx="2">
                  <c:v>2021Q3</c:v>
                </c:pt>
                <c:pt idx="3">
                  <c:v>2021Q4</c:v>
                </c:pt>
                <c:pt idx="4">
                  <c:v>2022Q1</c:v>
                </c:pt>
                <c:pt idx="5">
                  <c:v>2022Q2</c:v>
                </c:pt>
                <c:pt idx="6">
                  <c:v>2022Q3</c:v>
                </c:pt>
                <c:pt idx="7">
                  <c:v>2022Q4</c:v>
                </c:pt>
              </c:strCache>
            </c:strRef>
          </c:cat>
          <c:val>
            <c:numRef>
              <c:f>trh_prace!$F$19:$M$19</c:f>
              <c:numCache>
                <c:formatCode>0.00</c:formatCode>
                <c:ptCount val="8"/>
                <c:pt idx="0">
                  <c:v>-0.36060745003926875</c:v>
                </c:pt>
                <c:pt idx="1">
                  <c:v>0.23667258629885246</c:v>
                </c:pt>
                <c:pt idx="2">
                  <c:v>0.19109880341650548</c:v>
                </c:pt>
                <c:pt idx="3">
                  <c:v>-5.5083500819774561E-2</c:v>
                </c:pt>
                <c:pt idx="4">
                  <c:v>3.106831698012627E-2</c:v>
                </c:pt>
                <c:pt idx="5">
                  <c:v>0.15392870387059215</c:v>
                </c:pt>
                <c:pt idx="6">
                  <c:v>0.14726399965727652</c:v>
                </c:pt>
                <c:pt idx="7">
                  <c:v>2.5090975352024328E-2</c:v>
                </c:pt>
              </c:numCache>
            </c:numRef>
          </c:val>
          <c:extLst>
            <c:ext xmlns:c16="http://schemas.microsoft.com/office/drawing/2014/chart" uri="{C3380CC4-5D6E-409C-BE32-E72D297353CC}">
              <c16:uniqueId val="{00000003-9D3E-435B-A46E-CDD159438D6D}"/>
            </c:ext>
          </c:extLst>
        </c:ser>
        <c:ser>
          <c:idx val="3"/>
          <c:order val="5"/>
          <c:tx>
            <c:strRef>
              <c:f>trh_prace!$A$18</c:f>
              <c:strCache>
                <c:ptCount val="1"/>
                <c:pt idx="0">
                  <c:v>Služby</c:v>
                </c:pt>
              </c:strCache>
            </c:strRef>
          </c:tx>
          <c:spPr>
            <a:solidFill>
              <a:srgbClr val="00B0F0"/>
            </a:solidFill>
          </c:spPr>
          <c:invertIfNegative val="0"/>
          <c:cat>
            <c:strRef>
              <c:f>trh_prace!$F$15:$M$15</c:f>
              <c:strCache>
                <c:ptCount val="8"/>
                <c:pt idx="0">
                  <c:v>2021Q1</c:v>
                </c:pt>
                <c:pt idx="1">
                  <c:v>2021Q2</c:v>
                </c:pt>
                <c:pt idx="2">
                  <c:v>2021Q3</c:v>
                </c:pt>
                <c:pt idx="3">
                  <c:v>2021Q4</c:v>
                </c:pt>
                <c:pt idx="4">
                  <c:v>2022Q1</c:v>
                </c:pt>
                <c:pt idx="5">
                  <c:v>2022Q2</c:v>
                </c:pt>
                <c:pt idx="6">
                  <c:v>2022Q3</c:v>
                </c:pt>
                <c:pt idx="7">
                  <c:v>2022Q4</c:v>
                </c:pt>
              </c:strCache>
            </c:strRef>
          </c:cat>
          <c:val>
            <c:numRef>
              <c:f>trh_prace!$F$18:$M$18</c:f>
              <c:numCache>
                <c:formatCode>0.00</c:formatCode>
                <c:ptCount val="8"/>
                <c:pt idx="0">
                  <c:v>-0.29057315796400129</c:v>
                </c:pt>
                <c:pt idx="1">
                  <c:v>0.2015943279724175</c:v>
                </c:pt>
                <c:pt idx="2">
                  <c:v>0.24793693949532103</c:v>
                </c:pt>
                <c:pt idx="3">
                  <c:v>0.52153794137326759</c:v>
                </c:pt>
                <c:pt idx="4">
                  <c:v>-7.7004447850205729E-2</c:v>
                </c:pt>
                <c:pt idx="5">
                  <c:v>0.3765141674487405</c:v>
                </c:pt>
                <c:pt idx="6">
                  <c:v>1.8825076319825277E-2</c:v>
                </c:pt>
                <c:pt idx="7">
                  <c:v>0.13117232852066488</c:v>
                </c:pt>
              </c:numCache>
            </c:numRef>
          </c:val>
          <c:extLst>
            <c:ext xmlns:c16="http://schemas.microsoft.com/office/drawing/2014/chart" uri="{C3380CC4-5D6E-409C-BE32-E72D297353CC}">
              <c16:uniqueId val="{00000004-9D3E-435B-A46E-CDD159438D6D}"/>
            </c:ext>
          </c:extLst>
        </c:ser>
        <c:dLbls>
          <c:showLegendKey val="0"/>
          <c:showVal val="0"/>
          <c:showCatName val="0"/>
          <c:showSerName val="0"/>
          <c:showPercent val="0"/>
          <c:showBubbleSize val="0"/>
        </c:dLbls>
        <c:gapWidth val="150"/>
        <c:overlap val="100"/>
        <c:axId val="156135264"/>
        <c:axId val="156131736"/>
      </c:barChart>
      <c:lineChart>
        <c:grouping val="standard"/>
        <c:varyColors val="0"/>
        <c:ser>
          <c:idx val="5"/>
          <c:order val="0"/>
          <c:tx>
            <c:strRef>
              <c:f>trh_prace!$A$21</c:f>
              <c:strCache>
                <c:ptCount val="1"/>
                <c:pt idx="0">
                  <c:v>Hospodárstvo spolu</c:v>
                </c:pt>
              </c:strCache>
            </c:strRef>
          </c:tx>
          <c:spPr>
            <a:ln>
              <a:solidFill>
                <a:srgbClr val="686767">
                  <a:lumMod val="50000"/>
                </a:srgbClr>
              </a:solidFill>
            </a:ln>
          </c:spPr>
          <c:marker>
            <c:symbol val="none"/>
          </c:marker>
          <c:cat>
            <c:strRef>
              <c:f>trh_prace!$F$15:$M$15</c:f>
              <c:strCache>
                <c:ptCount val="8"/>
                <c:pt idx="0">
                  <c:v>2021Q1</c:v>
                </c:pt>
                <c:pt idx="1">
                  <c:v>2021Q2</c:v>
                </c:pt>
                <c:pt idx="2">
                  <c:v>2021Q3</c:v>
                </c:pt>
                <c:pt idx="3">
                  <c:v>2021Q4</c:v>
                </c:pt>
                <c:pt idx="4">
                  <c:v>2022Q1</c:v>
                </c:pt>
                <c:pt idx="5">
                  <c:v>2022Q2</c:v>
                </c:pt>
                <c:pt idx="6">
                  <c:v>2022Q3</c:v>
                </c:pt>
                <c:pt idx="7">
                  <c:v>2022Q4</c:v>
                </c:pt>
              </c:strCache>
            </c:strRef>
          </c:cat>
          <c:val>
            <c:numRef>
              <c:f>trh_prace!$F$21:$M$21</c:f>
              <c:numCache>
                <c:formatCode>0.00</c:formatCode>
                <c:ptCount val="8"/>
                <c:pt idx="0">
                  <c:v>-0.83135859820768765</c:v>
                </c:pt>
                <c:pt idx="1">
                  <c:v>0.60461393206989733</c:v>
                </c:pt>
                <c:pt idx="2">
                  <c:v>0.51616421138240831</c:v>
                </c:pt>
                <c:pt idx="3">
                  <c:v>0.35227528710917166</c:v>
                </c:pt>
                <c:pt idx="4">
                  <c:v>0.51204417864698648</c:v>
                </c:pt>
                <c:pt idx="5">
                  <c:v>0.58662788409147293</c:v>
                </c:pt>
                <c:pt idx="6">
                  <c:v>0.14582225420609607</c:v>
                </c:pt>
                <c:pt idx="7">
                  <c:v>0.2391046552808751</c:v>
                </c:pt>
              </c:numCache>
            </c:numRef>
          </c:val>
          <c:smooth val="0"/>
          <c:extLst>
            <c:ext xmlns:c16="http://schemas.microsoft.com/office/drawing/2014/chart" uri="{C3380CC4-5D6E-409C-BE32-E72D297353CC}">
              <c16:uniqueId val="{00000005-9D3E-435B-A46E-CDD159438D6D}"/>
            </c:ext>
          </c:extLst>
        </c:ser>
        <c:dLbls>
          <c:showLegendKey val="0"/>
          <c:showVal val="0"/>
          <c:showCatName val="0"/>
          <c:showSerName val="0"/>
          <c:showPercent val="0"/>
          <c:showBubbleSize val="0"/>
        </c:dLbls>
        <c:marker val="1"/>
        <c:smooth val="0"/>
        <c:axId val="156135264"/>
        <c:axId val="156131736"/>
      </c:lineChart>
      <c:catAx>
        <c:axId val="156135264"/>
        <c:scaling>
          <c:orientation val="minMax"/>
        </c:scaling>
        <c:delete val="0"/>
        <c:axPos val="b"/>
        <c:numFmt formatCode="General" sourceLinked="1"/>
        <c:majorTickMark val="out"/>
        <c:minorTickMark val="none"/>
        <c:tickLblPos val="low"/>
        <c:txPr>
          <a:bodyPr rot="-5400000" vert="horz"/>
          <a:lstStyle/>
          <a:p>
            <a:pPr>
              <a:defRPr baseline="0">
                <a:latin typeface="Times New Roman" panose="02020603050405020304" pitchFamily="18" charset="0"/>
              </a:defRPr>
            </a:pPr>
            <a:endParaRPr lang="sk-SK"/>
          </a:p>
        </c:txPr>
        <c:crossAx val="156131736"/>
        <c:crosses val="autoZero"/>
        <c:auto val="1"/>
        <c:lblAlgn val="ctr"/>
        <c:lblOffset val="100"/>
        <c:noMultiLvlLbl val="0"/>
      </c:catAx>
      <c:valAx>
        <c:axId val="156131736"/>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baseline="0">
                <a:latin typeface="Times New Roman" panose="02020603050405020304" pitchFamily="18" charset="0"/>
              </a:defRPr>
            </a:pPr>
            <a:endParaRPr lang="sk-SK"/>
          </a:p>
        </c:txPr>
        <c:crossAx val="156135264"/>
        <c:crosses val="autoZero"/>
        <c:crossBetween val="between"/>
      </c:valAx>
    </c:plotArea>
    <c:legend>
      <c:legendPos val="r"/>
      <c:layout>
        <c:manualLayout>
          <c:xMode val="edge"/>
          <c:yMode val="edge"/>
          <c:x val="4.3423572460608545E-2"/>
          <c:y val="9.1737913948875208E-3"/>
          <c:w val="0.92457658997836978"/>
          <c:h val="0.19979512748994149"/>
        </c:manualLayout>
      </c:layout>
      <c:overlay val="0"/>
      <c:txPr>
        <a:bodyPr/>
        <a:lstStyle/>
        <a:p>
          <a:pPr>
            <a:defRPr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515773876186696E-2"/>
          <c:y val="8.4437627114792468E-2"/>
          <c:w val="0.91819511922711794"/>
          <c:h val="0.72658193006773042"/>
        </c:manualLayout>
      </c:layout>
      <c:lineChart>
        <c:grouping val="standard"/>
        <c:varyColors val="0"/>
        <c:ser>
          <c:idx val="3"/>
          <c:order val="0"/>
          <c:tx>
            <c:strRef>
              <c:f>trh_prace!$A$9</c:f>
              <c:strCache>
                <c:ptCount val="1"/>
                <c:pt idx="0">
                  <c:v>Rast reálnej produktivity práce</c:v>
                </c:pt>
              </c:strCache>
            </c:strRef>
          </c:tx>
          <c:spPr>
            <a:ln w="19050">
              <a:solidFill>
                <a:srgbClr val="2C9ADC"/>
              </a:solidFill>
            </a:ln>
          </c:spPr>
          <c:marker>
            <c:symbol val="none"/>
          </c:marker>
          <c:cat>
            <c:strRef>
              <c:f>trh_prace!$C$7:$J$7</c:f>
              <c:strCache>
                <c:ptCount val="8"/>
                <c:pt idx="0">
                  <c:v>2021Q1</c:v>
                </c:pt>
                <c:pt idx="1">
                  <c:v>2021Q2</c:v>
                </c:pt>
                <c:pt idx="2">
                  <c:v>2021Q3</c:v>
                </c:pt>
                <c:pt idx="3">
                  <c:v>2021Q4</c:v>
                </c:pt>
                <c:pt idx="4">
                  <c:v>2022Q1</c:v>
                </c:pt>
                <c:pt idx="5">
                  <c:v>2022Q2</c:v>
                </c:pt>
                <c:pt idx="6">
                  <c:v>2022Q3</c:v>
                </c:pt>
                <c:pt idx="7">
                  <c:v>2022Q4</c:v>
                </c:pt>
              </c:strCache>
            </c:strRef>
          </c:cat>
          <c:val>
            <c:numRef>
              <c:f>trh_prace!$C$9:$J$9</c:f>
              <c:numCache>
                <c:formatCode>0.0</c:formatCode>
                <c:ptCount val="8"/>
                <c:pt idx="0">
                  <c:v>2.4707718434073378</c:v>
                </c:pt>
                <c:pt idx="1">
                  <c:v>10.304197316140762</c:v>
                </c:pt>
                <c:pt idx="2">
                  <c:v>1.1401556747381969</c:v>
                </c:pt>
                <c:pt idx="3">
                  <c:v>0.96654331772954016</c:v>
                </c:pt>
                <c:pt idx="4">
                  <c:v>0.76107454287051013</c:v>
                </c:pt>
                <c:pt idx="5">
                  <c:v>-1.0180185040255862</c:v>
                </c:pt>
                <c:pt idx="6">
                  <c:v>-8.0241960338789386E-2</c:v>
                </c:pt>
                <c:pt idx="7">
                  <c:v>7.8779224348246579E-2</c:v>
                </c:pt>
              </c:numCache>
            </c:numRef>
          </c:val>
          <c:smooth val="0"/>
          <c:extLst>
            <c:ext xmlns:c16="http://schemas.microsoft.com/office/drawing/2014/chart" uri="{C3380CC4-5D6E-409C-BE32-E72D297353CC}">
              <c16:uniqueId val="{00000000-8BED-40B3-ADCC-11B1D5B79774}"/>
            </c:ext>
          </c:extLst>
        </c:ser>
        <c:ser>
          <c:idx val="5"/>
          <c:order val="1"/>
          <c:tx>
            <c:strRef>
              <c:f>trh_prace!$A$8</c:f>
              <c:strCache>
                <c:ptCount val="1"/>
                <c:pt idx="0">
                  <c:v>Rast reálnej mzdy</c:v>
                </c:pt>
              </c:strCache>
            </c:strRef>
          </c:tx>
          <c:spPr>
            <a:ln w="19050">
              <a:solidFill>
                <a:sysClr val="windowText" lastClr="000000"/>
              </a:solidFill>
            </a:ln>
          </c:spPr>
          <c:marker>
            <c:symbol val="none"/>
          </c:marker>
          <c:cat>
            <c:strRef>
              <c:f>trh_prace!$C$7:$J$7</c:f>
              <c:strCache>
                <c:ptCount val="8"/>
                <c:pt idx="0">
                  <c:v>2021Q1</c:v>
                </c:pt>
                <c:pt idx="1">
                  <c:v>2021Q2</c:v>
                </c:pt>
                <c:pt idx="2">
                  <c:v>2021Q3</c:v>
                </c:pt>
                <c:pt idx="3">
                  <c:v>2021Q4</c:v>
                </c:pt>
                <c:pt idx="4">
                  <c:v>2022Q1</c:v>
                </c:pt>
                <c:pt idx="5">
                  <c:v>2022Q2</c:v>
                </c:pt>
                <c:pt idx="6">
                  <c:v>2022Q3</c:v>
                </c:pt>
                <c:pt idx="7">
                  <c:v>2022Q4</c:v>
                </c:pt>
              </c:strCache>
            </c:strRef>
          </c:cat>
          <c:val>
            <c:numRef>
              <c:f>trh_prace!$C$8:$J$8</c:f>
              <c:numCache>
                <c:formatCode>0.00</c:formatCode>
                <c:ptCount val="8"/>
                <c:pt idx="0">
                  <c:v>2.4988293067562672</c:v>
                </c:pt>
                <c:pt idx="1">
                  <c:v>8.2427669585172225</c:v>
                </c:pt>
                <c:pt idx="2">
                  <c:v>2.568001174960699</c:v>
                </c:pt>
                <c:pt idx="3">
                  <c:v>1.4068567508740415</c:v>
                </c:pt>
                <c:pt idx="4">
                  <c:v>-1.4361543356533613</c:v>
                </c:pt>
                <c:pt idx="5">
                  <c:v>-5.1225869012883063</c:v>
                </c:pt>
                <c:pt idx="6">
                  <c:v>-4.5598912772260025</c:v>
                </c:pt>
                <c:pt idx="7">
                  <c:v>-8.683666446935856</c:v>
                </c:pt>
              </c:numCache>
            </c:numRef>
          </c:val>
          <c:smooth val="0"/>
          <c:extLst>
            <c:ext xmlns:c16="http://schemas.microsoft.com/office/drawing/2014/chart" uri="{C3380CC4-5D6E-409C-BE32-E72D297353CC}">
              <c16:uniqueId val="{00000001-8BED-40B3-ADCC-11B1D5B79774}"/>
            </c:ext>
          </c:extLst>
        </c:ser>
        <c:dLbls>
          <c:showLegendKey val="0"/>
          <c:showVal val="0"/>
          <c:showCatName val="0"/>
          <c:showSerName val="0"/>
          <c:showPercent val="0"/>
          <c:showBubbleSize val="0"/>
        </c:dLbls>
        <c:smooth val="0"/>
        <c:axId val="156132128"/>
        <c:axId val="156134088"/>
      </c:lineChart>
      <c:catAx>
        <c:axId val="156132128"/>
        <c:scaling>
          <c:orientation val="minMax"/>
        </c:scaling>
        <c:delete val="0"/>
        <c:axPos val="b"/>
        <c:numFmt formatCode="General" sourceLinked="0"/>
        <c:majorTickMark val="out"/>
        <c:minorTickMark val="none"/>
        <c:tickLblPos val="low"/>
        <c:txPr>
          <a:bodyPr rot="-5400000" vert="horz"/>
          <a:lstStyle/>
          <a:p>
            <a:pPr>
              <a:defRPr baseline="0">
                <a:latin typeface="Times New Roman" panose="02020603050405020304" pitchFamily="18" charset="0"/>
              </a:defRPr>
            </a:pPr>
            <a:endParaRPr lang="sk-SK"/>
          </a:p>
        </c:txPr>
        <c:crossAx val="156134088"/>
        <c:crosses val="autoZero"/>
        <c:auto val="1"/>
        <c:lblAlgn val="ctr"/>
        <c:lblOffset val="100"/>
        <c:noMultiLvlLbl val="0"/>
      </c:catAx>
      <c:valAx>
        <c:axId val="156134088"/>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baseline="0">
                <a:latin typeface="Times New Roman" panose="02020603050405020304" pitchFamily="18" charset="0"/>
              </a:defRPr>
            </a:pPr>
            <a:endParaRPr lang="sk-SK"/>
          </a:p>
        </c:txPr>
        <c:crossAx val="156132128"/>
        <c:crosses val="autoZero"/>
        <c:crossBetween val="between"/>
      </c:valAx>
    </c:plotArea>
    <c:legend>
      <c:legendPos val="l"/>
      <c:layout>
        <c:manualLayout>
          <c:xMode val="edge"/>
          <c:yMode val="edge"/>
          <c:x val="0.11629213483146066"/>
          <c:y val="7.4298465500801159E-2"/>
          <c:w val="0.84091598100799203"/>
          <c:h val="0.10888593471270637"/>
        </c:manualLayout>
      </c:layout>
      <c:overlay val="1"/>
      <c:txPr>
        <a:bodyPr/>
        <a:lstStyle/>
        <a:p>
          <a:pPr>
            <a:defRPr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inflacia!$A$3</c:f>
              <c:strCache>
                <c:ptCount val="1"/>
                <c:pt idx="0">
                  <c:v>Čistá inflácia bez PH a imp. náj.</c:v>
                </c:pt>
              </c:strCache>
            </c:strRef>
          </c:tx>
          <c:spPr>
            <a:solidFill>
              <a:srgbClr val="2C9ADC"/>
            </a:solidFill>
            <a:ln>
              <a:noFill/>
            </a:ln>
            <a:effectLst/>
          </c:spPr>
          <c:invertIfNegative val="0"/>
          <c:cat>
            <c:numRef>
              <c:f>inflacia!$AL$1:$BI$1</c:f>
              <c:numCache>
                <c:formatCode>mmm\-yy</c:formatCode>
                <c:ptCount val="24"/>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numCache>
            </c:numRef>
          </c:cat>
          <c:val>
            <c:numRef>
              <c:f>inflacia!$AL$3:$BI$3</c:f>
              <c:numCache>
                <c:formatCode>General</c:formatCode>
                <c:ptCount val="24"/>
                <c:pt idx="0">
                  <c:v>1.3327269095748713</c:v>
                </c:pt>
                <c:pt idx="1">
                  <c:v>1.1790364466251515</c:v>
                </c:pt>
                <c:pt idx="2">
                  <c:v>1.2107688449128091</c:v>
                </c:pt>
                <c:pt idx="3">
                  <c:v>1.1071782847106446</c:v>
                </c:pt>
                <c:pt idx="4">
                  <c:v>1.3020312946216643</c:v>
                </c:pt>
                <c:pt idx="5">
                  <c:v>1.4831049161869378</c:v>
                </c:pt>
                <c:pt idx="6">
                  <c:v>1.5469815429730933</c:v>
                </c:pt>
                <c:pt idx="7">
                  <c:v>1.7033046919535124</c:v>
                </c:pt>
                <c:pt idx="8">
                  <c:v>1.7771586447315646</c:v>
                </c:pt>
                <c:pt idx="9">
                  <c:v>2.0813170592731218</c:v>
                </c:pt>
                <c:pt idx="10">
                  <c:v>2.355285513720407</c:v>
                </c:pt>
                <c:pt idx="11">
                  <c:v>2.4703538481670391</c:v>
                </c:pt>
                <c:pt idx="12">
                  <c:v>2.6075021528527658</c:v>
                </c:pt>
                <c:pt idx="13">
                  <c:v>2.9503734919601321</c:v>
                </c:pt>
                <c:pt idx="14">
                  <c:v>3.5297548941519321</c:v>
                </c:pt>
                <c:pt idx="15">
                  <c:v>4.199360645573992</c:v>
                </c:pt>
                <c:pt idx="16">
                  <c:v>4.4009209646474252</c:v>
                </c:pt>
                <c:pt idx="17">
                  <c:v>4.5030552761527423</c:v>
                </c:pt>
                <c:pt idx="18">
                  <c:v>4.7190444584620677</c:v>
                </c:pt>
                <c:pt idx="19">
                  <c:v>5.021719606617939</c:v>
                </c:pt>
                <c:pt idx="20">
                  <c:v>5.3310486072776104</c:v>
                </c:pt>
                <c:pt idx="21">
                  <c:v>5.5862939416385302</c:v>
                </c:pt>
                <c:pt idx="22">
                  <c:v>5.7766725097325224</c:v>
                </c:pt>
                <c:pt idx="23">
                  <c:v>5.9297826464561627</c:v>
                </c:pt>
              </c:numCache>
            </c:numRef>
          </c:val>
          <c:extLst>
            <c:ext xmlns:c16="http://schemas.microsoft.com/office/drawing/2014/chart" uri="{C3380CC4-5D6E-409C-BE32-E72D297353CC}">
              <c16:uniqueId val="{00000000-1050-482F-BC3E-D1713EEBA240}"/>
            </c:ext>
          </c:extLst>
        </c:ser>
        <c:ser>
          <c:idx val="2"/>
          <c:order val="2"/>
          <c:tx>
            <c:strRef>
              <c:f>inflacia!$A$4</c:f>
              <c:strCache>
                <c:ptCount val="1"/>
                <c:pt idx="0">
                  <c:v>Imputované nájomné</c:v>
                </c:pt>
              </c:strCache>
            </c:strRef>
          </c:tx>
          <c:spPr>
            <a:solidFill>
              <a:srgbClr val="555555"/>
            </a:solidFill>
            <a:ln>
              <a:noFill/>
            </a:ln>
            <a:effectLst/>
          </c:spPr>
          <c:invertIfNegative val="0"/>
          <c:cat>
            <c:numRef>
              <c:f>inflacia!$AL$1:$BI$1</c:f>
              <c:numCache>
                <c:formatCode>mmm\-yy</c:formatCode>
                <c:ptCount val="24"/>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numCache>
            </c:numRef>
          </c:cat>
          <c:val>
            <c:numRef>
              <c:f>inflacia!$AL$4:$BI$4</c:f>
              <c:numCache>
                <c:formatCode>General</c:formatCode>
                <c:ptCount val="24"/>
                <c:pt idx="0">
                  <c:v>9.9845657018667364E-2</c:v>
                </c:pt>
                <c:pt idx="1">
                  <c:v>8.9729546365052468E-2</c:v>
                </c:pt>
                <c:pt idx="2">
                  <c:v>9.9865909492445795E-2</c:v>
                </c:pt>
                <c:pt idx="3">
                  <c:v>0.12103164760701135</c:v>
                </c:pt>
                <c:pt idx="4">
                  <c:v>0.40515832915965866</c:v>
                </c:pt>
                <c:pt idx="5">
                  <c:v>0.64459808746711011</c:v>
                </c:pt>
                <c:pt idx="6">
                  <c:v>0.71929106163051693</c:v>
                </c:pt>
                <c:pt idx="7">
                  <c:v>0.88046671017493028</c:v>
                </c:pt>
                <c:pt idx="8">
                  <c:v>0.96771517313657218</c:v>
                </c:pt>
                <c:pt idx="9">
                  <c:v>1.1549740426537083</c:v>
                </c:pt>
                <c:pt idx="10">
                  <c:v>1.2332360794407993</c:v>
                </c:pt>
                <c:pt idx="11">
                  <c:v>1.2670452793328209</c:v>
                </c:pt>
                <c:pt idx="12">
                  <c:v>1.5152324299376325</c:v>
                </c:pt>
                <c:pt idx="13">
                  <c:v>1.6093748674955783</c:v>
                </c:pt>
                <c:pt idx="14">
                  <c:v>1.7874805915505116</c:v>
                </c:pt>
                <c:pt idx="15">
                  <c:v>2.0277960583710568</c:v>
                </c:pt>
                <c:pt idx="16">
                  <c:v>1.9919589268029212</c:v>
                </c:pt>
                <c:pt idx="17">
                  <c:v>1.8963932426212216</c:v>
                </c:pt>
                <c:pt idx="18">
                  <c:v>2.041163877289331</c:v>
                </c:pt>
                <c:pt idx="19">
                  <c:v>1.9806052948740278</c:v>
                </c:pt>
                <c:pt idx="20">
                  <c:v>1.9806052948740278</c:v>
                </c:pt>
                <c:pt idx="21">
                  <c:v>1.8239278443456195</c:v>
                </c:pt>
                <c:pt idx="22">
                  <c:v>1.7879508565067916</c:v>
                </c:pt>
                <c:pt idx="23">
                  <c:v>1.8239995831050206</c:v>
                </c:pt>
              </c:numCache>
            </c:numRef>
          </c:val>
          <c:extLst>
            <c:ext xmlns:c16="http://schemas.microsoft.com/office/drawing/2014/chart" uri="{C3380CC4-5D6E-409C-BE32-E72D297353CC}">
              <c16:uniqueId val="{00000001-1050-482F-BC3E-D1713EEBA240}"/>
            </c:ext>
          </c:extLst>
        </c:ser>
        <c:ser>
          <c:idx val="3"/>
          <c:order val="3"/>
          <c:tx>
            <c:strRef>
              <c:f>inflacia!$A$5</c:f>
              <c:strCache>
                <c:ptCount val="1"/>
                <c:pt idx="0">
                  <c:v>Pohonné látky</c:v>
                </c:pt>
              </c:strCache>
            </c:strRef>
          </c:tx>
          <c:spPr>
            <a:solidFill>
              <a:srgbClr val="C6D9F1"/>
            </a:solidFill>
            <a:ln>
              <a:noFill/>
            </a:ln>
            <a:effectLst/>
          </c:spPr>
          <c:invertIfNegative val="0"/>
          <c:cat>
            <c:numRef>
              <c:f>inflacia!$AL$1:$BI$1</c:f>
              <c:numCache>
                <c:formatCode>mmm\-yy</c:formatCode>
                <c:ptCount val="24"/>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numCache>
            </c:numRef>
          </c:cat>
          <c:val>
            <c:numRef>
              <c:f>inflacia!$AL$5:$BI$5</c:f>
              <c:numCache>
                <c:formatCode>General</c:formatCode>
                <c:ptCount val="24"/>
                <c:pt idx="0">
                  <c:v>-0.23241392450570256</c:v>
                </c:pt>
                <c:pt idx="1">
                  <c:v>-3.5042155844935564E-2</c:v>
                </c:pt>
                <c:pt idx="2">
                  <c:v>0.22926657758878119</c:v>
                </c:pt>
                <c:pt idx="3">
                  <c:v>0.51078373884203043</c:v>
                </c:pt>
                <c:pt idx="4">
                  <c:v>0.60907809395795109</c:v>
                </c:pt>
                <c:pt idx="5">
                  <c:v>0.56828391858660754</c:v>
                </c:pt>
                <c:pt idx="6">
                  <c:v>0.53192112519776968</c:v>
                </c:pt>
                <c:pt idx="7">
                  <c:v>0.58107175959780477</c:v>
                </c:pt>
                <c:pt idx="8">
                  <c:v>0.64162306558932158</c:v>
                </c:pt>
                <c:pt idx="9">
                  <c:v>0.74534185681655629</c:v>
                </c:pt>
                <c:pt idx="10">
                  <c:v>0.81785158404728464</c:v>
                </c:pt>
                <c:pt idx="11">
                  <c:v>0.66231147826032277</c:v>
                </c:pt>
                <c:pt idx="12">
                  <c:v>0.66137001251551986</c:v>
                </c:pt>
                <c:pt idx="13">
                  <c:v>0.6272342679575087</c:v>
                </c:pt>
                <c:pt idx="14">
                  <c:v>0.79431263345557146</c:v>
                </c:pt>
                <c:pt idx="15">
                  <c:v>0.88953759072054206</c:v>
                </c:pt>
                <c:pt idx="16">
                  <c:v>1.048797877717311</c:v>
                </c:pt>
                <c:pt idx="17">
                  <c:v>1.2384791549877636</c:v>
                </c:pt>
                <c:pt idx="18">
                  <c:v>1.0421390228434648</c:v>
                </c:pt>
                <c:pt idx="19">
                  <c:v>0.78778674163109863</c:v>
                </c:pt>
                <c:pt idx="20">
                  <c:v>0.65981217590131302</c:v>
                </c:pt>
                <c:pt idx="21">
                  <c:v>0.5820432111158812</c:v>
                </c:pt>
                <c:pt idx="22">
                  <c:v>0.48277683674218985</c:v>
                </c:pt>
                <c:pt idx="23">
                  <c:v>0.20315224846927235</c:v>
                </c:pt>
              </c:numCache>
            </c:numRef>
          </c:val>
          <c:extLst>
            <c:ext xmlns:c16="http://schemas.microsoft.com/office/drawing/2014/chart" uri="{C3380CC4-5D6E-409C-BE32-E72D297353CC}">
              <c16:uniqueId val="{00000002-1050-482F-BC3E-D1713EEBA240}"/>
            </c:ext>
          </c:extLst>
        </c:ser>
        <c:ser>
          <c:idx val="4"/>
          <c:order val="4"/>
          <c:tx>
            <c:strRef>
              <c:f>inflacia!$A$6</c:f>
              <c:strCache>
                <c:ptCount val="1"/>
                <c:pt idx="0">
                  <c:v>Potraviny</c:v>
                </c:pt>
              </c:strCache>
            </c:strRef>
          </c:tx>
          <c:spPr>
            <a:solidFill>
              <a:schemeClr val="bg1">
                <a:lumMod val="75000"/>
              </a:schemeClr>
            </a:solidFill>
            <a:ln>
              <a:noFill/>
            </a:ln>
            <a:effectLst/>
          </c:spPr>
          <c:invertIfNegative val="0"/>
          <c:cat>
            <c:numRef>
              <c:f>inflacia!$AL$1:$BI$1</c:f>
              <c:numCache>
                <c:formatCode>mmm\-yy</c:formatCode>
                <c:ptCount val="24"/>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numCache>
            </c:numRef>
          </c:cat>
          <c:val>
            <c:numRef>
              <c:f>inflacia!$AL$6:$BI$6</c:f>
              <c:numCache>
                <c:formatCode>General</c:formatCode>
                <c:ptCount val="24"/>
                <c:pt idx="0">
                  <c:v>-0.1122883849104</c:v>
                </c:pt>
                <c:pt idx="1">
                  <c:v>-0.1310031157288</c:v>
                </c:pt>
                <c:pt idx="2">
                  <c:v>-0.20586203900240002</c:v>
                </c:pt>
                <c:pt idx="3">
                  <c:v>-0.24329150063919999</c:v>
                </c:pt>
                <c:pt idx="4">
                  <c:v>-0.16843257736559999</c:v>
                </c:pt>
                <c:pt idx="5">
                  <c:v>0.24329150063919999</c:v>
                </c:pt>
                <c:pt idx="6">
                  <c:v>0.52401246291519998</c:v>
                </c:pt>
                <c:pt idx="7">
                  <c:v>0.69244504028080001</c:v>
                </c:pt>
                <c:pt idx="8">
                  <c:v>0.80473342519119995</c:v>
                </c:pt>
                <c:pt idx="9">
                  <c:v>0.80473342519119995</c:v>
                </c:pt>
                <c:pt idx="10">
                  <c:v>0.89830707928319997</c:v>
                </c:pt>
                <c:pt idx="11">
                  <c:v>1.1790280415591998</c:v>
                </c:pt>
                <c:pt idx="12">
                  <c:v>1.5807114349992</c:v>
                </c:pt>
                <c:pt idx="13">
                  <c:v>1.8441633408324001</c:v>
                </c:pt>
                <c:pt idx="14">
                  <c:v>2.2581591928559996</c:v>
                </c:pt>
                <c:pt idx="15">
                  <c:v>2.6909730381534001</c:v>
                </c:pt>
                <c:pt idx="16">
                  <c:v>3.1237868834508</c:v>
                </c:pt>
                <c:pt idx="17">
                  <c:v>3.5189647422005996</c:v>
                </c:pt>
                <c:pt idx="18">
                  <c:v>3.7447806614861996</c:v>
                </c:pt>
                <c:pt idx="19">
                  <c:v>4.0646865471408002</c:v>
                </c:pt>
                <c:pt idx="20">
                  <c:v>4.5351363789857997</c:v>
                </c:pt>
                <c:pt idx="21">
                  <c:v>5.0432221973783999</c:v>
                </c:pt>
                <c:pt idx="22">
                  <c:v>5.4007640695805996</c:v>
                </c:pt>
                <c:pt idx="23">
                  <c:v>5.4572180494019999</c:v>
                </c:pt>
              </c:numCache>
            </c:numRef>
          </c:val>
          <c:extLst>
            <c:ext xmlns:c16="http://schemas.microsoft.com/office/drawing/2014/chart" uri="{C3380CC4-5D6E-409C-BE32-E72D297353CC}">
              <c16:uniqueId val="{00000003-1050-482F-BC3E-D1713EEBA240}"/>
            </c:ext>
          </c:extLst>
        </c:ser>
        <c:ser>
          <c:idx val="5"/>
          <c:order val="5"/>
          <c:tx>
            <c:strRef>
              <c:f>inflacia!$A$7</c:f>
              <c:strCache>
                <c:ptCount val="1"/>
                <c:pt idx="0">
                  <c:v>Regulované ceny</c:v>
                </c:pt>
              </c:strCache>
            </c:strRef>
          </c:tx>
          <c:spPr>
            <a:solidFill>
              <a:schemeClr val="bg1">
                <a:lumMod val="50000"/>
              </a:schemeClr>
            </a:solidFill>
            <a:ln>
              <a:noFill/>
            </a:ln>
            <a:effectLst/>
          </c:spPr>
          <c:invertIfNegative val="0"/>
          <c:cat>
            <c:numRef>
              <c:f>inflacia!$AL$1:$BI$1</c:f>
              <c:numCache>
                <c:formatCode>mmm\-yy</c:formatCode>
                <c:ptCount val="24"/>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numCache>
            </c:numRef>
          </c:cat>
          <c:val>
            <c:numRef>
              <c:f>inflacia!$AL$7:$BI$7</c:f>
              <c:numCache>
                <c:formatCode>General</c:formatCode>
                <c:ptCount val="24"/>
                <c:pt idx="0">
                  <c:v>-0.27762861757719998</c:v>
                </c:pt>
                <c:pt idx="1">
                  <c:v>-0.2612975224256</c:v>
                </c:pt>
                <c:pt idx="2">
                  <c:v>-0.27762861757719998</c:v>
                </c:pt>
                <c:pt idx="3">
                  <c:v>-0.27762861757719998</c:v>
                </c:pt>
                <c:pt idx="4">
                  <c:v>-0.2939597127288</c:v>
                </c:pt>
                <c:pt idx="5">
                  <c:v>-0.31029080788039998</c:v>
                </c:pt>
                <c:pt idx="6">
                  <c:v>-0.244966427274</c:v>
                </c:pt>
                <c:pt idx="7">
                  <c:v>-0.2612975224256</c:v>
                </c:pt>
                <c:pt idx="8">
                  <c:v>0.1959731418192</c:v>
                </c:pt>
                <c:pt idx="9">
                  <c:v>0.2123042369708</c:v>
                </c:pt>
                <c:pt idx="10">
                  <c:v>0.2123042369708</c:v>
                </c:pt>
                <c:pt idx="11">
                  <c:v>0.1959731418192</c:v>
                </c:pt>
                <c:pt idx="12">
                  <c:v>2.0263760045297001</c:v>
                </c:pt>
                <c:pt idx="13">
                  <c:v>2.0423317211008003</c:v>
                </c:pt>
                <c:pt idx="14">
                  <c:v>2.2976231862384</c:v>
                </c:pt>
                <c:pt idx="15">
                  <c:v>2.3295346193805999</c:v>
                </c:pt>
                <c:pt idx="16">
                  <c:v>2.3295346193805999</c:v>
                </c:pt>
                <c:pt idx="17">
                  <c:v>2.3454903359517001</c:v>
                </c:pt>
                <c:pt idx="18">
                  <c:v>2.2816674696673003</c:v>
                </c:pt>
                <c:pt idx="19">
                  <c:v>2.2976231862384</c:v>
                </c:pt>
                <c:pt idx="20">
                  <c:v>1.8349074056765</c:v>
                </c:pt>
                <c:pt idx="21">
                  <c:v>1.8668188388186999</c:v>
                </c:pt>
                <c:pt idx="22">
                  <c:v>1.8827745553898003</c:v>
                </c:pt>
                <c:pt idx="23">
                  <c:v>1.9146859885320002</c:v>
                </c:pt>
              </c:numCache>
            </c:numRef>
          </c:val>
          <c:extLst>
            <c:ext xmlns:c16="http://schemas.microsoft.com/office/drawing/2014/chart" uri="{C3380CC4-5D6E-409C-BE32-E72D297353CC}">
              <c16:uniqueId val="{00000004-1050-482F-BC3E-D1713EEBA240}"/>
            </c:ext>
          </c:extLst>
        </c:ser>
        <c:dLbls>
          <c:showLegendKey val="0"/>
          <c:showVal val="0"/>
          <c:showCatName val="0"/>
          <c:showSerName val="0"/>
          <c:showPercent val="0"/>
          <c:showBubbleSize val="0"/>
        </c:dLbls>
        <c:gapWidth val="150"/>
        <c:overlap val="100"/>
        <c:axId val="156599720"/>
        <c:axId val="156595800"/>
      </c:barChart>
      <c:lineChart>
        <c:grouping val="standard"/>
        <c:varyColors val="0"/>
        <c:ser>
          <c:idx val="0"/>
          <c:order val="0"/>
          <c:tx>
            <c:strRef>
              <c:f>inflacia!$A$2</c:f>
              <c:strCache>
                <c:ptCount val="1"/>
                <c:pt idx="0">
                  <c:v>Inflácia spolu</c:v>
                </c:pt>
              </c:strCache>
            </c:strRef>
          </c:tx>
          <c:spPr>
            <a:ln w="19050" cap="rnd">
              <a:solidFill>
                <a:schemeClr val="tx1"/>
              </a:solidFill>
              <a:round/>
            </a:ln>
            <a:effectLst/>
          </c:spPr>
          <c:marker>
            <c:symbol val="none"/>
          </c:marker>
          <c:cat>
            <c:numRef>
              <c:f>inflacia!$AL$1:$BI$1</c:f>
              <c:numCache>
                <c:formatCode>mmm\-yy</c:formatCode>
                <c:ptCount val="24"/>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numCache>
            </c:numRef>
          </c:cat>
          <c:val>
            <c:numRef>
              <c:f>inflacia!$AL$2:$BI$2</c:f>
              <c:numCache>
                <c:formatCode>General</c:formatCode>
                <c:ptCount val="24"/>
                <c:pt idx="0">
                  <c:v>0.7</c:v>
                </c:pt>
                <c:pt idx="1">
                  <c:v>0.9</c:v>
                </c:pt>
                <c:pt idx="2">
                  <c:v>1.4</c:v>
                </c:pt>
                <c:pt idx="3">
                  <c:v>1.6</c:v>
                </c:pt>
                <c:pt idx="4">
                  <c:v>2.2000000000000002</c:v>
                </c:pt>
                <c:pt idx="5">
                  <c:v>2.9</c:v>
                </c:pt>
                <c:pt idx="6">
                  <c:v>3.3</c:v>
                </c:pt>
                <c:pt idx="7">
                  <c:v>3.8</c:v>
                </c:pt>
                <c:pt idx="8">
                  <c:v>4.5999999999999996</c:v>
                </c:pt>
                <c:pt idx="9">
                  <c:v>5.0999999999999996</c:v>
                </c:pt>
                <c:pt idx="10">
                  <c:v>5.6</c:v>
                </c:pt>
                <c:pt idx="11">
                  <c:v>5.8</c:v>
                </c:pt>
                <c:pt idx="12">
                  <c:v>8.4</c:v>
                </c:pt>
                <c:pt idx="13">
                  <c:v>9</c:v>
                </c:pt>
                <c:pt idx="14">
                  <c:v>10.4</c:v>
                </c:pt>
                <c:pt idx="15">
                  <c:v>11.8</c:v>
                </c:pt>
                <c:pt idx="16">
                  <c:v>12.6</c:v>
                </c:pt>
                <c:pt idx="17">
                  <c:v>13.2</c:v>
                </c:pt>
                <c:pt idx="18">
                  <c:v>13.6</c:v>
                </c:pt>
                <c:pt idx="19">
                  <c:v>14</c:v>
                </c:pt>
                <c:pt idx="20">
                  <c:v>14.2</c:v>
                </c:pt>
                <c:pt idx="21">
                  <c:v>14.9</c:v>
                </c:pt>
                <c:pt idx="22">
                  <c:v>15.4</c:v>
                </c:pt>
                <c:pt idx="23">
                  <c:v>15.4</c:v>
                </c:pt>
              </c:numCache>
            </c:numRef>
          </c:val>
          <c:smooth val="0"/>
          <c:extLst>
            <c:ext xmlns:c16="http://schemas.microsoft.com/office/drawing/2014/chart" uri="{C3380CC4-5D6E-409C-BE32-E72D297353CC}">
              <c16:uniqueId val="{00000005-1050-482F-BC3E-D1713EEBA240}"/>
            </c:ext>
          </c:extLst>
        </c:ser>
        <c:dLbls>
          <c:showLegendKey val="0"/>
          <c:showVal val="0"/>
          <c:showCatName val="0"/>
          <c:showSerName val="0"/>
          <c:showPercent val="0"/>
          <c:showBubbleSize val="0"/>
        </c:dLbls>
        <c:marker val="1"/>
        <c:smooth val="0"/>
        <c:axId val="156599720"/>
        <c:axId val="156595800"/>
      </c:lineChart>
      <c:dateAx>
        <c:axId val="156599720"/>
        <c:scaling>
          <c:orientation val="minMax"/>
        </c:scaling>
        <c:delete val="0"/>
        <c:axPos val="b"/>
        <c:numFmt formatCode="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sk-SK"/>
          </a:p>
        </c:txPr>
        <c:crossAx val="156595800"/>
        <c:crosses val="autoZero"/>
        <c:auto val="1"/>
        <c:lblOffset val="100"/>
        <c:baseTimeUnit val="months"/>
      </c:dateAx>
      <c:valAx>
        <c:axId val="156595800"/>
        <c:scaling>
          <c:orientation val="minMax"/>
          <c:min val="-0.5"/>
        </c:scaling>
        <c:delete val="0"/>
        <c:axPos val="l"/>
        <c:majorGridlines>
          <c:spPr>
            <a:ln w="9525" cap="flat" cmpd="sng" algn="ctr">
              <a:solidFill>
                <a:schemeClr val="bg1">
                  <a:lumMod val="75000"/>
                </a:schemeClr>
              </a:solidFill>
              <a:prstDash val="dash"/>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sk-SK"/>
          </a:p>
        </c:txPr>
        <c:crossAx val="156599720"/>
        <c:crosses val="autoZero"/>
        <c:crossBetween val="between"/>
      </c:valAx>
      <c:spPr>
        <a:noFill/>
        <a:ln>
          <a:noFill/>
        </a:ln>
        <a:effectLst/>
      </c:spPr>
    </c:plotArea>
    <c:legend>
      <c:legendPos val="tr"/>
      <c:layout>
        <c:manualLayout>
          <c:xMode val="edge"/>
          <c:yMode val="edge"/>
          <c:x val="7.7058924335488999E-2"/>
          <c:y val="1.2365485564304462E-2"/>
          <c:w val="0.65406643757159222"/>
          <c:h val="0.45181899137607806"/>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latin typeface="Arial Narrow" panose="020B0606020202030204" pitchFamily="34" charset="0"/>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8.5242482034935022E-2"/>
          <c:w val="0.89093095636884034"/>
          <c:h val="0.49142430590671576"/>
        </c:manualLayout>
      </c:layout>
      <c:barChart>
        <c:barDir val="col"/>
        <c:grouping val="stacked"/>
        <c:varyColors val="0"/>
        <c:ser>
          <c:idx val="5"/>
          <c:order val="0"/>
          <c:tx>
            <c:strRef>
              <c:f>'BÚ PB'!$A$3</c:f>
              <c:strCache>
                <c:ptCount val="1"/>
                <c:pt idx="0">
                  <c:v>Tovary</c:v>
                </c:pt>
              </c:strCache>
            </c:strRef>
          </c:tx>
          <c:spPr>
            <a:solidFill>
              <a:srgbClr val="2C9ADC"/>
            </a:solidFill>
          </c:spPr>
          <c:invertIfNegative val="0"/>
          <c:cat>
            <c:numRef>
              <c:f>'BÚ PB'!$H$1:$P$1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'BÚ PB'!$H$3:$P$3</c:f>
              <c:numCache>
                <c:formatCode>0.0</c:formatCode>
                <c:ptCount val="9"/>
                <c:pt idx="0">
                  <c:v>3.6116881942199828</c:v>
                </c:pt>
                <c:pt idx="1">
                  <c:v>0.99598790395851822</c:v>
                </c:pt>
                <c:pt idx="2">
                  <c:v>1.5431228684525318</c:v>
                </c:pt>
                <c:pt idx="3">
                  <c:v>0.7051555738057832</c:v>
                </c:pt>
                <c:pt idx="4">
                  <c:v>-0.26540259225141311</c:v>
                </c:pt>
                <c:pt idx="5">
                  <c:v>-1.2019777284830906</c:v>
                </c:pt>
                <c:pt idx="6">
                  <c:v>1.0867695363839109</c:v>
                </c:pt>
                <c:pt idx="7">
                  <c:v>-0.51959127586690768</c:v>
                </c:pt>
                <c:pt idx="8">
                  <c:v>-6.1531722469847843</c:v>
                </c:pt>
              </c:numCache>
            </c:numRef>
          </c:val>
          <c:extLst>
            <c:ext xmlns:c16="http://schemas.microsoft.com/office/drawing/2014/chart" uri="{C3380CC4-5D6E-409C-BE32-E72D297353CC}">
              <c16:uniqueId val="{00000000-E8F8-4621-B45F-92946AF26C24}"/>
            </c:ext>
          </c:extLst>
        </c:ser>
        <c:ser>
          <c:idx val="8"/>
          <c:order val="1"/>
          <c:tx>
            <c:strRef>
              <c:f>'BÚ PB'!$A$4</c:f>
              <c:strCache>
                <c:ptCount val="1"/>
                <c:pt idx="0">
                  <c:v>Služby</c:v>
                </c:pt>
              </c:strCache>
            </c:strRef>
          </c:tx>
          <c:spPr>
            <a:solidFill>
              <a:schemeClr val="tx2">
                <a:lumMod val="20000"/>
                <a:lumOff val="80000"/>
              </a:schemeClr>
            </a:solidFill>
            <a:ln>
              <a:noFill/>
            </a:ln>
          </c:spPr>
          <c:invertIfNegative val="0"/>
          <c:cat>
            <c:numRef>
              <c:f>'BÚ PB'!$H$1:$P$1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'BÚ PB'!$H$4:$P$4</c:f>
              <c:numCache>
                <c:formatCode>0.0</c:formatCode>
                <c:ptCount val="9"/>
                <c:pt idx="0">
                  <c:v>0.23020246973185415</c:v>
                </c:pt>
                <c:pt idx="1">
                  <c:v>0.15963029561895895</c:v>
                </c:pt>
                <c:pt idx="2">
                  <c:v>0.47178312260782501</c:v>
                </c:pt>
                <c:pt idx="3">
                  <c:v>1.0422229600829587</c:v>
                </c:pt>
                <c:pt idx="4">
                  <c:v>1.0323458907392333</c:v>
                </c:pt>
                <c:pt idx="5">
                  <c:v>1.2903118430655689</c:v>
                </c:pt>
                <c:pt idx="6">
                  <c:v>1.0313980031801897</c:v>
                </c:pt>
                <c:pt idx="7">
                  <c:v>0.55382266815697956</c:v>
                </c:pt>
                <c:pt idx="8">
                  <c:v>0.27562726553852679</c:v>
                </c:pt>
              </c:numCache>
            </c:numRef>
          </c:val>
          <c:extLst>
            <c:ext xmlns:c16="http://schemas.microsoft.com/office/drawing/2014/chart" uri="{C3380CC4-5D6E-409C-BE32-E72D297353CC}">
              <c16:uniqueId val="{00000001-E8F8-4621-B45F-92946AF26C24}"/>
            </c:ext>
          </c:extLst>
        </c:ser>
        <c:ser>
          <c:idx val="0"/>
          <c:order val="2"/>
          <c:tx>
            <c:strRef>
              <c:f>'BÚ PB'!$A$5</c:f>
              <c:strCache>
                <c:ptCount val="1"/>
                <c:pt idx="0">
                  <c:v>Primárne výnosy</c:v>
                </c:pt>
              </c:strCache>
            </c:strRef>
          </c:tx>
          <c:invertIfNegative val="0"/>
          <c:cat>
            <c:numRef>
              <c:f>'BÚ PB'!$H$1:$P$1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'BÚ PB'!$H$5:$P$5</c:f>
              <c:numCache>
                <c:formatCode>0.0</c:formatCode>
                <c:ptCount val="9"/>
                <c:pt idx="0">
                  <c:v>-0.98252675899073105</c:v>
                </c:pt>
                <c:pt idx="1">
                  <c:v>-1.7052120079602586</c:v>
                </c:pt>
                <c:pt idx="2">
                  <c:v>-3.0685374877341318</c:v>
                </c:pt>
                <c:pt idx="3">
                  <c:v>-2.1417790588679004</c:v>
                </c:pt>
                <c:pt idx="4">
                  <c:v>-1.7838725590973654</c:v>
                </c:pt>
                <c:pt idx="5">
                  <c:v>-2.3274777394558006</c:v>
                </c:pt>
                <c:pt idx="6">
                  <c:v>-0.80912551022241719</c:v>
                </c:pt>
                <c:pt idx="7">
                  <c:v>-1.5493669565026289</c:v>
                </c:pt>
                <c:pt idx="8">
                  <c:v>-1.038848310944634</c:v>
                </c:pt>
              </c:numCache>
            </c:numRef>
          </c:val>
          <c:extLst>
            <c:ext xmlns:c16="http://schemas.microsoft.com/office/drawing/2014/chart" uri="{C3380CC4-5D6E-409C-BE32-E72D297353CC}">
              <c16:uniqueId val="{00000002-E8F8-4621-B45F-92946AF26C24}"/>
            </c:ext>
          </c:extLst>
        </c:ser>
        <c:ser>
          <c:idx val="1"/>
          <c:order val="3"/>
          <c:tx>
            <c:strRef>
              <c:f>'BÚ PB'!$A$6</c:f>
              <c:strCache>
                <c:ptCount val="1"/>
                <c:pt idx="0">
                  <c:v>Sekundárne výnosy</c:v>
                </c:pt>
              </c:strCache>
            </c:strRef>
          </c:tx>
          <c:invertIfNegative val="0"/>
          <c:cat>
            <c:numRef>
              <c:f>'BÚ PB'!$H$1:$P$1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'BÚ PB'!$H$6:$P$6</c:f>
              <c:numCache>
                <c:formatCode>0.0</c:formatCode>
                <c:ptCount val="9"/>
                <c:pt idx="0">
                  <c:v>-1.719345447035987</c:v>
                </c:pt>
                <c:pt idx="1">
                  <c:v>-1.5331361806337933</c:v>
                </c:pt>
                <c:pt idx="2">
                  <c:v>-1.679624304608528</c:v>
                </c:pt>
                <c:pt idx="3">
                  <c:v>-1.5169503553194013</c:v>
                </c:pt>
                <c:pt idx="4">
                  <c:v>-1.1783358158452901</c:v>
                </c:pt>
                <c:pt idx="5">
                  <c:v>-1.1098751710695214</c:v>
                </c:pt>
                <c:pt idx="6">
                  <c:v>-0.74615392833577954</c:v>
                </c:pt>
                <c:pt idx="7">
                  <c:v>-0.98688436659008349</c:v>
                </c:pt>
                <c:pt idx="8">
                  <c:v>-0.36154738785891666</c:v>
                </c:pt>
              </c:numCache>
            </c:numRef>
          </c:val>
          <c:extLst>
            <c:ext xmlns:c16="http://schemas.microsoft.com/office/drawing/2014/chart" uri="{C3380CC4-5D6E-409C-BE32-E72D297353CC}">
              <c16:uniqueId val="{00000003-E8F8-4621-B45F-92946AF26C24}"/>
            </c:ext>
          </c:extLst>
        </c:ser>
        <c:dLbls>
          <c:showLegendKey val="0"/>
          <c:showVal val="0"/>
          <c:showCatName val="0"/>
          <c:showSerName val="0"/>
          <c:showPercent val="0"/>
          <c:showBubbleSize val="0"/>
        </c:dLbls>
        <c:gapWidth val="150"/>
        <c:overlap val="100"/>
        <c:axId val="156600504"/>
        <c:axId val="156593056"/>
      </c:barChart>
      <c:lineChart>
        <c:grouping val="standard"/>
        <c:varyColors val="0"/>
        <c:ser>
          <c:idx val="3"/>
          <c:order val="4"/>
          <c:tx>
            <c:strRef>
              <c:f>'BÚ PB'!$A$2</c:f>
              <c:strCache>
                <c:ptCount val="1"/>
                <c:pt idx="0">
                  <c:v>BÚ PB</c:v>
                </c:pt>
              </c:strCache>
            </c:strRef>
          </c:tx>
          <c:spPr>
            <a:ln w="19050">
              <a:solidFill>
                <a:sysClr val="windowText" lastClr="000000"/>
              </a:solidFill>
            </a:ln>
          </c:spPr>
          <c:marker>
            <c:symbol val="none"/>
          </c:marker>
          <c:val>
            <c:numRef>
              <c:f>'BÚ PB'!$H$2:$P$2</c:f>
              <c:numCache>
                <c:formatCode>0.0</c:formatCode>
                <c:ptCount val="9"/>
                <c:pt idx="0">
                  <c:v>1.1400184579251189</c:v>
                </c:pt>
                <c:pt idx="1">
                  <c:v>-2.0827299890165749</c:v>
                </c:pt>
                <c:pt idx="2">
                  <c:v>-2.7332558012823025</c:v>
                </c:pt>
                <c:pt idx="3">
                  <c:v>-1.9113508802985595</c:v>
                </c:pt>
                <c:pt idx="4">
                  <c:v>-2.1952650764548354</c:v>
                </c:pt>
                <c:pt idx="5">
                  <c:v>-3.3490187959428446</c:v>
                </c:pt>
                <c:pt idx="6">
                  <c:v>0.56288810100590381</c:v>
                </c:pt>
                <c:pt idx="7">
                  <c:v>-2.5020199308026401</c:v>
                </c:pt>
                <c:pt idx="8">
                  <c:v>-8.1727855916345593</c:v>
                </c:pt>
              </c:numCache>
            </c:numRef>
          </c:val>
          <c:smooth val="0"/>
          <c:extLst>
            <c:ext xmlns:c16="http://schemas.microsoft.com/office/drawing/2014/chart" uri="{C3380CC4-5D6E-409C-BE32-E72D297353CC}">
              <c16:uniqueId val="{00000004-E8F8-4621-B45F-92946AF26C24}"/>
            </c:ext>
          </c:extLst>
        </c:ser>
        <c:dLbls>
          <c:showLegendKey val="0"/>
          <c:showVal val="0"/>
          <c:showCatName val="0"/>
          <c:showSerName val="0"/>
          <c:showPercent val="0"/>
          <c:showBubbleSize val="0"/>
        </c:dLbls>
        <c:marker val="1"/>
        <c:smooth val="0"/>
        <c:axId val="156600504"/>
        <c:axId val="156593056"/>
      </c:lineChart>
      <c:catAx>
        <c:axId val="156600504"/>
        <c:scaling>
          <c:orientation val="minMax"/>
        </c:scaling>
        <c:delete val="0"/>
        <c:axPos val="b"/>
        <c:numFmt formatCode="General" sourceLinked="1"/>
        <c:majorTickMark val="out"/>
        <c:minorTickMark val="none"/>
        <c:tickLblPos val="low"/>
        <c:txPr>
          <a:bodyPr/>
          <a:lstStyle/>
          <a:p>
            <a:pPr>
              <a:defRPr sz="800" baseline="0">
                <a:latin typeface="Times New Roman" panose="02020603050405020304" pitchFamily="18" charset="0"/>
              </a:defRPr>
            </a:pPr>
            <a:endParaRPr lang="sk-SK"/>
          </a:p>
        </c:txPr>
        <c:crossAx val="156593056"/>
        <c:crosses val="autoZero"/>
        <c:auto val="1"/>
        <c:lblAlgn val="ctr"/>
        <c:lblOffset val="100"/>
        <c:noMultiLvlLbl val="0"/>
      </c:catAx>
      <c:valAx>
        <c:axId val="156593056"/>
        <c:scaling>
          <c:orientation val="minMax"/>
          <c:max val="5"/>
          <c:min val="-10"/>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sz="800" baseline="0">
                <a:latin typeface="Times New Roman" panose="02020603050405020304" pitchFamily="18" charset="0"/>
              </a:defRPr>
            </a:pPr>
            <a:endParaRPr lang="sk-SK"/>
          </a:p>
        </c:txPr>
        <c:crossAx val="156600504"/>
        <c:crosses val="autoZero"/>
        <c:crossBetween val="between"/>
      </c:valAx>
    </c:plotArea>
    <c:legend>
      <c:legendPos val="b"/>
      <c:layout>
        <c:manualLayout>
          <c:xMode val="edge"/>
          <c:yMode val="edge"/>
          <c:x val="5.7451772901010958E-2"/>
          <c:y val="0.75165595126297291"/>
          <c:w val="0.9104445974671419"/>
          <c:h val="0.2116468010306051"/>
        </c:manualLayout>
      </c:layout>
      <c:overlay val="0"/>
      <c:txPr>
        <a:bodyPr/>
        <a:lstStyle/>
        <a:p>
          <a:pPr>
            <a:defRPr sz="700"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a:latin typeface="Arial Narrow" pitchFamily="34" charset="0"/>
        </a:defRPr>
      </a:pPr>
      <a:endParaRPr lang="sk-S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095390739593153E-2"/>
          <c:y val="7.1136986201140173E-2"/>
          <c:w val="0.91719616805362036"/>
          <c:h val="0.92886313672978171"/>
        </c:manualLayout>
      </c:layout>
      <c:barChart>
        <c:barDir val="col"/>
        <c:grouping val="stacked"/>
        <c:varyColors val="0"/>
        <c:ser>
          <c:idx val="0"/>
          <c:order val="0"/>
          <c:spPr>
            <a:solidFill>
              <a:srgbClr val="C5E0B4"/>
            </a:solidFill>
            <a:ln>
              <a:noFill/>
            </a:ln>
          </c:spPr>
          <c:invertIfNegative val="0"/>
          <c:dPt>
            <c:idx val="6"/>
            <c:invertIfNegative val="0"/>
            <c:bubble3D val="0"/>
            <c:spPr>
              <a:solidFill>
                <a:schemeClr val="accent2">
                  <a:lumMod val="20000"/>
                  <a:lumOff val="80000"/>
                </a:schemeClr>
              </a:solidFill>
              <a:ln>
                <a:noFill/>
              </a:ln>
            </c:spPr>
            <c:extLst>
              <c:ext xmlns:c16="http://schemas.microsoft.com/office/drawing/2014/chart" uri="{C3380CC4-5D6E-409C-BE32-E72D297353CC}">
                <c16:uniqueId val="{00000001-99C5-4BC5-B57A-D1A2FB397BBA}"/>
              </c:ext>
            </c:extLst>
          </c:dPt>
          <c:dPt>
            <c:idx val="9"/>
            <c:invertIfNegative val="0"/>
            <c:bubble3D val="0"/>
            <c:spPr>
              <a:solidFill>
                <a:srgbClr val="F8CBAD"/>
              </a:solidFill>
              <a:ln>
                <a:noFill/>
              </a:ln>
            </c:spPr>
            <c:extLst>
              <c:ext xmlns:c16="http://schemas.microsoft.com/office/drawing/2014/chart" uri="{C3380CC4-5D6E-409C-BE32-E72D297353CC}">
                <c16:uniqueId val="{00000003-99C5-4BC5-B57A-D1A2FB397BBA}"/>
              </c:ext>
            </c:extLst>
          </c:dPt>
          <c:cat>
            <c:strRef>
              <c:f>'vs. RVS'!$L$258:$L$263</c:f>
              <c:strCache>
                <c:ptCount val="6"/>
                <c:pt idx="0">
                  <c:v>Hrubý dlh RVS 2022</c:v>
                </c:pt>
                <c:pt idx="1">
                  <c:v>Deficit verejnej správy</c:v>
                </c:pt>
                <c:pt idx="2">
                  <c:v>Príspevok inflácie</c:v>
                </c:pt>
                <c:pt idx="3">
                  <c:v>Príspevok rastu reálneho HDP</c:v>
                </c:pt>
                <c:pt idx="4">
                  <c:v>Zosúladenie deficitu a dlhu</c:v>
                </c:pt>
                <c:pt idx="5">
                  <c:v>Hrubý dlh v 2022</c:v>
                </c:pt>
              </c:strCache>
            </c:strRef>
          </c:cat>
          <c:val>
            <c:numRef>
              <c:f>'vs. RVS'!$P$258:$P$263</c:f>
              <c:numCache>
                <c:formatCode>General</c:formatCode>
                <c:ptCount val="6"/>
                <c:pt idx="1">
                  <c:v>0</c:v>
                </c:pt>
                <c:pt idx="2">
                  <c:v>0</c:v>
                </c:pt>
                <c:pt idx="3">
                  <c:v>0</c:v>
                </c:pt>
                <c:pt idx="4">
                  <c:v>0</c:v>
                </c:pt>
              </c:numCache>
            </c:numRef>
          </c:val>
          <c:extLst>
            <c:ext xmlns:c16="http://schemas.microsoft.com/office/drawing/2014/chart" uri="{C3380CC4-5D6E-409C-BE32-E72D297353CC}">
              <c16:uniqueId val="{00000004-99C5-4BC5-B57A-D1A2FB397BBA}"/>
            </c:ext>
          </c:extLst>
        </c:ser>
        <c:ser>
          <c:idx val="1"/>
          <c:order val="1"/>
          <c:spPr>
            <a:noFill/>
          </c:spPr>
          <c:invertIfNegative val="0"/>
          <c:cat>
            <c:strRef>
              <c:f>'vs. RVS'!$L$258:$L$263</c:f>
              <c:strCache>
                <c:ptCount val="6"/>
                <c:pt idx="0">
                  <c:v>Hrubý dlh RVS 2022</c:v>
                </c:pt>
                <c:pt idx="1">
                  <c:v>Deficit verejnej správy</c:v>
                </c:pt>
                <c:pt idx="2">
                  <c:v>Príspevok inflácie</c:v>
                </c:pt>
                <c:pt idx="3">
                  <c:v>Príspevok rastu reálneho HDP</c:v>
                </c:pt>
                <c:pt idx="4">
                  <c:v>Zosúladenie deficitu a dlhu</c:v>
                </c:pt>
                <c:pt idx="5">
                  <c:v>Hrubý dlh v 2022</c:v>
                </c:pt>
              </c:strCache>
            </c:strRef>
          </c:cat>
          <c:val>
            <c:numRef>
              <c:f>'vs. RVS'!$Q$258:$Q$263</c:f>
              <c:numCache>
                <c:formatCode>#\ ##0.0</c:formatCode>
                <c:ptCount val="6"/>
                <c:pt idx="1">
                  <c:v>56.69340441738327</c:v>
                </c:pt>
                <c:pt idx="2">
                  <c:v>54.610579235326703</c:v>
                </c:pt>
                <c:pt idx="3">
                  <c:v>54.385336042461638</c:v>
                </c:pt>
                <c:pt idx="4">
                  <c:v>54.385336042461638</c:v>
                </c:pt>
              </c:numCache>
            </c:numRef>
          </c:val>
          <c:extLst>
            <c:ext xmlns:c16="http://schemas.microsoft.com/office/drawing/2014/chart" uri="{C3380CC4-5D6E-409C-BE32-E72D297353CC}">
              <c16:uniqueId val="{00000005-99C5-4BC5-B57A-D1A2FB397BBA}"/>
            </c:ext>
          </c:extLst>
        </c:ser>
        <c:ser>
          <c:idx val="2"/>
          <c:order val="2"/>
          <c:spPr>
            <a:solidFill>
              <a:srgbClr val="F8CBAD"/>
            </a:solidFill>
          </c:spPr>
          <c:invertIfNegative val="0"/>
          <c:dPt>
            <c:idx val="0"/>
            <c:invertIfNegative val="0"/>
            <c:bubble3D val="0"/>
            <c:spPr>
              <a:solidFill>
                <a:schemeClr val="bg1">
                  <a:lumMod val="65000"/>
                </a:schemeClr>
              </a:solidFill>
              <a:ln>
                <a:noFill/>
              </a:ln>
            </c:spPr>
            <c:extLst>
              <c:ext xmlns:c16="http://schemas.microsoft.com/office/drawing/2014/chart" uri="{C3380CC4-5D6E-409C-BE32-E72D297353CC}">
                <c16:uniqueId val="{00000007-99C5-4BC5-B57A-D1A2FB397BBA}"/>
              </c:ext>
            </c:extLst>
          </c:dPt>
          <c:dPt>
            <c:idx val="1"/>
            <c:invertIfNegative val="0"/>
            <c:bubble3D val="0"/>
            <c:spPr>
              <a:solidFill>
                <a:schemeClr val="accent3">
                  <a:lumMod val="75000"/>
                </a:schemeClr>
              </a:solidFill>
            </c:spPr>
            <c:extLst>
              <c:ext xmlns:c16="http://schemas.microsoft.com/office/drawing/2014/chart" uri="{C3380CC4-5D6E-409C-BE32-E72D297353CC}">
                <c16:uniqueId val="{00000009-99C5-4BC5-B57A-D1A2FB397BBA}"/>
              </c:ext>
            </c:extLst>
          </c:dPt>
          <c:dPt>
            <c:idx val="2"/>
            <c:invertIfNegative val="0"/>
            <c:bubble3D val="0"/>
            <c:spPr>
              <a:solidFill>
                <a:schemeClr val="accent3">
                  <a:lumMod val="75000"/>
                </a:schemeClr>
              </a:solidFill>
            </c:spPr>
            <c:extLst>
              <c:ext xmlns:c16="http://schemas.microsoft.com/office/drawing/2014/chart" uri="{C3380CC4-5D6E-409C-BE32-E72D297353CC}">
                <c16:uniqueId val="{0000000B-99C5-4BC5-B57A-D1A2FB397BBA}"/>
              </c:ext>
            </c:extLst>
          </c:dPt>
          <c:dPt>
            <c:idx val="3"/>
            <c:invertIfNegative val="0"/>
            <c:bubble3D val="0"/>
            <c:spPr>
              <a:solidFill>
                <a:schemeClr val="accent3">
                  <a:lumMod val="75000"/>
                </a:schemeClr>
              </a:solidFill>
            </c:spPr>
            <c:extLst>
              <c:ext xmlns:c16="http://schemas.microsoft.com/office/drawing/2014/chart" uri="{C3380CC4-5D6E-409C-BE32-E72D297353CC}">
                <c16:uniqueId val="{0000000D-99C5-4BC5-B57A-D1A2FB397BBA}"/>
              </c:ext>
            </c:extLst>
          </c:dPt>
          <c:dPt>
            <c:idx val="4"/>
            <c:invertIfNegative val="0"/>
            <c:bubble3D val="0"/>
            <c:spPr>
              <a:solidFill>
                <a:schemeClr val="accent6">
                  <a:lumMod val="75000"/>
                </a:schemeClr>
              </a:solidFill>
            </c:spPr>
            <c:extLst>
              <c:ext xmlns:c16="http://schemas.microsoft.com/office/drawing/2014/chart" uri="{C3380CC4-5D6E-409C-BE32-E72D297353CC}">
                <c16:uniqueId val="{0000000F-99C5-4BC5-B57A-D1A2FB397BBA}"/>
              </c:ext>
            </c:extLst>
          </c:dPt>
          <c:dPt>
            <c:idx val="5"/>
            <c:invertIfNegative val="0"/>
            <c:bubble3D val="0"/>
            <c:spPr>
              <a:solidFill>
                <a:srgbClr val="2C9ADC"/>
              </a:solidFill>
            </c:spPr>
            <c:extLst>
              <c:ext xmlns:c16="http://schemas.microsoft.com/office/drawing/2014/chart" uri="{C3380CC4-5D6E-409C-BE32-E72D297353CC}">
                <c16:uniqueId val="{00000011-99C5-4BC5-B57A-D1A2FB397BBA}"/>
              </c:ext>
            </c:extLst>
          </c:dPt>
          <c:dPt>
            <c:idx val="6"/>
            <c:invertIfNegative val="0"/>
            <c:bubble3D val="0"/>
            <c:spPr>
              <a:solidFill>
                <a:srgbClr val="2C9ADC"/>
              </a:solidFill>
            </c:spPr>
            <c:extLst>
              <c:ext xmlns:c16="http://schemas.microsoft.com/office/drawing/2014/chart" uri="{C3380CC4-5D6E-409C-BE32-E72D297353CC}">
                <c16:uniqueId val="{00000013-99C5-4BC5-B57A-D1A2FB397BBA}"/>
              </c:ext>
            </c:extLst>
          </c:dPt>
          <c:dPt>
            <c:idx val="8"/>
            <c:invertIfNegative val="0"/>
            <c:bubble3D val="0"/>
            <c:extLst>
              <c:ext xmlns:c16="http://schemas.microsoft.com/office/drawing/2014/chart" uri="{C3380CC4-5D6E-409C-BE32-E72D297353CC}">
                <c16:uniqueId val="{00000014-99C5-4BC5-B57A-D1A2FB397BBA}"/>
              </c:ext>
            </c:extLst>
          </c:dPt>
          <c:dPt>
            <c:idx val="9"/>
            <c:invertIfNegative val="0"/>
            <c:bubble3D val="0"/>
            <c:extLst>
              <c:ext xmlns:c16="http://schemas.microsoft.com/office/drawing/2014/chart" uri="{C3380CC4-5D6E-409C-BE32-E72D297353CC}">
                <c16:uniqueId val="{00000015-99C5-4BC5-B57A-D1A2FB397BBA}"/>
              </c:ext>
            </c:extLst>
          </c:dPt>
          <c:dPt>
            <c:idx val="11"/>
            <c:invertIfNegative val="0"/>
            <c:bubble3D val="0"/>
            <c:extLst>
              <c:ext xmlns:c16="http://schemas.microsoft.com/office/drawing/2014/chart" uri="{C3380CC4-5D6E-409C-BE32-E72D297353CC}">
                <c16:uniqueId val="{00000016-99C5-4BC5-B57A-D1A2FB397BBA}"/>
              </c:ext>
            </c:extLst>
          </c:dPt>
          <c:dPt>
            <c:idx val="13"/>
            <c:invertIfNegative val="0"/>
            <c:bubble3D val="0"/>
            <c:extLst>
              <c:ext xmlns:c16="http://schemas.microsoft.com/office/drawing/2014/chart" uri="{C3380CC4-5D6E-409C-BE32-E72D297353CC}">
                <c16:uniqueId val="{00000017-99C5-4BC5-B57A-D1A2FB397BBA}"/>
              </c:ext>
            </c:extLst>
          </c:dPt>
          <c:dPt>
            <c:idx val="16"/>
            <c:invertIfNegative val="0"/>
            <c:bubble3D val="0"/>
            <c:spPr>
              <a:solidFill>
                <a:schemeClr val="accent6">
                  <a:lumMod val="40000"/>
                  <a:lumOff val="60000"/>
                </a:schemeClr>
              </a:solidFill>
            </c:spPr>
            <c:extLst>
              <c:ext xmlns:c16="http://schemas.microsoft.com/office/drawing/2014/chart" uri="{C3380CC4-5D6E-409C-BE32-E72D297353CC}">
                <c16:uniqueId val="{00000019-99C5-4BC5-B57A-D1A2FB397BBA}"/>
              </c:ext>
            </c:extLst>
          </c:dPt>
          <c:dPt>
            <c:idx val="17"/>
            <c:invertIfNegative val="0"/>
            <c:bubble3D val="0"/>
            <c:spPr>
              <a:solidFill>
                <a:schemeClr val="accent6">
                  <a:lumMod val="40000"/>
                  <a:lumOff val="60000"/>
                </a:schemeClr>
              </a:solidFill>
            </c:spPr>
            <c:extLst>
              <c:ext xmlns:c16="http://schemas.microsoft.com/office/drawing/2014/chart" uri="{C3380CC4-5D6E-409C-BE32-E72D297353CC}">
                <c16:uniqueId val="{0000001B-99C5-4BC5-B57A-D1A2FB397BBA}"/>
              </c:ext>
            </c:extLst>
          </c:dPt>
          <c:dPt>
            <c:idx val="18"/>
            <c:invertIfNegative val="0"/>
            <c:bubble3D val="0"/>
            <c:spPr>
              <a:solidFill>
                <a:schemeClr val="accent6">
                  <a:lumMod val="40000"/>
                  <a:lumOff val="60000"/>
                </a:schemeClr>
              </a:solidFill>
            </c:spPr>
            <c:extLst>
              <c:ext xmlns:c16="http://schemas.microsoft.com/office/drawing/2014/chart" uri="{C3380CC4-5D6E-409C-BE32-E72D297353CC}">
                <c16:uniqueId val="{0000001D-99C5-4BC5-B57A-D1A2FB397BBA}"/>
              </c:ext>
            </c:extLst>
          </c:dPt>
          <c:dPt>
            <c:idx val="22"/>
            <c:invertIfNegative val="0"/>
            <c:bubble3D val="0"/>
            <c:spPr>
              <a:solidFill>
                <a:schemeClr val="accent2">
                  <a:lumMod val="40000"/>
                  <a:lumOff val="60000"/>
                </a:schemeClr>
              </a:solidFill>
            </c:spPr>
            <c:extLst>
              <c:ext xmlns:c16="http://schemas.microsoft.com/office/drawing/2014/chart" uri="{C3380CC4-5D6E-409C-BE32-E72D297353CC}">
                <c16:uniqueId val="{0000001F-99C5-4BC5-B57A-D1A2FB397BBA}"/>
              </c:ext>
            </c:extLst>
          </c:dPt>
          <c:dPt>
            <c:idx val="24"/>
            <c:invertIfNegative val="0"/>
            <c:bubble3D val="0"/>
            <c:spPr>
              <a:solidFill>
                <a:schemeClr val="accent5">
                  <a:lumMod val="20000"/>
                  <a:lumOff val="80000"/>
                </a:schemeClr>
              </a:solidFill>
            </c:spPr>
            <c:extLst>
              <c:ext xmlns:c16="http://schemas.microsoft.com/office/drawing/2014/chart" uri="{C3380CC4-5D6E-409C-BE32-E72D297353CC}">
                <c16:uniqueId val="{00000021-99C5-4BC5-B57A-D1A2FB397BBA}"/>
              </c:ext>
            </c:extLst>
          </c:dPt>
          <c:dLbls>
            <c:dLbl>
              <c:idx val="0"/>
              <c:numFmt formatCode="#,##0.0" sourceLinked="0"/>
              <c:spPr>
                <a:noFill/>
                <a:ln>
                  <a:noFill/>
                </a:ln>
                <a:effectLst/>
              </c:spPr>
              <c:txPr>
                <a:bodyPr/>
                <a:lstStyle/>
                <a:p>
                  <a:pPr>
                    <a:defRPr sz="700" b="1"/>
                  </a:pPr>
                  <a:endParaRPr lang="sk-SK"/>
                </a:p>
              </c:txPr>
              <c:showLegendKey val="0"/>
              <c:showVal val="1"/>
              <c:showCatName val="0"/>
              <c:showSerName val="0"/>
              <c:showPercent val="0"/>
              <c:showBubbleSize val="0"/>
              <c:extLst>
                <c:ext xmlns:c16="http://schemas.microsoft.com/office/drawing/2014/chart" uri="{C3380CC4-5D6E-409C-BE32-E72D297353CC}">
                  <c16:uniqueId val="{00000007-99C5-4BC5-B57A-D1A2FB397BBA}"/>
                </c:ext>
              </c:extLst>
            </c:dLbl>
            <c:dLbl>
              <c:idx val="1"/>
              <c:layout>
                <c:manualLayout>
                  <c:x val="-5.6315420546538311E-17"/>
                  <c:y val="0.1883706048624619"/>
                </c:manualLayout>
              </c:layout>
              <c:tx>
                <c:rich>
                  <a:bodyPr/>
                  <a:lstStyle/>
                  <a:p>
                    <a:r>
                      <a:rPr lang="en-US"/>
                      <a:t>-</a:t>
                    </a:r>
                    <a:fld id="{14743C1A-1B51-4D68-8997-09C4845D2C2E}" type="VALUE">
                      <a:rPr lang="en-US"/>
                      <a:pPr/>
                      <a:t>[HODNOTA]</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9C5-4BC5-B57A-D1A2FB397BBA}"/>
                </c:ext>
              </c:extLst>
            </c:dLbl>
            <c:dLbl>
              <c:idx val="2"/>
              <c:layout>
                <c:manualLayout>
                  <c:x val="0"/>
                  <c:y val="0.10764034563569244"/>
                </c:manualLayout>
              </c:layout>
              <c:tx>
                <c:rich>
                  <a:bodyPr/>
                  <a:lstStyle/>
                  <a:p>
                    <a:r>
                      <a:rPr lang="en-US"/>
                      <a:t>-</a:t>
                    </a:r>
                    <a:fld id="{DC44820B-10F0-49CC-839E-49EB9552D7D7}" type="VALUE">
                      <a:rPr lang="en-US"/>
                      <a:pPr/>
                      <a:t>[HODNOTA]</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9C5-4BC5-B57A-D1A2FB397BBA}"/>
                </c:ext>
              </c:extLst>
            </c:dLbl>
            <c:dLbl>
              <c:idx val="3"/>
              <c:layout>
                <c:manualLayout>
                  <c:x val="0"/>
                  <c:y val="4.4850144014871883E-2"/>
                </c:manualLayout>
              </c:layout>
              <c:tx>
                <c:rich>
                  <a:bodyPr/>
                  <a:lstStyle/>
                  <a:p>
                    <a:r>
                      <a:rPr lang="en-US"/>
                      <a:t>-</a:t>
                    </a:r>
                    <a:fld id="{BF77CDA7-2C94-4C73-B14F-CC6975DB9C1D}" type="VALUE">
                      <a:rPr lang="en-US"/>
                      <a:pPr/>
                      <a:t>[HODNOTA]</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9C5-4BC5-B57A-D1A2FB397BBA}"/>
                </c:ext>
              </c:extLst>
            </c:dLbl>
            <c:dLbl>
              <c:idx val="4"/>
              <c:layout>
                <c:manualLayout>
                  <c:x val="0"/>
                  <c:y val="-0.14800547524907723"/>
                </c:manualLayout>
              </c:layout>
              <c:tx>
                <c:rich>
                  <a:bodyPr/>
                  <a:lstStyle/>
                  <a:p>
                    <a:r>
                      <a:rPr lang="en-US"/>
                      <a:t>+</a:t>
                    </a:r>
                    <a:fld id="{6106641D-936A-4490-BF64-12A0DA08D6C2}" type="VALUE">
                      <a:rPr lang="en-US"/>
                      <a:pPr/>
                      <a:t>[HODNOTA]</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99C5-4BC5-B57A-D1A2FB397BBA}"/>
                </c:ext>
              </c:extLst>
            </c:dLbl>
            <c:dLbl>
              <c:idx val="5"/>
              <c:numFmt formatCode="#,##0.0" sourceLinked="0"/>
              <c:spPr>
                <a:noFill/>
                <a:ln>
                  <a:noFill/>
                </a:ln>
                <a:effectLst/>
              </c:spPr>
              <c:txPr>
                <a:bodyPr/>
                <a:lstStyle/>
                <a:p>
                  <a:pPr>
                    <a:defRPr sz="700" b="1"/>
                  </a:pPr>
                  <a:endParaRPr lang="sk-SK"/>
                </a:p>
              </c:txPr>
              <c:showLegendKey val="0"/>
              <c:showVal val="1"/>
              <c:showCatName val="0"/>
              <c:showSerName val="0"/>
              <c:showPercent val="0"/>
              <c:showBubbleSize val="0"/>
              <c:extLst>
                <c:ext xmlns:c16="http://schemas.microsoft.com/office/drawing/2014/chart" uri="{C3380CC4-5D6E-409C-BE32-E72D297353CC}">
                  <c16:uniqueId val="{00000011-99C5-4BC5-B57A-D1A2FB397BBA}"/>
                </c:ext>
              </c:extLst>
            </c:dLbl>
            <c:numFmt formatCode="#,##0.0" sourceLinked="0"/>
            <c:spPr>
              <a:noFill/>
              <a:ln>
                <a:noFill/>
              </a:ln>
              <a:effectLst/>
            </c:spPr>
            <c:txPr>
              <a:bodyPr/>
              <a:lstStyle/>
              <a:p>
                <a:pPr>
                  <a:defRPr sz="700"/>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'vs. RVS'!$L$258:$L$263</c:f>
              <c:strCache>
                <c:ptCount val="6"/>
                <c:pt idx="0">
                  <c:v>Hrubý dlh RVS 2022</c:v>
                </c:pt>
                <c:pt idx="1">
                  <c:v>Deficit verejnej správy</c:v>
                </c:pt>
                <c:pt idx="2">
                  <c:v>Príspevok inflácie</c:v>
                </c:pt>
                <c:pt idx="3">
                  <c:v>Príspevok rastu reálneho HDP</c:v>
                </c:pt>
                <c:pt idx="4">
                  <c:v>Zosúladenie deficitu a dlhu</c:v>
                </c:pt>
                <c:pt idx="5">
                  <c:v>Hrubý dlh v 2022</c:v>
                </c:pt>
              </c:strCache>
            </c:strRef>
          </c:cat>
          <c:val>
            <c:numRef>
              <c:f>'vs. RVS'!$R$258:$R$263</c:f>
              <c:numCache>
                <c:formatCode>#\ ##0.0</c:formatCode>
                <c:ptCount val="6"/>
                <c:pt idx="0">
                  <c:v>61.480978780764914</c:v>
                </c:pt>
                <c:pt idx="1">
                  <c:v>4.7875743633816459</c:v>
                </c:pt>
                <c:pt idx="2">
                  <c:v>2.08282518205657</c:v>
                </c:pt>
                <c:pt idx="3">
                  <c:v>0.22524319286506531</c:v>
                </c:pt>
                <c:pt idx="4">
                  <c:v>3.4299986804992888</c:v>
                </c:pt>
                <c:pt idx="5">
                  <c:v>57.815334722960927</c:v>
                </c:pt>
              </c:numCache>
            </c:numRef>
          </c:val>
          <c:extLst>
            <c:ext xmlns:c16="http://schemas.microsoft.com/office/drawing/2014/chart" uri="{C3380CC4-5D6E-409C-BE32-E72D297353CC}">
              <c16:uniqueId val="{00000022-99C5-4BC5-B57A-D1A2FB397BBA}"/>
            </c:ext>
          </c:extLst>
        </c:ser>
        <c:dLbls>
          <c:showLegendKey val="0"/>
          <c:showVal val="0"/>
          <c:showCatName val="0"/>
          <c:showSerName val="0"/>
          <c:showPercent val="0"/>
          <c:showBubbleSize val="0"/>
        </c:dLbls>
        <c:gapWidth val="60"/>
        <c:overlap val="100"/>
        <c:axId val="475263672"/>
        <c:axId val="475264064"/>
      </c:barChart>
      <c:catAx>
        <c:axId val="475263672"/>
        <c:scaling>
          <c:orientation val="minMax"/>
        </c:scaling>
        <c:delete val="0"/>
        <c:axPos val="b"/>
        <c:numFmt formatCode="General" sourceLinked="1"/>
        <c:majorTickMark val="none"/>
        <c:minorTickMark val="none"/>
        <c:tickLblPos val="low"/>
        <c:spPr>
          <a:ln w="3175">
            <a:solidFill>
              <a:sysClr val="windowText" lastClr="000000"/>
            </a:solidFill>
            <a:prstDash val="solid"/>
          </a:ln>
        </c:spPr>
        <c:txPr>
          <a:bodyPr rot="0" vert="horz"/>
          <a:lstStyle/>
          <a:p>
            <a:pPr>
              <a:defRPr sz="600"/>
            </a:pPr>
            <a:endParaRPr lang="sk-SK"/>
          </a:p>
        </c:txPr>
        <c:crossAx val="475264064"/>
        <c:crosses val="autoZero"/>
        <c:auto val="1"/>
        <c:lblAlgn val="ctr"/>
        <c:lblOffset val="100"/>
        <c:noMultiLvlLbl val="0"/>
      </c:catAx>
      <c:valAx>
        <c:axId val="475264064"/>
        <c:scaling>
          <c:orientation val="minMax"/>
          <c:min val="50"/>
        </c:scaling>
        <c:delete val="0"/>
        <c:axPos val="l"/>
        <c:numFmt formatCode="General" sourceLinked="1"/>
        <c:majorTickMark val="out"/>
        <c:minorTickMark val="none"/>
        <c:tickLblPos val="low"/>
        <c:spPr>
          <a:ln w="3175">
            <a:solidFill>
              <a:sysClr val="windowText" lastClr="000000"/>
            </a:solidFill>
          </a:ln>
        </c:spPr>
        <c:crossAx val="475263672"/>
        <c:crosses val="autoZero"/>
        <c:crossBetween val="between"/>
      </c:valAx>
    </c:plotArea>
    <c:plotVisOnly val="1"/>
    <c:dispBlanksAs val="gap"/>
    <c:showDLblsOverMax val="0"/>
  </c:chart>
  <c:spPr>
    <a:noFill/>
    <a:ln>
      <a:solidFill>
        <a:schemeClr val="bg1"/>
      </a:solidFill>
    </a:ln>
  </c:spPr>
  <c:txPr>
    <a:bodyPr/>
    <a:lstStyle/>
    <a:p>
      <a:pPr>
        <a:defRPr sz="8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33808133533871"/>
          <c:y val="6.4046579330422126E-2"/>
          <c:w val="0.82066191866466132"/>
          <c:h val="0.79439168357230461"/>
        </c:manualLayout>
      </c:layout>
      <c:barChart>
        <c:barDir val="col"/>
        <c:grouping val="clustered"/>
        <c:varyColors val="0"/>
        <c:ser>
          <c:idx val="1"/>
          <c:order val="1"/>
          <c:tx>
            <c:strRef>
              <c:f>'vs. RVS'!$B$121</c:f>
              <c:strCache>
                <c:ptCount val="1"/>
                <c:pt idx="0">
                  <c:v>Skutočnosť</c:v>
                </c:pt>
              </c:strCache>
            </c:strRef>
          </c:tx>
          <c:spPr>
            <a:solidFill>
              <a:srgbClr val="2C9ADC"/>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'vs. RVS'!$C$119:$D$119</c:f>
              <c:strCache>
                <c:ptCount val="2"/>
                <c:pt idx="0">
                  <c:v>Daňové a odvodové príjmy VS</c:v>
                </c:pt>
                <c:pt idx="1">
                  <c:v>Výdavky VS</c:v>
                </c:pt>
              </c:strCache>
            </c:strRef>
          </c:cat>
          <c:val>
            <c:numRef>
              <c:f>'vs. RVS'!$C$121:$D$121</c:f>
              <c:numCache>
                <c:formatCode>_-* #\ ##0\ _€_-;\-* #\ ##0\ _€_-;_-* "-"??\ _€_-;_-@_-</c:formatCode>
                <c:ptCount val="2"/>
                <c:pt idx="0">
                  <c:v>35046.444458660102</c:v>
                </c:pt>
                <c:pt idx="1">
                  <c:v>44885.749999999993</c:v>
                </c:pt>
              </c:numCache>
            </c:numRef>
          </c:val>
          <c:extLst>
            <c:ext xmlns:c16="http://schemas.microsoft.com/office/drawing/2014/chart" uri="{C3380CC4-5D6E-409C-BE32-E72D297353CC}">
              <c16:uniqueId val="{00000000-0AA1-40A7-8DC7-1F4F5967BB64}"/>
            </c:ext>
          </c:extLst>
        </c:ser>
        <c:dLbls>
          <c:showLegendKey val="0"/>
          <c:showVal val="0"/>
          <c:showCatName val="0"/>
          <c:showSerName val="0"/>
          <c:showPercent val="0"/>
          <c:showBubbleSize val="0"/>
        </c:dLbls>
        <c:gapWidth val="219"/>
        <c:overlap val="-27"/>
        <c:axId val="979209384"/>
        <c:axId val="979209056"/>
      </c:barChart>
      <c:lineChart>
        <c:grouping val="stacked"/>
        <c:varyColors val="0"/>
        <c:ser>
          <c:idx val="0"/>
          <c:order val="0"/>
          <c:tx>
            <c:strRef>
              <c:f>'vs. RVS'!$B$120</c:f>
              <c:strCache>
                <c:ptCount val="1"/>
                <c:pt idx="0">
                  <c:v>Rozpočet verejnej správy 2022</c:v>
                </c:pt>
              </c:strCache>
            </c:strRef>
          </c:tx>
          <c:spPr>
            <a:ln w="28575" cap="rnd">
              <a:noFill/>
              <a:round/>
            </a:ln>
            <a:effectLst/>
          </c:spPr>
          <c:marker>
            <c:symbol val="dash"/>
            <c:size val="12"/>
            <c:spPr>
              <a:solidFill>
                <a:schemeClr val="tx1"/>
              </a:solidFill>
              <a:ln w="9525">
                <a:no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'vs. RVS'!$C$119:$D$119</c:f>
              <c:strCache>
                <c:ptCount val="2"/>
                <c:pt idx="0">
                  <c:v>Daňové a odvodové príjmy VS</c:v>
                </c:pt>
                <c:pt idx="1">
                  <c:v>Výdavky VS</c:v>
                </c:pt>
              </c:strCache>
            </c:strRef>
          </c:cat>
          <c:val>
            <c:numRef>
              <c:f>'vs. RVS'!$C$120:$D$120</c:f>
              <c:numCache>
                <c:formatCode>_-* #\ ##0\ _€_-;\-* #\ ##0\ _€_-;_-* "-"??\ _€_-;_-@_-</c:formatCode>
                <c:ptCount val="2"/>
                <c:pt idx="0">
                  <c:v>32831.135000000002</c:v>
                </c:pt>
                <c:pt idx="1">
                  <c:v>46408.406000000003</c:v>
                </c:pt>
              </c:numCache>
            </c:numRef>
          </c:val>
          <c:smooth val="0"/>
          <c:extLst>
            <c:ext xmlns:c16="http://schemas.microsoft.com/office/drawing/2014/chart" uri="{C3380CC4-5D6E-409C-BE32-E72D297353CC}">
              <c16:uniqueId val="{00000001-0AA1-40A7-8DC7-1F4F5967BB64}"/>
            </c:ext>
          </c:extLst>
        </c:ser>
        <c:dLbls>
          <c:showLegendKey val="0"/>
          <c:showVal val="0"/>
          <c:showCatName val="0"/>
          <c:showSerName val="0"/>
          <c:showPercent val="0"/>
          <c:showBubbleSize val="0"/>
        </c:dLbls>
        <c:marker val="1"/>
        <c:smooth val="0"/>
        <c:axId val="979209384"/>
        <c:axId val="979209056"/>
      </c:lineChart>
      <c:catAx>
        <c:axId val="979209384"/>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crossAx val="979209056"/>
        <c:crosses val="autoZero"/>
        <c:auto val="1"/>
        <c:lblAlgn val="ctr"/>
        <c:lblOffset val="100"/>
        <c:noMultiLvlLbl val="0"/>
      </c:catAx>
      <c:valAx>
        <c:axId val="979209056"/>
        <c:scaling>
          <c:orientation val="minMax"/>
          <c:min val="25000"/>
        </c:scaling>
        <c:delete val="0"/>
        <c:axPos val="l"/>
        <c:majorGridlines>
          <c:spPr>
            <a:ln w="3175" cap="flat" cmpd="sng" algn="ctr">
              <a:solidFill>
                <a:schemeClr val="tx1">
                  <a:lumMod val="15000"/>
                  <a:lumOff val="85000"/>
                </a:schemeClr>
              </a:solidFill>
              <a:prstDash val="sysDot"/>
              <a:round/>
            </a:ln>
            <a:effectLst/>
          </c:spPr>
        </c:majorGridlines>
        <c:numFmt formatCode="_-* #\ ##0\ _€_-;\-* #\ ##0\ _€_-;_-* &quot;-&quot;??\ _€_-;_-@_-"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crossAx val="979209384"/>
        <c:crosses val="autoZero"/>
        <c:crossBetween val="between"/>
      </c:valAx>
      <c:spPr>
        <a:noFill/>
        <a:ln>
          <a:noFill/>
        </a:ln>
        <a:effectLst/>
      </c:spPr>
    </c:plotArea>
    <c:legend>
      <c:legendPos val="b"/>
      <c:layout>
        <c:manualLayout>
          <c:xMode val="edge"/>
          <c:yMode val="edge"/>
          <c:x val="0.20109705387950103"/>
          <c:y val="4.8102919173938219E-2"/>
          <c:w val="0.77501253354566613"/>
          <c:h val="9.764925672500546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noFill/>
    <a:ln w="9525" cap="flat" cmpd="sng" algn="ctr">
      <a:no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A72C-F8D5-4616-ACAA-92270D13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142</Pages>
  <Words>67973</Words>
  <Characters>387450</Characters>
  <Application>Microsoft Office Word</Application>
  <DocSecurity>0</DocSecurity>
  <Lines>3228</Lines>
  <Paragraphs>909</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454514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Suttova Jana</dc:creator>
  <cp:keywords/>
  <dc:description/>
  <cp:lastModifiedBy>Jergusova Zuzana</cp:lastModifiedBy>
  <cp:revision>164</cp:revision>
  <cp:lastPrinted>2023-04-26T14:27:00Z</cp:lastPrinted>
  <dcterms:created xsi:type="dcterms:W3CDTF">2023-04-20T20:01:00Z</dcterms:created>
  <dcterms:modified xsi:type="dcterms:W3CDTF">2023-04-26T16:07:00Z</dcterms:modified>
</cp:coreProperties>
</file>