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0421DB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0421D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0421D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0421DB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0421DB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0421DB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0421DB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0421D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0421DB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0421D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="006213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517</w:t>
      </w:r>
      <w:r w:rsidRPr="00621337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621337"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</w:p>
    <w:p w:rsidR="00F025DE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0C3652" w:rsidRPr="000421DB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621337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1457</w:t>
      </w:r>
      <w:r w:rsidRPr="000421DB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0421DB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0421DB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0421D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0421DB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0421DB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0421DB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0421DB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 o dopravných prostriedkoch a prepravných prostriedkoch používaných na prepravu skaziteľných potravín a o zmene a doplnení niektorých zákonov </w:t>
      </w:r>
      <w:r w:rsidRPr="000421DB" w:rsidR="00FE0E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1457</w:t>
      </w:r>
      <w:r w:rsidRPr="000421DB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0421DB" w:rsidR="008E61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0421DB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0421DB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0421DB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0421DB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0421D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0421DB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vládnemu návrhu zákona o dopravných prostriedkoch a prepravných prostriedkoch používaných na prepravu skaziteľných potravín a o zmene a doplnení niektorých zákonov </w:t>
      </w:r>
      <w:r w:rsidRPr="000421DB" w:rsidR="00FE0E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1457</w:t>
      </w:r>
      <w:r w:rsidRPr="000421DB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0421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</w:t>
      </w:r>
      <w:r w:rsidRPr="000421DB" w:rsidR="00A6195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gestorský výbor</w:t>
      </w:r>
      <w:r w:rsidRPr="000421D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“) podáva Národnej rade Slovenskej republiky podľa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0421D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0421D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0421DB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0421DB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0421DB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421DB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0421DB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0421DB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1530</w:t>
      </w:r>
      <w:r w:rsidRPr="000421DB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0421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0421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0421DB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Pr="000421DB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421DB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0421DB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0421DB"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0421D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0421DB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0421DB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0421DB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71122B" w:rsidRPr="000421DB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0421DB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</w:p>
    <w:p w:rsidR="009B36E7" w:rsidRPr="000421DB" w:rsidP="00735DEF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 w:rsidR="0071122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421DB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0421DB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0421DB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</w:t>
      </w:r>
    </w:p>
    <w:p w:rsidR="00FE0E97" w:rsidRPr="000421DB" w:rsidP="00FE0E97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108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pre pôdohospodárstvo a životné prostredie. </w:t>
      </w:r>
    </w:p>
    <w:p w:rsidR="00D445D9" w:rsidRPr="000421DB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0421DB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vládneho návrhu zákona v druhom čítaní vo výboroch.</w:t>
      </w:r>
    </w:p>
    <w:p w:rsidR="00980F1B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0421DB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C608DB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608DB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0421DB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421DB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0421DB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35539" w:rsidRPr="000421DB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0421DB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0421DB" w:rsid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740</w:t>
      </w:r>
      <w:r w:rsidRPr="000421DB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Pr="000421DB" w:rsid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27</w:t>
      </w:r>
      <w:r w:rsidRPr="000421DB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421DB" w:rsid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apríla </w:t>
      </w:r>
      <w:r w:rsidRPr="000421DB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2023</w:t>
      </w:r>
    </w:p>
    <w:p w:rsidR="00765794" w:rsidRPr="000421DB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0421DB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0421DB" w:rsid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427</w:t>
      </w:r>
      <w:r w:rsidRPr="000421DB" w:rsidR="001249DB">
        <w:rPr>
          <w:rFonts w:ascii="Times New Roman" w:eastAsia="Times New Roman" w:hAnsi="Times New Roman" w:cs="Times New Roman" w:hint="cs"/>
          <w:bCs/>
          <w:sz w:val="24"/>
          <w:szCs w:val="24"/>
          <w:highlight w:val="yellow"/>
          <w:rtl w:val="0"/>
          <w:cs w:val="0"/>
          <w:lang w:val="sk-SK" w:eastAsia="sk-SK" w:bidi="ar-SA"/>
        </w:rPr>
        <w:t xml:space="preserve"> </w:t>
      </w:r>
      <w:r w:rsidRPr="000421DB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0421DB" w:rsid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28</w:t>
      </w:r>
      <w:r w:rsidRPr="000421DB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0421DB" w:rsid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apríla</w:t>
      </w:r>
      <w:r w:rsidRPr="000421DB" w:rsidR="0084675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0421DB" w:rsidR="0071122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  <w:r w:rsidRPr="000421DB" w:rsidR="00FE0E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621337" w:rsidP="00621337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E0E97" w:rsidRPr="00621337" w:rsidP="00621337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pôdohospodárstvo a životné prostredie </w:t>
      </w:r>
      <w:r w:rsidRPr="00621337" w:rsidR="006213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 vládnom návrhu </w:t>
      </w:r>
      <w:r w:rsidRPr="00621337" w:rsidR="006213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nerokoval</w:t>
      </w:r>
      <w:r w:rsidRPr="00621337" w:rsidR="006213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pretože podľa § 52 ods. 2 zákona Národnej rady Slovenskej republiky č. 350/1996 Z. z. o rokovacom poriadku Národnej rady Slovenskej republiky v znení neskorších predpisov </w:t>
      </w:r>
      <w:r w:rsidRPr="00621337" w:rsidR="006213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nebol uznášaniaschopný</w:t>
      </w:r>
      <w:r w:rsidRPr="00621337" w:rsidR="006213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FE0E97" w:rsidRPr="000421DB" w:rsidP="00FE0E97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E227BC" w:rsidRPr="000421DB" w:rsidP="00E227BC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0421DB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0421DB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0421D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0421D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0421D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0421DB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0421DB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0421D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0421D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0421DB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0421D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0421DB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before="240"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3 ods. 1 písm. f), ods. 11 a § 4 ods. 4 písm. d) sa slovo „osvedčenie“ vo všetkých gramatických tvaroch nahrádza slovom „rozhodnutie“ v príslušnom gramatickom tvare.</w:t>
      </w:r>
    </w:p>
    <w:p w:rsidR="000421DB" w:rsidP="00621337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Zosúladenie znenia návrhu zákona so zákonom č. 53/2023 Z. z. o akreditácii orgánov posudzovania zhody účinného od 1. apríla 2023, kedy došlo k zmenám v terminológii v rámci akreditácie.</w:t>
      </w: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before="240"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3 ods. 1 písm. h) sa slová „osobu alebo osoby, ktoré sú jej štatutárnym orgánom“ nahrádzajú slovami „osobu, ktorá je štatutárnym orgánom alebo členom štatutárneho orgánu právnickej osoby“.</w:t>
      </w:r>
    </w:p>
    <w:p w:rsidR="000421DB" w:rsidP="00621337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Pojmové zjednotenie z hľadiska jednotnej terminológie a zaužívanej legislatívnej praxe.</w:t>
      </w: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before="240"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 čl. I poznámky pod čiarou k odkazom 4 a 5 znejú: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spacing w:before="4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„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4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) § 26 zákona č. 53/2023 Z. z. o akreditácii orgánov posudzovania zhody.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 xml:space="preserve">   5</w:t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 § 3 zákona č. 53/2023 Z. z.</w:t>
      </w: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“.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Zosúladenie znenia návrhu zákona so zákonom č. 53/2023 Z. z. o akreditácii orgánov posudzovania zhody účinného od 1. apríla 2023.</w:t>
      </w: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before="240"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 čl. I sa § 3 dopĺňa odsekom 13, ktorý znie: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426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„(13) Podmienky na udelenie poverenia sa považujú za akreditačné požiadavky podľa osobitného predpisu.</w:t>
      </w: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vertAlign w:val="superscript"/>
          <w:rtl w:val="0"/>
          <w:cs w:val="0"/>
          <w:lang w:val="sk-SK" w:eastAsia="sk-SK" w:bidi="ar-SA"/>
        </w:rPr>
        <w:t>11</w:t>
      </w: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)“.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425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Poznámka pod čiarou k odkazu 11 znie: 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„</w:t>
      </w: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vertAlign w:val="superscript"/>
          <w:rtl w:val="0"/>
          <w:cs w:val="0"/>
          <w:lang w:val="sk-SK" w:eastAsia="sk-SK" w:bidi="ar-SA"/>
        </w:rPr>
        <w:t>11</w:t>
      </w: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) § 21 zákona č. 53/2023 Z. z.“.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Nasledujúce poznámky pod čiarou sa primerane prečíslujú.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Zosúladenie znenia návrhu zákona so zákonom č. 53/2023 Z. z. o akreditácii orgánov posudzovania zhody účinného od 1. apríla 2023, kedy došlo k úpravám kedy a za akých podmienok sa regulátor zúčastňuje posudzovania v rámci udeľovania akreditácie.</w:t>
      </w: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numPr>
          <w:numId w:val="49"/>
        </w:numPr>
        <w:tabs>
          <w:tab w:val="left" w:pos="284"/>
        </w:tabs>
        <w:autoSpaceDE/>
        <w:autoSpaceDN/>
        <w:bidi w:val="0"/>
        <w:adjustRightInd/>
        <w:spacing w:before="24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4 ods. 4 písm. c) sa za slovo „fyzickej osoby“ vkladá pomlčka a slovo „podnikateľa“.</w:t>
      </w:r>
    </w:p>
    <w:p w:rsidR="000421DB" w:rsidRPr="000421DB" w:rsidP="000421DB">
      <w:pPr>
        <w:framePr w:wrap="auto"/>
        <w:widowControl w:val="0"/>
        <w:tabs>
          <w:tab w:val="left" w:pos="4111"/>
        </w:tabs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úprava; zosúladenie znenia ustanovenia s § 2 ods. 1. </w:t>
      </w:r>
    </w:p>
    <w:p w:rsidR="000421DB" w:rsidP="000421DB">
      <w:pPr>
        <w:framePr w:wrap="auto"/>
        <w:widowControl w:val="0"/>
        <w:tabs>
          <w:tab w:val="left" w:pos="4111"/>
        </w:tabs>
        <w:autoSpaceDE w:val="0"/>
        <w:autoSpaceDN w:val="0"/>
        <w:bidi w:val="0"/>
        <w:adjustRightInd w:val="0"/>
        <w:ind w:left="4253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3E18B3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ED3E6A" w:rsidP="000421DB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numPr>
          <w:numId w:val="49"/>
        </w:numPr>
        <w:tabs>
          <w:tab w:val="left" w:pos="284"/>
        </w:tabs>
        <w:autoSpaceDE/>
        <w:autoSpaceDN/>
        <w:bidi w:val="0"/>
        <w:adjustRightInd/>
        <w:spacing w:before="240" w:after="16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 § 5 ods. 1 písm. f) sa slovo „vystavených“ nahrádza slovom „vydaných“ a za slovo „rokov“ sa dopĺňajú slová „odo dňa ich vydania“.  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úprava; precizovanie textu, aby bol zrejmý okamih, od ktorého sa bude realizovať archivácia vydaných dokladov. Zároveň sa zjednocuje terminológia s § 5 ods. 1 písm. e).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ind w:left="368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3E18B3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ED3E6A" w:rsidP="000421DB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before="240"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 čl. I § 5 ods. 1 písm. h) sa nad slovo „akreditácie,“ umiestňuje odkaz 11.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425" w:right="0"/>
        <w:jc w:val="both"/>
        <w:textAlignment w:val="auto"/>
        <w:rPr>
          <w:rFonts w:ascii="Times New Roman" w:eastAsia="Times New Roman" w:hAnsi="Times New Roman" w:cs="Times New Roman" w:hint="cs"/>
          <w:iCs/>
          <w:szCs w:val="20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0"/>
          <w:rtl w:val="0"/>
          <w:cs w:val="0"/>
          <w:lang w:val="sk-SK" w:eastAsia="sk-SK" w:bidi="ar-SA"/>
        </w:rPr>
        <w:t xml:space="preserve">Poznámka pod čiarou k odkazu 11 znie: 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iCs/>
          <w:sz w:val="20"/>
          <w:szCs w:val="20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0"/>
          <w:szCs w:val="20"/>
          <w:rtl w:val="0"/>
          <w:cs w:val="0"/>
          <w:lang w:val="sk-SK" w:eastAsia="sk-SK" w:bidi="ar-SA"/>
        </w:rPr>
        <w:t>„</w:t>
      </w:r>
      <w:r w:rsidRPr="000421DB">
        <w:rPr>
          <w:rFonts w:ascii="Times New Roman" w:eastAsia="Times New Roman" w:hAnsi="Times New Roman" w:cs="Times New Roman" w:hint="cs"/>
          <w:iCs/>
          <w:sz w:val="20"/>
          <w:szCs w:val="20"/>
          <w:vertAlign w:val="superscript"/>
          <w:rtl w:val="0"/>
          <w:cs w:val="0"/>
          <w:lang w:val="sk-SK" w:eastAsia="sk-SK" w:bidi="ar-SA"/>
        </w:rPr>
        <w:t>11</w:t>
      </w:r>
      <w:r w:rsidRPr="000421DB">
        <w:rPr>
          <w:rFonts w:ascii="Times New Roman" w:eastAsia="Times New Roman" w:hAnsi="Times New Roman" w:cs="Times New Roman" w:hint="cs"/>
          <w:iCs/>
          <w:sz w:val="20"/>
          <w:szCs w:val="20"/>
          <w:rtl w:val="0"/>
          <w:cs w:val="0"/>
          <w:lang w:val="sk-SK" w:eastAsia="sk-SK" w:bidi="ar-SA"/>
        </w:rPr>
        <w:t>) § 26 ods. 4 zákona č. 53/2023 Z. z.“.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iCs/>
          <w:szCs w:val="20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0"/>
          <w:rtl w:val="0"/>
          <w:cs w:val="0"/>
          <w:lang w:val="sk-SK" w:eastAsia="sk-SK" w:bidi="ar-SA"/>
        </w:rPr>
        <w:t>Nasledujúce poznámky pod čiarou sa primerane prečíslujú.</w:t>
      </w: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Zosúladenie znenia návrhu zákona so zákonom č. 53/2023 Z. z. o akreditácii orgánov posudzovania zhody účinného od 1. apríla 2023, kedy došlo k zmenám v terminológii v rámci akreditácie.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21337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5 ods. 2 sa slová „vystavených dokladov“ nahrádzajú slovami „vydaných  dokladov“.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úprava; precizovanie textu. Zjednotenie terminológie s § 5 ods. 1 písm. e).</w:t>
      </w:r>
    </w:p>
    <w:p w:rsidR="000421DB" w:rsidP="000421DB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3E18B3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ED3E6A" w:rsidP="000421DB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tabs>
          <w:tab w:val="left" w:pos="284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tabs>
          <w:tab w:val="left" w:pos="284"/>
        </w:tabs>
        <w:autoSpaceDE/>
        <w:autoSpaceDN/>
        <w:bidi w:val="0"/>
        <w:adjustRightInd/>
        <w:spacing w:before="240" w:after="16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5 ods. 2 písm. a) sa za slovo „fyzickú osobu“ vkladá pomlčka a slovo „podnikateľa“.</w:t>
      </w:r>
    </w:p>
    <w:p w:rsidR="000421DB" w:rsidRPr="000421DB" w:rsidP="000421DB">
      <w:pPr>
        <w:framePr w:wrap="auto"/>
        <w:widowControl w:val="0"/>
        <w:tabs>
          <w:tab w:val="left" w:pos="4111"/>
        </w:tabs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úprava; zosúladenie znenia ustanovenia s § 2 ods. 1. 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3E18B3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ED3E6A" w:rsidP="000421DB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before="240"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 čl. I § 5 ods. 2 písm. b) prvom bode a § 15 ods. 3 písm. c) štvrtom bode sa slová „osoby alebo osôb, ktoré sú jej štatutárnym orgánom“ nahrádzajú slovami „osoby, ktorá je štatutárnym orgánom alebo členom štatutárneho orgánu právnickej osoby“.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Pojmové zjednotenie z hľadiska jednotnej terminológie a zaužívanej legislatívnej praxe.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szCs w:val="20"/>
          <w:rtl w:val="0"/>
          <w:cs w:val="0"/>
          <w:lang w:val="sk-SK" w:eastAsia="sk-SK" w:bidi="ar-SA"/>
        </w:rPr>
      </w:pP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21337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szCs w:val="20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before="240"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 čl. I § 6 ods. 9 sa slová „zmluvného štátu“ nahrádzajú slovami „štátu, ktorý je zmluvnou stranou dohody ATP“.</w:t>
      </w: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en-US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Textová úprava z dôvodu výkladovej jasnosti, že ide o štát, ktorý je zmluvnou stranou dohody ATP.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szCs w:val="20"/>
          <w:rtl w:val="0"/>
          <w:cs w:val="0"/>
          <w:lang w:val="sk-SK" w:eastAsia="sk-SK" w:bidi="ar-SA"/>
        </w:rPr>
      </w:pPr>
    </w:p>
    <w:p w:rsidR="000421DB" w:rsidRPr="003E18B3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ED3E6A" w:rsidP="000421DB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szCs w:val="20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before="240"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 čl. I § 8 písm. d) druhý bod znie: </w:t>
      </w:r>
    </w:p>
    <w:p w:rsidR="000421DB" w:rsidRPr="000421DB" w:rsidP="000421DB">
      <w:pPr>
        <w:framePr w:wrap="auto"/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160"/>
        <w:ind w:left="851" w:right="0" w:hanging="425"/>
        <w:jc w:val="both"/>
        <w:textAlignment w:val="auto"/>
        <w:rPr>
          <w:rFonts w:ascii="Times New Roman" w:eastAsia="Times New Roman" w:hAnsi="Times New Roman" w:cs="Times New Roman" w:hint="cs"/>
          <w:iCs/>
          <w:szCs w:val="20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0"/>
          <w:rtl w:val="0"/>
          <w:cs w:val="0"/>
          <w:lang w:val="sk-SK" w:eastAsia="sk-SK" w:bidi="ar-SA"/>
        </w:rPr>
        <w:t>„2.</w:t>
        <w:tab/>
        <w:t>spolupracuje so Slovenskou národnou akreditačnou službou pri posudzovaní plnenia akreditačných požiadaviek</w:t>
      </w:r>
      <w:r w:rsidRPr="000421DB">
        <w:rPr>
          <w:rFonts w:ascii="Times New Roman" w:eastAsia="Times New Roman" w:hAnsi="Times New Roman" w:cs="Times New Roman" w:hint="cs"/>
          <w:iCs/>
          <w:sz w:val="24"/>
          <w:szCs w:val="20"/>
          <w:vertAlign w:val="superscript"/>
          <w:rtl w:val="0"/>
          <w:cs w:val="0"/>
          <w:lang w:val="sk-SK" w:eastAsia="sk-SK" w:bidi="ar-SA"/>
        </w:rPr>
        <w:t>12</w:t>
      </w:r>
      <w:r w:rsidRPr="000421DB">
        <w:rPr>
          <w:rFonts w:ascii="Times New Roman" w:eastAsia="Times New Roman" w:hAnsi="Times New Roman" w:cs="Times New Roman" w:hint="cs"/>
          <w:iCs/>
          <w:sz w:val="24"/>
          <w:szCs w:val="20"/>
          <w:rtl w:val="0"/>
          <w:cs w:val="0"/>
          <w:lang w:val="sk-SK" w:eastAsia="sk-SK" w:bidi="ar-SA"/>
        </w:rPr>
        <w:t>) a je členom posudzovacej skupiny,</w:t>
      </w:r>
      <w:r w:rsidRPr="000421DB">
        <w:rPr>
          <w:rFonts w:ascii="Times New Roman" w:eastAsia="Times New Roman" w:hAnsi="Times New Roman" w:cs="Times New Roman" w:hint="cs"/>
          <w:iCs/>
          <w:sz w:val="24"/>
          <w:szCs w:val="20"/>
          <w:vertAlign w:val="superscript"/>
          <w:rtl w:val="0"/>
          <w:cs w:val="0"/>
          <w:lang w:val="sk-SK" w:eastAsia="sk-SK" w:bidi="ar-SA"/>
        </w:rPr>
        <w:t>13</w:t>
      </w:r>
      <w:r w:rsidRPr="000421DB">
        <w:rPr>
          <w:rFonts w:ascii="Times New Roman" w:eastAsia="Times New Roman" w:hAnsi="Times New Roman" w:cs="Times New Roman" w:hint="cs"/>
          <w:iCs/>
          <w:sz w:val="24"/>
          <w:szCs w:val="20"/>
          <w:rtl w:val="0"/>
          <w:cs w:val="0"/>
          <w:lang w:val="sk-SK" w:eastAsia="sk-SK" w:bidi="ar-SA"/>
        </w:rPr>
        <w:t>)“.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425" w:right="0"/>
        <w:jc w:val="both"/>
        <w:textAlignment w:val="auto"/>
        <w:rPr>
          <w:rFonts w:ascii="Times New Roman" w:eastAsia="Times New Roman" w:hAnsi="Times New Roman" w:cs="Times New Roman" w:hint="cs"/>
          <w:iCs/>
          <w:szCs w:val="20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0"/>
          <w:rtl w:val="0"/>
          <w:cs w:val="0"/>
          <w:lang w:val="sk-SK" w:eastAsia="sk-SK" w:bidi="ar-SA"/>
        </w:rPr>
        <w:t xml:space="preserve">Poznámky pod čiarou k odkazom 12 a 13 znejú: 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iCs/>
          <w:sz w:val="20"/>
          <w:szCs w:val="20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0"/>
          <w:szCs w:val="20"/>
          <w:rtl w:val="0"/>
          <w:cs w:val="0"/>
          <w:lang w:val="sk-SK" w:eastAsia="sk-SK" w:bidi="ar-SA"/>
        </w:rPr>
        <w:t>„</w:t>
      </w:r>
      <w:r w:rsidRPr="000421DB">
        <w:rPr>
          <w:rFonts w:ascii="Times New Roman" w:eastAsia="Times New Roman" w:hAnsi="Times New Roman" w:cs="Times New Roman" w:hint="cs"/>
          <w:iCs/>
          <w:sz w:val="20"/>
          <w:szCs w:val="20"/>
          <w:vertAlign w:val="superscript"/>
          <w:rtl w:val="0"/>
          <w:cs w:val="0"/>
          <w:lang w:val="sk-SK" w:eastAsia="sk-SK" w:bidi="ar-SA"/>
        </w:rPr>
        <w:t>12</w:t>
      </w:r>
      <w:r w:rsidRPr="000421DB">
        <w:rPr>
          <w:rFonts w:ascii="Times New Roman" w:eastAsia="Times New Roman" w:hAnsi="Times New Roman" w:cs="Times New Roman" w:hint="cs"/>
          <w:iCs/>
          <w:sz w:val="20"/>
          <w:szCs w:val="20"/>
          <w:rtl w:val="0"/>
          <w:cs w:val="0"/>
          <w:lang w:val="sk-SK" w:eastAsia="sk-SK" w:bidi="ar-SA"/>
        </w:rPr>
        <w:t>) § 22 zákona č. 53/2023 Z. z.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iCs/>
          <w:sz w:val="20"/>
          <w:szCs w:val="20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0"/>
          <w:szCs w:val="20"/>
          <w:vertAlign w:val="superscript"/>
          <w:rtl w:val="0"/>
          <w:cs w:val="0"/>
          <w:lang w:val="sk-SK" w:eastAsia="sk-SK" w:bidi="ar-SA"/>
        </w:rPr>
        <w:t xml:space="preserve">   13</w:t>
      </w:r>
      <w:r w:rsidRPr="000421DB">
        <w:rPr>
          <w:rFonts w:ascii="Times New Roman" w:eastAsia="Times New Roman" w:hAnsi="Times New Roman" w:cs="Times New Roman" w:hint="cs"/>
          <w:iCs/>
          <w:sz w:val="20"/>
          <w:szCs w:val="20"/>
          <w:rtl w:val="0"/>
          <w:cs w:val="0"/>
          <w:lang w:val="sk-SK" w:eastAsia="sk-SK" w:bidi="ar-SA"/>
        </w:rPr>
        <w:t>) § 22 ods. 2 zákona č. 53/2023 Z. z.“.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60"/>
        <w:ind w:left="426" w:right="0"/>
        <w:jc w:val="both"/>
        <w:textAlignment w:val="auto"/>
        <w:rPr>
          <w:rFonts w:ascii="Times New Roman" w:eastAsia="Times New Roman" w:hAnsi="Times New Roman" w:cs="Times New Roman" w:hint="cs"/>
          <w:iCs/>
          <w:szCs w:val="20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0"/>
          <w:rtl w:val="0"/>
          <w:cs w:val="0"/>
          <w:lang w:val="sk-SK" w:eastAsia="sk-SK" w:bidi="ar-SA"/>
        </w:rPr>
        <w:t>Nasledujúce poznámky pod čiarou sa primerane prečíslujú.</w:t>
      </w: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Zosúladenie znenia návrhu zákona so zákonom č. 53/2023 Z. z. o akreditácii orgánov posudzovania zhody účinného od 1. apríla 2023, kedy došlo k zmenám v terminológii v rámci akreditácie a tiež došlo k úpravám kedy a za akých podmienok sa regulátor zúčastňuje posudzovania v rámci udeľovania akreditácie. 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21337" w:rsidRPr="00621337" w:rsidP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 § 9 ods. 6 písm. c) sa slovo „nemožno“ nahrádza slovami „kontrolór nemôže“. </w:t>
      </w: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úprava; precizovanie znenia ustanovenia.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line="360" w:lineRule="auto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 § 9 ods. 8 sa za slovo „rokov“ vkladajú slová „odo dňa jeho vydania“. </w:t>
      </w: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spacing w:before="24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úprava; precizovanie textu, aby bol zrejmý okamih od ktorého sa bude počítať doba platnosti preukazu kontrolóra. 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3E18B3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ED3E6A" w:rsidP="000421DB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</w:t>
      </w:r>
      <w:r w:rsidR="00B905B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 čl. I </w:t>
      </w: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§ 10 ods. 2 sa slovo „ministerstvu“ nahrádza slovami „orgánu štátneho dozoru“.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0421DB" w:rsidP="00621337">
      <w:pPr>
        <w:framePr w:wrap="auto"/>
        <w:widowControl/>
        <w:autoSpaceDE/>
        <w:autoSpaceDN/>
        <w:bidi w:val="0"/>
        <w:adjustRightInd/>
        <w:ind w:left="4167" w:right="0" w:hanging="567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Zjednotenie terminológie s § 9 ods. 2.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3E18B3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ED3E6A" w:rsidP="000421DB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spacing w:before="240" w:after="160" w:line="259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12 ods. 4, § 13 ods. 5 a § 14 ods. 4 sa vypúšťa druhá veta.</w:t>
      </w: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Z návrhu zákona sa vypúšťajú ustanovenia týkajúce sa úhrady pokuty a poriadkovej pokuty len platbou na platobný účet.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21337" w:rsidRPr="000421DB" w:rsidP="000421DB">
      <w:pPr>
        <w:framePr w:wrap="auto"/>
        <w:widowControl w:val="0"/>
        <w:autoSpaceDE w:val="0"/>
        <w:autoSpaceDN w:val="0"/>
        <w:bidi w:val="0"/>
        <w:adjustRightInd w:val="0"/>
        <w:spacing w:after="12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14 ods. 5 sa slová „na platobný účet uvedený v rozkaze pripísané“ nahrádzajú slovami „uhradené“.</w:t>
      </w: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V návrhu zákona sa navrhuje zmeniť, že pokutu do 15 dní stačí uhradiť a nie pripísať na platobný účet.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21337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§ 14 ods. 14 sa vypúšťajú slová „</w:t>
      </w: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 musia sa uhradiť formou platby na platobný účet uvedený v rozhodnutí</w:t>
      </w: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Z návrhu zákona sa vypúšťajú ustanovenia týkajúce sa  úhrady trov konania len platbou na platobný účet.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21337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 čl. I § 15 ods. 6 sa slová „opravný prostriedok“ nahrádzajú slovom „odvolanie“. 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0421DB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Zjednotenie terminológie s poslednou vetou § 15 ods. 6, v ktorej sa uvádza ako opravný prostriedok odvolanie.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3E18B3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ED3E6A" w:rsidP="000421DB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16 písm. b) sa slovo „vystavených“ nahrádza slovom „vydaných“.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Legislatívno-technická úprava; precizovanie textu. Zjednotenie terminológie s § 5 ods. 1 písm. e).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ind w:left="368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3E18B3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0421DB" w:rsidP="000421DB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0421DB" w:rsidRPr="00ED3E6A" w:rsidP="000421DB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68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686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 čl. I § 17 sa slová „v Európskej hospodárskej komisii“ nahrádzajú slovami „orgánom Európskej hospodárskej komisie“ a za slová „dohody ATP“ sa vkladajú slová „bez  vydaného poverenia podľa tohto zákona“.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Spresnenie textu prechodného ustanovenia upravujúceho možnosť výkonu skúšky a osvedčovania osobou oznámenou orgánom Európskej hospodárskej komisie Organizácie Spojených národov.</w:t>
      </w:r>
    </w:p>
    <w:p w:rsid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621337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3544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/>
        <w:numPr>
          <w:numId w:val="49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V čl. I sa doterajší text § 17 označuje ako odsek 1 a dopĺňa sa odsekom 2, ktorý znie: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„(2) Osvedčenie, štítok a rozlišovacia značka vydané podľa dohody ATP do dňa nadobudnutia účinnosti tohto zákona zostávajú v platnosti do dátumu v nich uvedenom.“.</w:t>
      </w:r>
    </w:p>
    <w:p w:rsidR="000421DB" w:rsidRPr="000421DB" w:rsidP="000421DB">
      <w:pPr>
        <w:framePr w:wrap="auto"/>
        <w:widowControl/>
        <w:autoSpaceDE/>
        <w:autoSpaceDN/>
        <w:bidi w:val="0"/>
        <w:adjustRightInd/>
        <w:ind w:left="357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</w:p>
    <w:p w:rsidR="000421DB" w:rsidRPr="000421DB" w:rsidP="00621337">
      <w:pPr>
        <w:framePr w:wrap="auto"/>
        <w:widowControl w:val="0"/>
        <w:autoSpaceDE w:val="0"/>
        <w:autoSpaceDN w:val="0"/>
        <w:bidi w:val="0"/>
        <w:adjustRightInd w:val="0"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Dopĺňa sa prechodné ustanovenie upravujúce, že platnosť dokladov vydaných podľa dohody ATP zostáva zachovaná.</w:t>
      </w:r>
    </w:p>
    <w:p w:rsidR="000421DB" w:rsidRPr="000421DB" w:rsidP="000421D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21337" w:rsidRPr="003E18B3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E18B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621337" w:rsidP="00621337">
      <w:pPr>
        <w:framePr w:wrap="auto"/>
        <w:widowControl/>
        <w:autoSpaceDE/>
        <w:autoSpaceDN/>
        <w:bidi w:val="0"/>
        <w:adjustRightInd/>
        <w:ind w:left="360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621337" w:rsidRPr="00ED3E6A" w:rsidP="00621337">
      <w:pPr>
        <w:framePr w:wrap="auto"/>
        <w:widowControl/>
        <w:autoSpaceDE/>
        <w:autoSpaceDN/>
        <w:bidi w:val="0"/>
        <w:adjustRightInd/>
        <w:ind w:left="288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ED3E6A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0421DB" w:rsidRPr="000421DB" w:rsidP="000421DB">
      <w:pPr>
        <w:framePr w:wrap="auto"/>
        <w:widowControl w:val="0"/>
        <w:tabs>
          <w:tab w:val="left" w:pos="1021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421DB" w:rsidRPr="000421DB" w:rsidP="000421DB">
      <w:pPr>
        <w:framePr w:wrap="auto"/>
        <w:widowControl w:val="0"/>
        <w:tabs>
          <w:tab w:val="left" w:pos="1021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0421DB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621337" w:rsidR="006213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Pr="006213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až </w:t>
      </w:r>
      <w:r w:rsidRPr="00621337" w:rsidR="006213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22</w:t>
      </w:r>
      <w:r w:rsidRPr="006213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6213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62133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621337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E6120" w:rsidRPr="000421DB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421DB" w:rsidR="00E227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0421DB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vládneho návrhu zákona o dopravných prostriedkoch a prepravných prostriedkoch používaných na prepravu skaziteľných potravín a o zmene a doplnení niektorých zákonov</w:t>
      </w:r>
      <w:r w:rsidRPr="000421DB" w:rsidR="00FE0E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1457</w:t>
      </w:r>
      <w:r w:rsidRPr="000421DB" w:rsidR="0084675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E227BC" w:rsidRPr="000421DB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AE0758" w:rsidRPr="000421DB" w:rsidP="00AE0758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s c h v á l i ť 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0421D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0421D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0421D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0421D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0421D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0421DB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0421DB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0421DB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republiky pre hospodárske </w:t>
      </w:r>
      <w:r w:rsidRPr="005564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záležitosti č</w:t>
      </w:r>
      <w:r w:rsidRPr="00556449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556449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56449" w:rsidR="005564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435</w:t>
      </w:r>
      <w:r w:rsidRPr="00556449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564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556449" w:rsidR="005564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5564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56449" w:rsidR="00FE0E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 2023</w:t>
      </w:r>
      <w:r w:rsidRPr="0055644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0421DB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0421DB" w:rsidR="00FE0E9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Petra Vonsa</w:t>
      </w:r>
      <w:r w:rsidRPr="000421DB" w:rsidR="00E227B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0421DB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421D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CB1937" w:rsidR="00CB1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CB19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CB1937" w:rsidR="00E227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</w:t>
      </w:r>
      <w:r w:rsidRPr="00CB1937" w:rsidR="008467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B1937" w:rsidR="00E227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</w:p>
    <w:p w:rsidR="00CE799F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E0844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0421D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0421DB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0421D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0421D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0421DB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0421DB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0421DB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0421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0421DB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0421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0421DB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0421DB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20B060403050404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B905B7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6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4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5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8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1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8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0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3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6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8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9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0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3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5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6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7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9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1">
    <w:nsid w:val="72903D03"/>
    <w:multiLevelType w:val="hybridMultilevel"/>
    <w:tmpl w:val="53F2C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abstractNum w:abstractNumId="45">
    <w:nsid w:val="7F8B46DC"/>
    <w:multiLevelType w:val="hybridMultilevel"/>
    <w:tmpl w:val="3A0E80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num w:numId="1">
    <w:abstractNumId w:val="34"/>
  </w:num>
  <w:num w:numId="2">
    <w:abstractNumId w:val="24"/>
  </w:num>
  <w:num w:numId="3">
    <w:abstractNumId w:val="36"/>
  </w:num>
  <w:num w:numId="4">
    <w:abstractNumId w:val="15"/>
  </w:num>
  <w:num w:numId="5">
    <w:abstractNumId w:val="26"/>
  </w:num>
  <w:num w:numId="6">
    <w:abstractNumId w:val="29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0"/>
  </w:num>
  <w:num w:numId="11">
    <w:abstractNumId w:val="27"/>
  </w:num>
  <w:num w:numId="12">
    <w:abstractNumId w:val="17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8"/>
  </w:num>
  <w:num w:numId="16">
    <w:abstractNumId w:val="13"/>
  </w:num>
  <w:num w:numId="17">
    <w:abstractNumId w:val="19"/>
  </w:num>
  <w:num w:numId="18">
    <w:abstractNumId w:val="2"/>
  </w:num>
  <w:num w:numId="19">
    <w:abstractNumId w:val="21"/>
  </w:num>
  <w:num w:numId="20">
    <w:abstractNumId w:val="43"/>
  </w:num>
  <w:num w:numId="21">
    <w:abstractNumId w:val="7"/>
  </w:num>
  <w:num w:numId="22">
    <w:abstractNumId w:val="30"/>
  </w:num>
  <w:num w:numId="23">
    <w:abstractNumId w:val="6"/>
  </w:num>
  <w:num w:numId="24">
    <w:abstractNumId w:val="38"/>
  </w:num>
  <w:num w:numId="25">
    <w:abstractNumId w:val="32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3"/>
  </w:num>
  <w:num w:numId="29">
    <w:abstractNumId w:val="1"/>
  </w:num>
  <w:num w:numId="30">
    <w:abstractNumId w:val="10"/>
  </w:num>
  <w:num w:numId="31">
    <w:abstractNumId w:val="28"/>
  </w:num>
  <w:num w:numId="32">
    <w:abstractNumId w:val="22"/>
  </w:num>
  <w:num w:numId="33">
    <w:abstractNumId w:val="37"/>
  </w:num>
  <w:num w:numId="34">
    <w:abstractNumId w:val="23"/>
  </w:num>
  <w:num w:numId="35">
    <w:abstractNumId w:val="12"/>
  </w:num>
  <w:num w:numId="36">
    <w:abstractNumId w:val="42"/>
  </w:num>
  <w:num w:numId="37">
    <w:abstractNumId w:val="40"/>
  </w:num>
  <w:num w:numId="38">
    <w:abstractNumId w:val="11"/>
  </w:num>
  <w:num w:numId="39">
    <w:abstractNumId w:val="16"/>
  </w:num>
  <w:num w:numId="40">
    <w:abstractNumId w:val="20"/>
  </w:num>
  <w:num w:numId="41">
    <w:abstractNumId w:val="33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4"/>
  </w:num>
  <w:num w:numId="47">
    <w:abstractNumId w:val="9"/>
  </w:num>
  <w:num w:numId="48">
    <w:abstractNumId w:val="45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113</TotalTime>
  <Pages>8</Pages>
  <Words>1741</Words>
  <Characters>9927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36</cp:revision>
  <cp:lastPrinted>2020-05-20T15:53:00Z</cp:lastPrinted>
  <dcterms:created xsi:type="dcterms:W3CDTF">2021-08-12T08:52:00Z</dcterms:created>
  <dcterms:modified xsi:type="dcterms:W3CDTF">2023-04-28T13:08:00Z</dcterms:modified>
</cp:coreProperties>
</file>