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5</w:t>
      </w:r>
      <w:r w:rsidR="00CA15D0">
        <w:rPr>
          <w:rFonts w:ascii="Times New Roman" w:hAnsi="Times New Roman" w:cs="Times New Roman"/>
          <w:bCs/>
          <w:sz w:val="24"/>
          <w:szCs w:val="24"/>
        </w:rPr>
        <w:t>07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7B8D">
        <w:rPr>
          <w:rFonts w:ascii="Times New Roman" w:hAnsi="Times New Roman" w:cs="Times New Roman"/>
          <w:b/>
          <w:bCs/>
          <w:sz w:val="24"/>
          <w:szCs w:val="24"/>
        </w:rPr>
        <w:t>453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B3570" w:rsidRPr="003B3570">
        <w:rPr>
          <w:rFonts w:ascii="Times New Roman" w:hAnsi="Times New Roman" w:cs="Times New Roman"/>
          <w:bCs/>
          <w:color w:val="000000"/>
          <w:sz w:val="24"/>
          <w:szCs w:val="24"/>
        </w:rPr>
        <w:t>návrh 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</w:t>
      </w:r>
      <w:r w:rsidR="003B3570" w:rsidRPr="003B3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1481)</w:t>
      </w:r>
      <w:r w:rsidR="003B3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CC2297" w:rsidP="00D26BD4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3B3570" w:rsidRPr="003B3570">
        <w:rPr>
          <w:rFonts w:ascii="Times New Roman" w:hAnsi="Times New Roman" w:cs="Times New Roman"/>
          <w:bCs/>
          <w:color w:val="000000"/>
          <w:sz w:val="24"/>
          <w:szCs w:val="24"/>
        </w:rPr>
        <w:t>návrh</w:t>
      </w:r>
      <w:r w:rsidR="003B3570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3B3570" w:rsidRPr="003B35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</w:t>
      </w:r>
      <w:r w:rsidR="003B3570" w:rsidRPr="003B3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1481)</w:t>
      </w: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BD4" w:rsidRDefault="00D26BD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3B3570" w:rsidRPr="003B3570">
        <w:rPr>
          <w:rFonts w:ascii="Times New Roman" w:hAnsi="Times New Roman"/>
          <w:bCs/>
          <w:color w:val="000000"/>
          <w:sz w:val="24"/>
          <w:szCs w:val="24"/>
        </w:rPr>
        <w:t>návrh 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</w:t>
      </w:r>
      <w:r w:rsidR="003B3570" w:rsidRPr="003B3570">
        <w:rPr>
          <w:rFonts w:ascii="Times New Roman" w:hAnsi="Times New Roman"/>
          <w:b/>
          <w:bCs/>
          <w:color w:val="000000"/>
          <w:sz w:val="24"/>
          <w:szCs w:val="24"/>
        </w:rPr>
        <w:t xml:space="preserve"> (tlač 1481)</w:t>
      </w:r>
      <w:r w:rsidR="003B357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7B8D" w:rsidRDefault="00237B8D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37B8D">
        <w:rPr>
          <w:rFonts w:ascii="Times New Roman" w:hAnsi="Times New Roman" w:cs="Times New Roman"/>
          <w:b/>
          <w:bCs/>
          <w:sz w:val="24"/>
          <w:szCs w:val="24"/>
        </w:rPr>
        <w:t>č. 453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3B3570" w:rsidRDefault="00CC2297" w:rsidP="008F52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3B3570" w:rsidRPr="003B3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návrhu poslancov Národnej rady Slovenskej republiky 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(tlač 1481)</w:t>
      </w:r>
    </w:p>
    <w:p w:rsidR="003B3570" w:rsidRDefault="003B3570" w:rsidP="003B3570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237B8D" w:rsidRDefault="00237B8D" w:rsidP="0090446E">
      <w:pPr>
        <w:pStyle w:val="Odsekzoznamu"/>
        <w:numPr>
          <w:ilvl w:val="0"/>
          <w:numId w:val="4"/>
        </w:numPr>
        <w:spacing w:after="0" w:line="240" w:lineRule="auto"/>
        <w:ind w:left="567"/>
        <w:contextualSpacing w:val="0"/>
        <w:jc w:val="both"/>
      </w:pPr>
      <w:r w:rsidRPr="0090446E">
        <w:rPr>
          <w:b/>
        </w:rPr>
        <w:t>V názve návrhu zákona</w:t>
      </w:r>
      <w:r>
        <w:t xml:space="preserve"> a v úvodnej vete čl. I sa slová „mení a dopĺňa“ nahrádzajú slovom „mení“. </w:t>
      </w:r>
    </w:p>
    <w:p w:rsidR="0090446E" w:rsidRDefault="0090446E" w:rsidP="0090446E">
      <w:pPr>
        <w:pStyle w:val="Odsekzoznamu"/>
        <w:spacing w:after="0" w:line="240" w:lineRule="auto"/>
        <w:ind w:left="4196"/>
        <w:contextualSpacing w:val="0"/>
      </w:pPr>
      <w:bookmarkStart w:id="0" w:name="_GoBack"/>
      <w:bookmarkEnd w:id="0"/>
    </w:p>
    <w:p w:rsidR="00237B8D" w:rsidRDefault="00237B8D" w:rsidP="0090446E">
      <w:pPr>
        <w:pStyle w:val="Odsekzoznamu"/>
        <w:spacing w:after="0" w:line="240" w:lineRule="auto"/>
        <w:ind w:left="4196"/>
        <w:contextualSpacing w:val="0"/>
      </w:pPr>
      <w:r>
        <w:t>Legislatívno-technická úprava; upresnenie znenia názvu zákona a úvodnej vety v čl. I.</w:t>
      </w:r>
    </w:p>
    <w:p w:rsidR="00237B8D" w:rsidRDefault="00237B8D" w:rsidP="0090446E">
      <w:pPr>
        <w:spacing w:after="0" w:line="360" w:lineRule="auto"/>
        <w:ind w:left="1276" w:firstLine="708"/>
      </w:pPr>
    </w:p>
    <w:p w:rsidR="00237B8D" w:rsidRDefault="00237B8D" w:rsidP="0090446E">
      <w:pPr>
        <w:pStyle w:val="Odsekzoznamu"/>
        <w:numPr>
          <w:ilvl w:val="0"/>
          <w:numId w:val="4"/>
        </w:numPr>
        <w:tabs>
          <w:tab w:val="left" w:pos="284"/>
        </w:tabs>
        <w:spacing w:after="0" w:line="240" w:lineRule="auto"/>
        <w:ind w:left="567"/>
        <w:contextualSpacing w:val="0"/>
        <w:jc w:val="both"/>
      </w:pPr>
      <w:r w:rsidRPr="0090446E">
        <w:rPr>
          <w:b/>
        </w:rPr>
        <w:t>V čl. II</w:t>
      </w:r>
      <w:r>
        <w:t xml:space="preserve"> sa slová „</w:t>
      </w:r>
      <w:r>
        <w:rPr>
          <w:lang w:eastAsia="sk-SK"/>
        </w:rPr>
        <w:t>1. júna 2023</w:t>
      </w:r>
      <w:r>
        <w:t>“ nahrádzajú slovami „1. júla 2023“.</w:t>
      </w:r>
    </w:p>
    <w:p w:rsidR="0090446E" w:rsidRDefault="0090446E" w:rsidP="0090446E">
      <w:pPr>
        <w:pStyle w:val="Odsekzoznamu"/>
        <w:overflowPunct w:val="0"/>
        <w:spacing w:after="0" w:line="240" w:lineRule="auto"/>
        <w:ind w:left="4111"/>
        <w:contextualSpacing w:val="0"/>
        <w:jc w:val="both"/>
      </w:pPr>
    </w:p>
    <w:p w:rsidR="00237B8D" w:rsidRDefault="00237B8D" w:rsidP="0090446E">
      <w:pPr>
        <w:pStyle w:val="Odsekzoznamu"/>
        <w:overflowPunct w:val="0"/>
        <w:spacing w:after="0" w:line="240" w:lineRule="auto"/>
        <w:ind w:left="4111"/>
        <w:contextualSpacing w:val="0"/>
        <w:jc w:val="both"/>
      </w:pPr>
      <w:r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>
        <w:t>legisvakancia</w:t>
      </w:r>
      <w:proofErr w:type="spellEnd"/>
      <w:r>
        <w:t xml:space="preserve">, aby sa so zákonom ešte pred nadobudnutím účinnosti mohli zoznámiť všetci, ktorým je zákon určený (čl. 6 ods.8 Legislatívnych pravidiel tvorby zákonov č. 19/1997 Z. z.). </w:t>
      </w:r>
    </w:p>
    <w:p w:rsidR="00237B8D" w:rsidRDefault="00237B8D" w:rsidP="0090446E">
      <w:pPr>
        <w:pStyle w:val="Odsekzoznamu"/>
        <w:spacing w:after="0" w:line="240" w:lineRule="auto"/>
        <w:ind w:left="4253"/>
        <w:contextualSpacing w:val="0"/>
        <w:jc w:val="both"/>
      </w:pPr>
    </w:p>
    <w:p w:rsidR="003B3570" w:rsidRPr="003B3570" w:rsidRDefault="003B3570" w:rsidP="003B3570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sectPr w:rsidR="003B3570" w:rsidRPr="003B3570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237B8D"/>
    <w:rsid w:val="002B58F9"/>
    <w:rsid w:val="003A2B29"/>
    <w:rsid w:val="003B3570"/>
    <w:rsid w:val="005377A1"/>
    <w:rsid w:val="008F52FA"/>
    <w:rsid w:val="0090446E"/>
    <w:rsid w:val="00A03F5B"/>
    <w:rsid w:val="00CA15D0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6E5D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2614</Characters>
  <Application>Microsoft Office Word</Application>
  <DocSecurity>0</DocSecurity>
  <Lines>21</Lines>
  <Paragraphs>6</Paragraphs>
  <ScaleCrop>false</ScaleCrop>
  <Company>Kancelaria NRSR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13</cp:revision>
  <dcterms:created xsi:type="dcterms:W3CDTF">2023-04-12T07:52:00Z</dcterms:created>
  <dcterms:modified xsi:type="dcterms:W3CDTF">2023-04-25T12:29:00Z</dcterms:modified>
</cp:coreProperties>
</file>