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A1928">
        <w:rPr>
          <w:sz w:val="22"/>
          <w:szCs w:val="22"/>
        </w:rPr>
        <w:t>1011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A1928">
      <w:pPr>
        <w:pStyle w:val="rozhodnutia"/>
      </w:pPr>
      <w:r>
        <w:t>1758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FA1928">
        <w:rPr>
          <w:rFonts w:cs="Arial"/>
          <w:sz w:val="22"/>
          <w:szCs w:val="22"/>
          <w:lang w:val="sk-SK"/>
        </w:rPr>
        <w:t>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FA1928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="00FA1928" w:rsidRPr="00FA1928">
        <w:rPr>
          <w:rFonts w:cs="Arial"/>
          <w:szCs w:val="22"/>
        </w:rPr>
        <w:t xml:space="preserve">Tomáša TARABU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FA1928" w:rsidRPr="00FA1928">
        <w:rPr>
          <w:rFonts w:cs="Arial"/>
        </w:rPr>
        <w:t xml:space="preserve">ktorým sa mení a dopĺňa zákon č. 301/2005 Z. z. Trestný poriadok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FA1928">
        <w:rPr>
          <w:rFonts w:cs="Arial"/>
          <w:szCs w:val="22"/>
        </w:rPr>
        <w:t>95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C1AA2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FA1928">
        <w:rPr>
          <w:rFonts w:ascii="Arial" w:hAnsi="Arial" w:cs="Arial"/>
          <w:sz w:val="22"/>
          <w:szCs w:val="22"/>
        </w:rPr>
        <w:t>;</w:t>
      </w:r>
      <w:r w:rsidR="005A180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A1928">
        <w:rPr>
          <w:rFonts w:ascii="Arial" w:hAnsi="Arial" w:cs="Arial"/>
          <w:sz w:val="22"/>
          <w:szCs w:val="22"/>
        </w:rPr>
        <w:t>Ústavnoprávny výbor</w:t>
      </w:r>
      <w:r w:rsidR="00FA1928" w:rsidRPr="00E66789">
        <w:rPr>
          <w:rFonts w:ascii="Arial" w:hAnsi="Arial" w:cs="Arial"/>
          <w:sz w:val="22"/>
          <w:szCs w:val="22"/>
        </w:rPr>
        <w:t xml:space="preserve"> Ná</w:t>
      </w:r>
      <w:r w:rsidR="00FA1928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FA1928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5E24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2023-04-20T08:54:00Z</cp:lastPrinted>
  <dcterms:created xsi:type="dcterms:W3CDTF">2023-04-20T08:54:00Z</dcterms:created>
  <dcterms:modified xsi:type="dcterms:W3CDTF">2023-04-20T08:57:00Z</dcterms:modified>
</cp:coreProperties>
</file>