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518C5">
        <w:rPr>
          <w:sz w:val="22"/>
          <w:szCs w:val="22"/>
        </w:rPr>
        <w:t>882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518C5">
      <w:pPr>
        <w:pStyle w:val="rozhodnutia"/>
      </w:pPr>
      <w:r>
        <w:t>1662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D518C5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274189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274189" w:rsidRPr="00274189">
        <w:rPr>
          <w:rFonts w:cs="Arial"/>
          <w:szCs w:val="22"/>
        </w:rPr>
        <w:t xml:space="preserve">Petra VONSA, Petra KREMSKÉHO, Milana KURIAKA, Lukáša KYSELICU a Ľuboša KRAJČÍRA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10F2B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274189" w:rsidRPr="00274189">
        <w:rPr>
          <w:rFonts w:cs="Arial"/>
        </w:rPr>
        <w:t>ktorým sa mení a dopĺňa zákon č. 361/2014  Z. z. o dani z motorových vozidiel a o zmene a doplnení niektorých zákonov v znení neskorších predpisov</w:t>
      </w:r>
      <w:r w:rsidR="00E27D1D" w:rsidRPr="00E27D1D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274189">
        <w:rPr>
          <w:rFonts w:cs="Arial"/>
          <w:szCs w:val="22"/>
        </w:rPr>
        <w:t>1596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274189">
        <w:rPr>
          <w:rFonts w:cs="Arial"/>
          <w:szCs w:val="22"/>
        </w:rPr>
        <w:t xml:space="preserve">     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651C97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74189">
        <w:rPr>
          <w:rFonts w:ascii="Arial" w:hAnsi="Arial" w:cs="Arial"/>
          <w:sz w:val="22"/>
          <w:szCs w:val="22"/>
        </w:rPr>
        <w:t xml:space="preserve">financie a rozpočet a </w:t>
      </w:r>
    </w:p>
    <w:p w:rsidR="00274189" w:rsidRDefault="0027418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hospodárske záležitosti;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74189" w:rsidRPr="00274189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3EF6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422F5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D18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2023-04-18T13:04:00Z</cp:lastPrinted>
  <dcterms:created xsi:type="dcterms:W3CDTF">2023-04-18T13:05:00Z</dcterms:created>
  <dcterms:modified xsi:type="dcterms:W3CDTF">2023-04-18T13:09:00Z</dcterms:modified>
</cp:coreProperties>
</file>