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E4" w:rsidRDefault="003A73E4" w:rsidP="001F01B8">
      <w:bookmarkStart w:id="0" w:name="_GoBack"/>
      <w:bookmarkEnd w:id="0"/>
    </w:p>
    <w:tbl>
      <w:tblPr>
        <w:tblW w:w="1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84"/>
        <w:gridCol w:w="948"/>
        <w:gridCol w:w="1486"/>
        <w:gridCol w:w="851"/>
        <w:gridCol w:w="4646"/>
        <w:gridCol w:w="642"/>
        <w:gridCol w:w="1769"/>
      </w:tblGrid>
      <w:tr w:rsidR="00142A16">
        <w:tc>
          <w:tcPr>
            <w:tcW w:w="14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3A73E4" w:rsidRDefault="001F2B2E" w:rsidP="00E155D0">
            <w:pPr>
              <w:widowControl/>
              <w:jc w:val="center"/>
              <w:rPr>
                <w:b/>
                <w:sz w:val="19"/>
                <w:szCs w:val="19"/>
                <w:lang w:eastAsia="cs-CZ"/>
              </w:rPr>
            </w:pPr>
            <w:r w:rsidRPr="003A73E4">
              <w:rPr>
                <w:b/>
                <w:sz w:val="19"/>
                <w:szCs w:val="19"/>
                <w:lang w:eastAsia="cs-CZ"/>
              </w:rPr>
              <w:t>TABUĽKA  ZHODY</w:t>
            </w:r>
          </w:p>
          <w:p w:rsidR="003A73E4" w:rsidRDefault="001F2B2E" w:rsidP="00E155D0">
            <w:pPr>
              <w:widowControl/>
              <w:jc w:val="center"/>
              <w:rPr>
                <w:b/>
                <w:sz w:val="19"/>
                <w:szCs w:val="19"/>
                <w:lang w:eastAsia="cs-CZ"/>
              </w:rPr>
            </w:pPr>
            <w:r w:rsidRPr="003A73E4">
              <w:rPr>
                <w:b/>
                <w:sz w:val="19"/>
                <w:szCs w:val="19"/>
                <w:lang w:eastAsia="cs-CZ"/>
              </w:rPr>
              <w:t>právneho predpisu s právom Európskej únie</w:t>
            </w:r>
          </w:p>
          <w:p w:rsidR="003A73E4" w:rsidRPr="008013C0" w:rsidRDefault="003A73E4" w:rsidP="001F01B8">
            <w:pPr>
              <w:widowControl/>
              <w:rPr>
                <w:sz w:val="19"/>
                <w:szCs w:val="19"/>
                <w:lang w:eastAsia="cs-CZ"/>
              </w:rPr>
            </w:pPr>
          </w:p>
        </w:tc>
      </w:tr>
      <w:tr w:rsidR="00142A16"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D87111" w:rsidRDefault="00D87111" w:rsidP="001F01B8">
            <w:pPr>
              <w:widowControl/>
              <w:rPr>
                <w:b/>
                <w:sz w:val="22"/>
                <w:szCs w:val="19"/>
                <w:lang w:eastAsia="cs-CZ"/>
              </w:rPr>
            </w:pPr>
            <w:r w:rsidRPr="00D87111">
              <w:rPr>
                <w:rFonts w:ascii="Times" w:hAnsi="Times" w:cs="Times"/>
                <w:b/>
                <w:sz w:val="22"/>
                <w:szCs w:val="25"/>
              </w:rPr>
              <w:t>Smernica Rady 89/105/EHS z 21. decembra 1988 o transparentnosti opatrení upravujúcich stanovovanie cien humánnych liekov a ich zaraďovanie do vnútroštátnych systémov zdravotného poistenia</w:t>
            </w:r>
          </w:p>
        </w:tc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24" w:rsidRPr="00D87111" w:rsidRDefault="00D87111" w:rsidP="001F01B8">
            <w:pPr>
              <w:widowControl/>
              <w:rPr>
                <w:b/>
                <w:sz w:val="22"/>
                <w:szCs w:val="19"/>
                <w:lang w:eastAsia="cs-CZ"/>
              </w:rPr>
            </w:pPr>
            <w:r w:rsidRPr="00D87111">
              <w:rPr>
                <w:b/>
                <w:sz w:val="22"/>
                <w:szCs w:val="25"/>
              </w:rPr>
              <w:t>Návrh zákona</w:t>
            </w:r>
            <w:r w:rsidR="001B0558">
              <w:rPr>
                <w:b/>
                <w:sz w:val="22"/>
                <w:szCs w:val="25"/>
              </w:rPr>
              <w:t xml:space="preserve">, </w:t>
            </w:r>
            <w:r w:rsidRPr="00D87111">
              <w:rPr>
                <w:b/>
                <w:sz w:val="22"/>
              </w:rPr>
              <w:t>ktorým sa mení a dopĺňa zákon č. 363/2011 Z. z. o rozsahu a podmienkach úhrady liekov, zdravotníckych pomôcok a dietetických potravín na základe verejného zdravotného poistenia a o zmene a doplnení niektorých zákonov v znení neskorších predpisov a ktorým sa menia a dopĺňajú niektoré zákony</w:t>
            </w:r>
          </w:p>
        </w:tc>
      </w:tr>
      <w:tr w:rsidR="00142A16" w:rsidTr="008960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63234" w:rsidRDefault="001F2B2E" w:rsidP="001F01B8">
            <w:pPr>
              <w:widowControl/>
              <w:rPr>
                <w:sz w:val="14"/>
                <w:szCs w:val="19"/>
              </w:rPr>
            </w:pPr>
            <w:r w:rsidRPr="00A63234">
              <w:rPr>
                <w:sz w:val="14"/>
                <w:szCs w:val="19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63234" w:rsidRDefault="001F2B2E" w:rsidP="001F01B8">
            <w:pPr>
              <w:widowControl/>
              <w:rPr>
                <w:sz w:val="14"/>
                <w:szCs w:val="19"/>
              </w:rPr>
            </w:pPr>
            <w:r w:rsidRPr="00A63234">
              <w:rPr>
                <w:sz w:val="14"/>
                <w:szCs w:val="19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63234" w:rsidRDefault="001F2B2E" w:rsidP="001F01B8">
            <w:pPr>
              <w:widowControl/>
              <w:rPr>
                <w:sz w:val="14"/>
                <w:szCs w:val="19"/>
              </w:rPr>
            </w:pPr>
            <w:r w:rsidRPr="00A63234">
              <w:rPr>
                <w:sz w:val="14"/>
                <w:szCs w:val="19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63234" w:rsidRDefault="001F2B2E" w:rsidP="001F01B8">
            <w:pPr>
              <w:widowControl/>
              <w:rPr>
                <w:sz w:val="14"/>
                <w:szCs w:val="19"/>
              </w:rPr>
            </w:pPr>
            <w:r w:rsidRPr="00A63234">
              <w:rPr>
                <w:sz w:val="14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63234" w:rsidRDefault="001F2B2E" w:rsidP="001F01B8">
            <w:pPr>
              <w:widowControl/>
              <w:rPr>
                <w:sz w:val="14"/>
                <w:szCs w:val="19"/>
              </w:rPr>
            </w:pPr>
            <w:r w:rsidRPr="00A63234">
              <w:rPr>
                <w:sz w:val="14"/>
                <w:szCs w:val="19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63234" w:rsidRDefault="001F2B2E" w:rsidP="001F01B8">
            <w:pPr>
              <w:widowControl/>
              <w:rPr>
                <w:sz w:val="14"/>
                <w:szCs w:val="19"/>
              </w:rPr>
            </w:pPr>
            <w:r w:rsidRPr="00A63234">
              <w:rPr>
                <w:sz w:val="14"/>
                <w:szCs w:val="19"/>
              </w:rPr>
              <w:t>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63234" w:rsidRDefault="001F2B2E" w:rsidP="001F01B8">
            <w:pPr>
              <w:widowControl/>
              <w:rPr>
                <w:sz w:val="14"/>
                <w:szCs w:val="19"/>
              </w:rPr>
            </w:pPr>
            <w:r w:rsidRPr="00A63234">
              <w:rPr>
                <w:sz w:val="14"/>
                <w:szCs w:val="19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63234" w:rsidRDefault="001F2B2E" w:rsidP="001F01B8">
            <w:pPr>
              <w:widowControl/>
              <w:rPr>
                <w:sz w:val="14"/>
                <w:szCs w:val="19"/>
              </w:rPr>
            </w:pPr>
            <w:r w:rsidRPr="00A63234">
              <w:rPr>
                <w:sz w:val="14"/>
                <w:szCs w:val="19"/>
              </w:rPr>
              <w:t>8</w:t>
            </w:r>
          </w:p>
        </w:tc>
      </w:tr>
      <w:tr w:rsidR="00142A16" w:rsidTr="008960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E09DF" w:rsidRDefault="001F2B2E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  <w:r w:rsidRPr="00AE09DF">
              <w:rPr>
                <w:b/>
                <w:sz w:val="16"/>
                <w:szCs w:val="19"/>
              </w:rPr>
              <w:t>Článok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E09DF" w:rsidRDefault="001F2B2E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  <w:r w:rsidRPr="00AE09DF">
              <w:rPr>
                <w:b/>
                <w:sz w:val="16"/>
                <w:szCs w:val="19"/>
              </w:rPr>
              <w:t>Text</w:t>
            </w:r>
          </w:p>
          <w:p w:rsidR="003A73E4" w:rsidRPr="00AE09DF" w:rsidRDefault="003A73E4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E09DF" w:rsidRDefault="001F2B2E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  <w:r w:rsidRPr="00AE09DF">
              <w:rPr>
                <w:b/>
                <w:sz w:val="16"/>
                <w:szCs w:val="19"/>
              </w:rPr>
              <w:t>Spôsob</w:t>
            </w:r>
          </w:p>
          <w:p w:rsidR="003A73E4" w:rsidRPr="00AE09DF" w:rsidRDefault="001F2B2E" w:rsidP="00E155D0">
            <w:pPr>
              <w:widowControl/>
              <w:jc w:val="center"/>
              <w:rPr>
                <w:b/>
                <w:sz w:val="16"/>
                <w:szCs w:val="19"/>
              </w:rPr>
            </w:pPr>
            <w:r w:rsidRPr="00AE09DF">
              <w:rPr>
                <w:b/>
                <w:sz w:val="16"/>
                <w:szCs w:val="19"/>
              </w:rPr>
              <w:t>transpo-</w:t>
            </w:r>
          </w:p>
          <w:p w:rsidR="003A73E4" w:rsidRPr="00AE09DF" w:rsidRDefault="001F2B2E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  <w:r w:rsidRPr="00AE09DF">
              <w:rPr>
                <w:b/>
                <w:sz w:val="16"/>
                <w:szCs w:val="19"/>
              </w:rPr>
              <w:t>zície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E09DF" w:rsidRDefault="001F2B2E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  <w:r w:rsidRPr="00AE09DF">
              <w:rPr>
                <w:b/>
                <w:sz w:val="16"/>
                <w:szCs w:val="19"/>
              </w:rPr>
              <w:t>Číslo  predpisu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7550A6" w:rsidRDefault="001F2B2E" w:rsidP="00E155D0">
            <w:pPr>
              <w:widowControl/>
              <w:jc w:val="center"/>
              <w:rPr>
                <w:b/>
                <w:sz w:val="20"/>
                <w:szCs w:val="20"/>
                <w:lang w:eastAsia="cs-CZ"/>
              </w:rPr>
            </w:pPr>
            <w:r w:rsidRPr="007550A6">
              <w:rPr>
                <w:b/>
                <w:sz w:val="20"/>
                <w:szCs w:val="20"/>
              </w:rPr>
              <w:t>Článok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E09DF" w:rsidRDefault="001F2B2E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  <w:r w:rsidRPr="00AE09DF">
              <w:rPr>
                <w:b/>
                <w:sz w:val="16"/>
                <w:szCs w:val="19"/>
              </w:rPr>
              <w:t>Text</w:t>
            </w:r>
          </w:p>
          <w:p w:rsidR="003A73E4" w:rsidRPr="00AE09DF" w:rsidRDefault="003A73E4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E09DF" w:rsidRDefault="001F2B2E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  <w:r w:rsidRPr="00AE09DF">
              <w:rPr>
                <w:b/>
                <w:sz w:val="16"/>
                <w:szCs w:val="19"/>
              </w:rPr>
              <w:t>Zhoda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4" w:rsidRPr="00AE09DF" w:rsidRDefault="001F2B2E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  <w:r w:rsidRPr="00AE09DF">
              <w:rPr>
                <w:b/>
                <w:sz w:val="16"/>
                <w:szCs w:val="19"/>
              </w:rPr>
              <w:t>Poznámky</w:t>
            </w:r>
          </w:p>
          <w:p w:rsidR="003A73E4" w:rsidRPr="00AE09DF" w:rsidRDefault="003A73E4" w:rsidP="00E155D0">
            <w:pPr>
              <w:widowControl/>
              <w:jc w:val="center"/>
              <w:rPr>
                <w:b/>
                <w:sz w:val="16"/>
                <w:szCs w:val="19"/>
                <w:lang w:eastAsia="cs-CZ"/>
              </w:rPr>
            </w:pPr>
          </w:p>
        </w:tc>
      </w:tr>
      <w:tr w:rsidR="00632ED6" w:rsidTr="008960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6" w:rsidRDefault="00B860E1" w:rsidP="001F01B8">
            <w:pPr>
              <w:widowControl/>
              <w:rPr>
                <w:sz w:val="20"/>
                <w:szCs w:val="20"/>
              </w:rPr>
            </w:pPr>
            <w:r w:rsidRPr="001F01B8">
              <w:rPr>
                <w:sz w:val="20"/>
                <w:szCs w:val="20"/>
              </w:rPr>
              <w:t>Č: 1</w:t>
            </w:r>
          </w:p>
          <w:p w:rsidR="00BF0456" w:rsidRPr="001F01B8" w:rsidRDefault="00BF0456" w:rsidP="001F01B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05" w:rsidRPr="001F01B8" w:rsidRDefault="00B860E1" w:rsidP="00EB0905">
            <w:pPr>
              <w:rPr>
                <w:sz w:val="20"/>
                <w:szCs w:val="20"/>
              </w:rPr>
            </w:pPr>
            <w:r w:rsidRPr="001F01B8">
              <w:rPr>
                <w:sz w:val="20"/>
                <w:szCs w:val="20"/>
              </w:rPr>
              <w:t xml:space="preserve">1. Členské štáty </w:t>
            </w:r>
            <w:r w:rsidR="00BF0456">
              <w:rPr>
                <w:sz w:val="20"/>
                <w:szCs w:val="20"/>
              </w:rPr>
              <w:t>zabezpečia, aby rozhodnutie o cene možno žiadať za príslušný liek, prijal a oznámil žiadateľovi do 90 dní od prijatia žiadosti, ktorú podáva, v súlade s požiadavkami predpísanými v príslušnom členskom štá</w:t>
            </w:r>
            <w:r w:rsidR="00EB0905">
              <w:rPr>
                <w:sz w:val="20"/>
                <w:szCs w:val="20"/>
              </w:rPr>
              <w:t>te držiteľ povolenia na predaj.</w:t>
            </w:r>
          </w:p>
          <w:p w:rsidR="00B860E1" w:rsidRPr="001F01B8" w:rsidRDefault="00B860E1" w:rsidP="001F01B8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6" w:rsidRPr="001F01B8" w:rsidRDefault="00E155D0" w:rsidP="001F01B8">
            <w:pPr>
              <w:widowControl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6" w:rsidRPr="001F01B8" w:rsidRDefault="00B860E1" w:rsidP="001F01B8">
            <w:pPr>
              <w:widowControl/>
              <w:rPr>
                <w:sz w:val="20"/>
                <w:szCs w:val="20"/>
                <w:lang w:eastAsia="cs-CZ"/>
              </w:rPr>
            </w:pPr>
            <w:r w:rsidRPr="001F01B8">
              <w:rPr>
                <w:sz w:val="20"/>
                <w:szCs w:val="20"/>
                <w:lang w:eastAsia="cs-CZ"/>
              </w:rPr>
              <w:t>Zákon č. 363/2011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6" w:rsidRPr="001F01B8" w:rsidRDefault="00BF0456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22a</w:t>
            </w: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31716D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1F01B8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E1" w:rsidRPr="001F01B8" w:rsidRDefault="00BF0456" w:rsidP="001F01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22a</w:t>
            </w:r>
          </w:p>
          <w:p w:rsidR="00B860E1" w:rsidRPr="001F01B8" w:rsidRDefault="0031716D" w:rsidP="001F01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Rozhodovanie o úradne určenej cene lieku, ktorý nie je zaradený v zozname kategorizovaných liekov</w:t>
            </w:r>
          </w:p>
          <w:p w:rsidR="0031716D" w:rsidRDefault="0031716D" w:rsidP="001F01B8">
            <w:pPr>
              <w:ind w:left="426" w:hanging="426"/>
              <w:rPr>
                <w:sz w:val="20"/>
                <w:szCs w:val="20"/>
              </w:rPr>
            </w:pPr>
          </w:p>
          <w:p w:rsidR="00B860E1" w:rsidRPr="001F01B8" w:rsidRDefault="00B860E1" w:rsidP="0031716D">
            <w:pPr>
              <w:ind w:left="426" w:hanging="426"/>
              <w:rPr>
                <w:sz w:val="20"/>
                <w:szCs w:val="20"/>
              </w:rPr>
            </w:pPr>
            <w:r w:rsidRPr="001F01B8">
              <w:rPr>
                <w:sz w:val="20"/>
                <w:szCs w:val="20"/>
              </w:rPr>
              <w:t xml:space="preserve">(2) </w:t>
            </w:r>
            <w:r w:rsidRPr="001F01B8">
              <w:rPr>
                <w:sz w:val="20"/>
                <w:szCs w:val="20"/>
              </w:rPr>
              <w:tab/>
            </w:r>
            <w:r w:rsidR="0031716D">
              <w:rPr>
                <w:sz w:val="20"/>
                <w:szCs w:val="20"/>
              </w:rPr>
              <w:t>Ak ministerstvo rozhodne zaradiť liek do zoznamu liekov s úradne určenou cenou, zaradí liek do zoznamu liekov s úradne určenou cenou zverejneného najneskôr do 90 dní odo dňa doručenia úplnej žiadosti.</w:t>
            </w:r>
          </w:p>
          <w:p w:rsidR="00B860E1" w:rsidRPr="001F01B8" w:rsidRDefault="00B860E1" w:rsidP="001F01B8">
            <w:pPr>
              <w:ind w:left="993" w:hanging="284"/>
              <w:rPr>
                <w:sz w:val="20"/>
                <w:szCs w:val="20"/>
              </w:rPr>
            </w:pPr>
          </w:p>
          <w:p w:rsidR="00632ED6" w:rsidRPr="001F01B8" w:rsidRDefault="00632ED6" w:rsidP="001F01B8">
            <w:pPr>
              <w:ind w:left="39" w:hanging="39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6" w:rsidRPr="001F01B8" w:rsidRDefault="00E155D0" w:rsidP="00EB0905">
            <w:pPr>
              <w:widowControl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D6" w:rsidRPr="001F01B8" w:rsidRDefault="0031716D" w:rsidP="001F01B8">
            <w:pPr>
              <w:widowControl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Ministerstvo je povinné rozhodnúť o určení ceny lieku do 90 dní odo dňa doručenia žiadosti, ktorá je v súlade s požiadavkami predpísanými zákonom (odo dňa doručenia úplnej žiadosti, pričom úplnou žiadosťou je žiadosť obsahujúci všetky zákonom predpísané náležitosti a prílohy).</w:t>
            </w:r>
          </w:p>
        </w:tc>
      </w:tr>
      <w:tr w:rsidR="00D01509" w:rsidTr="008960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09" w:rsidRDefault="00D01509" w:rsidP="001F01B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6</w:t>
            </w:r>
          </w:p>
          <w:p w:rsidR="00D01509" w:rsidRPr="001F01B8" w:rsidRDefault="00D01509" w:rsidP="001F01B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09" w:rsidRPr="001F01B8" w:rsidRDefault="00D01509" w:rsidP="00D01509">
            <w:pPr>
              <w:rPr>
                <w:sz w:val="20"/>
                <w:szCs w:val="20"/>
              </w:rPr>
            </w:pPr>
            <w:r w:rsidRPr="00D01509">
              <w:rPr>
                <w:sz w:val="20"/>
                <w:szCs w:val="20"/>
              </w:rPr>
              <w:t>Členské štáty zabezpečia, aby sa o žiadosti o zaradenie lieku</w:t>
            </w:r>
            <w:r>
              <w:rPr>
                <w:sz w:val="20"/>
                <w:szCs w:val="20"/>
              </w:rPr>
              <w:t xml:space="preserve"> </w:t>
            </w:r>
            <w:r w:rsidRPr="00D01509">
              <w:rPr>
                <w:sz w:val="20"/>
                <w:szCs w:val="20"/>
              </w:rPr>
              <w:t>do zoznamu liekov hrade</w:t>
            </w:r>
            <w:r>
              <w:rPr>
                <w:sz w:val="20"/>
                <w:szCs w:val="20"/>
              </w:rPr>
              <w:t>ných systémami zdravotného pois</w:t>
            </w:r>
            <w:r w:rsidRPr="00D01509">
              <w:rPr>
                <w:sz w:val="20"/>
                <w:szCs w:val="20"/>
              </w:rPr>
              <w:t>tenia, ktorú v súlade s pož</w:t>
            </w:r>
            <w:r>
              <w:rPr>
                <w:sz w:val="20"/>
                <w:szCs w:val="20"/>
              </w:rPr>
              <w:t>iadavkami stanovenými v prísluš</w:t>
            </w:r>
            <w:r w:rsidRPr="00D01509">
              <w:rPr>
                <w:sz w:val="20"/>
                <w:szCs w:val="20"/>
              </w:rPr>
              <w:t xml:space="preserve">nom členskom štáte predložil držiteľ povolenia na </w:t>
            </w:r>
            <w:r>
              <w:rPr>
                <w:sz w:val="20"/>
                <w:szCs w:val="20"/>
              </w:rPr>
              <w:t>predaj, roz</w:t>
            </w:r>
            <w:r w:rsidRPr="00D01509">
              <w:rPr>
                <w:sz w:val="20"/>
                <w:szCs w:val="20"/>
              </w:rPr>
              <w:t xml:space="preserve">hodlo a </w:t>
            </w:r>
            <w:r w:rsidRPr="00D01509">
              <w:rPr>
                <w:sz w:val="20"/>
                <w:szCs w:val="20"/>
              </w:rPr>
              <w:lastRenderedPageBreak/>
              <w:t>aby sa rozhodnutie žiadateľovi oznámilo do 90 dní od</w:t>
            </w:r>
            <w:r>
              <w:rPr>
                <w:sz w:val="20"/>
                <w:szCs w:val="20"/>
              </w:rPr>
              <w:t xml:space="preserve"> </w:t>
            </w:r>
            <w:r w:rsidRPr="00D01509">
              <w:rPr>
                <w:sz w:val="20"/>
                <w:szCs w:val="20"/>
              </w:rPr>
              <w:t>prijatia príslušnej žiadosti. V prípadoch, v ktorých možno</w:t>
            </w:r>
            <w:r>
              <w:rPr>
                <w:sz w:val="20"/>
                <w:szCs w:val="20"/>
              </w:rPr>
              <w:t xml:space="preserve"> </w:t>
            </w:r>
            <w:r w:rsidRPr="00D01509">
              <w:rPr>
                <w:sz w:val="20"/>
                <w:szCs w:val="20"/>
              </w:rPr>
              <w:t>na základe tohto článku poda</w:t>
            </w:r>
            <w:r>
              <w:rPr>
                <w:sz w:val="20"/>
                <w:szCs w:val="20"/>
              </w:rPr>
              <w:t>ť žiadosť ešte predtým, ako prí</w:t>
            </w:r>
            <w:r w:rsidRPr="00D01509">
              <w:rPr>
                <w:sz w:val="20"/>
                <w:szCs w:val="20"/>
              </w:rPr>
              <w:t>slušné orgány súhlasili so stanovením ceny lieku podľa článku</w:t>
            </w:r>
            <w:r>
              <w:rPr>
                <w:sz w:val="20"/>
                <w:szCs w:val="20"/>
              </w:rPr>
              <w:t xml:space="preserve"> </w:t>
            </w:r>
            <w:r w:rsidRPr="00D01509">
              <w:rPr>
                <w:sz w:val="20"/>
                <w:szCs w:val="20"/>
              </w:rPr>
              <w:t>2, alebo v ktorých sa rozhodn</w:t>
            </w:r>
            <w:r>
              <w:rPr>
                <w:sz w:val="20"/>
                <w:szCs w:val="20"/>
              </w:rPr>
              <w:t>utie o cene lieku a o jeho zara</w:t>
            </w:r>
            <w:r w:rsidRPr="00D01509">
              <w:rPr>
                <w:sz w:val="20"/>
                <w:szCs w:val="20"/>
              </w:rPr>
              <w:t>dení do zoznamu liekov hradených systémom zdravotné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09" w:rsidRDefault="00D01509" w:rsidP="001F01B8">
            <w:pPr>
              <w:widowControl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09" w:rsidRPr="001F01B8" w:rsidRDefault="00D01509" w:rsidP="001F01B8">
            <w:pPr>
              <w:widowControl/>
              <w:rPr>
                <w:sz w:val="20"/>
                <w:szCs w:val="20"/>
                <w:lang w:eastAsia="cs-CZ"/>
              </w:rPr>
            </w:pPr>
            <w:r w:rsidRPr="001F01B8">
              <w:rPr>
                <w:sz w:val="20"/>
                <w:szCs w:val="20"/>
                <w:lang w:eastAsia="cs-CZ"/>
              </w:rPr>
              <w:t>Zákon č. 363/2011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09" w:rsidRPr="001F01B8" w:rsidRDefault="00B01D17" w:rsidP="00D01509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16</w:t>
            </w:r>
          </w:p>
          <w:p w:rsidR="00D01509" w:rsidRPr="001F01B8" w:rsidRDefault="00D01509" w:rsidP="00D01509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D01509" w:rsidRPr="001F01B8" w:rsidRDefault="00D01509" w:rsidP="00D01509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D01509" w:rsidRPr="001F01B8" w:rsidRDefault="00D01509" w:rsidP="00D01509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D01509" w:rsidRPr="001F01B8" w:rsidRDefault="00D01509" w:rsidP="00D01509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D01509" w:rsidRPr="001F01B8" w:rsidRDefault="00D01509" w:rsidP="00D01509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D01509" w:rsidRDefault="00D01509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D01509" w:rsidRDefault="00D01509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09" w:rsidRPr="001F01B8" w:rsidRDefault="00B01D17" w:rsidP="00D015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16</w:t>
            </w:r>
          </w:p>
          <w:p w:rsidR="00D01509" w:rsidRPr="001F01B8" w:rsidRDefault="00D01509" w:rsidP="00D015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Rozhodovanie o zaradení lieku do zoznamu kategorizovaných liekov a úradnom určení ceny lieku</w:t>
            </w:r>
          </w:p>
          <w:p w:rsidR="00D01509" w:rsidRDefault="00D01509" w:rsidP="00D01509">
            <w:pPr>
              <w:ind w:left="426" w:hanging="426"/>
              <w:rPr>
                <w:sz w:val="20"/>
                <w:szCs w:val="20"/>
              </w:rPr>
            </w:pPr>
          </w:p>
          <w:p w:rsidR="00D01509" w:rsidRPr="001F01B8" w:rsidRDefault="00D01509" w:rsidP="00D01509">
            <w:pPr>
              <w:ind w:left="426" w:hanging="426"/>
              <w:rPr>
                <w:sz w:val="20"/>
                <w:szCs w:val="20"/>
              </w:rPr>
            </w:pPr>
            <w:r w:rsidRPr="001F01B8">
              <w:rPr>
                <w:sz w:val="20"/>
                <w:szCs w:val="20"/>
              </w:rPr>
              <w:t xml:space="preserve">(2) </w:t>
            </w:r>
            <w:r w:rsidRPr="001F01B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Ak ministerstvo rozhodne o žiadosti a rozhodnutie doručí účastníkom konania najneskôr do 180 dní odo dňa doručenia úplnej žiadosti.</w:t>
            </w:r>
          </w:p>
          <w:p w:rsidR="00D01509" w:rsidRDefault="00D01509" w:rsidP="001F0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09" w:rsidRDefault="00D01509" w:rsidP="00EB0905">
            <w:pPr>
              <w:widowControl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09" w:rsidRDefault="00D01509" w:rsidP="00D01509">
            <w:pPr>
              <w:widowControl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 držiteľ registrácie lieku podá súčasne žiadosť o zaradenie lieku do systému úhrady z prostriedkov verejného </w:t>
            </w:r>
            <w:r>
              <w:rPr>
                <w:sz w:val="20"/>
                <w:szCs w:val="20"/>
                <w:lang w:eastAsia="cs-CZ"/>
              </w:rPr>
              <w:lastRenderedPageBreak/>
              <w:t>zdravotného poistenia a o stanovenie ceny lieku, ministerstvo je povinné rozhodnúť o oboch týchto skutočnostiach do 180 dní odo dňa doručenia žiadosti, ktorá je v súlade s požiadavkami predpísanými zákonom (odo dňa doručenia úplnej žiadosti, pričom úplnou žiadosťou je žiadosť obsahujúci všetky zákonom predpísané náležitosti a prílohy).</w:t>
            </w:r>
          </w:p>
        </w:tc>
      </w:tr>
      <w:tr w:rsidR="00142A16" w:rsidTr="008960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15" w:rsidRDefault="001F2B2E" w:rsidP="001F01B8">
            <w:pPr>
              <w:widowControl/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lastRenderedPageBreak/>
              <w:t xml:space="preserve">Č: </w:t>
            </w:r>
            <w:r w:rsidR="00EB0905">
              <w:rPr>
                <w:sz w:val="19"/>
                <w:szCs w:val="19"/>
              </w:rPr>
              <w:t>3</w:t>
            </w:r>
          </w:p>
          <w:p w:rsidR="009956BD" w:rsidRPr="008013C0" w:rsidRDefault="00EB0905" w:rsidP="001F01B8">
            <w:pPr>
              <w:widowControl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O: 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15" w:rsidRPr="00B860E1" w:rsidRDefault="00EB0905" w:rsidP="00EB0905">
            <w:pPr>
              <w:rPr>
                <w:sz w:val="20"/>
                <w:szCs w:val="19"/>
              </w:rPr>
            </w:pPr>
            <w:r w:rsidRPr="00EB0905">
              <w:rPr>
                <w:sz w:val="20"/>
                <w:szCs w:val="19"/>
              </w:rPr>
              <w:t xml:space="preserve">Členské štáty zabezpečia, aby </w:t>
            </w:r>
            <w:r>
              <w:rPr>
                <w:sz w:val="20"/>
                <w:szCs w:val="19"/>
              </w:rPr>
              <w:t>sa rozhodnutie o žiadosti o zvý</w:t>
            </w:r>
            <w:r w:rsidRPr="00EB0905">
              <w:rPr>
                <w:sz w:val="20"/>
                <w:szCs w:val="19"/>
              </w:rPr>
              <w:t xml:space="preserve">šenie ceny lieku, ktorú podáva v súlade s </w:t>
            </w:r>
            <w:r>
              <w:rPr>
                <w:sz w:val="20"/>
                <w:szCs w:val="19"/>
              </w:rPr>
              <w:t>požiadavkami pred</w:t>
            </w:r>
            <w:r w:rsidRPr="00EB0905">
              <w:rPr>
                <w:sz w:val="20"/>
                <w:szCs w:val="19"/>
              </w:rPr>
              <w:t>písanými v príslušnom členskom štáte držiteľ povolenia</w:t>
            </w:r>
            <w:r>
              <w:rPr>
                <w:sz w:val="20"/>
                <w:szCs w:val="19"/>
              </w:rPr>
              <w:t xml:space="preserve"> </w:t>
            </w:r>
            <w:r w:rsidRPr="00EB0905">
              <w:rPr>
                <w:sz w:val="20"/>
                <w:szCs w:val="19"/>
              </w:rPr>
              <w:t>na predaj, prijalo a žiadateľov</w:t>
            </w:r>
            <w:r>
              <w:rPr>
                <w:sz w:val="20"/>
                <w:szCs w:val="19"/>
              </w:rPr>
              <w:t>i oznámilo do 90 dní od jej prijatia.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15" w:rsidRPr="008013C0" w:rsidRDefault="001F2B2E" w:rsidP="001F01B8">
            <w:pPr>
              <w:widowControl/>
              <w:rPr>
                <w:sz w:val="19"/>
                <w:szCs w:val="19"/>
                <w:lang w:eastAsia="cs-CZ"/>
              </w:rPr>
            </w:pPr>
            <w:r w:rsidRPr="008013C0">
              <w:rPr>
                <w:sz w:val="19"/>
                <w:szCs w:val="19"/>
                <w:lang w:eastAsia="cs-CZ"/>
              </w:rPr>
              <w:t>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15" w:rsidRPr="008013C0" w:rsidRDefault="00A7245A" w:rsidP="001F01B8">
            <w:pPr>
              <w:widowControl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Zákon č. 363/2011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A" w:rsidRPr="007550A6" w:rsidRDefault="00F32B1A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7550A6">
              <w:rPr>
                <w:sz w:val="20"/>
                <w:szCs w:val="20"/>
              </w:rPr>
              <w:t xml:space="preserve">§ </w:t>
            </w:r>
            <w:r w:rsidR="000A3B48">
              <w:rPr>
                <w:sz w:val="20"/>
                <w:szCs w:val="20"/>
              </w:rPr>
              <w:t>19</w:t>
            </w:r>
          </w:p>
          <w:p w:rsidR="000A3B48" w:rsidRDefault="000A3B48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0A3B48" w:rsidRDefault="000A3B48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0A3B48" w:rsidRDefault="000A3B48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7550A6" w:rsidRDefault="00A7245A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7550A6">
              <w:rPr>
                <w:sz w:val="20"/>
                <w:szCs w:val="20"/>
              </w:rPr>
              <w:t>O: 2</w:t>
            </w:r>
          </w:p>
          <w:p w:rsidR="00B860E1" w:rsidRPr="007550A6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7550A6" w:rsidRDefault="00B860E1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B860E1" w:rsidRPr="007550A6" w:rsidRDefault="00B860E1" w:rsidP="000A3B48">
            <w:pPr>
              <w:widowControl/>
              <w:rPr>
                <w:sz w:val="20"/>
                <w:szCs w:val="20"/>
                <w:lang w:eastAsia="cs-CZ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E1" w:rsidRPr="00B860E1" w:rsidRDefault="000A3B48" w:rsidP="00E155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§ 19</w:t>
            </w:r>
          </w:p>
          <w:p w:rsidR="00B860E1" w:rsidRPr="00B860E1" w:rsidRDefault="000A3B48" w:rsidP="00E155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Rozhodovanie o zvýšení úradne určenej ceny lieku zaradeného v zozname kategorizovaných liekov</w:t>
            </w:r>
          </w:p>
          <w:p w:rsidR="00B860E1" w:rsidRPr="00B860E1" w:rsidRDefault="00B860E1" w:rsidP="001F01B8">
            <w:pPr>
              <w:rPr>
                <w:b/>
                <w:sz w:val="20"/>
              </w:rPr>
            </w:pPr>
          </w:p>
          <w:p w:rsidR="00BE2E15" w:rsidRPr="00D87111" w:rsidRDefault="000A3B48" w:rsidP="000A3B48">
            <w:pPr>
              <w:ind w:left="426" w:hanging="426"/>
              <w:rPr>
                <w:sz w:val="20"/>
                <w:szCs w:val="19"/>
              </w:rPr>
            </w:pPr>
            <w:r>
              <w:rPr>
                <w:sz w:val="20"/>
              </w:rPr>
              <w:t xml:space="preserve">(2) </w:t>
            </w:r>
            <w:r>
              <w:rPr>
                <w:sz w:val="20"/>
              </w:rPr>
              <w:tab/>
              <w:t>Ministerstvo rozhodne o žiadosti a rozhodnutie doručí účastníkom konania najneskôr do 90 dní odo dňa doručenia úplnej žiadosti.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15" w:rsidRPr="008013C0" w:rsidRDefault="001F2B2E" w:rsidP="001F01B8">
            <w:pPr>
              <w:widowControl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15" w:rsidRPr="008013C0" w:rsidRDefault="000A3B48" w:rsidP="000A3B48">
            <w:pPr>
              <w:widowControl/>
              <w:autoSpaceDE/>
              <w:autoSpaceDN/>
              <w:adjustRightInd/>
              <w:rPr>
                <w:sz w:val="19"/>
                <w:szCs w:val="19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Ministerstvo je povinné rozhodnúť o zvýšení ceny lieku do 90 dní odo dňa doručenia žiadosti, ktorá je v súlade s požiadavkami predpísanými zákonom (odo dňa doručenia úplnej žiadosti, pričom úplnou žiadosťou je žiadosť obsahujúci všetky zákonom predpísané </w:t>
            </w:r>
            <w:r>
              <w:rPr>
                <w:sz w:val="20"/>
                <w:szCs w:val="20"/>
                <w:lang w:eastAsia="cs-CZ"/>
              </w:rPr>
              <w:lastRenderedPageBreak/>
              <w:t>náležitosti a prílohy).</w:t>
            </w:r>
          </w:p>
        </w:tc>
      </w:tr>
      <w:tr w:rsidR="00E42B80" w:rsidTr="008960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0" w:rsidRPr="007057E5" w:rsidRDefault="00E42B80" w:rsidP="00E42B80">
            <w:pPr>
              <w:widowControl/>
              <w:rPr>
                <w:sz w:val="20"/>
                <w:szCs w:val="20"/>
              </w:rPr>
            </w:pPr>
            <w:r w:rsidRPr="007057E5">
              <w:rPr>
                <w:sz w:val="20"/>
                <w:szCs w:val="20"/>
              </w:rPr>
              <w:lastRenderedPageBreak/>
              <w:t>Č: 6</w:t>
            </w:r>
          </w:p>
          <w:p w:rsidR="00E42B80" w:rsidRPr="008013C0" w:rsidRDefault="00E42B80" w:rsidP="00E42B80">
            <w:pPr>
              <w:widowControl/>
              <w:rPr>
                <w:sz w:val="19"/>
                <w:szCs w:val="19"/>
              </w:rPr>
            </w:pPr>
            <w:r w:rsidRPr="007057E5">
              <w:rPr>
                <w:sz w:val="20"/>
                <w:szCs w:val="20"/>
              </w:rPr>
              <w:t>O: 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0" w:rsidRPr="00EB0905" w:rsidRDefault="00E42B80" w:rsidP="00EB0905">
            <w:pPr>
              <w:rPr>
                <w:sz w:val="20"/>
                <w:szCs w:val="19"/>
              </w:rPr>
            </w:pPr>
            <w:r w:rsidRPr="007057E5">
              <w:rPr>
                <w:sz w:val="20"/>
                <w:szCs w:val="20"/>
              </w:rPr>
              <w:t>Súčasťou akéhokoľvek rozhodnutia o vyňatí lieku zo zoznamu liekov hradených systémom zdravotného poistenia je uvedenie dôvodov, ktoré je založené na objektívnych a overiteľných kritériách. Takéto rozhodnutia, súčasťou ktorých sú, ak to je vhodné, aj akékoľvek odborné posudky alebo odporúčania, na ktorých sú rozhodnutia založené, sa oznámia zodpovednej osobe, ktorá je informovaná aj o opravných prostriedkoch, ktoré jej umožňujú platné zákony, a o lehotách, v ktorých môže takéto opravné prostriedky podať.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0" w:rsidRPr="008013C0" w:rsidRDefault="00E42B80" w:rsidP="001F01B8">
            <w:pPr>
              <w:widowControl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0" w:rsidRDefault="00E42B80" w:rsidP="001F01B8">
            <w:pPr>
              <w:widowControl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Zákon č. 363/2011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0" w:rsidRDefault="00E42B80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17</w:t>
            </w:r>
          </w:p>
          <w:p w:rsidR="00E42B80" w:rsidRDefault="00E42B80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E42B80" w:rsidRDefault="00E42B80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E42B80" w:rsidRDefault="00E42B80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E42B80" w:rsidRPr="007550A6" w:rsidRDefault="00E42B80" w:rsidP="001F01B8">
            <w:pPr>
              <w:pStyle w:val="odstaveczakona"/>
              <w:widowControl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0" w:rsidRPr="00B860E1" w:rsidRDefault="00E42B80" w:rsidP="00E42B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§ 1</w:t>
            </w:r>
          </w:p>
          <w:p w:rsidR="00E42B80" w:rsidRPr="00B860E1" w:rsidRDefault="00E42B80" w:rsidP="00E42B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Rozhodovanie o vyradení lieku zo zoznamu kategorizovaných liekov</w:t>
            </w:r>
          </w:p>
          <w:p w:rsidR="00E42B80" w:rsidRDefault="00E42B80" w:rsidP="00E155D0">
            <w:pPr>
              <w:jc w:val="center"/>
              <w:rPr>
                <w:b/>
                <w:sz w:val="20"/>
              </w:rPr>
            </w:pPr>
          </w:p>
          <w:p w:rsidR="00E42B80" w:rsidRDefault="00E42B80" w:rsidP="00E42B80">
            <w:pPr>
              <w:jc w:val="both"/>
              <w:rPr>
                <w:sz w:val="20"/>
              </w:rPr>
            </w:pPr>
            <w:r>
              <w:rPr>
                <w:sz w:val="20"/>
              </w:rPr>
              <w:t>(4) Ministerstvo z vlastného podnetu vyradí liek zo zoznamu kategorizovaných liekov, ak</w:t>
            </w:r>
          </w:p>
          <w:p w:rsidR="00E42B80" w:rsidRDefault="00E42B80" w:rsidP="00E42B80">
            <w:pPr>
              <w:jc w:val="both"/>
              <w:rPr>
                <w:sz w:val="20"/>
              </w:rPr>
            </w:pPr>
            <w:r>
              <w:rPr>
                <w:sz w:val="20"/>
              </w:rPr>
              <w:t>a) nebola predĺžená platnosť rozhodnutia o registrácii lieku,</w:t>
            </w:r>
          </w:p>
          <w:p w:rsidR="00E42B80" w:rsidRPr="00E42B80" w:rsidRDefault="00E42B80" w:rsidP="00E42B80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t xml:space="preserve"> </w:t>
            </w:r>
            <w:r w:rsidRPr="00E42B80">
              <w:rPr>
                <w:sz w:val="20"/>
              </w:rPr>
              <w:t xml:space="preserve">bolo zrušené rozhodnutie o registrácii lieku, </w:t>
            </w:r>
          </w:p>
          <w:p w:rsidR="00E42B80" w:rsidRPr="00E42B80" w:rsidRDefault="00E42B80" w:rsidP="00E42B80">
            <w:pPr>
              <w:jc w:val="both"/>
              <w:rPr>
                <w:sz w:val="20"/>
              </w:rPr>
            </w:pPr>
            <w:r w:rsidRPr="00E42B80">
              <w:rPr>
                <w:sz w:val="20"/>
              </w:rPr>
              <w:t xml:space="preserve">c) držiteľ registrácie nesplnil záväzok uhradiť zdravotnej poisťovni rozdiel podľa § 7a ods. 3 písm. e) a ak je v zozname kategorizovaných liekov zaradený iný liek, ktorý má preukázanú a potvrdenú rovnakú alebo lepšiu účinnosť a bezpečnosť, </w:t>
            </w:r>
          </w:p>
          <w:p w:rsidR="00E42B80" w:rsidRPr="00E42B80" w:rsidRDefault="00E42B80" w:rsidP="00E42B80">
            <w:pPr>
              <w:jc w:val="both"/>
              <w:rPr>
                <w:sz w:val="20"/>
              </w:rPr>
            </w:pPr>
            <w:r w:rsidRPr="00E42B80">
              <w:rPr>
                <w:sz w:val="20"/>
              </w:rPr>
              <w:t>d) liek nespĺňa aspoň jednu z podmienok podľa § 7 ods. 5; ministerstvo posúdi splnenie podmienok podľa § 7 ods. 5 najneskôr päť rokov od nadobudnutia vykonateľnosti rozhodnutia o zaradení lieku do zoznamu kategorizovaných liekov alebo rozhodnutia o rozšírení indikačného obmedzenia vydaného podľa § 7 ods. 5 alebo do 180 dní od predloženia farmako-ekonomického rozboru lieku podľa § 93 ods. 2 podľa toho, ktorá z tý</w:t>
            </w:r>
            <w:r>
              <w:rPr>
                <w:sz w:val="20"/>
              </w:rPr>
              <w:t xml:space="preserve">chto skutočností nastane skôr, </w:t>
            </w:r>
          </w:p>
          <w:p w:rsidR="00E42B80" w:rsidRPr="00E42B80" w:rsidRDefault="00E42B80" w:rsidP="00E42B80">
            <w:pPr>
              <w:jc w:val="both"/>
              <w:rPr>
                <w:sz w:val="20"/>
              </w:rPr>
            </w:pPr>
            <w:r w:rsidRPr="00E42B80">
              <w:rPr>
                <w:sz w:val="20"/>
              </w:rPr>
              <w:t>e) liek nie je v súlade s príslušným indikačným obmedzením zaradený medzi lieky na ojedinelé ochorenia a podmienky podľa § 7 ods. 2 nie sú splnené; ministerstvo posúdi splnenie podmienok podľa § 7 ods. 2 najneskôr do jedného roka od kedy zistilo alebo mohlo zistiť, že liek, ktorý bol do zoznamu kategorizovaných liekov zaradený na základe osobitných podmienok ustanovených pre lieky na ojedinelé ochorenie podľa § 7 ods. 5 alebo osobitného právneho predpisu8aa), nie je v súlade s príslušným indikačným obmedzením Európskou komisiou zaradený medzi lieky na ojedinelé ochorenia alebo do 180 dní od predloženia farmako-ekonomického rozboru lieku podľa § 93 ods. 3 podľa toho, ktorá z týchto skutočností nastane skôr.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0" w:rsidRDefault="00E42B80" w:rsidP="001F01B8">
            <w:pPr>
              <w:widowControl/>
              <w:rPr>
                <w:sz w:val="19"/>
                <w:szCs w:val="19"/>
                <w:lang w:eastAsia="cs-CZ"/>
              </w:rPr>
            </w:pPr>
            <w:r>
              <w:rPr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0" w:rsidRDefault="00E42B80" w:rsidP="000A3B48">
            <w:pPr>
              <w:widowControl/>
              <w:autoSpaceDE/>
              <w:autoSpaceDN/>
              <w:adjustRightInd/>
              <w:rPr>
                <w:sz w:val="20"/>
                <w:szCs w:val="20"/>
                <w:lang w:eastAsia="cs-CZ"/>
              </w:rPr>
            </w:pPr>
          </w:p>
        </w:tc>
      </w:tr>
    </w:tbl>
    <w:p w:rsidR="00F8609E" w:rsidRDefault="00F8609E" w:rsidP="001F01B8">
      <w:pPr>
        <w:rPr>
          <w:sz w:val="19"/>
          <w:szCs w:val="19"/>
        </w:rPr>
      </w:pPr>
    </w:p>
    <w:p w:rsidR="00EE4444" w:rsidRPr="008013C0" w:rsidRDefault="001F2B2E" w:rsidP="001F01B8">
      <w:pPr>
        <w:rPr>
          <w:sz w:val="19"/>
          <w:szCs w:val="19"/>
        </w:rPr>
      </w:pPr>
      <w:r w:rsidRPr="008013C0">
        <w:rPr>
          <w:sz w:val="19"/>
          <w:szCs w:val="19"/>
        </w:rPr>
        <w:t>LEGENDA:</w:t>
      </w:r>
    </w:p>
    <w:p w:rsidR="00EE4444" w:rsidRPr="008013C0" w:rsidRDefault="00EE4444" w:rsidP="001F01B8">
      <w:pPr>
        <w:rPr>
          <w:sz w:val="19"/>
          <w:szCs w:val="19"/>
        </w:rPr>
      </w:pPr>
    </w:p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780"/>
        <w:gridCol w:w="2340"/>
        <w:gridCol w:w="6496"/>
      </w:tblGrid>
      <w:tr w:rsidR="00142A16" w:rsidTr="00C94F8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V stĺpci (1):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Č – článok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O – odsek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V – veta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P – číslo (písmeno)</w:t>
            </w:r>
          </w:p>
          <w:p w:rsidR="00EE4444" w:rsidRPr="008013C0" w:rsidRDefault="00EE4444" w:rsidP="001F01B8">
            <w:pPr>
              <w:rPr>
                <w:sz w:val="19"/>
                <w:szCs w:val="19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V stĺpci (3):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N – bežná transpozícia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O – transpozícia s možnosťou voľby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D – transpozícia podľa úvahy (dobrovoľná)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V stĺpci (5):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Č – článok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§ – paragraf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O – odsek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V – veta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P – písmeno (číslo)</w:t>
            </w: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V stĺpci (7):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EE4444" w:rsidRPr="008013C0" w:rsidRDefault="001F2B2E" w:rsidP="001F01B8">
            <w:pPr>
              <w:ind w:right="634"/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Č – čiastočná zhoda (ak minimálne jedna z podmienok úplnej zhody nie je splnená)</w:t>
            </w:r>
          </w:p>
          <w:p w:rsidR="00EE4444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Ž – žiadna zhoda (ak nebola dosiahnutá ani úplná ani čiast. zhoda alebo k prebratiu dôjde v budúcnosti)</w:t>
            </w:r>
          </w:p>
          <w:p w:rsidR="00BB194B" w:rsidRPr="008013C0" w:rsidRDefault="001F2B2E" w:rsidP="001F01B8">
            <w:pPr>
              <w:rPr>
                <w:sz w:val="19"/>
                <w:szCs w:val="19"/>
              </w:rPr>
            </w:pPr>
            <w:r w:rsidRPr="008013C0">
              <w:rPr>
                <w:sz w:val="19"/>
                <w:szCs w:val="19"/>
              </w:rPr>
              <w:t>n.a. – neaplikovateľnosť (ak sa ustanovenie smernice netýka SR alebo nie je potrebné ho prebrať)</w:t>
            </w:r>
          </w:p>
        </w:tc>
      </w:tr>
    </w:tbl>
    <w:p w:rsidR="00EE4444" w:rsidRPr="008013C0" w:rsidRDefault="00EE4444" w:rsidP="001F01B8">
      <w:pPr>
        <w:rPr>
          <w:sz w:val="19"/>
          <w:szCs w:val="19"/>
        </w:rPr>
      </w:pPr>
    </w:p>
    <w:p w:rsidR="004A2C24" w:rsidRPr="008013C0" w:rsidRDefault="004A2C24" w:rsidP="001F01B8">
      <w:pPr>
        <w:widowControl/>
        <w:rPr>
          <w:sz w:val="19"/>
          <w:szCs w:val="19"/>
        </w:rPr>
      </w:pPr>
    </w:p>
    <w:sectPr w:rsidR="004A2C24" w:rsidRPr="008013C0" w:rsidSect="009916C4">
      <w:footerReference w:type="even" r:id="rId12"/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E0E" w:rsidRDefault="00F64E0E">
      <w:r>
        <w:separator/>
      </w:r>
    </w:p>
  </w:endnote>
  <w:endnote w:type="continuationSeparator" w:id="0">
    <w:p w:rsidR="00F64E0E" w:rsidRDefault="00F6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BC" w:rsidRDefault="002F15BC" w:rsidP="008F7C65">
    <w:pPr>
      <w:pStyle w:val="Pta"/>
      <w:framePr w:wrap="auto" w:vAnchor="text" w:hAnchor="margin" w:xAlign="right" w:y="1"/>
      <w:widowControl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F15BC" w:rsidRDefault="002F15BC" w:rsidP="008F7C65">
    <w:pPr>
      <w:pStyle w:val="Pt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379875"/>
      <w:docPartObj>
        <w:docPartGallery w:val="Page Numbers (Bottom of Page)"/>
        <w:docPartUnique/>
      </w:docPartObj>
    </w:sdtPr>
    <w:sdtEndPr/>
    <w:sdtContent>
      <w:p w:rsidR="002F15BC" w:rsidRDefault="002F15B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65E">
          <w:rPr>
            <w:noProof/>
          </w:rPr>
          <w:t>1</w:t>
        </w:r>
        <w:r>
          <w:fldChar w:fldCharType="end"/>
        </w:r>
      </w:p>
    </w:sdtContent>
  </w:sdt>
  <w:p w:rsidR="002F15BC" w:rsidRDefault="002F15BC" w:rsidP="008F7C65">
    <w:pPr>
      <w:pStyle w:val="Pta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E0E" w:rsidRDefault="00F64E0E">
      <w:r>
        <w:separator/>
      </w:r>
    </w:p>
  </w:footnote>
  <w:footnote w:type="continuationSeparator" w:id="0">
    <w:p w:rsidR="00F64E0E" w:rsidRDefault="00F6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01EFB"/>
    <w:multiLevelType w:val="hybridMultilevel"/>
    <w:tmpl w:val="3864E5B6"/>
    <w:lvl w:ilvl="0" w:tplc="911EC0B2">
      <w:start w:val="1"/>
      <w:numFmt w:val="decimal"/>
      <w:pStyle w:val="odstaveczakona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 w:tplc="F09659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 w:tplc="D94013A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 w:tplc="C016A0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 w:tplc="365815B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 w:tplc="94DA05C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 w:tplc="1AE078E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 w:tplc="BFC47AC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 w:tplc="A6CC6F2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59"/>
    <w:rsid w:val="000066FB"/>
    <w:rsid w:val="00021CFE"/>
    <w:rsid w:val="000351B4"/>
    <w:rsid w:val="00036045"/>
    <w:rsid w:val="00037839"/>
    <w:rsid w:val="000460F2"/>
    <w:rsid w:val="00047FE8"/>
    <w:rsid w:val="000502E9"/>
    <w:rsid w:val="000533E0"/>
    <w:rsid w:val="00054837"/>
    <w:rsid w:val="00060E82"/>
    <w:rsid w:val="000735BF"/>
    <w:rsid w:val="00073E54"/>
    <w:rsid w:val="0007643C"/>
    <w:rsid w:val="00090686"/>
    <w:rsid w:val="000A1146"/>
    <w:rsid w:val="000A3B48"/>
    <w:rsid w:val="000A66B3"/>
    <w:rsid w:val="000A72C1"/>
    <w:rsid w:val="000C0739"/>
    <w:rsid w:val="000C18DD"/>
    <w:rsid w:val="000C51E1"/>
    <w:rsid w:val="000D2B5F"/>
    <w:rsid w:val="000D36A7"/>
    <w:rsid w:val="000D632E"/>
    <w:rsid w:val="000D7A08"/>
    <w:rsid w:val="000E2DEF"/>
    <w:rsid w:val="000F145D"/>
    <w:rsid w:val="000F148E"/>
    <w:rsid w:val="000F33D0"/>
    <w:rsid w:val="000F39A1"/>
    <w:rsid w:val="000F787D"/>
    <w:rsid w:val="00103382"/>
    <w:rsid w:val="0010761A"/>
    <w:rsid w:val="001135AE"/>
    <w:rsid w:val="0011649C"/>
    <w:rsid w:val="00116D4E"/>
    <w:rsid w:val="001229D5"/>
    <w:rsid w:val="001333AA"/>
    <w:rsid w:val="00133A05"/>
    <w:rsid w:val="001341E7"/>
    <w:rsid w:val="00134D60"/>
    <w:rsid w:val="00142A16"/>
    <w:rsid w:val="00164421"/>
    <w:rsid w:val="00164B99"/>
    <w:rsid w:val="0017549E"/>
    <w:rsid w:val="0019523F"/>
    <w:rsid w:val="001A067E"/>
    <w:rsid w:val="001A6261"/>
    <w:rsid w:val="001B0558"/>
    <w:rsid w:val="001B66D4"/>
    <w:rsid w:val="001B77AF"/>
    <w:rsid w:val="001C4A0D"/>
    <w:rsid w:val="001C6F75"/>
    <w:rsid w:val="001D784A"/>
    <w:rsid w:val="001E2051"/>
    <w:rsid w:val="001F01B8"/>
    <w:rsid w:val="001F2B2E"/>
    <w:rsid w:val="00202F29"/>
    <w:rsid w:val="0020408C"/>
    <w:rsid w:val="00204615"/>
    <w:rsid w:val="00213643"/>
    <w:rsid w:val="00215A8C"/>
    <w:rsid w:val="002164FE"/>
    <w:rsid w:val="0021729A"/>
    <w:rsid w:val="00221331"/>
    <w:rsid w:val="00222C41"/>
    <w:rsid w:val="002309B4"/>
    <w:rsid w:val="00241B24"/>
    <w:rsid w:val="0024542F"/>
    <w:rsid w:val="00247742"/>
    <w:rsid w:val="002557B6"/>
    <w:rsid w:val="0027082B"/>
    <w:rsid w:val="00276ED5"/>
    <w:rsid w:val="00281863"/>
    <w:rsid w:val="002A5330"/>
    <w:rsid w:val="002B6972"/>
    <w:rsid w:val="002B6C13"/>
    <w:rsid w:val="002B7A40"/>
    <w:rsid w:val="002B7DFC"/>
    <w:rsid w:val="002C1950"/>
    <w:rsid w:val="002E4A91"/>
    <w:rsid w:val="002E6000"/>
    <w:rsid w:val="002F15BC"/>
    <w:rsid w:val="002F4338"/>
    <w:rsid w:val="002F49BD"/>
    <w:rsid w:val="00303FB3"/>
    <w:rsid w:val="0030427F"/>
    <w:rsid w:val="00310C2F"/>
    <w:rsid w:val="0031472A"/>
    <w:rsid w:val="003152A5"/>
    <w:rsid w:val="0031716D"/>
    <w:rsid w:val="00325C33"/>
    <w:rsid w:val="0034395F"/>
    <w:rsid w:val="00344C10"/>
    <w:rsid w:val="00350365"/>
    <w:rsid w:val="00352381"/>
    <w:rsid w:val="00354759"/>
    <w:rsid w:val="00364267"/>
    <w:rsid w:val="00367948"/>
    <w:rsid w:val="0037380A"/>
    <w:rsid w:val="00382840"/>
    <w:rsid w:val="00385A80"/>
    <w:rsid w:val="003916A7"/>
    <w:rsid w:val="00392B15"/>
    <w:rsid w:val="003A73E4"/>
    <w:rsid w:val="003B4B3F"/>
    <w:rsid w:val="003C2173"/>
    <w:rsid w:val="003C2460"/>
    <w:rsid w:val="003D53BF"/>
    <w:rsid w:val="003E5451"/>
    <w:rsid w:val="003F1B10"/>
    <w:rsid w:val="003F23E5"/>
    <w:rsid w:val="00405C96"/>
    <w:rsid w:val="0040610E"/>
    <w:rsid w:val="00415CFB"/>
    <w:rsid w:val="00426437"/>
    <w:rsid w:val="0043494B"/>
    <w:rsid w:val="00442DAF"/>
    <w:rsid w:val="0044300D"/>
    <w:rsid w:val="00447AEA"/>
    <w:rsid w:val="004534C0"/>
    <w:rsid w:val="00457041"/>
    <w:rsid w:val="00460297"/>
    <w:rsid w:val="00465948"/>
    <w:rsid w:val="004813AE"/>
    <w:rsid w:val="004832B1"/>
    <w:rsid w:val="00483961"/>
    <w:rsid w:val="00492323"/>
    <w:rsid w:val="00493025"/>
    <w:rsid w:val="0049535E"/>
    <w:rsid w:val="004A11AE"/>
    <w:rsid w:val="004A2156"/>
    <w:rsid w:val="004A2C24"/>
    <w:rsid w:val="004A72AF"/>
    <w:rsid w:val="004B17EB"/>
    <w:rsid w:val="004B1D1F"/>
    <w:rsid w:val="004B40BE"/>
    <w:rsid w:val="004C7909"/>
    <w:rsid w:val="004D17DB"/>
    <w:rsid w:val="004E179D"/>
    <w:rsid w:val="004E4B64"/>
    <w:rsid w:val="004E7641"/>
    <w:rsid w:val="00500568"/>
    <w:rsid w:val="00503A24"/>
    <w:rsid w:val="00514C41"/>
    <w:rsid w:val="005176D9"/>
    <w:rsid w:val="00524950"/>
    <w:rsid w:val="0053031C"/>
    <w:rsid w:val="00540D73"/>
    <w:rsid w:val="0054182D"/>
    <w:rsid w:val="00553904"/>
    <w:rsid w:val="00554118"/>
    <w:rsid w:val="0056613D"/>
    <w:rsid w:val="005716A0"/>
    <w:rsid w:val="00575C62"/>
    <w:rsid w:val="00594560"/>
    <w:rsid w:val="0059726F"/>
    <w:rsid w:val="005B4AC8"/>
    <w:rsid w:val="005D673B"/>
    <w:rsid w:val="005E2466"/>
    <w:rsid w:val="005F1CD8"/>
    <w:rsid w:val="005F2960"/>
    <w:rsid w:val="005F31CC"/>
    <w:rsid w:val="005F42C6"/>
    <w:rsid w:val="005F5B63"/>
    <w:rsid w:val="00607DF6"/>
    <w:rsid w:val="00610392"/>
    <w:rsid w:val="00610C52"/>
    <w:rsid w:val="00611F16"/>
    <w:rsid w:val="0061562B"/>
    <w:rsid w:val="006259B8"/>
    <w:rsid w:val="00632DA7"/>
    <w:rsid w:val="00632ED6"/>
    <w:rsid w:val="006349E3"/>
    <w:rsid w:val="00634CE7"/>
    <w:rsid w:val="0065205E"/>
    <w:rsid w:val="00652385"/>
    <w:rsid w:val="00652C4A"/>
    <w:rsid w:val="006554D2"/>
    <w:rsid w:val="00656B16"/>
    <w:rsid w:val="00667FFB"/>
    <w:rsid w:val="00670B51"/>
    <w:rsid w:val="00672644"/>
    <w:rsid w:val="00676049"/>
    <w:rsid w:val="0067684E"/>
    <w:rsid w:val="00676F0E"/>
    <w:rsid w:val="00677EC8"/>
    <w:rsid w:val="00691E41"/>
    <w:rsid w:val="00692E08"/>
    <w:rsid w:val="00694A6F"/>
    <w:rsid w:val="006A5157"/>
    <w:rsid w:val="006A5A7A"/>
    <w:rsid w:val="006C0744"/>
    <w:rsid w:val="006D179F"/>
    <w:rsid w:val="006D1F64"/>
    <w:rsid w:val="006D22C5"/>
    <w:rsid w:val="006E1338"/>
    <w:rsid w:val="006E45B3"/>
    <w:rsid w:val="006F20BC"/>
    <w:rsid w:val="006F3371"/>
    <w:rsid w:val="006F6681"/>
    <w:rsid w:val="006F7EBC"/>
    <w:rsid w:val="00700FCE"/>
    <w:rsid w:val="00701E13"/>
    <w:rsid w:val="00704AE8"/>
    <w:rsid w:val="0070561E"/>
    <w:rsid w:val="007057E5"/>
    <w:rsid w:val="00716A9E"/>
    <w:rsid w:val="007179CE"/>
    <w:rsid w:val="007232B1"/>
    <w:rsid w:val="00726450"/>
    <w:rsid w:val="00731ACF"/>
    <w:rsid w:val="0073309D"/>
    <w:rsid w:val="00747202"/>
    <w:rsid w:val="007508B8"/>
    <w:rsid w:val="00754162"/>
    <w:rsid w:val="007550A6"/>
    <w:rsid w:val="00757B30"/>
    <w:rsid w:val="00757E10"/>
    <w:rsid w:val="0076504E"/>
    <w:rsid w:val="0077247A"/>
    <w:rsid w:val="007767EA"/>
    <w:rsid w:val="00776D84"/>
    <w:rsid w:val="0078217E"/>
    <w:rsid w:val="00793832"/>
    <w:rsid w:val="00795D3A"/>
    <w:rsid w:val="007B4F84"/>
    <w:rsid w:val="007B78F3"/>
    <w:rsid w:val="007C7ED1"/>
    <w:rsid w:val="007D273E"/>
    <w:rsid w:val="007D33C4"/>
    <w:rsid w:val="007D570F"/>
    <w:rsid w:val="007D6AF2"/>
    <w:rsid w:val="007E7682"/>
    <w:rsid w:val="007F3FAD"/>
    <w:rsid w:val="008013C0"/>
    <w:rsid w:val="0080152D"/>
    <w:rsid w:val="0080314E"/>
    <w:rsid w:val="008034AE"/>
    <w:rsid w:val="00807644"/>
    <w:rsid w:val="00813426"/>
    <w:rsid w:val="00816129"/>
    <w:rsid w:val="0082210C"/>
    <w:rsid w:val="00827D69"/>
    <w:rsid w:val="0083263D"/>
    <w:rsid w:val="00844F58"/>
    <w:rsid w:val="00845A17"/>
    <w:rsid w:val="00851ECB"/>
    <w:rsid w:val="00857D97"/>
    <w:rsid w:val="008652D2"/>
    <w:rsid w:val="008678CB"/>
    <w:rsid w:val="0089601D"/>
    <w:rsid w:val="0089659A"/>
    <w:rsid w:val="008A0F6D"/>
    <w:rsid w:val="008A78B1"/>
    <w:rsid w:val="008B21C0"/>
    <w:rsid w:val="008C1032"/>
    <w:rsid w:val="008C2166"/>
    <w:rsid w:val="008C7A66"/>
    <w:rsid w:val="008D0EA2"/>
    <w:rsid w:val="008D12C0"/>
    <w:rsid w:val="008D2850"/>
    <w:rsid w:val="008E3EF8"/>
    <w:rsid w:val="008F0446"/>
    <w:rsid w:val="008F170C"/>
    <w:rsid w:val="008F7C65"/>
    <w:rsid w:val="0090694E"/>
    <w:rsid w:val="00921F52"/>
    <w:rsid w:val="009223BC"/>
    <w:rsid w:val="009255DE"/>
    <w:rsid w:val="0094275A"/>
    <w:rsid w:val="00944658"/>
    <w:rsid w:val="0095076A"/>
    <w:rsid w:val="00952A02"/>
    <w:rsid w:val="00954A78"/>
    <w:rsid w:val="00960E91"/>
    <w:rsid w:val="0096234D"/>
    <w:rsid w:val="00966CBA"/>
    <w:rsid w:val="00973EFE"/>
    <w:rsid w:val="00975C43"/>
    <w:rsid w:val="00975D13"/>
    <w:rsid w:val="009916C4"/>
    <w:rsid w:val="009956BD"/>
    <w:rsid w:val="00995AE1"/>
    <w:rsid w:val="0099745E"/>
    <w:rsid w:val="009A401F"/>
    <w:rsid w:val="009A5EA6"/>
    <w:rsid w:val="009A5F3B"/>
    <w:rsid w:val="009A67D8"/>
    <w:rsid w:val="009A6805"/>
    <w:rsid w:val="009B2443"/>
    <w:rsid w:val="009B70F1"/>
    <w:rsid w:val="009C0D57"/>
    <w:rsid w:val="009C3882"/>
    <w:rsid w:val="009D6CF5"/>
    <w:rsid w:val="009F29B5"/>
    <w:rsid w:val="009F3BB4"/>
    <w:rsid w:val="009F60E8"/>
    <w:rsid w:val="00A001E4"/>
    <w:rsid w:val="00A0513C"/>
    <w:rsid w:val="00A06922"/>
    <w:rsid w:val="00A0783D"/>
    <w:rsid w:val="00A27859"/>
    <w:rsid w:val="00A314C9"/>
    <w:rsid w:val="00A32E7C"/>
    <w:rsid w:val="00A35251"/>
    <w:rsid w:val="00A529AD"/>
    <w:rsid w:val="00A6173E"/>
    <w:rsid w:val="00A63234"/>
    <w:rsid w:val="00A7245A"/>
    <w:rsid w:val="00A73367"/>
    <w:rsid w:val="00A74FAC"/>
    <w:rsid w:val="00A7765E"/>
    <w:rsid w:val="00A81385"/>
    <w:rsid w:val="00A8374A"/>
    <w:rsid w:val="00A945C4"/>
    <w:rsid w:val="00AA077E"/>
    <w:rsid w:val="00AA7D10"/>
    <w:rsid w:val="00AB040A"/>
    <w:rsid w:val="00AB128F"/>
    <w:rsid w:val="00AC3EC2"/>
    <w:rsid w:val="00AD1066"/>
    <w:rsid w:val="00AD4567"/>
    <w:rsid w:val="00AD4F01"/>
    <w:rsid w:val="00AE09DF"/>
    <w:rsid w:val="00AF2060"/>
    <w:rsid w:val="00AF350B"/>
    <w:rsid w:val="00B01D17"/>
    <w:rsid w:val="00B2090C"/>
    <w:rsid w:val="00B2733B"/>
    <w:rsid w:val="00B279F7"/>
    <w:rsid w:val="00B32C24"/>
    <w:rsid w:val="00B33B20"/>
    <w:rsid w:val="00B3676E"/>
    <w:rsid w:val="00B36B05"/>
    <w:rsid w:val="00B37720"/>
    <w:rsid w:val="00B46910"/>
    <w:rsid w:val="00B46B19"/>
    <w:rsid w:val="00B475A8"/>
    <w:rsid w:val="00B55316"/>
    <w:rsid w:val="00B56294"/>
    <w:rsid w:val="00B6303C"/>
    <w:rsid w:val="00B741E0"/>
    <w:rsid w:val="00B75071"/>
    <w:rsid w:val="00B75BE8"/>
    <w:rsid w:val="00B77DED"/>
    <w:rsid w:val="00B8109E"/>
    <w:rsid w:val="00B860E1"/>
    <w:rsid w:val="00B92360"/>
    <w:rsid w:val="00B924AB"/>
    <w:rsid w:val="00B9647E"/>
    <w:rsid w:val="00B96EB8"/>
    <w:rsid w:val="00BA0AAC"/>
    <w:rsid w:val="00BB17A9"/>
    <w:rsid w:val="00BB194B"/>
    <w:rsid w:val="00BB1B88"/>
    <w:rsid w:val="00BB1E11"/>
    <w:rsid w:val="00BB6789"/>
    <w:rsid w:val="00BD30E0"/>
    <w:rsid w:val="00BE2E15"/>
    <w:rsid w:val="00BF0456"/>
    <w:rsid w:val="00BF159F"/>
    <w:rsid w:val="00BF31B6"/>
    <w:rsid w:val="00BF4B88"/>
    <w:rsid w:val="00C00E7A"/>
    <w:rsid w:val="00C0119B"/>
    <w:rsid w:val="00C0586D"/>
    <w:rsid w:val="00C16B30"/>
    <w:rsid w:val="00C24319"/>
    <w:rsid w:val="00C258F2"/>
    <w:rsid w:val="00C31E86"/>
    <w:rsid w:val="00C37EA0"/>
    <w:rsid w:val="00C44655"/>
    <w:rsid w:val="00C5606A"/>
    <w:rsid w:val="00C67209"/>
    <w:rsid w:val="00C923C9"/>
    <w:rsid w:val="00C94F87"/>
    <w:rsid w:val="00C95C03"/>
    <w:rsid w:val="00C9613E"/>
    <w:rsid w:val="00C97FB7"/>
    <w:rsid w:val="00CA7B02"/>
    <w:rsid w:val="00CB336C"/>
    <w:rsid w:val="00CC0E96"/>
    <w:rsid w:val="00CC7048"/>
    <w:rsid w:val="00CC7879"/>
    <w:rsid w:val="00CD6699"/>
    <w:rsid w:val="00CD6E8F"/>
    <w:rsid w:val="00CE170A"/>
    <w:rsid w:val="00CE31AF"/>
    <w:rsid w:val="00CE7D30"/>
    <w:rsid w:val="00CF6C70"/>
    <w:rsid w:val="00D01509"/>
    <w:rsid w:val="00D24BE3"/>
    <w:rsid w:val="00D26334"/>
    <w:rsid w:val="00D30B21"/>
    <w:rsid w:val="00D31917"/>
    <w:rsid w:val="00D348D0"/>
    <w:rsid w:val="00D37622"/>
    <w:rsid w:val="00D667B0"/>
    <w:rsid w:val="00D66D7D"/>
    <w:rsid w:val="00D67703"/>
    <w:rsid w:val="00D87111"/>
    <w:rsid w:val="00D87F52"/>
    <w:rsid w:val="00DA18A1"/>
    <w:rsid w:val="00DA19B9"/>
    <w:rsid w:val="00DA542A"/>
    <w:rsid w:val="00DB1072"/>
    <w:rsid w:val="00DB2673"/>
    <w:rsid w:val="00DC190D"/>
    <w:rsid w:val="00DC290D"/>
    <w:rsid w:val="00DC6FAF"/>
    <w:rsid w:val="00DE38A9"/>
    <w:rsid w:val="00DF5954"/>
    <w:rsid w:val="00E027E7"/>
    <w:rsid w:val="00E02AAA"/>
    <w:rsid w:val="00E037D8"/>
    <w:rsid w:val="00E06280"/>
    <w:rsid w:val="00E06952"/>
    <w:rsid w:val="00E07178"/>
    <w:rsid w:val="00E154F5"/>
    <w:rsid w:val="00E155D0"/>
    <w:rsid w:val="00E17BC5"/>
    <w:rsid w:val="00E260FE"/>
    <w:rsid w:val="00E356DE"/>
    <w:rsid w:val="00E357F6"/>
    <w:rsid w:val="00E3794B"/>
    <w:rsid w:val="00E42B80"/>
    <w:rsid w:val="00E55E7F"/>
    <w:rsid w:val="00E6251E"/>
    <w:rsid w:val="00E64F7B"/>
    <w:rsid w:val="00E712CF"/>
    <w:rsid w:val="00E7158E"/>
    <w:rsid w:val="00E82C0F"/>
    <w:rsid w:val="00E8462D"/>
    <w:rsid w:val="00E9131B"/>
    <w:rsid w:val="00E925AD"/>
    <w:rsid w:val="00EA17F0"/>
    <w:rsid w:val="00EA48D8"/>
    <w:rsid w:val="00EA4B5A"/>
    <w:rsid w:val="00EB0905"/>
    <w:rsid w:val="00EB743C"/>
    <w:rsid w:val="00EC0ED7"/>
    <w:rsid w:val="00ED1B02"/>
    <w:rsid w:val="00ED4B69"/>
    <w:rsid w:val="00EE347B"/>
    <w:rsid w:val="00EE4444"/>
    <w:rsid w:val="00EF35C8"/>
    <w:rsid w:val="00F07380"/>
    <w:rsid w:val="00F077FE"/>
    <w:rsid w:val="00F146B3"/>
    <w:rsid w:val="00F255C0"/>
    <w:rsid w:val="00F25E1D"/>
    <w:rsid w:val="00F31307"/>
    <w:rsid w:val="00F32306"/>
    <w:rsid w:val="00F32B1A"/>
    <w:rsid w:val="00F33C73"/>
    <w:rsid w:val="00F345DC"/>
    <w:rsid w:val="00F34E1D"/>
    <w:rsid w:val="00F44522"/>
    <w:rsid w:val="00F64B9B"/>
    <w:rsid w:val="00F64E0E"/>
    <w:rsid w:val="00F70803"/>
    <w:rsid w:val="00F77B0E"/>
    <w:rsid w:val="00F83705"/>
    <w:rsid w:val="00F8609E"/>
    <w:rsid w:val="00F878DF"/>
    <w:rsid w:val="00FA4726"/>
    <w:rsid w:val="00FC1EBF"/>
    <w:rsid w:val="00FC348C"/>
    <w:rsid w:val="00FC5786"/>
    <w:rsid w:val="00FD2CC5"/>
    <w:rsid w:val="00FD7F0E"/>
    <w:rsid w:val="00FE7358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246DDB-10AB-45A1-A798-DBF08880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131B"/>
    <w:pPr>
      <w:widowControl w:val="0"/>
      <w:autoSpaceDE w:val="0"/>
      <w:autoSpaceDN w:val="0"/>
      <w:adjustRightInd w:val="0"/>
    </w:pPr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8F7C6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Zkladntext">
    <w:name w:val="Body Text"/>
    <w:basedOn w:val="Normlny"/>
    <w:link w:val="ZkladntextChar"/>
    <w:uiPriority w:val="99"/>
    <w:rsid w:val="008F7C65"/>
    <w:pPr>
      <w:spacing w:before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odstaveczakona">
    <w:name w:val="odstavec zakona"/>
    <w:basedOn w:val="Normlny"/>
    <w:uiPriority w:val="99"/>
    <w:rsid w:val="008F7C65"/>
    <w:pPr>
      <w:numPr>
        <w:numId w:val="1"/>
      </w:numPr>
      <w:tabs>
        <w:tab w:val="left" w:pos="720"/>
      </w:tabs>
      <w:ind w:left="720"/>
      <w:jc w:val="both"/>
    </w:pPr>
  </w:style>
  <w:style w:type="character" w:styleId="Odkaznapoznmkupodiarou">
    <w:name w:val="footnote reference"/>
    <w:basedOn w:val="Predvolenpsmoodseku"/>
    <w:uiPriority w:val="99"/>
    <w:semiHidden/>
    <w:rsid w:val="008F7C65"/>
    <w:rPr>
      <w:rFonts w:cs="Times New Roman"/>
      <w:vertAlign w:val="superscript"/>
      <w:rtl w:val="0"/>
      <w:cs w:val="0"/>
    </w:rPr>
  </w:style>
  <w:style w:type="paragraph" w:styleId="Normlnywebov">
    <w:name w:val="Normal (Web)"/>
    <w:basedOn w:val="Normlny"/>
    <w:uiPriority w:val="99"/>
    <w:rsid w:val="008F7C65"/>
    <w:pPr>
      <w:spacing w:before="100" w:beforeAutospacing="1" w:after="100" w:afterAutospacing="1"/>
    </w:pPr>
  </w:style>
  <w:style w:type="paragraph" w:styleId="Pta">
    <w:name w:val="footer"/>
    <w:basedOn w:val="Normlny"/>
    <w:link w:val="PtaChar"/>
    <w:uiPriority w:val="99"/>
    <w:rsid w:val="008F7C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  <w:rtl w:val="0"/>
      <w:cs w:val="0"/>
    </w:rPr>
  </w:style>
  <w:style w:type="character" w:styleId="slostrany">
    <w:name w:val="page number"/>
    <w:basedOn w:val="Predvolenpsmoodseku"/>
    <w:uiPriority w:val="99"/>
    <w:rsid w:val="008F7C65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rsid w:val="00116D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3">
    <w:name w:val="norm3"/>
    <w:basedOn w:val="Normlny"/>
    <w:rsid w:val="006F20BC"/>
    <w:pPr>
      <w:widowControl/>
      <w:autoSpaceDE/>
      <w:autoSpaceDN/>
      <w:adjustRightInd/>
      <w:spacing w:before="120" w:line="312" w:lineRule="atLeast"/>
      <w:jc w:val="both"/>
    </w:pPr>
  </w:style>
  <w:style w:type="paragraph" w:customStyle="1" w:styleId="list2">
    <w:name w:val="list2"/>
    <w:basedOn w:val="Normlny"/>
    <w:rsid w:val="004A2156"/>
    <w:pPr>
      <w:widowControl/>
      <w:autoSpaceDE/>
      <w:autoSpaceDN/>
      <w:adjustRightInd/>
      <w:spacing w:line="312" w:lineRule="atLeast"/>
      <w:ind w:left="240"/>
      <w:jc w:val="both"/>
    </w:pPr>
  </w:style>
  <w:style w:type="paragraph" w:customStyle="1" w:styleId="CM1">
    <w:name w:val="CM1"/>
    <w:basedOn w:val="Normlny"/>
    <w:next w:val="Normlny"/>
    <w:uiPriority w:val="99"/>
    <w:rsid w:val="008678CB"/>
    <w:pPr>
      <w:widowControl/>
    </w:pPr>
  </w:style>
  <w:style w:type="paragraph" w:customStyle="1" w:styleId="CM3">
    <w:name w:val="CM3"/>
    <w:basedOn w:val="Normlny"/>
    <w:next w:val="Normlny"/>
    <w:uiPriority w:val="99"/>
    <w:rsid w:val="008678CB"/>
    <w:pPr>
      <w:widowControl/>
    </w:pPr>
  </w:style>
  <w:style w:type="paragraph" w:customStyle="1" w:styleId="CM4">
    <w:name w:val="CM4"/>
    <w:basedOn w:val="Normlny"/>
    <w:next w:val="Normlny"/>
    <w:uiPriority w:val="99"/>
    <w:rsid w:val="009A6805"/>
    <w:pPr>
      <w:widowControl/>
    </w:pPr>
  </w:style>
  <w:style w:type="paragraph" w:styleId="Zarkazkladnhotextu2">
    <w:name w:val="Body Text Indent 2"/>
    <w:basedOn w:val="Normlny"/>
    <w:link w:val="Zarkazkladnhotextu2Char"/>
    <w:uiPriority w:val="99"/>
    <w:rsid w:val="004B40B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4B40BE"/>
    <w:rPr>
      <w:rFonts w:cs="Times New Roman"/>
      <w:sz w:val="24"/>
      <w:szCs w:val="24"/>
      <w:rtl w:val="0"/>
      <w:cs w:val="0"/>
    </w:rPr>
  </w:style>
  <w:style w:type="paragraph" w:customStyle="1" w:styleId="Normlny0">
    <w:name w:val="_Normálny"/>
    <w:basedOn w:val="Normlny"/>
    <w:uiPriority w:val="99"/>
    <w:rsid w:val="004B40BE"/>
    <w:pPr>
      <w:widowControl/>
      <w:adjustRightInd/>
    </w:pPr>
    <w:rPr>
      <w:sz w:val="20"/>
      <w:szCs w:val="20"/>
      <w:lang w:eastAsia="en-US"/>
    </w:rPr>
  </w:style>
  <w:style w:type="paragraph" w:customStyle="1" w:styleId="Default">
    <w:name w:val="Default"/>
    <w:rsid w:val="00CC7048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rsid w:val="00415CFB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415C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15CFB"/>
    <w:rPr>
      <w:rFonts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15C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15CFB"/>
    <w:rPr>
      <w:rFonts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rsid w:val="00415C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15CFB"/>
    <w:rPr>
      <w:rFonts w:ascii="Tahoma" w:hAnsi="Tahoma" w:cs="Tahoma"/>
      <w:sz w:val="16"/>
      <w:szCs w:val="16"/>
      <w:rtl w:val="0"/>
      <w:cs w:val="0"/>
    </w:rPr>
  </w:style>
  <w:style w:type="paragraph" w:styleId="Odsekzoznamu">
    <w:name w:val="List Paragraph"/>
    <w:basedOn w:val="Normlny"/>
    <w:uiPriority w:val="99"/>
    <w:qFormat/>
    <w:locked/>
    <w:rsid w:val="00944658"/>
    <w:pPr>
      <w:widowControl/>
      <w:autoSpaceDE/>
      <w:autoSpaceDN/>
      <w:adjustRightInd/>
      <w:ind w:left="720"/>
      <w:contextualSpacing/>
    </w:pPr>
  </w:style>
  <w:style w:type="paragraph" w:styleId="Bezriadkovania">
    <w:name w:val="No Spacing"/>
    <w:uiPriority w:val="1"/>
    <w:qFormat/>
    <w:locked/>
    <w:rsid w:val="00B37720"/>
    <w:rPr>
      <w:rFonts w:ascii="Calibri" w:hAnsi="Calibri"/>
      <w:szCs w:val="22"/>
      <w:lang w:val="sk-SK"/>
    </w:rPr>
  </w:style>
  <w:style w:type="character" w:customStyle="1" w:styleId="awspan1">
    <w:name w:val="awspan1"/>
    <w:basedOn w:val="Predvolenpsmoodseku"/>
    <w:rsid w:val="00E155D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0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41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355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58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351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31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7417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380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057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48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9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5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66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75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79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75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9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1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77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53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1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717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14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242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09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42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979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71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84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98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WKX3UHSAJ2R6-2-1010168</_dlc_DocId>
    <_dlc_DocIdUrl xmlns="e60a29af-d413-48d4-bd90-fe9d2a897e4b">
      <Url>https://ovdmasv601/sites/DMS/_layouts/15/DocIdRedir.aspx?ID=WKX3UHSAJ2R6-2-1010168</Url>
      <Description>WKX3UHSAJ2R6-2-1010168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27D69-3754-4884-B745-63298511A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DCE14-80BB-4451-B35A-C97CB2E67C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79D283-031E-4C5D-8DA9-58DBD8BC9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AE893-648A-4DD3-919B-43501B82D7B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B78E8522-AFC6-4F38-B408-81AE621F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Mš. SR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eva.frayova</dc:creator>
  <cp:lastModifiedBy>Vincová Veronika</cp:lastModifiedBy>
  <cp:revision>2</cp:revision>
  <cp:lastPrinted>2022-02-15T07:12:00Z</cp:lastPrinted>
  <dcterms:created xsi:type="dcterms:W3CDTF">2023-03-22T06:46:00Z</dcterms:created>
  <dcterms:modified xsi:type="dcterms:W3CDTF">2023-03-22T06:46:00Z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c3e38cb3-1abf-4bdb-b977-19c8bd2eae07</vt:lpwstr>
  </property>
</Properties>
</file>