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A5581" w14:textId="53201DBA" w:rsidR="00914781" w:rsidRPr="0040341A" w:rsidRDefault="00046DEE" w:rsidP="00046DEE">
      <w:pPr>
        <w:pStyle w:val="Nzov"/>
        <w:jc w:val="center"/>
        <w:rPr>
          <w:rFonts w:ascii="Times New Roman" w:hAnsi="Times New Roman" w:cs="Times New Roman"/>
          <w:b/>
          <w:sz w:val="24"/>
        </w:rPr>
      </w:pPr>
      <w:r w:rsidRPr="0040341A">
        <w:rPr>
          <w:rFonts w:ascii="Times New Roman" w:hAnsi="Times New Roman" w:cs="Times New Roman"/>
          <w:b/>
          <w:sz w:val="24"/>
        </w:rPr>
        <w:t>DÔVODOVÁ SPRÁVA</w:t>
      </w:r>
    </w:p>
    <w:p w14:paraId="00EF1720" w14:textId="77777777" w:rsidR="00914781" w:rsidRPr="0040341A" w:rsidRDefault="00914781" w:rsidP="005B2864">
      <w:pPr>
        <w:jc w:val="both"/>
        <w:rPr>
          <w:lang w:val="sk-SK"/>
        </w:rPr>
      </w:pPr>
    </w:p>
    <w:p w14:paraId="6F56D142" w14:textId="77777777" w:rsidR="00914781" w:rsidRPr="0040341A" w:rsidRDefault="00914781" w:rsidP="005B2864">
      <w:pPr>
        <w:pStyle w:val="Odsekzoznamu1"/>
        <w:numPr>
          <w:ilvl w:val="0"/>
          <w:numId w:val="1"/>
        </w:numPr>
        <w:spacing w:after="0" w:line="240" w:lineRule="auto"/>
        <w:ind w:left="426" w:hanging="426"/>
        <w:jc w:val="both"/>
        <w:rPr>
          <w:rFonts w:ascii="Times New Roman" w:hAnsi="Times New Roman"/>
          <w:b/>
          <w:sz w:val="24"/>
        </w:rPr>
      </w:pPr>
      <w:r w:rsidRPr="0040341A">
        <w:rPr>
          <w:rFonts w:ascii="Times New Roman" w:hAnsi="Times New Roman"/>
          <w:b/>
          <w:sz w:val="24"/>
        </w:rPr>
        <w:t xml:space="preserve">Všeobecná časť </w:t>
      </w:r>
    </w:p>
    <w:p w14:paraId="70A6B860" w14:textId="77777777" w:rsidR="00914781" w:rsidRPr="0040341A" w:rsidRDefault="00914781" w:rsidP="00503920">
      <w:pPr>
        <w:jc w:val="both"/>
        <w:rPr>
          <w:highlight w:val="yellow"/>
          <w:lang w:val="sk-SK"/>
        </w:rPr>
      </w:pPr>
    </w:p>
    <w:p w14:paraId="32061A82" w14:textId="4178C9B3" w:rsidR="004519C2" w:rsidRPr="0040341A" w:rsidRDefault="00606F0C" w:rsidP="004519C2">
      <w:pPr>
        <w:spacing w:before="100" w:beforeAutospacing="1" w:after="100" w:afterAutospacing="1"/>
        <w:jc w:val="both"/>
        <w:rPr>
          <w:color w:val="000000"/>
        </w:rPr>
      </w:pPr>
      <w:r w:rsidRPr="00606F0C">
        <w:rPr>
          <w:iCs/>
          <w:color w:val="000000"/>
        </w:rPr>
        <w:t xml:space="preserve">Vláda Slovenskej republiky predkladá </w:t>
      </w:r>
      <w:r w:rsidR="004519C2" w:rsidRPr="00606F0C">
        <w:rPr>
          <w:i/>
          <w:iCs/>
          <w:color w:val="000000"/>
        </w:rPr>
        <w:t xml:space="preserve">Návrh zákona, ktorým </w:t>
      </w:r>
      <w:proofErr w:type="gramStart"/>
      <w:r w:rsidR="004519C2" w:rsidRPr="00606F0C">
        <w:rPr>
          <w:i/>
          <w:iCs/>
          <w:color w:val="000000"/>
        </w:rPr>
        <w:t>sa</w:t>
      </w:r>
      <w:proofErr w:type="gramEnd"/>
      <w:r w:rsidR="004519C2" w:rsidRPr="00606F0C">
        <w:rPr>
          <w:i/>
          <w:iCs/>
          <w:color w:val="000000"/>
        </w:rPr>
        <w:t xml:space="preserve"> mení a dopĺňa zákon č. 539/2008 Z. z. o podpore regionálneho rozvoja v znení neskorších</w:t>
      </w:r>
      <w:r w:rsidR="004519C2" w:rsidRPr="00606F0C">
        <w:rPr>
          <w:i/>
          <w:color w:val="000000"/>
        </w:rPr>
        <w:t xml:space="preserve"> predpisov</w:t>
      </w:r>
      <w:r>
        <w:rPr>
          <w:color w:val="000000"/>
        </w:rPr>
        <w:t xml:space="preserve"> (ďalej len „návrh zákona“) </w:t>
      </w:r>
      <w:r w:rsidR="004519C2" w:rsidRPr="0040341A">
        <w:rPr>
          <w:color w:val="000000"/>
        </w:rPr>
        <w:t>ako iniciatívny materiál.</w:t>
      </w:r>
    </w:p>
    <w:p w14:paraId="2F33C5A5" w14:textId="77777777" w:rsidR="004519C2" w:rsidRPr="0040341A" w:rsidRDefault="004519C2" w:rsidP="004519C2">
      <w:pPr>
        <w:pStyle w:val="Normlnywebov"/>
        <w:spacing w:line="276" w:lineRule="auto"/>
        <w:jc w:val="both"/>
      </w:pPr>
      <w:r w:rsidRPr="0040341A">
        <w:t>Cieľom navrhovanej právnej úpravy je prepojenie legislatívnej úpravy podpory regionálneho rozvoja a nástrojov implementácie európskych štrukturálnych fondov. Navrhovanou právnou úpravou dôjde k prepojeniu procesov implementácie európskych štrukturálnych fondov na procesy podpory regionálneho rozvoja a nastaveniu nedopytového mechanizmu implementácie integrovaných územných investícií. Cieľom navrhovanej právnej úpravy je tiež zvýšenie miery schopnosti strategického plánovania subjektov územnej samosprávy, ktorá je v súčasnosti nízka.</w:t>
      </w:r>
    </w:p>
    <w:p w14:paraId="70320B4D" w14:textId="77777777" w:rsidR="004519C2" w:rsidRPr="0040341A" w:rsidRDefault="004519C2" w:rsidP="004519C2">
      <w:pPr>
        <w:spacing w:before="100" w:beforeAutospacing="1" w:after="100" w:afterAutospacing="1"/>
        <w:jc w:val="both"/>
        <w:rPr>
          <w:lang w:eastAsia="sk-SK"/>
        </w:rPr>
      </w:pPr>
      <w:r w:rsidRPr="0040341A">
        <w:rPr>
          <w:lang w:eastAsia="sk-SK"/>
        </w:rPr>
        <w:t xml:space="preserve">Cieľom návrhu zákona je zakotvenie niektorých mechanizmov </w:t>
      </w:r>
      <w:proofErr w:type="gramStart"/>
      <w:r w:rsidRPr="0040341A">
        <w:rPr>
          <w:lang w:eastAsia="sk-SK"/>
        </w:rPr>
        <w:t>vo</w:t>
      </w:r>
      <w:proofErr w:type="gramEnd"/>
      <w:r w:rsidRPr="0040341A">
        <w:rPr>
          <w:lang w:eastAsia="sk-SK"/>
        </w:rPr>
        <w:t xml:space="preserve"> vzťahu k už existujúcej právnej úprave zákona č. 121/2022 Z. z. o príspevkoch z fondov Európskej únie a o zmene a doplnení niektorých zákonov za účelom efektívnejšieho využitia zdrojov z európskych fondov s prihliadnutím na územné potreby. Návrh zákona upravuje činnosti</w:t>
      </w:r>
      <w:r w:rsidRPr="0040341A">
        <w:t xml:space="preserve"> Rady partnerstva a Kooperačnej rady udržateľného mestského rozvoja, ktorých cieľom je implementácia mimo dopytového výberu projektov prostredníctvom integrovaných územných investícií vychádzajúcich z integrovaných územných stratégií. Obe rady predstavujú participatívne územné fórum, združujúce relevantných aktérov z prostredia územnej samosprávy, štátnej správy a súkromného </w:t>
      </w:r>
      <w:proofErr w:type="gramStart"/>
      <w:r w:rsidRPr="0040341A">
        <w:t>a</w:t>
      </w:r>
      <w:proofErr w:type="gramEnd"/>
      <w:r w:rsidRPr="0040341A">
        <w:t> občianskeho sektora.</w:t>
      </w:r>
    </w:p>
    <w:p w14:paraId="4AE88A4C" w14:textId="77777777" w:rsidR="004519C2" w:rsidRPr="0040341A" w:rsidRDefault="004519C2" w:rsidP="004519C2">
      <w:pPr>
        <w:spacing w:before="100" w:beforeAutospacing="1" w:after="100" w:afterAutospacing="1"/>
        <w:jc w:val="both"/>
        <w:rPr>
          <w:lang w:eastAsia="sk-SK"/>
        </w:rPr>
      </w:pPr>
      <w:r w:rsidRPr="0040341A">
        <w:rPr>
          <w:lang w:eastAsia="sk-SK"/>
        </w:rPr>
        <w:t xml:space="preserve">Návrh zákona zároveň upravuje aj procesné náležitosti, ktorými reaguje </w:t>
      </w:r>
      <w:proofErr w:type="gramStart"/>
      <w:r w:rsidRPr="0040341A">
        <w:rPr>
          <w:lang w:eastAsia="sk-SK"/>
        </w:rPr>
        <w:t>na</w:t>
      </w:r>
      <w:proofErr w:type="gramEnd"/>
      <w:r w:rsidRPr="0040341A">
        <w:rPr>
          <w:lang w:eastAsia="sk-SK"/>
        </w:rPr>
        <w:t xml:space="preserve"> aktuálnu situáciu nárastu cien, predovšetkým stavebných komodít, zavedením možnosti poskytovania dodatočnej dotácie za splnenia zákonom stanovených podmienok. Zároveň </w:t>
      </w:r>
      <w:proofErr w:type="gramStart"/>
      <w:r w:rsidRPr="0040341A">
        <w:rPr>
          <w:lang w:eastAsia="sk-SK"/>
        </w:rPr>
        <w:t>sa</w:t>
      </w:r>
      <w:proofErr w:type="gramEnd"/>
      <w:r w:rsidRPr="0040341A">
        <w:rPr>
          <w:lang w:eastAsia="sk-SK"/>
        </w:rPr>
        <w:t xml:space="preserve"> umožňuje navýšenie disponibilných finančných prostriedkov vyčlenených na výzvu a predĺženie lehoty na predkladanie žiadostí o dotáciu, ak táto zmena nemá vplyv na zmenu podmienok poskytnutia dotácie. V záujme urýchlenia kontrolných procesov návrh zákona precizuje spôsob výkonu finančnej kontroly poskytnutej dotácie ministerstvom.</w:t>
      </w:r>
    </w:p>
    <w:p w14:paraId="560E733A" w14:textId="77777777" w:rsidR="004519C2" w:rsidRPr="0040341A" w:rsidRDefault="004519C2" w:rsidP="004519C2">
      <w:pPr>
        <w:pStyle w:val="Normlnywebov"/>
        <w:spacing w:line="276" w:lineRule="auto"/>
        <w:jc w:val="both"/>
      </w:pPr>
      <w:r w:rsidRPr="0040341A">
        <w:t>Návrh zákona bude mať negatívne (rozpočtovo zabezpečené) vplyvy na rozpočet verejnej správy, pozitívne sociálne vplyvy a pozitívne vplyvy na služby verejnej správy pre občana. Návrh zákona nepredpokladá vplyvy na podnikateľské prostredie, vplyvy na informatizáciu spoločnosti, vplyvy na životné prostredie ani vplyvy na manželstvo, rodičovstvo a rodinu.</w:t>
      </w:r>
    </w:p>
    <w:p w14:paraId="03676E50" w14:textId="77777777" w:rsidR="004519C2" w:rsidRPr="0040341A" w:rsidRDefault="004519C2" w:rsidP="004519C2">
      <w:pPr>
        <w:pStyle w:val="Normlnywebov"/>
        <w:spacing w:line="276" w:lineRule="auto"/>
        <w:jc w:val="both"/>
      </w:pPr>
      <w:r w:rsidRPr="0040341A">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14:paraId="2AD71B0E" w14:textId="77777777" w:rsidR="004519C2" w:rsidRPr="0040341A" w:rsidRDefault="004519C2" w:rsidP="00B32768">
      <w:pPr>
        <w:jc w:val="center"/>
        <w:rPr>
          <w:b/>
          <w:sz w:val="28"/>
          <w:szCs w:val="28"/>
          <w:highlight w:val="yellow"/>
          <w:lang w:eastAsia="sk-SK"/>
        </w:rPr>
      </w:pPr>
    </w:p>
    <w:p w14:paraId="56FCE2AD" w14:textId="77777777" w:rsidR="00244374" w:rsidRPr="0040341A" w:rsidRDefault="00244374" w:rsidP="00244374">
      <w:pPr>
        <w:jc w:val="center"/>
        <w:rPr>
          <w:b/>
          <w:sz w:val="28"/>
          <w:szCs w:val="28"/>
          <w:lang w:eastAsia="sk-SK"/>
        </w:rPr>
      </w:pPr>
    </w:p>
    <w:p w14:paraId="0E07524F" w14:textId="77777777" w:rsidR="00244374" w:rsidRPr="0040341A" w:rsidRDefault="00244374" w:rsidP="00244374">
      <w:pPr>
        <w:jc w:val="center"/>
        <w:rPr>
          <w:b/>
          <w:sz w:val="28"/>
          <w:szCs w:val="28"/>
          <w:lang w:eastAsia="sk-SK"/>
        </w:rPr>
      </w:pPr>
    </w:p>
    <w:p w14:paraId="5CAE7E73" w14:textId="350B4FF6" w:rsidR="00244374" w:rsidRPr="0040341A" w:rsidRDefault="00244374" w:rsidP="00244374">
      <w:pPr>
        <w:jc w:val="center"/>
        <w:rPr>
          <w:b/>
          <w:sz w:val="28"/>
          <w:szCs w:val="28"/>
          <w:lang w:eastAsia="sk-SK"/>
        </w:rPr>
      </w:pPr>
      <w:r w:rsidRPr="0040341A">
        <w:rPr>
          <w:b/>
          <w:sz w:val="28"/>
          <w:szCs w:val="28"/>
          <w:lang w:eastAsia="sk-SK"/>
        </w:rPr>
        <w:lastRenderedPageBreak/>
        <w:t>Doložka vybraných vplyvov</w:t>
      </w:r>
    </w:p>
    <w:p w14:paraId="2D35E3EF" w14:textId="77777777" w:rsidR="00244374" w:rsidRPr="0040341A" w:rsidRDefault="00244374" w:rsidP="00244374">
      <w:pPr>
        <w:jc w:val="center"/>
        <w:rPr>
          <w:b/>
          <w:sz w:val="28"/>
          <w:szCs w:val="28"/>
          <w:lang w:eastAsia="sk-SK"/>
        </w:rPr>
      </w:pPr>
    </w:p>
    <w:p w14:paraId="07761FB8" w14:textId="77777777" w:rsidR="00244374" w:rsidRPr="0040341A" w:rsidRDefault="00244374" w:rsidP="00244374">
      <w:pPr>
        <w:spacing w:after="200" w:line="276" w:lineRule="auto"/>
        <w:ind w:left="426"/>
        <w:contextualSpacing/>
        <w:rPr>
          <w:rFonts w:eastAsia="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44374" w:rsidRPr="0040341A" w14:paraId="251EBC32" w14:textId="77777777" w:rsidTr="00244374">
        <w:tc>
          <w:tcPr>
            <w:tcW w:w="9180" w:type="dxa"/>
            <w:gridSpan w:val="11"/>
            <w:tcBorders>
              <w:bottom w:val="single" w:sz="4" w:space="0" w:color="FFFFFF"/>
            </w:tcBorders>
            <w:shd w:val="clear" w:color="auto" w:fill="E2E2E2"/>
          </w:tcPr>
          <w:p w14:paraId="59AB8BCA" w14:textId="77777777" w:rsidR="00244374" w:rsidRPr="0040341A" w:rsidRDefault="00244374" w:rsidP="00244374">
            <w:pPr>
              <w:numPr>
                <w:ilvl w:val="0"/>
                <w:numId w:val="6"/>
              </w:numPr>
              <w:ind w:left="426"/>
              <w:contextualSpacing/>
              <w:rPr>
                <w:rFonts w:eastAsia="Calibri"/>
                <w:b/>
              </w:rPr>
            </w:pPr>
            <w:r w:rsidRPr="0040341A">
              <w:rPr>
                <w:rFonts w:eastAsia="Calibri"/>
                <w:b/>
              </w:rPr>
              <w:t>Základné údaje</w:t>
            </w:r>
          </w:p>
        </w:tc>
      </w:tr>
      <w:tr w:rsidR="00244374" w:rsidRPr="0040341A" w14:paraId="0D3B50E5" w14:textId="77777777" w:rsidTr="00244374">
        <w:tc>
          <w:tcPr>
            <w:tcW w:w="9180" w:type="dxa"/>
            <w:gridSpan w:val="11"/>
            <w:tcBorders>
              <w:bottom w:val="single" w:sz="4" w:space="0" w:color="FFFFFF"/>
            </w:tcBorders>
            <w:shd w:val="clear" w:color="auto" w:fill="E2E2E2"/>
          </w:tcPr>
          <w:p w14:paraId="27268EA6" w14:textId="77777777" w:rsidR="00244374" w:rsidRPr="0040341A" w:rsidRDefault="00244374" w:rsidP="00244374">
            <w:pPr>
              <w:spacing w:after="200" w:line="276" w:lineRule="auto"/>
              <w:ind w:left="142"/>
              <w:contextualSpacing/>
              <w:rPr>
                <w:rFonts w:eastAsia="Calibri"/>
                <w:b/>
              </w:rPr>
            </w:pPr>
            <w:r w:rsidRPr="0040341A">
              <w:rPr>
                <w:rFonts w:eastAsia="Calibri"/>
                <w:b/>
              </w:rPr>
              <w:t>Názov materiálu</w:t>
            </w:r>
          </w:p>
        </w:tc>
      </w:tr>
      <w:tr w:rsidR="00244374" w:rsidRPr="0040341A" w14:paraId="5A6CD659" w14:textId="77777777" w:rsidTr="00244374">
        <w:tc>
          <w:tcPr>
            <w:tcW w:w="9180" w:type="dxa"/>
            <w:gridSpan w:val="11"/>
            <w:tcBorders>
              <w:top w:val="single" w:sz="4" w:space="0" w:color="FFFFFF"/>
              <w:bottom w:val="single" w:sz="4" w:space="0" w:color="auto"/>
            </w:tcBorders>
          </w:tcPr>
          <w:p w14:paraId="379B2BD2" w14:textId="77777777" w:rsidR="00244374" w:rsidRPr="0040341A" w:rsidRDefault="00244374" w:rsidP="00244374">
            <w:pPr>
              <w:rPr>
                <w:rFonts w:eastAsia="Times New Roman"/>
                <w:sz w:val="20"/>
                <w:szCs w:val="20"/>
                <w:lang w:eastAsia="sk-SK"/>
              </w:rPr>
            </w:pPr>
            <w:r w:rsidRPr="0040341A">
              <w:rPr>
                <w:rFonts w:eastAsia="Times New Roman"/>
                <w:lang w:eastAsia="sk-SK"/>
              </w:rPr>
              <w:t>Návrh zákona, ktorým sa mení a dopĺňa zákon č. 539/2008 Z. z. o podpore regionálneho rozvoja v znení neskorších predpisov</w:t>
            </w:r>
          </w:p>
          <w:p w14:paraId="56ECEDD5" w14:textId="77777777" w:rsidR="00244374" w:rsidRPr="0040341A" w:rsidRDefault="00244374" w:rsidP="00244374">
            <w:pPr>
              <w:rPr>
                <w:rFonts w:eastAsia="Times New Roman"/>
                <w:sz w:val="20"/>
                <w:szCs w:val="20"/>
                <w:lang w:eastAsia="sk-SK"/>
              </w:rPr>
            </w:pPr>
          </w:p>
        </w:tc>
      </w:tr>
      <w:tr w:rsidR="00244374" w:rsidRPr="0040341A" w14:paraId="5E44F052" w14:textId="77777777" w:rsidTr="00244374">
        <w:tc>
          <w:tcPr>
            <w:tcW w:w="9180" w:type="dxa"/>
            <w:gridSpan w:val="11"/>
            <w:tcBorders>
              <w:top w:val="single" w:sz="4" w:space="0" w:color="auto"/>
              <w:left w:val="single" w:sz="4" w:space="0" w:color="auto"/>
              <w:bottom w:val="single" w:sz="4" w:space="0" w:color="FFFFFF"/>
            </w:tcBorders>
            <w:shd w:val="clear" w:color="auto" w:fill="E2E2E2"/>
          </w:tcPr>
          <w:p w14:paraId="1C680999" w14:textId="77777777" w:rsidR="00244374" w:rsidRPr="0040341A" w:rsidRDefault="00244374" w:rsidP="00244374">
            <w:pPr>
              <w:spacing w:after="200" w:line="276" w:lineRule="auto"/>
              <w:ind w:left="142"/>
              <w:contextualSpacing/>
              <w:rPr>
                <w:rFonts w:eastAsia="Calibri"/>
                <w:b/>
              </w:rPr>
            </w:pPr>
            <w:r w:rsidRPr="0040341A">
              <w:rPr>
                <w:rFonts w:eastAsia="Calibri"/>
                <w:b/>
              </w:rPr>
              <w:t>Predkladateľ (a spolupredkladateľ)</w:t>
            </w:r>
          </w:p>
        </w:tc>
      </w:tr>
      <w:tr w:rsidR="00244374" w:rsidRPr="0040341A" w14:paraId="0C976B80" w14:textId="77777777" w:rsidTr="00244374">
        <w:tc>
          <w:tcPr>
            <w:tcW w:w="9180" w:type="dxa"/>
            <w:gridSpan w:val="11"/>
            <w:tcBorders>
              <w:top w:val="single" w:sz="4" w:space="0" w:color="FFFFFF"/>
              <w:left w:val="single" w:sz="4" w:space="0" w:color="auto"/>
              <w:bottom w:val="single" w:sz="4" w:space="0" w:color="auto"/>
            </w:tcBorders>
            <w:shd w:val="clear" w:color="auto" w:fill="FFFFFF"/>
          </w:tcPr>
          <w:p w14:paraId="15C46D68" w14:textId="77777777" w:rsidR="00244374" w:rsidRPr="0040341A" w:rsidRDefault="00244374" w:rsidP="00244374">
            <w:pPr>
              <w:rPr>
                <w:rFonts w:eastAsia="Times New Roman"/>
                <w:lang w:eastAsia="sk-SK"/>
              </w:rPr>
            </w:pPr>
            <w:r w:rsidRPr="0040341A">
              <w:rPr>
                <w:rFonts w:eastAsia="Times New Roman"/>
                <w:lang w:eastAsia="sk-SK"/>
              </w:rPr>
              <w:t>Ministerstvo investícií, regionálneho rozvoja a informatizácie Slovenskej republiky</w:t>
            </w:r>
          </w:p>
          <w:p w14:paraId="2BA5ECAC" w14:textId="77777777" w:rsidR="00244374" w:rsidRPr="0040341A" w:rsidRDefault="00244374" w:rsidP="00244374">
            <w:pPr>
              <w:rPr>
                <w:rFonts w:eastAsia="Times New Roman"/>
                <w:sz w:val="20"/>
                <w:szCs w:val="20"/>
                <w:lang w:eastAsia="sk-SK"/>
              </w:rPr>
            </w:pPr>
          </w:p>
          <w:p w14:paraId="17755DAD" w14:textId="77777777" w:rsidR="00244374" w:rsidRPr="0040341A" w:rsidRDefault="00244374" w:rsidP="00244374">
            <w:pPr>
              <w:rPr>
                <w:rFonts w:eastAsia="Times New Roman"/>
                <w:sz w:val="20"/>
                <w:szCs w:val="20"/>
                <w:lang w:eastAsia="sk-SK"/>
              </w:rPr>
            </w:pPr>
          </w:p>
        </w:tc>
      </w:tr>
      <w:tr w:rsidR="00244374" w:rsidRPr="0040341A" w14:paraId="2F6A1629" w14:textId="77777777" w:rsidTr="00244374">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803C313" w14:textId="77777777" w:rsidR="00244374" w:rsidRPr="0040341A" w:rsidRDefault="00244374" w:rsidP="00244374">
            <w:pPr>
              <w:spacing w:after="200" w:line="276" w:lineRule="auto"/>
              <w:ind w:left="142"/>
              <w:contextualSpacing/>
              <w:rPr>
                <w:rFonts w:eastAsia="Calibri"/>
                <w:b/>
              </w:rPr>
            </w:pPr>
            <w:r w:rsidRPr="0040341A">
              <w:rPr>
                <w:rFonts w:eastAsia="Calibri"/>
                <w:b/>
              </w:rPr>
              <w:t>Charakter predkladaného materiálu</w:t>
            </w:r>
          </w:p>
        </w:tc>
        <w:sdt>
          <w:sdtPr>
            <w:rPr>
              <w:sz w:val="20"/>
              <w:szCs w:val="20"/>
              <w:lang w:eastAsia="sk-SK"/>
            </w:rPr>
            <w:id w:val="1857162047"/>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35F84DF"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72793819"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Materiál nelegislatívnej povahy</w:t>
            </w:r>
          </w:p>
        </w:tc>
      </w:tr>
      <w:tr w:rsidR="00244374" w:rsidRPr="0040341A" w14:paraId="078311C4" w14:textId="77777777" w:rsidTr="00244374">
        <w:tc>
          <w:tcPr>
            <w:tcW w:w="4212" w:type="dxa"/>
            <w:gridSpan w:val="2"/>
            <w:vMerge/>
            <w:tcBorders>
              <w:top w:val="nil"/>
              <w:left w:val="single" w:sz="4" w:space="0" w:color="auto"/>
              <w:bottom w:val="single" w:sz="4" w:space="0" w:color="FFFFFF"/>
            </w:tcBorders>
            <w:shd w:val="clear" w:color="auto" w:fill="E2E2E2"/>
          </w:tcPr>
          <w:p w14:paraId="13E0FF22" w14:textId="77777777" w:rsidR="00244374" w:rsidRPr="0040341A" w:rsidRDefault="00244374" w:rsidP="00244374">
            <w:pPr>
              <w:rPr>
                <w:rFonts w:eastAsia="Times New Roman"/>
                <w:sz w:val="20"/>
                <w:szCs w:val="20"/>
                <w:lang w:eastAsia="sk-SK"/>
              </w:rPr>
            </w:pPr>
          </w:p>
        </w:tc>
        <w:sdt>
          <w:sdtPr>
            <w:rPr>
              <w:sz w:val="20"/>
              <w:szCs w:val="20"/>
              <w:lang w:eastAsia="sk-SK"/>
            </w:rPr>
            <w:id w:val="-853334900"/>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9A885D5"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12304FD" w14:textId="77777777" w:rsidR="00244374" w:rsidRPr="0040341A" w:rsidRDefault="00244374" w:rsidP="00244374">
            <w:pPr>
              <w:ind w:left="175" w:hanging="175"/>
              <w:rPr>
                <w:rFonts w:eastAsia="Times New Roman"/>
                <w:sz w:val="20"/>
                <w:szCs w:val="20"/>
                <w:lang w:eastAsia="sk-SK"/>
              </w:rPr>
            </w:pPr>
            <w:r w:rsidRPr="0040341A">
              <w:rPr>
                <w:rFonts w:eastAsia="Times New Roman"/>
                <w:sz w:val="20"/>
                <w:szCs w:val="20"/>
                <w:lang w:eastAsia="sk-SK"/>
              </w:rPr>
              <w:t>Materiál legislatívnej povahy</w:t>
            </w:r>
          </w:p>
        </w:tc>
      </w:tr>
      <w:tr w:rsidR="00244374" w:rsidRPr="0040341A" w14:paraId="45588A5E" w14:textId="77777777" w:rsidTr="00244374">
        <w:tc>
          <w:tcPr>
            <w:tcW w:w="4212" w:type="dxa"/>
            <w:gridSpan w:val="2"/>
            <w:vMerge/>
            <w:tcBorders>
              <w:top w:val="nil"/>
              <w:left w:val="single" w:sz="4" w:space="0" w:color="auto"/>
              <w:bottom w:val="single" w:sz="4" w:space="0" w:color="auto"/>
            </w:tcBorders>
            <w:shd w:val="clear" w:color="auto" w:fill="E2E2E2"/>
          </w:tcPr>
          <w:p w14:paraId="4A4D33FD" w14:textId="77777777" w:rsidR="00244374" w:rsidRPr="0040341A" w:rsidRDefault="00244374" w:rsidP="00244374">
            <w:pPr>
              <w:rPr>
                <w:rFonts w:eastAsia="Times New Roman"/>
                <w:sz w:val="20"/>
                <w:szCs w:val="20"/>
                <w:lang w:eastAsia="sk-SK"/>
              </w:rPr>
            </w:pPr>
          </w:p>
        </w:tc>
        <w:sdt>
          <w:sdtPr>
            <w:rPr>
              <w:sz w:val="20"/>
              <w:szCs w:val="20"/>
              <w:lang w:eastAsia="sk-SK"/>
            </w:rPr>
            <w:id w:val="18573089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ED05C10"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A687B8C"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Transpozícia práva EÚ</w:t>
            </w:r>
          </w:p>
        </w:tc>
      </w:tr>
      <w:tr w:rsidR="00244374" w:rsidRPr="0040341A" w14:paraId="6DDC884A" w14:textId="77777777" w:rsidTr="00244374">
        <w:tc>
          <w:tcPr>
            <w:tcW w:w="9180" w:type="dxa"/>
            <w:gridSpan w:val="11"/>
            <w:tcBorders>
              <w:top w:val="single" w:sz="4" w:space="0" w:color="auto"/>
              <w:left w:val="single" w:sz="4" w:space="0" w:color="auto"/>
              <w:bottom w:val="single" w:sz="4" w:space="0" w:color="FFFFFF"/>
            </w:tcBorders>
            <w:shd w:val="clear" w:color="auto" w:fill="FFFFFF"/>
          </w:tcPr>
          <w:p w14:paraId="70C11030" w14:textId="77777777" w:rsidR="00244374" w:rsidRPr="0040341A" w:rsidRDefault="00244374" w:rsidP="00244374">
            <w:pPr>
              <w:rPr>
                <w:rFonts w:eastAsia="Times New Roman"/>
                <w:i/>
                <w:sz w:val="20"/>
                <w:szCs w:val="20"/>
                <w:lang w:eastAsia="sk-SK"/>
              </w:rPr>
            </w:pPr>
            <w:r w:rsidRPr="0040341A">
              <w:rPr>
                <w:rFonts w:eastAsia="Times New Roman"/>
                <w:i/>
                <w:sz w:val="20"/>
                <w:szCs w:val="20"/>
                <w:lang w:eastAsia="sk-SK"/>
              </w:rPr>
              <w:t>V prípade transpozície uveďte zoznam transponovaných predpisov:</w:t>
            </w:r>
          </w:p>
          <w:p w14:paraId="3996EBB0" w14:textId="77777777" w:rsidR="00244374" w:rsidRPr="0040341A" w:rsidRDefault="00244374" w:rsidP="00244374">
            <w:pPr>
              <w:rPr>
                <w:rFonts w:eastAsia="Times New Roman"/>
                <w:sz w:val="20"/>
                <w:szCs w:val="20"/>
                <w:lang w:eastAsia="sk-SK"/>
              </w:rPr>
            </w:pPr>
          </w:p>
        </w:tc>
      </w:tr>
      <w:tr w:rsidR="00244374" w:rsidRPr="0040341A" w14:paraId="3D4D829F" w14:textId="77777777" w:rsidTr="00244374">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065786B" w14:textId="77777777" w:rsidR="00244374" w:rsidRPr="0040341A" w:rsidRDefault="00244374" w:rsidP="00244374">
            <w:pPr>
              <w:spacing w:after="200" w:line="276" w:lineRule="auto"/>
              <w:ind w:left="142"/>
              <w:contextualSpacing/>
              <w:rPr>
                <w:rFonts w:eastAsia="Calibri"/>
                <w:b/>
              </w:rPr>
            </w:pPr>
            <w:r w:rsidRPr="0040341A">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0FC96C54" w14:textId="77777777" w:rsidR="00244374" w:rsidRPr="0040341A" w:rsidRDefault="00244374" w:rsidP="00244374">
            <w:pPr>
              <w:rPr>
                <w:rFonts w:eastAsia="Times New Roman"/>
                <w:i/>
                <w:sz w:val="20"/>
                <w:szCs w:val="20"/>
                <w:lang w:eastAsia="sk-SK"/>
              </w:rPr>
            </w:pPr>
          </w:p>
        </w:tc>
      </w:tr>
      <w:tr w:rsidR="00244374" w:rsidRPr="0040341A" w14:paraId="5D4F306F" w14:textId="77777777" w:rsidTr="0024437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198D8C3" w14:textId="77777777" w:rsidR="00244374" w:rsidRPr="0040341A" w:rsidRDefault="00244374" w:rsidP="00244374">
            <w:pPr>
              <w:spacing w:after="200" w:line="276" w:lineRule="auto"/>
              <w:ind w:left="142"/>
              <w:contextualSpacing/>
              <w:rPr>
                <w:rFonts w:eastAsia="Calibri"/>
                <w:b/>
              </w:rPr>
            </w:pPr>
            <w:r w:rsidRPr="0040341A">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FC0AA39" w14:textId="77777777" w:rsidR="00244374" w:rsidRPr="0040341A" w:rsidRDefault="00244374" w:rsidP="00244374">
            <w:pPr>
              <w:rPr>
                <w:rFonts w:eastAsia="Times New Roman"/>
                <w:i/>
                <w:sz w:val="20"/>
                <w:szCs w:val="20"/>
                <w:lang w:eastAsia="sk-SK"/>
              </w:rPr>
            </w:pPr>
            <w:r w:rsidRPr="0040341A">
              <w:rPr>
                <w:rFonts w:eastAsia="Times New Roman"/>
                <w:i/>
                <w:lang w:eastAsia="sk-SK"/>
              </w:rPr>
              <w:t>od 27.10.2022 do 18.11.2022</w:t>
            </w:r>
          </w:p>
        </w:tc>
      </w:tr>
      <w:tr w:rsidR="00244374" w:rsidRPr="0040341A" w14:paraId="0793B71A" w14:textId="77777777" w:rsidTr="00244374">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2020976" w14:textId="77777777" w:rsidR="00244374" w:rsidRPr="0040341A" w:rsidRDefault="00244374" w:rsidP="00244374">
            <w:pPr>
              <w:spacing w:line="276" w:lineRule="auto"/>
              <w:ind w:left="142"/>
              <w:contextualSpacing/>
              <w:rPr>
                <w:rFonts w:eastAsia="Calibri"/>
                <w:b/>
              </w:rPr>
            </w:pPr>
            <w:r w:rsidRPr="0040341A">
              <w:rPr>
                <w:rFonts w:eastAsia="Calibri"/>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6331C65D" w14:textId="77777777" w:rsidR="00244374" w:rsidRPr="0040341A" w:rsidRDefault="00244374" w:rsidP="00244374">
            <w:pPr>
              <w:rPr>
                <w:rFonts w:eastAsia="Times New Roman"/>
                <w:i/>
                <w:sz w:val="20"/>
                <w:szCs w:val="20"/>
                <w:lang w:eastAsia="sk-SK"/>
              </w:rPr>
            </w:pPr>
            <w:r w:rsidRPr="0040341A">
              <w:rPr>
                <w:rFonts w:eastAsia="Times New Roman"/>
                <w:i/>
                <w:lang w:eastAsia="sk-SK"/>
              </w:rPr>
              <w:t>od 20.02.2023 do 27.02.2023</w:t>
            </w:r>
          </w:p>
        </w:tc>
      </w:tr>
      <w:tr w:rsidR="00244374" w:rsidRPr="0040341A" w14:paraId="254EA04F" w14:textId="77777777" w:rsidTr="0024437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8E427B4" w14:textId="77777777" w:rsidR="00244374" w:rsidRPr="0040341A" w:rsidRDefault="00244374" w:rsidP="00244374">
            <w:pPr>
              <w:spacing w:after="200" w:line="276" w:lineRule="auto"/>
              <w:ind w:left="142"/>
              <w:contextualSpacing/>
              <w:jc w:val="both"/>
              <w:rPr>
                <w:rFonts w:eastAsia="Calibri"/>
                <w:b/>
              </w:rPr>
            </w:pPr>
            <w:r w:rsidRPr="0040341A">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3D3F443" w14:textId="77777777" w:rsidR="00244374" w:rsidRPr="0040341A" w:rsidRDefault="00244374" w:rsidP="00244374">
            <w:pPr>
              <w:rPr>
                <w:rFonts w:eastAsia="Times New Roman"/>
                <w:i/>
                <w:lang w:eastAsia="sk-SK"/>
              </w:rPr>
            </w:pPr>
            <w:r w:rsidRPr="0040341A">
              <w:rPr>
                <w:rFonts w:eastAsia="Times New Roman"/>
                <w:i/>
                <w:lang w:eastAsia="sk-SK"/>
              </w:rPr>
              <w:t>marec 2023</w:t>
            </w:r>
          </w:p>
        </w:tc>
      </w:tr>
      <w:tr w:rsidR="00244374" w:rsidRPr="0040341A" w14:paraId="4FED7FA8" w14:textId="77777777" w:rsidTr="00244374">
        <w:tc>
          <w:tcPr>
            <w:tcW w:w="9180" w:type="dxa"/>
            <w:gridSpan w:val="11"/>
            <w:tcBorders>
              <w:top w:val="single" w:sz="4" w:space="0" w:color="auto"/>
              <w:left w:val="nil"/>
              <w:bottom w:val="single" w:sz="4" w:space="0" w:color="auto"/>
              <w:right w:val="nil"/>
            </w:tcBorders>
            <w:shd w:val="clear" w:color="auto" w:fill="FFFFFF"/>
          </w:tcPr>
          <w:p w14:paraId="5468B4D0" w14:textId="77777777" w:rsidR="00244374" w:rsidRPr="0040341A" w:rsidRDefault="00244374" w:rsidP="00244374">
            <w:pPr>
              <w:rPr>
                <w:rFonts w:eastAsia="Times New Roman"/>
                <w:sz w:val="20"/>
                <w:szCs w:val="20"/>
                <w:lang w:eastAsia="sk-SK"/>
              </w:rPr>
            </w:pPr>
          </w:p>
        </w:tc>
      </w:tr>
      <w:tr w:rsidR="00244374" w:rsidRPr="0040341A" w14:paraId="74973345" w14:textId="77777777" w:rsidTr="0024437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5471FAE" w14:textId="77777777" w:rsidR="00244374" w:rsidRPr="0040341A" w:rsidRDefault="00244374" w:rsidP="00244374">
            <w:pPr>
              <w:numPr>
                <w:ilvl w:val="0"/>
                <w:numId w:val="6"/>
              </w:numPr>
              <w:ind w:left="426"/>
              <w:contextualSpacing/>
              <w:rPr>
                <w:rFonts w:eastAsia="Calibri"/>
                <w:b/>
              </w:rPr>
            </w:pPr>
            <w:r w:rsidRPr="0040341A">
              <w:rPr>
                <w:rFonts w:eastAsia="Calibri"/>
                <w:b/>
              </w:rPr>
              <w:t>Definovanie problému</w:t>
            </w:r>
          </w:p>
        </w:tc>
      </w:tr>
      <w:tr w:rsidR="00244374" w:rsidRPr="0040341A" w14:paraId="7F36AC71" w14:textId="77777777" w:rsidTr="00244374">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796CED5" w14:textId="77777777" w:rsidR="00244374" w:rsidRPr="0040341A" w:rsidRDefault="00244374" w:rsidP="00244374">
            <w:pPr>
              <w:jc w:val="both"/>
              <w:rPr>
                <w:rFonts w:eastAsia="Times New Roman"/>
                <w:iCs/>
                <w:lang w:eastAsia="sk-SK"/>
              </w:rPr>
            </w:pPr>
            <w:r w:rsidRPr="0040341A">
              <w:rPr>
                <w:rFonts w:eastAsia="Times New Roman"/>
                <w:iCs/>
                <w:lang w:eastAsia="sk-SK"/>
              </w:rPr>
              <w:t xml:space="preserve">Návrh zákona upravuje mechanizmus mimo dopytového výberu projektov v rámci podpory regionálneho rozvoja. Potreba legislatívneho ukotvenia prepojenia integrovaných územných stratégií a programov hospodárskeho rozvoja a sociálneho rozvoja, ktoré sú hlavným nástrojom podpory integrovaného územného rozvoja z fondov Európskej únie na úrovni regiónov. Potreba legislatívnej úpravy Rád partnerstva a Kooperačných rád udržateľného mestského rozvoja. Návrh zákona je vypracovaný na základe záväzkov vlády Slovenskej republiky v oblasti zlepšenia procesov podpory regionálneho rozvoja s cieľom vyrovnávania regionálnych rozdielov vyplývajúcich z Programového vyhlásenia vlády Slovenskej republiky na roky 2021-2024. </w:t>
            </w:r>
          </w:p>
          <w:p w14:paraId="1F89A975" w14:textId="77777777" w:rsidR="00244374" w:rsidRPr="0040341A" w:rsidRDefault="00244374" w:rsidP="00244374">
            <w:pPr>
              <w:rPr>
                <w:rFonts w:eastAsia="Times New Roman"/>
                <w:b/>
                <w:sz w:val="20"/>
                <w:szCs w:val="20"/>
                <w:lang w:eastAsia="sk-SK"/>
              </w:rPr>
            </w:pPr>
          </w:p>
        </w:tc>
      </w:tr>
      <w:tr w:rsidR="00244374" w:rsidRPr="0040341A" w14:paraId="76EC8A4B" w14:textId="77777777" w:rsidTr="00244374">
        <w:tc>
          <w:tcPr>
            <w:tcW w:w="9180" w:type="dxa"/>
            <w:gridSpan w:val="11"/>
            <w:tcBorders>
              <w:top w:val="single" w:sz="4" w:space="0" w:color="auto"/>
              <w:left w:val="single" w:sz="4" w:space="0" w:color="auto"/>
              <w:bottom w:val="nil"/>
              <w:right w:val="single" w:sz="4" w:space="0" w:color="auto"/>
            </w:tcBorders>
            <w:shd w:val="clear" w:color="auto" w:fill="E2E2E2"/>
          </w:tcPr>
          <w:p w14:paraId="6F825B11" w14:textId="77777777" w:rsidR="00244374" w:rsidRPr="0040341A" w:rsidRDefault="00244374" w:rsidP="00244374">
            <w:pPr>
              <w:numPr>
                <w:ilvl w:val="0"/>
                <w:numId w:val="6"/>
              </w:numPr>
              <w:ind w:left="426"/>
              <w:contextualSpacing/>
              <w:rPr>
                <w:rFonts w:eastAsia="Calibri"/>
                <w:b/>
              </w:rPr>
            </w:pPr>
            <w:r w:rsidRPr="0040341A">
              <w:rPr>
                <w:rFonts w:eastAsia="Calibri"/>
                <w:b/>
              </w:rPr>
              <w:t>Ciele a výsledný stav</w:t>
            </w:r>
          </w:p>
        </w:tc>
      </w:tr>
      <w:tr w:rsidR="00244374" w:rsidRPr="0040341A" w14:paraId="1D74E81A" w14:textId="77777777" w:rsidTr="00244374">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B824778" w14:textId="77777777" w:rsidR="00244374" w:rsidRPr="0040341A" w:rsidRDefault="00244374" w:rsidP="00244374">
            <w:pPr>
              <w:jc w:val="both"/>
              <w:rPr>
                <w:rFonts w:eastAsia="Times New Roman"/>
                <w:iCs/>
                <w:lang w:eastAsia="sk-SK"/>
              </w:rPr>
            </w:pPr>
            <w:r w:rsidRPr="0040341A">
              <w:rPr>
                <w:rFonts w:eastAsia="Times New Roman"/>
                <w:iCs/>
                <w:lang w:eastAsia="sk-SK"/>
              </w:rPr>
              <w:t xml:space="preserve">Cieľom návrhu zákona je aproximácia k legislatívnej úprave zákona č. 121/2022 Z. z. o príspevkoch z fondov Európskej únie </w:t>
            </w:r>
            <w:proofErr w:type="gramStart"/>
            <w:r w:rsidRPr="0040341A">
              <w:rPr>
                <w:rFonts w:eastAsia="Times New Roman"/>
                <w:iCs/>
                <w:lang w:eastAsia="sk-SK"/>
              </w:rPr>
              <w:t>a</w:t>
            </w:r>
            <w:proofErr w:type="gramEnd"/>
            <w:r w:rsidRPr="0040341A">
              <w:rPr>
                <w:rFonts w:eastAsia="Times New Roman"/>
                <w:iCs/>
                <w:lang w:eastAsia="sk-SK"/>
              </w:rPr>
              <w:t> o zmene a doplnení niektorých zákonov za účelom efektívnejšieho využitia zdrojov z európskych fondov vzhľadom na územné potreby. Decentralizácia podpory regionálneho rozvoja, prostredníctvom Rád partnerstva a Kooperačných rád udržateľného mestského rozvoja, ktorých cieľom je implementácia mimo dopytového výberu projektov, prostredníctvom integrovaných územných investícií vychádzajúcich z integrovaných územných stratégií.</w:t>
            </w:r>
          </w:p>
          <w:p w14:paraId="7FFCB9E8" w14:textId="77777777" w:rsidR="00244374" w:rsidRPr="0040341A" w:rsidRDefault="00244374" w:rsidP="00244374">
            <w:pPr>
              <w:rPr>
                <w:rFonts w:eastAsia="Times New Roman"/>
                <w:sz w:val="20"/>
                <w:szCs w:val="20"/>
                <w:lang w:eastAsia="sk-SK"/>
              </w:rPr>
            </w:pPr>
          </w:p>
        </w:tc>
      </w:tr>
      <w:tr w:rsidR="00244374" w:rsidRPr="0040341A" w14:paraId="7293E478" w14:textId="77777777" w:rsidTr="00244374">
        <w:tc>
          <w:tcPr>
            <w:tcW w:w="9180" w:type="dxa"/>
            <w:gridSpan w:val="11"/>
            <w:tcBorders>
              <w:top w:val="single" w:sz="4" w:space="0" w:color="auto"/>
              <w:left w:val="single" w:sz="4" w:space="0" w:color="auto"/>
              <w:bottom w:val="nil"/>
              <w:right w:val="single" w:sz="4" w:space="0" w:color="auto"/>
            </w:tcBorders>
            <w:shd w:val="clear" w:color="auto" w:fill="E2E2E2"/>
          </w:tcPr>
          <w:p w14:paraId="28F8F9CD" w14:textId="77777777" w:rsidR="00244374" w:rsidRPr="0040341A" w:rsidRDefault="00244374" w:rsidP="00244374">
            <w:pPr>
              <w:numPr>
                <w:ilvl w:val="0"/>
                <w:numId w:val="6"/>
              </w:numPr>
              <w:ind w:left="426"/>
              <w:contextualSpacing/>
              <w:rPr>
                <w:rFonts w:eastAsia="Calibri"/>
                <w:b/>
              </w:rPr>
            </w:pPr>
            <w:r w:rsidRPr="0040341A">
              <w:rPr>
                <w:rFonts w:eastAsia="Calibri"/>
                <w:b/>
              </w:rPr>
              <w:t>Dotknuté subjekty</w:t>
            </w:r>
          </w:p>
        </w:tc>
      </w:tr>
      <w:tr w:rsidR="00244374" w:rsidRPr="0040341A" w14:paraId="021D11C0" w14:textId="77777777" w:rsidTr="00244374">
        <w:tc>
          <w:tcPr>
            <w:tcW w:w="9180" w:type="dxa"/>
            <w:gridSpan w:val="11"/>
            <w:tcBorders>
              <w:top w:val="nil"/>
              <w:left w:val="single" w:sz="4" w:space="0" w:color="auto"/>
              <w:bottom w:val="single" w:sz="4" w:space="0" w:color="auto"/>
              <w:right w:val="single" w:sz="4" w:space="0" w:color="auto"/>
            </w:tcBorders>
            <w:shd w:val="clear" w:color="auto" w:fill="FFFFFF"/>
          </w:tcPr>
          <w:p w14:paraId="2EB0B5DF" w14:textId="77777777" w:rsidR="00244374" w:rsidRPr="0040341A" w:rsidRDefault="00244374" w:rsidP="00244374">
            <w:pPr>
              <w:rPr>
                <w:rFonts w:eastAsia="Times New Roman"/>
                <w:b/>
                <w:lang w:eastAsia="sk-SK"/>
              </w:rPr>
            </w:pPr>
            <w:r w:rsidRPr="0040341A">
              <w:rPr>
                <w:rFonts w:eastAsia="Times New Roman"/>
                <w:lang w:eastAsia="sk-SK"/>
              </w:rPr>
              <w:t xml:space="preserve">Vyššie územné celky, mestá </w:t>
            </w:r>
            <w:proofErr w:type="gramStart"/>
            <w:r w:rsidRPr="0040341A">
              <w:rPr>
                <w:rFonts w:eastAsia="Times New Roman"/>
                <w:lang w:eastAsia="sk-SK"/>
              </w:rPr>
              <w:t>a</w:t>
            </w:r>
            <w:proofErr w:type="gramEnd"/>
            <w:r w:rsidRPr="0040341A">
              <w:rPr>
                <w:rFonts w:eastAsia="Times New Roman"/>
                <w:lang w:eastAsia="sk-SK"/>
              </w:rPr>
              <w:t> obce na území udržateľného mestského rozvoja.</w:t>
            </w:r>
          </w:p>
          <w:p w14:paraId="4C3E039A" w14:textId="77777777" w:rsidR="00244374" w:rsidRPr="0040341A" w:rsidRDefault="00244374" w:rsidP="00244374">
            <w:pPr>
              <w:rPr>
                <w:rFonts w:eastAsia="Times New Roman"/>
                <w:i/>
                <w:sz w:val="20"/>
                <w:szCs w:val="20"/>
                <w:lang w:eastAsia="sk-SK"/>
              </w:rPr>
            </w:pPr>
          </w:p>
        </w:tc>
      </w:tr>
      <w:tr w:rsidR="00244374" w:rsidRPr="0040341A" w14:paraId="6FB242C6" w14:textId="77777777" w:rsidTr="00244374">
        <w:tc>
          <w:tcPr>
            <w:tcW w:w="9180" w:type="dxa"/>
            <w:gridSpan w:val="11"/>
            <w:tcBorders>
              <w:top w:val="single" w:sz="4" w:space="0" w:color="auto"/>
              <w:left w:val="single" w:sz="4" w:space="0" w:color="auto"/>
              <w:bottom w:val="nil"/>
              <w:right w:val="single" w:sz="4" w:space="0" w:color="auto"/>
            </w:tcBorders>
            <w:shd w:val="clear" w:color="auto" w:fill="E2E2E2"/>
          </w:tcPr>
          <w:p w14:paraId="303EAE52" w14:textId="77777777" w:rsidR="00244374" w:rsidRPr="0040341A" w:rsidRDefault="00244374" w:rsidP="00244374">
            <w:pPr>
              <w:numPr>
                <w:ilvl w:val="0"/>
                <w:numId w:val="6"/>
              </w:numPr>
              <w:ind w:left="426"/>
              <w:contextualSpacing/>
              <w:rPr>
                <w:rFonts w:eastAsia="Calibri"/>
                <w:b/>
              </w:rPr>
            </w:pPr>
            <w:r w:rsidRPr="0040341A">
              <w:rPr>
                <w:rFonts w:eastAsia="Calibri"/>
                <w:b/>
              </w:rPr>
              <w:t>Alternatívne riešenia</w:t>
            </w:r>
          </w:p>
        </w:tc>
      </w:tr>
      <w:tr w:rsidR="00244374" w:rsidRPr="0040341A" w14:paraId="3E82D8D8" w14:textId="77777777" w:rsidTr="00244374">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24B8A59C" w14:textId="77777777" w:rsidR="00244374" w:rsidRPr="0040341A" w:rsidRDefault="00244374" w:rsidP="00244374">
            <w:pPr>
              <w:jc w:val="both"/>
              <w:rPr>
                <w:rFonts w:eastAsia="Times New Roman"/>
                <w:iCs/>
                <w:lang w:eastAsia="sk-SK"/>
              </w:rPr>
            </w:pPr>
            <w:r w:rsidRPr="0040341A">
              <w:rPr>
                <w:rFonts w:eastAsia="Times New Roman"/>
                <w:i/>
                <w:iCs/>
                <w:lang w:eastAsia="sk-SK"/>
              </w:rPr>
              <w:lastRenderedPageBreak/>
              <w:t xml:space="preserve">Nulový variant - </w:t>
            </w:r>
            <w:r w:rsidRPr="0040341A">
              <w:rPr>
                <w:rFonts w:eastAsia="Times New Roman"/>
                <w:iCs/>
                <w:lang w:eastAsia="sk-SK"/>
              </w:rPr>
              <w:t>ponechanie súčasného stavu.</w:t>
            </w:r>
          </w:p>
          <w:p w14:paraId="5AB618ED" w14:textId="77777777" w:rsidR="00244374" w:rsidRPr="0040341A" w:rsidRDefault="00244374" w:rsidP="00244374">
            <w:pPr>
              <w:jc w:val="both"/>
            </w:pPr>
            <w:r w:rsidRPr="0040341A">
              <w:rPr>
                <w:rStyle w:val="ui-provider"/>
              </w:rPr>
              <w:t xml:space="preserve">Bude pretrvávať terminologicky a legislatívny nesúlad medzi zákonom </w:t>
            </w:r>
            <w:r w:rsidRPr="0040341A">
              <w:rPr>
                <w:rFonts w:eastAsia="Times New Roman"/>
                <w:iCs/>
                <w:lang w:eastAsia="sk-SK"/>
              </w:rPr>
              <w:t xml:space="preserve">č. 121/2022 Z. z. o príspevkoch z fondov Európskej únie a o zmene a doplnení niektorých zákonov a zákonom č. 539/2008 </w:t>
            </w:r>
            <w:r w:rsidRPr="0040341A">
              <w:rPr>
                <w:rFonts w:eastAsia="Times New Roman"/>
                <w:lang w:eastAsia="sk-SK"/>
              </w:rPr>
              <w:t>Z. z. o podpore regionálneho rozvoja v znení neskorších predpisov, čo môže viesť k ohrozeniu plynulého čerpania prostriedkov z fondov Európskej únie v regiónoch.</w:t>
            </w:r>
            <w:r w:rsidRPr="0040341A" w:rsidDel="00CD0F6F">
              <w:rPr>
                <w:rFonts w:eastAsia="Times New Roman"/>
                <w:lang w:eastAsia="sk-SK"/>
              </w:rPr>
              <w:t xml:space="preserve"> </w:t>
            </w:r>
            <w:r w:rsidRPr="0040341A">
              <w:t xml:space="preserve">Absentujúca možnosť flexibilnejšieho reagovania na zmeny cenových hladín jednotlivých tovarov a služieb, ktoré môžu ohroziť samotnú realizáciu schválených a zazmluvnených projektov. </w:t>
            </w:r>
          </w:p>
          <w:p w14:paraId="16E73256" w14:textId="77777777" w:rsidR="00244374" w:rsidRPr="0040341A" w:rsidRDefault="00244374" w:rsidP="00244374">
            <w:pPr>
              <w:jc w:val="both"/>
              <w:rPr>
                <w:rFonts w:eastAsia="Times New Roman"/>
                <w:i/>
                <w:sz w:val="20"/>
                <w:szCs w:val="20"/>
                <w:lang w:eastAsia="sk-SK"/>
              </w:rPr>
            </w:pPr>
          </w:p>
        </w:tc>
      </w:tr>
      <w:tr w:rsidR="00244374" w:rsidRPr="0040341A" w14:paraId="089EE624" w14:textId="77777777" w:rsidTr="0024437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CC5BAE0" w14:textId="77777777" w:rsidR="00244374" w:rsidRPr="0040341A" w:rsidRDefault="00244374" w:rsidP="00244374">
            <w:pPr>
              <w:numPr>
                <w:ilvl w:val="0"/>
                <w:numId w:val="6"/>
              </w:numPr>
              <w:ind w:left="426"/>
              <w:contextualSpacing/>
              <w:rPr>
                <w:rFonts w:eastAsia="Calibri"/>
                <w:b/>
              </w:rPr>
            </w:pPr>
            <w:r w:rsidRPr="0040341A">
              <w:rPr>
                <w:rFonts w:eastAsia="Calibri"/>
                <w:b/>
              </w:rPr>
              <w:t>Vykonávacie predpisy</w:t>
            </w:r>
          </w:p>
        </w:tc>
      </w:tr>
      <w:tr w:rsidR="00244374" w:rsidRPr="0040341A" w14:paraId="12DF0BF4" w14:textId="77777777" w:rsidTr="00244374">
        <w:tc>
          <w:tcPr>
            <w:tcW w:w="6203" w:type="dxa"/>
            <w:gridSpan w:val="7"/>
            <w:tcBorders>
              <w:top w:val="single" w:sz="4" w:space="0" w:color="FFFFFF"/>
              <w:left w:val="single" w:sz="4" w:space="0" w:color="auto"/>
              <w:bottom w:val="nil"/>
              <w:right w:val="nil"/>
            </w:tcBorders>
            <w:shd w:val="clear" w:color="auto" w:fill="FFFFFF"/>
          </w:tcPr>
          <w:p w14:paraId="52EFA07C" w14:textId="77777777" w:rsidR="00244374" w:rsidRPr="0040341A" w:rsidRDefault="00244374" w:rsidP="00244374">
            <w:pPr>
              <w:rPr>
                <w:rFonts w:eastAsia="Times New Roman"/>
                <w:i/>
                <w:sz w:val="20"/>
                <w:szCs w:val="20"/>
                <w:lang w:eastAsia="sk-SK"/>
              </w:rPr>
            </w:pPr>
            <w:r w:rsidRPr="0040341A">
              <w:rPr>
                <w:rFonts w:eastAsia="Times New Roman"/>
                <w:i/>
                <w:sz w:val="20"/>
                <w:szCs w:val="20"/>
                <w:lang w:eastAsia="sk-SK"/>
              </w:rPr>
              <w:t>Predpokladá sa prijatie/</w:t>
            </w:r>
            <w:proofErr w:type="gramStart"/>
            <w:r w:rsidRPr="0040341A">
              <w:rPr>
                <w:rFonts w:eastAsia="Times New Roman"/>
                <w:i/>
                <w:sz w:val="20"/>
                <w:szCs w:val="20"/>
                <w:lang w:eastAsia="sk-SK"/>
              </w:rPr>
              <w:t>zmena  vykonávacích</w:t>
            </w:r>
            <w:proofErr w:type="gramEnd"/>
            <w:r w:rsidRPr="0040341A">
              <w:rPr>
                <w:rFonts w:eastAsia="Times New Roman"/>
                <w:i/>
                <w:sz w:val="20"/>
                <w:szCs w:val="20"/>
                <w:lang w:eastAsia="sk-SK"/>
              </w:rPr>
              <w:t xml:space="preserve"> predpisov?</w:t>
            </w:r>
          </w:p>
        </w:tc>
        <w:tc>
          <w:tcPr>
            <w:tcW w:w="1417" w:type="dxa"/>
            <w:gridSpan w:val="2"/>
            <w:tcBorders>
              <w:top w:val="single" w:sz="4" w:space="0" w:color="FFFFFF"/>
              <w:left w:val="nil"/>
              <w:bottom w:val="nil"/>
              <w:right w:val="nil"/>
            </w:tcBorders>
            <w:shd w:val="clear" w:color="auto" w:fill="FFFFFF"/>
          </w:tcPr>
          <w:p w14:paraId="4DEC91BC" w14:textId="77777777" w:rsidR="00244374" w:rsidRPr="0040341A" w:rsidRDefault="00A13ABC" w:rsidP="00244374">
            <w:pPr>
              <w:jc w:val="center"/>
              <w:rPr>
                <w:rFonts w:eastAsia="Times New Roman"/>
                <w:b/>
                <w:sz w:val="20"/>
                <w:szCs w:val="20"/>
                <w:lang w:eastAsia="sk-SK"/>
              </w:rPr>
            </w:pPr>
            <w:sdt>
              <w:sdtPr>
                <w:rPr>
                  <w:b/>
                  <w:sz w:val="20"/>
                  <w:szCs w:val="20"/>
                  <w:lang w:eastAsia="sk-SK"/>
                </w:rPr>
                <w:id w:val="802819292"/>
                <w14:checkbox>
                  <w14:checked w14:val="0"/>
                  <w14:checkedState w14:val="2612" w14:font="MS Gothic"/>
                  <w14:uncheckedState w14:val="2610" w14:font="MS Gothic"/>
                </w14:checkbox>
              </w:sdtPr>
              <w:sdtEndPr/>
              <w:sdtContent>
                <w:r w:rsidR="00244374" w:rsidRPr="0040341A">
                  <w:rPr>
                    <w:rFonts w:ascii="Segoe UI Symbol" w:eastAsia="MS Gothic" w:hAnsi="Segoe UI Symbol" w:cs="Segoe UI Symbol"/>
                    <w:b/>
                    <w:sz w:val="20"/>
                    <w:szCs w:val="20"/>
                    <w:lang w:eastAsia="sk-SK"/>
                  </w:rPr>
                  <w:t>☐</w:t>
                </w:r>
              </w:sdtContent>
            </w:sdt>
            <w:r w:rsidR="00244374" w:rsidRPr="0040341A">
              <w:rPr>
                <w:rFonts w:eastAsia="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79FA73A" w14:textId="77777777" w:rsidR="00244374" w:rsidRPr="0040341A" w:rsidRDefault="00A13ABC" w:rsidP="00244374">
            <w:pPr>
              <w:jc w:val="center"/>
              <w:rPr>
                <w:rFonts w:eastAsia="Times New Roman"/>
                <w:b/>
                <w:sz w:val="20"/>
                <w:szCs w:val="20"/>
                <w:lang w:eastAsia="sk-SK"/>
              </w:rPr>
            </w:pPr>
            <w:sdt>
              <w:sdtPr>
                <w:rPr>
                  <w:b/>
                  <w:sz w:val="20"/>
                  <w:szCs w:val="20"/>
                  <w:lang w:eastAsia="sk-SK"/>
                </w:rPr>
                <w:id w:val="-1873446902"/>
                <w14:checkbox>
                  <w14:checked w14:val="1"/>
                  <w14:checkedState w14:val="2612" w14:font="MS Gothic"/>
                  <w14:uncheckedState w14:val="2610" w14:font="MS Gothic"/>
                </w14:checkbox>
              </w:sdtPr>
              <w:sdtEndPr/>
              <w:sdtContent>
                <w:r w:rsidR="00244374" w:rsidRPr="0040341A">
                  <w:rPr>
                    <w:rFonts w:ascii="Segoe UI Symbol" w:eastAsia="MS Gothic" w:hAnsi="Segoe UI Symbol" w:cs="Segoe UI Symbol"/>
                    <w:b/>
                    <w:sz w:val="20"/>
                    <w:szCs w:val="20"/>
                    <w:lang w:eastAsia="sk-SK"/>
                  </w:rPr>
                  <w:t>☒</w:t>
                </w:r>
              </w:sdtContent>
            </w:sdt>
            <w:r w:rsidR="00244374" w:rsidRPr="0040341A">
              <w:rPr>
                <w:rFonts w:eastAsia="Times New Roman"/>
                <w:b/>
                <w:sz w:val="20"/>
                <w:szCs w:val="20"/>
                <w:lang w:eastAsia="sk-SK"/>
              </w:rPr>
              <w:t xml:space="preserve">  Nie</w:t>
            </w:r>
          </w:p>
        </w:tc>
      </w:tr>
      <w:tr w:rsidR="00244374" w:rsidRPr="0040341A" w14:paraId="3AC2DF9A" w14:textId="77777777" w:rsidTr="00244374">
        <w:tc>
          <w:tcPr>
            <w:tcW w:w="9180" w:type="dxa"/>
            <w:gridSpan w:val="11"/>
            <w:tcBorders>
              <w:top w:val="nil"/>
              <w:left w:val="single" w:sz="4" w:space="0" w:color="auto"/>
              <w:bottom w:val="single" w:sz="4" w:space="0" w:color="auto"/>
              <w:right w:val="single" w:sz="4" w:space="0" w:color="auto"/>
            </w:tcBorders>
            <w:shd w:val="clear" w:color="auto" w:fill="FFFFFF"/>
          </w:tcPr>
          <w:p w14:paraId="11DA45BE" w14:textId="77777777" w:rsidR="00244374" w:rsidRPr="0040341A" w:rsidRDefault="00244374" w:rsidP="00244374">
            <w:pPr>
              <w:rPr>
                <w:rFonts w:eastAsia="Times New Roman"/>
                <w:i/>
                <w:sz w:val="20"/>
                <w:szCs w:val="20"/>
                <w:lang w:eastAsia="sk-SK"/>
              </w:rPr>
            </w:pPr>
            <w:r w:rsidRPr="0040341A">
              <w:rPr>
                <w:rFonts w:eastAsia="Times New Roman"/>
                <w:i/>
                <w:sz w:val="20"/>
                <w:szCs w:val="20"/>
                <w:lang w:eastAsia="sk-SK"/>
              </w:rPr>
              <w:t>Ak áno, uveďte ktoré oblasti budú nimi upravené, resp. ktorých vykonávacích predpisov sa zmena dotkne:</w:t>
            </w:r>
          </w:p>
          <w:p w14:paraId="7DB2430A" w14:textId="77777777" w:rsidR="00244374" w:rsidRPr="0040341A" w:rsidRDefault="00244374" w:rsidP="00244374">
            <w:pPr>
              <w:rPr>
                <w:rFonts w:eastAsia="Times New Roman"/>
                <w:sz w:val="20"/>
                <w:szCs w:val="20"/>
                <w:lang w:eastAsia="sk-SK"/>
              </w:rPr>
            </w:pPr>
          </w:p>
        </w:tc>
      </w:tr>
      <w:tr w:rsidR="00244374" w:rsidRPr="0040341A" w14:paraId="2F439E1B" w14:textId="77777777" w:rsidTr="0024437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108F248" w14:textId="77777777" w:rsidR="00244374" w:rsidRPr="0040341A" w:rsidRDefault="00244374" w:rsidP="00244374">
            <w:pPr>
              <w:numPr>
                <w:ilvl w:val="0"/>
                <w:numId w:val="6"/>
              </w:numPr>
              <w:ind w:left="426"/>
              <w:contextualSpacing/>
              <w:rPr>
                <w:rFonts w:eastAsia="Calibri"/>
                <w:b/>
              </w:rPr>
            </w:pPr>
            <w:r w:rsidRPr="0040341A">
              <w:rPr>
                <w:rFonts w:eastAsia="Calibri"/>
                <w:b/>
              </w:rPr>
              <w:t xml:space="preserve">Transpozícia práva EÚ </w:t>
            </w:r>
          </w:p>
        </w:tc>
      </w:tr>
      <w:tr w:rsidR="00244374" w:rsidRPr="0040341A" w14:paraId="63AF157D" w14:textId="77777777" w:rsidTr="00244374">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244374" w:rsidRPr="0040341A" w14:paraId="5B183B94" w14:textId="77777777" w:rsidTr="00244374">
              <w:trPr>
                <w:trHeight w:val="90"/>
              </w:trPr>
              <w:tc>
                <w:tcPr>
                  <w:tcW w:w="8643" w:type="dxa"/>
                </w:tcPr>
                <w:p w14:paraId="50154581" w14:textId="77777777" w:rsidR="00244374" w:rsidRPr="0040341A" w:rsidRDefault="00244374" w:rsidP="00244374">
                  <w:pPr>
                    <w:pStyle w:val="Default"/>
                    <w:rPr>
                      <w:rFonts w:ascii="Times New Roman" w:hAnsi="Times New Roman" w:cs="Times New Roman"/>
                      <w:color w:val="auto"/>
                      <w:sz w:val="20"/>
                      <w:szCs w:val="20"/>
                    </w:rPr>
                  </w:pPr>
                  <w:r w:rsidRPr="0040341A">
                    <w:rPr>
                      <w:rFonts w:ascii="Times New Roman" w:hAnsi="Times New Roman" w:cs="Times New Roman"/>
                      <w:i/>
                      <w:iCs/>
                      <w:color w:val="auto"/>
                      <w:sz w:val="20"/>
                      <w:szCs w:val="20"/>
                    </w:rPr>
                    <w:t xml:space="preserve">Uveďte, či v predkladanom návrhu právneho predpisu dochádza ku goldplatingu podľa tabuľky zhody. </w:t>
                  </w:r>
                </w:p>
              </w:tc>
            </w:tr>
            <w:tr w:rsidR="00244374" w:rsidRPr="0040341A" w14:paraId="04B3775C" w14:textId="77777777" w:rsidTr="00244374">
              <w:trPr>
                <w:trHeight w:val="296"/>
              </w:trPr>
              <w:tc>
                <w:tcPr>
                  <w:tcW w:w="8643" w:type="dxa"/>
                </w:tcPr>
                <w:p w14:paraId="4BB2952D" w14:textId="77777777" w:rsidR="00244374" w:rsidRPr="0040341A" w:rsidRDefault="00244374" w:rsidP="00244374">
                  <w:pPr>
                    <w:pStyle w:val="Default"/>
                    <w:rPr>
                      <w:rFonts w:ascii="Times New Roman" w:hAnsi="Times New Roman" w:cs="Times New Roman"/>
                      <w:b/>
                      <w:iCs/>
                      <w:color w:val="auto"/>
                      <w:sz w:val="20"/>
                      <w:szCs w:val="20"/>
                    </w:rPr>
                  </w:pPr>
                  <w:r w:rsidRPr="0040341A">
                    <w:rPr>
                      <w:rFonts w:ascii="Times New Roman" w:hAnsi="Times New Roman" w:cs="Times New Roman"/>
                      <w:b/>
                      <w:iCs/>
                      <w:color w:val="auto"/>
                      <w:sz w:val="20"/>
                      <w:szCs w:val="20"/>
                    </w:rPr>
                    <w:t xml:space="preserve">                                                                                                                               </w:t>
                  </w:r>
                  <w:sdt>
                    <w:sdtPr>
                      <w:rPr>
                        <w:rFonts w:ascii="Times New Roman" w:hAnsi="Times New Roman" w:cs="Times New Roman"/>
                        <w:b/>
                        <w:iCs/>
                        <w:color w:val="auto"/>
                        <w:sz w:val="20"/>
                        <w:szCs w:val="20"/>
                      </w:rPr>
                      <w:id w:val="1614706761"/>
                      <w14:checkbox>
                        <w14:checked w14:val="0"/>
                        <w14:checkedState w14:val="2612" w14:font="MS Gothic"/>
                        <w14:uncheckedState w14:val="2610" w14:font="MS Gothic"/>
                      </w14:checkbox>
                    </w:sdtPr>
                    <w:sdtEndPr/>
                    <w:sdtContent>
                      <w:r w:rsidRPr="0040341A">
                        <w:rPr>
                          <w:rFonts w:ascii="Segoe UI Symbol" w:eastAsia="MS Gothic" w:hAnsi="Segoe UI Symbol" w:cs="Segoe UI Symbol"/>
                          <w:b/>
                          <w:iCs/>
                          <w:color w:val="auto"/>
                          <w:sz w:val="20"/>
                          <w:szCs w:val="20"/>
                        </w:rPr>
                        <w:t>☐</w:t>
                      </w:r>
                    </w:sdtContent>
                  </w:sdt>
                  <w:r w:rsidRPr="0040341A">
                    <w:rPr>
                      <w:rFonts w:ascii="Times New Roman" w:hAnsi="Times New Roman" w:cs="Times New Roman"/>
                      <w:b/>
                      <w:iCs/>
                      <w:color w:val="auto"/>
                      <w:sz w:val="20"/>
                      <w:szCs w:val="20"/>
                    </w:rPr>
                    <w:t xml:space="preserve"> Áno                  </w:t>
                  </w:r>
                  <w:sdt>
                    <w:sdtPr>
                      <w:rPr>
                        <w:rFonts w:ascii="Times New Roman" w:hAnsi="Times New Roman" w:cs="Times New Roman"/>
                        <w:b/>
                        <w:iCs/>
                        <w:color w:val="auto"/>
                        <w:sz w:val="20"/>
                        <w:szCs w:val="20"/>
                      </w:rPr>
                      <w:id w:val="-155225922"/>
                      <w14:checkbox>
                        <w14:checked w14:val="1"/>
                        <w14:checkedState w14:val="2612" w14:font="MS Gothic"/>
                        <w14:uncheckedState w14:val="2610" w14:font="MS Gothic"/>
                      </w14:checkbox>
                    </w:sdtPr>
                    <w:sdtEndPr/>
                    <w:sdtContent>
                      <w:r w:rsidRPr="0040341A">
                        <w:rPr>
                          <w:rFonts w:ascii="Segoe UI Symbol" w:eastAsia="MS Gothic" w:hAnsi="Segoe UI Symbol" w:cs="Segoe UI Symbol"/>
                          <w:b/>
                          <w:iCs/>
                          <w:color w:val="auto"/>
                          <w:sz w:val="20"/>
                          <w:szCs w:val="20"/>
                        </w:rPr>
                        <w:t>☒</w:t>
                      </w:r>
                    </w:sdtContent>
                  </w:sdt>
                  <w:r w:rsidRPr="0040341A">
                    <w:rPr>
                      <w:rFonts w:ascii="Times New Roman" w:hAnsi="Times New Roman" w:cs="Times New Roman"/>
                      <w:b/>
                      <w:iCs/>
                      <w:color w:val="auto"/>
                      <w:sz w:val="20"/>
                      <w:szCs w:val="20"/>
                    </w:rPr>
                    <w:t xml:space="preserve"> Nie</w:t>
                  </w:r>
                </w:p>
                <w:p w14:paraId="1D11B538" w14:textId="77777777" w:rsidR="00244374" w:rsidRPr="0040341A" w:rsidRDefault="00244374" w:rsidP="00244374">
                  <w:pPr>
                    <w:pStyle w:val="Default"/>
                    <w:rPr>
                      <w:rFonts w:ascii="Times New Roman" w:hAnsi="Times New Roman" w:cs="Times New Roman"/>
                      <w:i/>
                      <w:iCs/>
                      <w:color w:val="auto"/>
                      <w:sz w:val="20"/>
                      <w:szCs w:val="20"/>
                    </w:rPr>
                  </w:pPr>
                </w:p>
                <w:p w14:paraId="4B61DEF7" w14:textId="77777777" w:rsidR="00244374" w:rsidRPr="0040341A" w:rsidRDefault="00244374" w:rsidP="00244374">
                  <w:pPr>
                    <w:pStyle w:val="Default"/>
                    <w:rPr>
                      <w:rFonts w:ascii="Times New Roman" w:hAnsi="Times New Roman" w:cs="Times New Roman"/>
                      <w:color w:val="auto"/>
                      <w:sz w:val="20"/>
                      <w:szCs w:val="20"/>
                    </w:rPr>
                  </w:pPr>
                  <w:r w:rsidRPr="0040341A">
                    <w:rPr>
                      <w:rFonts w:ascii="Times New Roman" w:hAnsi="Times New Roman" w:cs="Times New Roman"/>
                      <w:i/>
                      <w:iCs/>
                      <w:color w:val="auto"/>
                      <w:sz w:val="20"/>
                      <w:szCs w:val="20"/>
                    </w:rPr>
                    <w:t xml:space="preserve">Ak áno, uveďte, ktorých vplyvov podľa bodu 9 sa goldplating týka: </w:t>
                  </w:r>
                </w:p>
              </w:tc>
            </w:tr>
            <w:tr w:rsidR="00244374" w:rsidRPr="0040341A" w14:paraId="5C023854" w14:textId="77777777" w:rsidTr="00244374">
              <w:trPr>
                <w:trHeight w:val="296"/>
              </w:trPr>
              <w:tc>
                <w:tcPr>
                  <w:tcW w:w="8643" w:type="dxa"/>
                </w:tcPr>
                <w:p w14:paraId="73F6BECA" w14:textId="77777777" w:rsidR="00244374" w:rsidRPr="0040341A" w:rsidRDefault="00244374" w:rsidP="00244374">
                  <w:pPr>
                    <w:pStyle w:val="Default"/>
                    <w:rPr>
                      <w:rFonts w:ascii="Times New Roman" w:hAnsi="Times New Roman" w:cs="Times New Roman"/>
                      <w:sz w:val="20"/>
                      <w:szCs w:val="20"/>
                    </w:rPr>
                  </w:pPr>
                </w:p>
              </w:tc>
            </w:tr>
          </w:tbl>
          <w:p w14:paraId="5C37CC8D" w14:textId="77777777" w:rsidR="00244374" w:rsidRPr="0040341A" w:rsidRDefault="00244374" w:rsidP="00244374">
            <w:pPr>
              <w:jc w:val="both"/>
              <w:rPr>
                <w:rFonts w:eastAsia="Times New Roman"/>
                <w:i/>
                <w:sz w:val="20"/>
                <w:szCs w:val="20"/>
                <w:lang w:eastAsia="sk-SK"/>
              </w:rPr>
            </w:pPr>
          </w:p>
        </w:tc>
      </w:tr>
      <w:tr w:rsidR="00244374" w:rsidRPr="0040341A" w14:paraId="577DC8BB" w14:textId="77777777" w:rsidTr="00244374">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ED83533" w14:textId="77777777" w:rsidR="00244374" w:rsidRPr="0040341A" w:rsidRDefault="00244374" w:rsidP="00244374">
            <w:pPr>
              <w:jc w:val="center"/>
              <w:rPr>
                <w:rFonts w:eastAsia="Times New Roman"/>
                <w:sz w:val="20"/>
                <w:szCs w:val="20"/>
                <w:lang w:eastAsia="sk-SK"/>
              </w:rPr>
            </w:pPr>
          </w:p>
        </w:tc>
      </w:tr>
      <w:tr w:rsidR="00244374" w:rsidRPr="0040341A" w14:paraId="535BE803" w14:textId="77777777" w:rsidTr="0024437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F8A9AA8" w14:textId="77777777" w:rsidR="00244374" w:rsidRPr="0040341A" w:rsidRDefault="00244374" w:rsidP="00244374">
            <w:pPr>
              <w:numPr>
                <w:ilvl w:val="0"/>
                <w:numId w:val="6"/>
              </w:numPr>
              <w:ind w:left="426"/>
              <w:contextualSpacing/>
              <w:rPr>
                <w:rFonts w:eastAsia="Calibri"/>
                <w:b/>
              </w:rPr>
            </w:pPr>
            <w:r w:rsidRPr="0040341A">
              <w:rPr>
                <w:rFonts w:eastAsia="Calibri"/>
                <w:b/>
              </w:rPr>
              <w:t>Preskúmanie účelnosti</w:t>
            </w:r>
          </w:p>
        </w:tc>
      </w:tr>
      <w:tr w:rsidR="00244374" w:rsidRPr="0040341A" w14:paraId="5CA76303" w14:textId="77777777" w:rsidTr="00244374">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7E091C9" w14:textId="77777777" w:rsidR="00244374" w:rsidRPr="0040341A" w:rsidRDefault="00244374" w:rsidP="00244374">
            <w:pPr>
              <w:jc w:val="both"/>
              <w:rPr>
                <w:rFonts w:eastAsia="Times New Roman"/>
                <w:iCs/>
                <w:lang w:eastAsia="sk-SK"/>
              </w:rPr>
            </w:pPr>
            <w:r w:rsidRPr="0040341A">
              <w:rPr>
                <w:rFonts w:eastAsia="Times New Roman"/>
                <w:iCs/>
                <w:lang w:eastAsia="sk-SK"/>
              </w:rPr>
              <w:t xml:space="preserve">K preskúmaniu účinnosti </w:t>
            </w:r>
            <w:proofErr w:type="gramStart"/>
            <w:r w:rsidRPr="0040341A">
              <w:rPr>
                <w:rFonts w:eastAsia="Times New Roman"/>
                <w:iCs/>
                <w:lang w:eastAsia="sk-SK"/>
              </w:rPr>
              <w:t>a</w:t>
            </w:r>
            <w:proofErr w:type="gramEnd"/>
            <w:r w:rsidRPr="0040341A">
              <w:rPr>
                <w:rFonts w:eastAsia="Times New Roman"/>
                <w:iCs/>
                <w:lang w:eastAsia="sk-SK"/>
              </w:rPr>
              <w:t xml:space="preserve"> účelnosti predkladaného materiálu by malo dôjsť po 4 rokoch po nadobudnutí účinnosti tejto novely zákona.</w:t>
            </w:r>
          </w:p>
          <w:p w14:paraId="4D458590" w14:textId="77777777" w:rsidR="00244374" w:rsidRPr="0040341A" w:rsidRDefault="00244374" w:rsidP="00244374">
            <w:pPr>
              <w:jc w:val="both"/>
              <w:rPr>
                <w:rFonts w:eastAsia="Times New Roman"/>
                <w:iCs/>
                <w:lang w:eastAsia="sk-SK"/>
              </w:rPr>
            </w:pPr>
            <w:r w:rsidRPr="0040341A">
              <w:rPr>
                <w:rFonts w:eastAsia="Times New Roman"/>
                <w:iCs/>
                <w:lang w:eastAsia="sk-SK"/>
              </w:rPr>
              <w:t xml:space="preserve">Kritéria: </w:t>
            </w:r>
          </w:p>
          <w:p w14:paraId="7F21D254" w14:textId="77777777" w:rsidR="00244374" w:rsidRPr="0040341A" w:rsidRDefault="00244374" w:rsidP="00244374">
            <w:pPr>
              <w:pStyle w:val="Odsekzoznamu"/>
              <w:numPr>
                <w:ilvl w:val="0"/>
                <w:numId w:val="13"/>
              </w:numPr>
              <w:spacing w:after="0" w:line="240" w:lineRule="auto"/>
              <w:ind w:left="306" w:hanging="284"/>
              <w:jc w:val="both"/>
              <w:rPr>
                <w:rFonts w:ascii="Times New Roman" w:eastAsia="Times New Roman" w:hAnsi="Times New Roman"/>
                <w:iCs/>
                <w:lang w:eastAsia="sk-SK"/>
              </w:rPr>
            </w:pPr>
            <w:r w:rsidRPr="0040341A">
              <w:rPr>
                <w:rFonts w:ascii="Times New Roman" w:eastAsia="Times New Roman" w:hAnsi="Times New Roman"/>
                <w:iCs/>
                <w:lang w:eastAsia="sk-SK"/>
              </w:rPr>
              <w:t>počet výziev, u ktorých boli navýšené disponibilné finančné prostriedky a ich finančné vyjadrenie,</w:t>
            </w:r>
          </w:p>
          <w:p w14:paraId="4F8EEBBB" w14:textId="77777777" w:rsidR="00244374" w:rsidRPr="0040341A" w:rsidRDefault="00244374" w:rsidP="00244374">
            <w:pPr>
              <w:pStyle w:val="Odsekzoznamu"/>
              <w:numPr>
                <w:ilvl w:val="0"/>
                <w:numId w:val="13"/>
              </w:numPr>
              <w:spacing w:after="0" w:line="240" w:lineRule="auto"/>
              <w:ind w:left="306" w:hanging="284"/>
              <w:jc w:val="both"/>
              <w:rPr>
                <w:rFonts w:ascii="Times New Roman" w:eastAsia="Times New Roman" w:hAnsi="Times New Roman"/>
                <w:iCs/>
                <w:lang w:eastAsia="sk-SK"/>
              </w:rPr>
            </w:pPr>
            <w:r w:rsidRPr="0040341A">
              <w:rPr>
                <w:rFonts w:ascii="Times New Roman" w:eastAsia="Times New Roman" w:hAnsi="Times New Roman"/>
                <w:iCs/>
                <w:lang w:eastAsia="sk-SK"/>
              </w:rPr>
              <w:t>počet a finančné vyjadrenie dodatočne navýšených dotácií. </w:t>
            </w:r>
          </w:p>
          <w:p w14:paraId="38F651A8" w14:textId="77777777" w:rsidR="00244374" w:rsidRPr="0040341A" w:rsidRDefault="00244374" w:rsidP="00244374">
            <w:pPr>
              <w:rPr>
                <w:rFonts w:eastAsia="Times New Roman"/>
                <w:i/>
                <w:sz w:val="20"/>
                <w:szCs w:val="20"/>
                <w:lang w:eastAsia="sk-SK"/>
              </w:rPr>
            </w:pPr>
          </w:p>
        </w:tc>
      </w:tr>
      <w:tr w:rsidR="00244374" w:rsidRPr="0040341A" w14:paraId="5CFFD33B" w14:textId="77777777" w:rsidTr="00244374">
        <w:tc>
          <w:tcPr>
            <w:tcW w:w="9180" w:type="dxa"/>
            <w:gridSpan w:val="11"/>
            <w:tcBorders>
              <w:top w:val="nil"/>
              <w:left w:val="nil"/>
              <w:bottom w:val="single" w:sz="4" w:space="0" w:color="auto"/>
              <w:right w:val="nil"/>
            </w:tcBorders>
            <w:shd w:val="clear" w:color="auto" w:fill="FFFFFF"/>
          </w:tcPr>
          <w:p w14:paraId="1C8E40C9" w14:textId="77777777" w:rsidR="00244374" w:rsidRPr="0040341A" w:rsidRDefault="00244374" w:rsidP="00244374">
            <w:pPr>
              <w:jc w:val="both"/>
              <w:rPr>
                <w:rFonts w:eastAsia="Times New Roman"/>
                <w:b/>
                <w:sz w:val="20"/>
                <w:szCs w:val="20"/>
                <w:lang w:eastAsia="sk-SK"/>
              </w:rPr>
            </w:pPr>
          </w:p>
          <w:p w14:paraId="18581891" w14:textId="77777777" w:rsidR="00244374" w:rsidRPr="0040341A" w:rsidRDefault="00244374" w:rsidP="00244374">
            <w:pPr>
              <w:jc w:val="both"/>
              <w:rPr>
                <w:rFonts w:eastAsia="Times New Roman"/>
                <w:b/>
                <w:sz w:val="20"/>
                <w:szCs w:val="20"/>
                <w:lang w:eastAsia="sk-SK"/>
              </w:rPr>
            </w:pPr>
          </w:p>
          <w:p w14:paraId="06B33956" w14:textId="77777777" w:rsidR="00244374" w:rsidRPr="0040341A" w:rsidRDefault="00244374" w:rsidP="00244374">
            <w:pPr>
              <w:ind w:left="142" w:hanging="142"/>
              <w:jc w:val="both"/>
              <w:rPr>
                <w:rFonts w:eastAsia="Times New Roman"/>
                <w:sz w:val="20"/>
                <w:szCs w:val="20"/>
                <w:lang w:eastAsia="sk-SK"/>
              </w:rPr>
            </w:pPr>
            <w:r w:rsidRPr="0040341A">
              <w:rPr>
                <w:rFonts w:eastAsia="Times New Roman"/>
                <w:sz w:val="20"/>
                <w:szCs w:val="20"/>
                <w:lang w:eastAsia="sk-SK"/>
              </w:rPr>
              <w:t xml:space="preserve">* </w:t>
            </w:r>
            <w:proofErr w:type="gramStart"/>
            <w:r w:rsidRPr="0040341A">
              <w:rPr>
                <w:rFonts w:eastAsia="Times New Roman"/>
                <w:sz w:val="20"/>
                <w:szCs w:val="20"/>
                <w:lang w:eastAsia="sk-SK"/>
              </w:rPr>
              <w:t>vyplniť</w:t>
            </w:r>
            <w:proofErr w:type="gramEnd"/>
            <w:r w:rsidRPr="0040341A">
              <w:rPr>
                <w:rFonts w:eastAsia="Times New Roman"/>
                <w:sz w:val="20"/>
                <w:szCs w:val="20"/>
                <w:lang w:eastAsia="sk-SK"/>
              </w:rPr>
              <w:t xml:space="preserve"> iba v prípade, ak materiál nie je zahrnutý do Plánu práce vlády Slovenskej republiky alebo Plánu        legislatívnych úloh vlády Slovenskej republiky. </w:t>
            </w:r>
          </w:p>
          <w:p w14:paraId="24AB56BC" w14:textId="77777777" w:rsidR="00244374" w:rsidRPr="0040341A" w:rsidRDefault="00244374" w:rsidP="00244374">
            <w:pPr>
              <w:jc w:val="both"/>
              <w:rPr>
                <w:rFonts w:eastAsia="Times New Roman"/>
                <w:sz w:val="20"/>
                <w:szCs w:val="20"/>
                <w:lang w:eastAsia="sk-SK"/>
              </w:rPr>
            </w:pPr>
            <w:r w:rsidRPr="0040341A">
              <w:rPr>
                <w:rFonts w:eastAsia="Times New Roman"/>
                <w:sz w:val="20"/>
                <w:szCs w:val="20"/>
                <w:lang w:eastAsia="sk-SK"/>
              </w:rPr>
              <w:t xml:space="preserve">** </w:t>
            </w:r>
            <w:proofErr w:type="gramStart"/>
            <w:r w:rsidRPr="0040341A">
              <w:rPr>
                <w:rFonts w:eastAsia="Times New Roman"/>
                <w:sz w:val="20"/>
                <w:szCs w:val="20"/>
                <w:lang w:eastAsia="sk-SK"/>
              </w:rPr>
              <w:t>vyplniť</w:t>
            </w:r>
            <w:proofErr w:type="gramEnd"/>
            <w:r w:rsidRPr="0040341A">
              <w:rPr>
                <w:rFonts w:eastAsia="Times New Roman"/>
                <w:sz w:val="20"/>
                <w:szCs w:val="20"/>
                <w:lang w:eastAsia="sk-SK"/>
              </w:rPr>
              <w:t xml:space="preserve"> iba v prípade, ak sa záverečné posúdenie vybraných vplyvov uskutočnilo v zmysle bodu 9.1. </w:t>
            </w:r>
            <w:proofErr w:type="gramStart"/>
            <w:r w:rsidRPr="0040341A">
              <w:rPr>
                <w:rFonts w:eastAsia="Times New Roman"/>
                <w:sz w:val="20"/>
                <w:szCs w:val="20"/>
                <w:lang w:eastAsia="sk-SK"/>
              </w:rPr>
              <w:t>jednotnej</w:t>
            </w:r>
            <w:proofErr w:type="gramEnd"/>
            <w:r w:rsidRPr="0040341A">
              <w:rPr>
                <w:rFonts w:eastAsia="Times New Roman"/>
                <w:sz w:val="20"/>
                <w:szCs w:val="20"/>
                <w:lang w:eastAsia="sk-SK"/>
              </w:rPr>
              <w:t xml:space="preserve"> metodiky.</w:t>
            </w:r>
          </w:p>
          <w:p w14:paraId="5C2B3081" w14:textId="77777777" w:rsidR="00244374" w:rsidRPr="0040341A" w:rsidRDefault="00244374" w:rsidP="00244374">
            <w:pPr>
              <w:jc w:val="both"/>
              <w:rPr>
                <w:rFonts w:eastAsia="Times New Roman"/>
                <w:sz w:val="20"/>
                <w:szCs w:val="20"/>
                <w:lang w:eastAsia="sk-SK"/>
              </w:rPr>
            </w:pPr>
            <w:r w:rsidRPr="0040341A">
              <w:rPr>
                <w:rFonts w:eastAsia="Times New Roman"/>
                <w:sz w:val="20"/>
                <w:szCs w:val="20"/>
                <w:lang w:eastAsia="sk-SK"/>
              </w:rPr>
              <w:t xml:space="preserve">*** </w:t>
            </w:r>
            <w:proofErr w:type="gramStart"/>
            <w:r w:rsidRPr="0040341A">
              <w:rPr>
                <w:rFonts w:eastAsia="Times New Roman"/>
                <w:sz w:val="20"/>
                <w:szCs w:val="20"/>
                <w:lang w:eastAsia="sk-SK"/>
              </w:rPr>
              <w:t>posudzovanie</w:t>
            </w:r>
            <w:proofErr w:type="gramEnd"/>
            <w:r w:rsidRPr="0040341A">
              <w:rPr>
                <w:rFonts w:eastAsia="Times New Roman"/>
                <w:sz w:val="20"/>
                <w:szCs w:val="20"/>
                <w:lang w:eastAsia="sk-SK"/>
              </w:rPr>
              <w:t xml:space="preserve"> sa týka len zmien v I. a II. </w:t>
            </w:r>
            <w:proofErr w:type="gramStart"/>
            <w:r w:rsidRPr="0040341A">
              <w:rPr>
                <w:rFonts w:eastAsia="Times New Roman"/>
                <w:sz w:val="20"/>
                <w:szCs w:val="20"/>
                <w:lang w:eastAsia="sk-SK"/>
              </w:rPr>
              <w:t>pilieri</w:t>
            </w:r>
            <w:proofErr w:type="gramEnd"/>
            <w:r w:rsidRPr="0040341A">
              <w:rPr>
                <w:rFonts w:eastAsia="Times New Roman"/>
                <w:sz w:val="20"/>
                <w:szCs w:val="20"/>
                <w:lang w:eastAsia="sk-SK"/>
              </w:rPr>
              <w:t xml:space="preserve"> univerzálneho systému dôchodkového zabezpečenia s identifikovaným dopadom od 0,1 % HDP (vrátane) na dlhodobom horizonte.</w:t>
            </w:r>
          </w:p>
          <w:p w14:paraId="7FF0A644" w14:textId="77777777" w:rsidR="00244374" w:rsidRPr="0040341A" w:rsidRDefault="00244374" w:rsidP="00244374">
            <w:pPr>
              <w:jc w:val="both"/>
              <w:rPr>
                <w:rFonts w:eastAsia="Times New Roman"/>
                <w:sz w:val="20"/>
                <w:szCs w:val="20"/>
                <w:lang w:eastAsia="sk-SK"/>
              </w:rPr>
            </w:pPr>
          </w:p>
          <w:p w14:paraId="4E278400" w14:textId="77777777" w:rsidR="00244374" w:rsidRPr="0040341A" w:rsidRDefault="00244374" w:rsidP="00244374">
            <w:pPr>
              <w:jc w:val="both"/>
              <w:rPr>
                <w:rFonts w:eastAsia="Times New Roman"/>
                <w:b/>
                <w:sz w:val="20"/>
                <w:szCs w:val="20"/>
                <w:lang w:eastAsia="sk-SK"/>
              </w:rPr>
            </w:pPr>
          </w:p>
        </w:tc>
      </w:tr>
      <w:tr w:rsidR="00244374" w:rsidRPr="0040341A" w14:paraId="7FDBADCE" w14:textId="77777777" w:rsidTr="0024437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D577977" w14:textId="77777777" w:rsidR="00244374" w:rsidRPr="0040341A" w:rsidRDefault="00244374" w:rsidP="00244374">
            <w:pPr>
              <w:numPr>
                <w:ilvl w:val="0"/>
                <w:numId w:val="6"/>
              </w:numPr>
              <w:ind w:left="426"/>
              <w:contextualSpacing/>
              <w:rPr>
                <w:rFonts w:eastAsia="Calibri"/>
                <w:b/>
              </w:rPr>
            </w:pPr>
            <w:r w:rsidRPr="0040341A">
              <w:rPr>
                <w:rFonts w:eastAsia="Calibri"/>
                <w:b/>
              </w:rPr>
              <w:t>Vybrané vplyvy  materiálu</w:t>
            </w:r>
          </w:p>
        </w:tc>
      </w:tr>
      <w:tr w:rsidR="00244374" w:rsidRPr="0040341A" w14:paraId="410AD576" w14:textId="77777777" w:rsidTr="00244374">
        <w:tc>
          <w:tcPr>
            <w:tcW w:w="3812" w:type="dxa"/>
            <w:tcBorders>
              <w:top w:val="single" w:sz="4" w:space="0" w:color="auto"/>
              <w:left w:val="single" w:sz="4" w:space="0" w:color="auto"/>
              <w:bottom w:val="nil"/>
              <w:right w:val="single" w:sz="4" w:space="0" w:color="auto"/>
            </w:tcBorders>
            <w:shd w:val="clear" w:color="auto" w:fill="E2E2E2"/>
          </w:tcPr>
          <w:p w14:paraId="29A7C766"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Vplyvy na rozpočet verejnej správy</w:t>
            </w:r>
          </w:p>
        </w:tc>
        <w:sdt>
          <w:sdtPr>
            <w:rPr>
              <w:b/>
              <w:sz w:val="20"/>
              <w:szCs w:val="20"/>
              <w:lang w:eastAsia="sk-SK"/>
            </w:rPr>
            <w:id w:val="201596059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4996ECB"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2D3C3A50"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Pozitívne</w:t>
            </w:r>
          </w:p>
        </w:tc>
        <w:sdt>
          <w:sdtPr>
            <w:rPr>
              <w:b/>
              <w:sz w:val="20"/>
              <w:szCs w:val="20"/>
              <w:lang w:eastAsia="sk-SK"/>
            </w:rPr>
            <w:id w:val="121624532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A95DD5C"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625A0B81"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Žiadne</w:t>
            </w:r>
          </w:p>
        </w:tc>
        <w:sdt>
          <w:sdtPr>
            <w:rPr>
              <w:b/>
              <w:sz w:val="20"/>
              <w:szCs w:val="20"/>
              <w:lang w:eastAsia="sk-SK"/>
            </w:rPr>
            <w:id w:val="1988976631"/>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3784215" w14:textId="77777777" w:rsidR="00244374" w:rsidRPr="0040341A" w:rsidRDefault="00244374" w:rsidP="00244374">
                <w:pPr>
                  <w:ind w:left="-107" w:right="-108"/>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78C00E3" w14:textId="77777777" w:rsidR="00244374" w:rsidRPr="0040341A" w:rsidRDefault="00244374" w:rsidP="00244374">
            <w:pPr>
              <w:ind w:left="34"/>
              <w:rPr>
                <w:rFonts w:eastAsia="Times New Roman"/>
                <w:b/>
                <w:sz w:val="20"/>
                <w:szCs w:val="20"/>
                <w:lang w:eastAsia="sk-SK"/>
              </w:rPr>
            </w:pPr>
            <w:r w:rsidRPr="0040341A">
              <w:rPr>
                <w:rFonts w:eastAsia="Times New Roman"/>
                <w:b/>
                <w:sz w:val="20"/>
                <w:szCs w:val="20"/>
                <w:lang w:eastAsia="sk-SK"/>
              </w:rPr>
              <w:t>Negatívne</w:t>
            </w:r>
          </w:p>
        </w:tc>
      </w:tr>
      <w:tr w:rsidR="00244374" w:rsidRPr="0040341A" w14:paraId="48513F52" w14:textId="77777777" w:rsidTr="00244374">
        <w:tc>
          <w:tcPr>
            <w:tcW w:w="3812" w:type="dxa"/>
            <w:tcBorders>
              <w:top w:val="nil"/>
              <w:left w:val="single" w:sz="4" w:space="0" w:color="auto"/>
              <w:bottom w:val="nil"/>
              <w:right w:val="single" w:sz="4" w:space="0" w:color="auto"/>
            </w:tcBorders>
            <w:shd w:val="clear" w:color="auto" w:fill="E2E2E2"/>
          </w:tcPr>
          <w:p w14:paraId="57ABF744"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 xml:space="preserve">    z toho rozpočtovo zabezpečené vplyvy,         </w:t>
            </w:r>
          </w:p>
          <w:p w14:paraId="7B39DF04"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 xml:space="preserve">    v prípade identifikovaného negatívneho </w:t>
            </w:r>
          </w:p>
          <w:p w14:paraId="762D8B32"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 xml:space="preserve">    vplyvu</w:t>
            </w:r>
          </w:p>
        </w:tc>
        <w:sdt>
          <w:sdtPr>
            <w:rPr>
              <w:sz w:val="20"/>
              <w:szCs w:val="20"/>
              <w:lang w:eastAsia="sk-SK"/>
            </w:rPr>
            <w:id w:val="-570884028"/>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C41E8FC"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793F413"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Áno</w:t>
            </w:r>
          </w:p>
        </w:tc>
        <w:sdt>
          <w:sdtPr>
            <w:rPr>
              <w:sz w:val="20"/>
              <w:szCs w:val="20"/>
              <w:lang w:eastAsia="sk-SK"/>
            </w:rPr>
            <w:id w:val="2008011323"/>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2073F4A"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B13D12E"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Nie</w:t>
            </w:r>
          </w:p>
        </w:tc>
        <w:sdt>
          <w:sdtPr>
            <w:rPr>
              <w:sz w:val="20"/>
              <w:szCs w:val="20"/>
              <w:lang w:eastAsia="sk-SK"/>
            </w:rPr>
            <w:id w:val="-191230752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24C7647" w14:textId="77777777" w:rsidR="00244374" w:rsidRPr="0040341A" w:rsidRDefault="00244374" w:rsidP="00244374">
                <w:pPr>
                  <w:ind w:left="-107" w:right="-108"/>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A624DD9" w14:textId="77777777" w:rsidR="00244374" w:rsidRPr="0040341A" w:rsidRDefault="00244374" w:rsidP="00244374">
            <w:pPr>
              <w:ind w:left="34"/>
              <w:rPr>
                <w:rFonts w:eastAsia="Times New Roman"/>
                <w:sz w:val="20"/>
                <w:szCs w:val="20"/>
                <w:lang w:eastAsia="sk-SK"/>
              </w:rPr>
            </w:pPr>
            <w:r w:rsidRPr="0040341A">
              <w:rPr>
                <w:rFonts w:eastAsia="Times New Roman"/>
                <w:sz w:val="20"/>
                <w:szCs w:val="20"/>
                <w:lang w:eastAsia="sk-SK"/>
              </w:rPr>
              <w:t>Čiastočne</w:t>
            </w:r>
          </w:p>
        </w:tc>
      </w:tr>
      <w:tr w:rsidR="00244374" w:rsidRPr="0040341A" w14:paraId="75F572DF" w14:textId="77777777" w:rsidTr="00244374">
        <w:tc>
          <w:tcPr>
            <w:tcW w:w="3812" w:type="dxa"/>
            <w:tcBorders>
              <w:top w:val="nil"/>
              <w:left w:val="single" w:sz="4" w:space="0" w:color="auto"/>
              <w:bottom w:val="nil"/>
              <w:right w:val="single" w:sz="4" w:space="0" w:color="auto"/>
            </w:tcBorders>
            <w:shd w:val="clear" w:color="auto" w:fill="E2E2E2"/>
          </w:tcPr>
          <w:p w14:paraId="6FF6FD2F"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v tom vplyvy na rozpočty obcí a vyšších územných celkov</w:t>
            </w:r>
          </w:p>
        </w:tc>
        <w:sdt>
          <w:sdtPr>
            <w:rPr>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15BF074"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6F24800F"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Pozitívne</w:t>
            </w:r>
          </w:p>
        </w:tc>
        <w:sdt>
          <w:sdtPr>
            <w:rPr>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651AB45"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66245E97"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Žiadne</w:t>
            </w:r>
          </w:p>
        </w:tc>
        <w:sdt>
          <w:sdtPr>
            <w:rPr>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1C4DAF9C" w14:textId="77777777" w:rsidR="00244374" w:rsidRPr="0040341A" w:rsidRDefault="00244374" w:rsidP="00244374">
                <w:pPr>
                  <w:ind w:left="-107" w:right="-108"/>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6B56A499" w14:textId="77777777" w:rsidR="00244374" w:rsidRPr="0040341A" w:rsidRDefault="00244374" w:rsidP="00244374">
            <w:pPr>
              <w:ind w:left="34"/>
              <w:rPr>
                <w:rFonts w:eastAsia="Times New Roman"/>
                <w:b/>
                <w:sz w:val="20"/>
                <w:szCs w:val="20"/>
                <w:lang w:eastAsia="sk-SK"/>
              </w:rPr>
            </w:pPr>
            <w:r w:rsidRPr="0040341A">
              <w:rPr>
                <w:rFonts w:eastAsia="Times New Roman"/>
                <w:b/>
                <w:sz w:val="20"/>
                <w:szCs w:val="20"/>
                <w:lang w:eastAsia="sk-SK"/>
              </w:rPr>
              <w:t>Negatívne</w:t>
            </w:r>
          </w:p>
        </w:tc>
      </w:tr>
      <w:tr w:rsidR="00244374" w:rsidRPr="0040341A" w14:paraId="22A4C624" w14:textId="77777777" w:rsidTr="00244374">
        <w:tc>
          <w:tcPr>
            <w:tcW w:w="3812" w:type="dxa"/>
            <w:tcBorders>
              <w:top w:val="nil"/>
              <w:left w:val="single" w:sz="4" w:space="0" w:color="auto"/>
              <w:bottom w:val="single" w:sz="4" w:space="0" w:color="auto"/>
              <w:right w:val="single" w:sz="4" w:space="0" w:color="auto"/>
            </w:tcBorders>
            <w:shd w:val="clear" w:color="auto" w:fill="E2E2E2"/>
          </w:tcPr>
          <w:p w14:paraId="6444C76D" w14:textId="77777777" w:rsidR="00244374" w:rsidRPr="0040341A" w:rsidRDefault="00244374" w:rsidP="00244374">
            <w:pPr>
              <w:ind w:left="171"/>
              <w:rPr>
                <w:rFonts w:eastAsia="Times New Roman"/>
                <w:sz w:val="20"/>
                <w:szCs w:val="20"/>
                <w:lang w:eastAsia="sk-SK"/>
              </w:rPr>
            </w:pPr>
            <w:r w:rsidRPr="0040341A">
              <w:rPr>
                <w:rFonts w:eastAsia="Times New Roman"/>
                <w:sz w:val="20"/>
                <w:szCs w:val="20"/>
                <w:lang w:eastAsia="sk-SK"/>
              </w:rPr>
              <w:t>z toho rozpočtovo zabezpečené vplyvy,</w:t>
            </w:r>
          </w:p>
          <w:p w14:paraId="3DA38886" w14:textId="77777777" w:rsidR="00244374" w:rsidRPr="0040341A" w:rsidRDefault="00244374" w:rsidP="00244374">
            <w:pPr>
              <w:ind w:left="171"/>
              <w:rPr>
                <w:rFonts w:eastAsia="Times New Roman"/>
                <w:sz w:val="20"/>
                <w:szCs w:val="20"/>
                <w:lang w:eastAsia="sk-SK"/>
              </w:rPr>
            </w:pPr>
            <w:r w:rsidRPr="0040341A">
              <w:rPr>
                <w:rFonts w:eastAsia="Times New Roman"/>
                <w:sz w:val="20"/>
                <w:szCs w:val="20"/>
                <w:lang w:eastAsia="sk-SK"/>
              </w:rPr>
              <w:t>v prípade identifikovaného negatívneho vplyvu</w:t>
            </w:r>
          </w:p>
        </w:tc>
        <w:sdt>
          <w:sdtPr>
            <w:rPr>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5B9540C"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71DA2241"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Áno</w:t>
            </w:r>
          </w:p>
        </w:tc>
        <w:sdt>
          <w:sdtPr>
            <w:rPr>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586105E8"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D2C7D82"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Nie</w:t>
            </w:r>
          </w:p>
        </w:tc>
        <w:sdt>
          <w:sdtPr>
            <w:rPr>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ED7B11A" w14:textId="77777777" w:rsidR="00244374" w:rsidRPr="0040341A" w:rsidRDefault="00244374" w:rsidP="00244374">
                <w:pPr>
                  <w:ind w:left="-107" w:right="-108"/>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3B21A39" w14:textId="77777777" w:rsidR="00244374" w:rsidRPr="0040341A" w:rsidRDefault="00244374" w:rsidP="00244374">
            <w:pPr>
              <w:ind w:left="34"/>
              <w:rPr>
                <w:rFonts w:eastAsia="Times New Roman"/>
                <w:sz w:val="20"/>
                <w:szCs w:val="20"/>
                <w:lang w:eastAsia="sk-SK"/>
              </w:rPr>
            </w:pPr>
            <w:r w:rsidRPr="0040341A">
              <w:rPr>
                <w:rFonts w:eastAsia="Times New Roman"/>
                <w:sz w:val="20"/>
                <w:szCs w:val="20"/>
                <w:lang w:eastAsia="sk-SK"/>
              </w:rPr>
              <w:t>Čiastočne</w:t>
            </w:r>
          </w:p>
        </w:tc>
      </w:tr>
      <w:tr w:rsidR="00244374" w:rsidRPr="0040341A" w14:paraId="7FF4FC7C" w14:textId="77777777" w:rsidTr="00244374">
        <w:tc>
          <w:tcPr>
            <w:tcW w:w="3812" w:type="dxa"/>
            <w:tcBorders>
              <w:top w:val="single" w:sz="4" w:space="0" w:color="auto"/>
              <w:left w:val="single" w:sz="4" w:space="0" w:color="auto"/>
              <w:bottom w:val="single" w:sz="4" w:space="0" w:color="auto"/>
              <w:right w:val="single" w:sz="4" w:space="0" w:color="auto"/>
            </w:tcBorders>
            <w:shd w:val="clear" w:color="auto" w:fill="E2E2E2"/>
          </w:tcPr>
          <w:p w14:paraId="265206DB" w14:textId="77777777" w:rsidR="00244374" w:rsidRPr="0040341A" w:rsidRDefault="00244374" w:rsidP="00244374">
            <w:pPr>
              <w:ind w:left="171"/>
              <w:rPr>
                <w:rFonts w:eastAsia="Times New Roman"/>
                <w:sz w:val="20"/>
                <w:szCs w:val="20"/>
                <w:lang w:eastAsia="sk-SK"/>
              </w:rPr>
            </w:pPr>
            <w:r w:rsidRPr="0040341A">
              <w:rPr>
                <w:rFonts w:eastAsia="Times New Roman"/>
                <w:sz w:val="20"/>
                <w:szCs w:val="20"/>
                <w:lang w:eastAsia="sk-SK"/>
              </w:rPr>
              <w:t>Vplyv na dlhodobú udržateľnosť verejných financií v prípade vybraných opatrení ***</w:t>
            </w:r>
          </w:p>
        </w:tc>
        <w:sdt>
          <w:sdtPr>
            <w:rPr>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3DDC6BE"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E1E2FED"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7218D2F" w14:textId="77777777" w:rsidR="00244374" w:rsidRPr="0040341A" w:rsidRDefault="00244374" w:rsidP="00244374">
            <w:pPr>
              <w:jc w:val="center"/>
              <w:rPr>
                <w:rFonts w:eastAsia="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D32281A" w14:textId="77777777" w:rsidR="00244374" w:rsidRPr="0040341A" w:rsidRDefault="00244374" w:rsidP="00244374">
            <w:pPr>
              <w:rPr>
                <w:rFonts w:eastAsia="Times New Roman"/>
                <w:sz w:val="20"/>
                <w:szCs w:val="20"/>
                <w:lang w:eastAsia="sk-SK"/>
              </w:rPr>
            </w:pPr>
          </w:p>
        </w:tc>
        <w:sdt>
          <w:sdtPr>
            <w:rPr>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8395A18" w14:textId="77777777" w:rsidR="00244374" w:rsidRPr="0040341A" w:rsidRDefault="00244374" w:rsidP="00244374">
                <w:pPr>
                  <w:ind w:left="-107" w:right="-108"/>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B420CE2" w14:textId="77777777" w:rsidR="00244374" w:rsidRPr="0040341A" w:rsidRDefault="00244374" w:rsidP="00244374">
            <w:pPr>
              <w:ind w:left="34"/>
              <w:rPr>
                <w:rFonts w:eastAsia="Times New Roman"/>
                <w:sz w:val="20"/>
                <w:szCs w:val="20"/>
                <w:lang w:eastAsia="sk-SK"/>
              </w:rPr>
            </w:pPr>
            <w:r w:rsidRPr="0040341A">
              <w:rPr>
                <w:rFonts w:eastAsia="Times New Roman"/>
                <w:sz w:val="20"/>
                <w:szCs w:val="20"/>
                <w:lang w:eastAsia="sk-SK"/>
              </w:rPr>
              <w:t>Nie</w:t>
            </w:r>
          </w:p>
        </w:tc>
      </w:tr>
      <w:tr w:rsidR="00244374" w:rsidRPr="0040341A" w14:paraId="6D8C58B8" w14:textId="77777777" w:rsidTr="00244374">
        <w:tc>
          <w:tcPr>
            <w:tcW w:w="3812" w:type="dxa"/>
            <w:tcBorders>
              <w:top w:val="single" w:sz="4" w:space="0" w:color="auto"/>
              <w:left w:val="single" w:sz="4" w:space="0" w:color="auto"/>
              <w:bottom w:val="nil"/>
              <w:right w:val="single" w:sz="4" w:space="0" w:color="auto"/>
            </w:tcBorders>
            <w:shd w:val="clear" w:color="auto" w:fill="E2E2E2"/>
          </w:tcPr>
          <w:p w14:paraId="74871EB3"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Vplyvy na podnikateľské prostredie</w:t>
            </w:r>
          </w:p>
        </w:tc>
        <w:sdt>
          <w:sdtPr>
            <w:rPr>
              <w:b/>
              <w:sz w:val="20"/>
              <w:szCs w:val="20"/>
              <w:lang w:eastAsia="sk-SK"/>
            </w:rPr>
            <w:id w:val="-1110427998"/>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EB1AA64"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0E2B7CB" w14:textId="77777777" w:rsidR="00244374" w:rsidRPr="0040341A" w:rsidRDefault="00244374" w:rsidP="00244374">
            <w:pPr>
              <w:ind w:right="-108"/>
              <w:rPr>
                <w:rFonts w:eastAsia="Times New Roman"/>
                <w:b/>
                <w:sz w:val="20"/>
                <w:szCs w:val="20"/>
                <w:lang w:eastAsia="sk-SK"/>
              </w:rPr>
            </w:pPr>
            <w:r w:rsidRPr="0040341A">
              <w:rPr>
                <w:rFonts w:eastAsia="Times New Roman"/>
                <w:b/>
                <w:sz w:val="20"/>
                <w:szCs w:val="20"/>
                <w:lang w:eastAsia="sk-SK"/>
              </w:rPr>
              <w:t>Pozitívne</w:t>
            </w:r>
          </w:p>
        </w:tc>
        <w:sdt>
          <w:sdtPr>
            <w:rPr>
              <w:b/>
              <w:sz w:val="20"/>
              <w:szCs w:val="20"/>
              <w:lang w:eastAsia="sk-SK"/>
            </w:rPr>
            <w:id w:val="1044027086"/>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4B184CC"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940335D"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Žiadne</w:t>
            </w:r>
          </w:p>
        </w:tc>
        <w:sdt>
          <w:sdtPr>
            <w:rPr>
              <w:b/>
              <w:sz w:val="20"/>
              <w:szCs w:val="20"/>
              <w:lang w:eastAsia="sk-SK"/>
            </w:rPr>
            <w:id w:val="-111228324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EFF7767"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99468FC" w14:textId="77777777" w:rsidR="00244374" w:rsidRPr="0040341A" w:rsidRDefault="00244374" w:rsidP="00244374">
            <w:pPr>
              <w:ind w:left="54"/>
              <w:rPr>
                <w:rFonts w:eastAsia="Times New Roman"/>
                <w:b/>
                <w:sz w:val="20"/>
                <w:szCs w:val="20"/>
                <w:lang w:eastAsia="sk-SK"/>
              </w:rPr>
            </w:pPr>
            <w:r w:rsidRPr="0040341A">
              <w:rPr>
                <w:rFonts w:eastAsia="Times New Roman"/>
                <w:b/>
                <w:sz w:val="20"/>
                <w:szCs w:val="20"/>
                <w:lang w:eastAsia="sk-SK"/>
              </w:rPr>
              <w:t>Negatívne</w:t>
            </w:r>
          </w:p>
        </w:tc>
      </w:tr>
      <w:tr w:rsidR="00244374" w:rsidRPr="0040341A" w14:paraId="17554EAC" w14:textId="77777777" w:rsidTr="00244374">
        <w:tc>
          <w:tcPr>
            <w:tcW w:w="3812" w:type="dxa"/>
            <w:tcBorders>
              <w:top w:val="nil"/>
              <w:left w:val="single" w:sz="4" w:space="0" w:color="000000"/>
              <w:bottom w:val="nil"/>
              <w:right w:val="single" w:sz="4" w:space="0" w:color="000000"/>
            </w:tcBorders>
            <w:shd w:val="clear" w:color="auto" w:fill="E2E2E2"/>
          </w:tcPr>
          <w:p w14:paraId="3C348E7E"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 xml:space="preserve">    z toho vplyvy na MSP</w:t>
            </w:r>
          </w:p>
          <w:p w14:paraId="474B5728" w14:textId="77777777" w:rsidR="00244374" w:rsidRPr="0040341A" w:rsidRDefault="00244374" w:rsidP="00244374">
            <w:pPr>
              <w:rPr>
                <w:rFonts w:eastAsia="Times New Roman"/>
                <w:sz w:val="20"/>
                <w:szCs w:val="20"/>
                <w:lang w:eastAsia="sk-SK"/>
              </w:rPr>
            </w:pPr>
          </w:p>
        </w:tc>
        <w:sdt>
          <w:sdtPr>
            <w:rPr>
              <w:sz w:val="20"/>
              <w:szCs w:val="20"/>
              <w:lang w:eastAsia="sk-SK"/>
            </w:rPr>
            <w:id w:val="-81580642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05B7C23"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0B6260D" w14:textId="77777777" w:rsidR="00244374" w:rsidRPr="0040341A" w:rsidRDefault="00244374" w:rsidP="00244374">
            <w:pPr>
              <w:ind w:right="-108"/>
              <w:rPr>
                <w:rFonts w:eastAsia="Times New Roman"/>
                <w:sz w:val="20"/>
                <w:szCs w:val="20"/>
                <w:lang w:eastAsia="sk-SK"/>
              </w:rPr>
            </w:pPr>
            <w:r w:rsidRPr="0040341A">
              <w:rPr>
                <w:rFonts w:eastAsia="Times New Roman"/>
                <w:sz w:val="20"/>
                <w:szCs w:val="20"/>
                <w:lang w:eastAsia="sk-SK"/>
              </w:rPr>
              <w:t>Pozitívne</w:t>
            </w:r>
          </w:p>
        </w:tc>
        <w:sdt>
          <w:sdtPr>
            <w:rPr>
              <w:sz w:val="20"/>
              <w:szCs w:val="20"/>
              <w:lang w:eastAsia="sk-SK"/>
            </w:rPr>
            <w:id w:val="-1813251170"/>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6DEAAAC"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7465C2E"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Žiadne</w:t>
            </w:r>
          </w:p>
        </w:tc>
        <w:sdt>
          <w:sdtPr>
            <w:rPr>
              <w:sz w:val="20"/>
              <w:szCs w:val="20"/>
              <w:lang w:eastAsia="sk-SK"/>
            </w:rPr>
            <w:id w:val="1351220547"/>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14B266D" w14:textId="77777777" w:rsidR="00244374" w:rsidRPr="0040341A" w:rsidRDefault="00244374" w:rsidP="00244374">
                <w:pPr>
                  <w:jc w:val="center"/>
                  <w:rPr>
                    <w:rFonts w:eastAsia="Times New Roman"/>
                    <w:sz w:val="20"/>
                    <w:szCs w:val="20"/>
                    <w:lang w:eastAsia="sk-SK"/>
                  </w:rPr>
                </w:pPr>
                <w:r w:rsidRPr="0040341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B0E1C01" w14:textId="77777777" w:rsidR="00244374" w:rsidRPr="0040341A" w:rsidRDefault="00244374" w:rsidP="00244374">
            <w:pPr>
              <w:ind w:left="54"/>
              <w:rPr>
                <w:rFonts w:eastAsia="Times New Roman"/>
                <w:sz w:val="20"/>
                <w:szCs w:val="20"/>
                <w:lang w:eastAsia="sk-SK"/>
              </w:rPr>
            </w:pPr>
            <w:r w:rsidRPr="0040341A">
              <w:rPr>
                <w:rFonts w:eastAsia="Times New Roman"/>
                <w:sz w:val="20"/>
                <w:szCs w:val="20"/>
                <w:lang w:eastAsia="sk-SK"/>
              </w:rPr>
              <w:t>Negatívne</w:t>
            </w:r>
          </w:p>
        </w:tc>
      </w:tr>
      <w:tr w:rsidR="00244374" w:rsidRPr="0040341A" w14:paraId="4D82FA6C" w14:textId="77777777" w:rsidTr="00244374">
        <w:tc>
          <w:tcPr>
            <w:tcW w:w="3812" w:type="dxa"/>
            <w:tcBorders>
              <w:top w:val="nil"/>
              <w:left w:val="single" w:sz="4" w:space="0" w:color="auto"/>
              <w:bottom w:val="single" w:sz="4" w:space="0" w:color="auto"/>
              <w:right w:val="single" w:sz="4" w:space="0" w:color="auto"/>
            </w:tcBorders>
            <w:shd w:val="clear" w:color="auto" w:fill="E2E2E2"/>
          </w:tcPr>
          <w:p w14:paraId="3EB7DD26" w14:textId="77777777" w:rsidR="00244374" w:rsidRPr="0040341A" w:rsidRDefault="00244374" w:rsidP="00244374">
            <w:pPr>
              <w:rPr>
                <w:rFonts w:eastAsia="Times New Roman"/>
                <w:sz w:val="20"/>
                <w:szCs w:val="20"/>
                <w:lang w:eastAsia="sk-SK"/>
              </w:rPr>
            </w:pPr>
            <w:r w:rsidRPr="0040341A">
              <w:rPr>
                <w:rFonts w:eastAsia="Times New Roman"/>
                <w:sz w:val="20"/>
                <w:szCs w:val="20"/>
                <w:lang w:eastAsia="sk-SK"/>
              </w:rPr>
              <w:t xml:space="preserve">    Mechanizmus znižovania byrokracie    </w:t>
            </w:r>
          </w:p>
          <w:p w14:paraId="2EABCB47" w14:textId="77777777" w:rsidR="00244374" w:rsidRPr="0040341A" w:rsidRDefault="00244374" w:rsidP="00244374">
            <w:pPr>
              <w:rPr>
                <w:rFonts w:eastAsia="Times New Roman"/>
                <w:b/>
                <w:sz w:val="20"/>
                <w:szCs w:val="20"/>
                <w:lang w:eastAsia="sk-SK"/>
              </w:rPr>
            </w:pPr>
            <w:r w:rsidRPr="0040341A">
              <w:rPr>
                <w:rFonts w:eastAsia="Times New Roman"/>
                <w:sz w:val="20"/>
                <w:szCs w:val="20"/>
                <w:lang w:eastAsia="sk-SK"/>
              </w:rPr>
              <w:t xml:space="preserve">    a nákladov sa uplatňuje:</w:t>
            </w:r>
          </w:p>
        </w:tc>
        <w:sdt>
          <w:sdtPr>
            <w:rPr>
              <w:b/>
              <w:sz w:val="20"/>
              <w:szCs w:val="20"/>
              <w:lang w:eastAsia="sk-SK"/>
            </w:rPr>
            <w:id w:val="186201762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FA23FC8"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E759F17" w14:textId="77777777" w:rsidR="00244374" w:rsidRPr="0040341A" w:rsidRDefault="00244374" w:rsidP="00244374">
            <w:pPr>
              <w:ind w:right="-108"/>
              <w:rPr>
                <w:rFonts w:eastAsia="Times New Roman"/>
                <w:b/>
                <w:sz w:val="20"/>
                <w:szCs w:val="20"/>
                <w:lang w:eastAsia="sk-SK"/>
              </w:rPr>
            </w:pPr>
            <w:r w:rsidRPr="0040341A">
              <w:rPr>
                <w:rFonts w:eastAsia="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165217A" w14:textId="77777777" w:rsidR="00244374" w:rsidRPr="0040341A" w:rsidRDefault="00244374" w:rsidP="00244374">
            <w:pPr>
              <w:jc w:val="center"/>
              <w:rPr>
                <w:rFonts w:eastAsia="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FC22347" w14:textId="77777777" w:rsidR="00244374" w:rsidRPr="0040341A" w:rsidRDefault="00244374" w:rsidP="00244374">
            <w:pPr>
              <w:jc w:val="center"/>
              <w:rPr>
                <w:rFonts w:eastAsia="Times New Roman"/>
                <w:b/>
                <w:sz w:val="20"/>
                <w:szCs w:val="20"/>
                <w:lang w:eastAsia="sk-SK"/>
              </w:rPr>
            </w:pPr>
          </w:p>
        </w:tc>
        <w:sdt>
          <w:sdtPr>
            <w:rPr>
              <w:b/>
              <w:sz w:val="20"/>
              <w:szCs w:val="20"/>
              <w:lang w:eastAsia="sk-SK"/>
            </w:rPr>
            <w:id w:val="-235023398"/>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5D05274"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3F80921" w14:textId="77777777" w:rsidR="00244374" w:rsidRPr="0040341A" w:rsidRDefault="00244374" w:rsidP="00244374">
            <w:pPr>
              <w:ind w:left="54"/>
              <w:rPr>
                <w:rFonts w:eastAsia="Times New Roman"/>
                <w:b/>
                <w:sz w:val="20"/>
                <w:szCs w:val="20"/>
                <w:lang w:eastAsia="sk-SK"/>
              </w:rPr>
            </w:pPr>
            <w:r w:rsidRPr="0040341A">
              <w:rPr>
                <w:rFonts w:eastAsia="Times New Roman"/>
                <w:sz w:val="20"/>
                <w:szCs w:val="20"/>
                <w:lang w:eastAsia="sk-SK"/>
              </w:rPr>
              <w:t>Nie</w:t>
            </w:r>
          </w:p>
        </w:tc>
      </w:tr>
      <w:tr w:rsidR="00244374" w:rsidRPr="0040341A" w14:paraId="54DED433" w14:textId="77777777" w:rsidTr="00244374">
        <w:tc>
          <w:tcPr>
            <w:tcW w:w="3812" w:type="dxa"/>
            <w:tcBorders>
              <w:top w:val="single" w:sz="4" w:space="0" w:color="000000"/>
              <w:left w:val="single" w:sz="4" w:space="0" w:color="auto"/>
              <w:bottom w:val="single" w:sz="4" w:space="0" w:color="auto"/>
              <w:right w:val="single" w:sz="4" w:space="0" w:color="auto"/>
            </w:tcBorders>
            <w:shd w:val="clear" w:color="auto" w:fill="E2E2E2"/>
          </w:tcPr>
          <w:p w14:paraId="34CDED5B"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Sociálne vplyvy</w:t>
            </w:r>
          </w:p>
        </w:tc>
        <w:sdt>
          <w:sdtPr>
            <w:rPr>
              <w:b/>
              <w:sz w:val="20"/>
              <w:szCs w:val="20"/>
              <w:lang w:eastAsia="sk-SK"/>
            </w:rPr>
            <w:id w:val="-1214111929"/>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B179A04"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37C831D" w14:textId="77777777" w:rsidR="00244374" w:rsidRPr="0040341A" w:rsidRDefault="00244374" w:rsidP="00244374">
            <w:pPr>
              <w:ind w:right="-108"/>
              <w:rPr>
                <w:rFonts w:eastAsia="Times New Roman"/>
                <w:b/>
                <w:sz w:val="20"/>
                <w:szCs w:val="20"/>
                <w:lang w:eastAsia="sk-SK"/>
              </w:rPr>
            </w:pPr>
            <w:r w:rsidRPr="0040341A">
              <w:rPr>
                <w:rFonts w:eastAsia="Times New Roman"/>
                <w:b/>
                <w:sz w:val="20"/>
                <w:szCs w:val="20"/>
                <w:lang w:eastAsia="sk-SK"/>
              </w:rPr>
              <w:t>Pozitívne</w:t>
            </w:r>
          </w:p>
        </w:tc>
        <w:sdt>
          <w:sdtPr>
            <w:rPr>
              <w:b/>
              <w:sz w:val="20"/>
              <w:szCs w:val="20"/>
              <w:lang w:eastAsia="sk-SK"/>
            </w:rPr>
            <w:id w:val="70699134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ABECC72"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14B6143F"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Žiadne</w:t>
            </w:r>
          </w:p>
        </w:tc>
        <w:sdt>
          <w:sdtPr>
            <w:rPr>
              <w:b/>
              <w:sz w:val="20"/>
              <w:szCs w:val="20"/>
              <w:lang w:eastAsia="sk-SK"/>
            </w:rPr>
            <w:id w:val="2028930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8337EC5"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A9302CA" w14:textId="77777777" w:rsidR="00244374" w:rsidRPr="0040341A" w:rsidRDefault="00244374" w:rsidP="00244374">
            <w:pPr>
              <w:ind w:left="54"/>
              <w:rPr>
                <w:rFonts w:eastAsia="Times New Roman"/>
                <w:b/>
                <w:sz w:val="20"/>
                <w:szCs w:val="20"/>
                <w:lang w:eastAsia="sk-SK"/>
              </w:rPr>
            </w:pPr>
            <w:r w:rsidRPr="0040341A">
              <w:rPr>
                <w:rFonts w:eastAsia="Times New Roman"/>
                <w:b/>
                <w:sz w:val="20"/>
                <w:szCs w:val="20"/>
                <w:lang w:eastAsia="sk-SK"/>
              </w:rPr>
              <w:t>Negatívne</w:t>
            </w:r>
          </w:p>
        </w:tc>
      </w:tr>
      <w:tr w:rsidR="00244374" w:rsidRPr="0040341A" w14:paraId="4F40BEB5" w14:textId="77777777" w:rsidTr="00244374">
        <w:tc>
          <w:tcPr>
            <w:tcW w:w="3812" w:type="dxa"/>
            <w:tcBorders>
              <w:top w:val="single" w:sz="4" w:space="0" w:color="auto"/>
              <w:left w:val="single" w:sz="4" w:space="0" w:color="auto"/>
              <w:bottom w:val="single" w:sz="4" w:space="0" w:color="auto"/>
              <w:right w:val="single" w:sz="4" w:space="0" w:color="auto"/>
            </w:tcBorders>
            <w:shd w:val="clear" w:color="auto" w:fill="E2E2E2"/>
          </w:tcPr>
          <w:p w14:paraId="037F9A0C"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lastRenderedPageBreak/>
              <w:t>Vplyvy na životné prostredie</w:t>
            </w:r>
          </w:p>
        </w:tc>
        <w:sdt>
          <w:sdtPr>
            <w:rPr>
              <w:b/>
              <w:sz w:val="20"/>
              <w:szCs w:val="20"/>
              <w:lang w:eastAsia="sk-SK"/>
            </w:rPr>
            <w:id w:val="-177739770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14578F4"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13E0420" w14:textId="77777777" w:rsidR="00244374" w:rsidRPr="0040341A" w:rsidRDefault="00244374" w:rsidP="00244374">
            <w:pPr>
              <w:ind w:right="-108"/>
              <w:rPr>
                <w:rFonts w:eastAsia="Times New Roman"/>
                <w:b/>
                <w:sz w:val="20"/>
                <w:szCs w:val="20"/>
                <w:lang w:eastAsia="sk-SK"/>
              </w:rPr>
            </w:pPr>
            <w:r w:rsidRPr="0040341A">
              <w:rPr>
                <w:rFonts w:eastAsia="Times New Roman"/>
                <w:b/>
                <w:sz w:val="20"/>
                <w:szCs w:val="20"/>
                <w:lang w:eastAsia="sk-SK"/>
              </w:rPr>
              <w:t>Pozitívne</w:t>
            </w:r>
          </w:p>
        </w:tc>
        <w:sdt>
          <w:sdtPr>
            <w:rPr>
              <w:b/>
              <w:sz w:val="20"/>
              <w:szCs w:val="20"/>
              <w:lang w:eastAsia="sk-SK"/>
            </w:rPr>
            <w:id w:val="-57420601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3313782"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422B680B"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Žiadne</w:t>
            </w:r>
          </w:p>
        </w:tc>
        <w:sdt>
          <w:sdtPr>
            <w:rPr>
              <w:b/>
              <w:sz w:val="20"/>
              <w:szCs w:val="20"/>
              <w:lang w:eastAsia="sk-SK"/>
            </w:rPr>
            <w:id w:val="-37176395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643448B"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DA9341B" w14:textId="77777777" w:rsidR="00244374" w:rsidRPr="0040341A" w:rsidRDefault="00244374" w:rsidP="00244374">
            <w:pPr>
              <w:ind w:left="54"/>
              <w:rPr>
                <w:rFonts w:eastAsia="Times New Roman"/>
                <w:b/>
                <w:sz w:val="20"/>
                <w:szCs w:val="20"/>
                <w:lang w:eastAsia="sk-SK"/>
              </w:rPr>
            </w:pPr>
            <w:r w:rsidRPr="0040341A">
              <w:rPr>
                <w:rFonts w:eastAsia="Times New Roman"/>
                <w:b/>
                <w:sz w:val="20"/>
                <w:szCs w:val="20"/>
                <w:lang w:eastAsia="sk-SK"/>
              </w:rPr>
              <w:t>Negatívne</w:t>
            </w:r>
          </w:p>
        </w:tc>
      </w:tr>
      <w:tr w:rsidR="00244374" w:rsidRPr="0040341A" w14:paraId="328ADD9F" w14:textId="77777777" w:rsidTr="00244374">
        <w:tc>
          <w:tcPr>
            <w:tcW w:w="3812" w:type="dxa"/>
            <w:tcBorders>
              <w:top w:val="single" w:sz="4" w:space="0" w:color="auto"/>
              <w:left w:val="single" w:sz="4" w:space="0" w:color="auto"/>
              <w:bottom w:val="single" w:sz="4" w:space="0" w:color="auto"/>
              <w:right w:val="single" w:sz="4" w:space="0" w:color="auto"/>
            </w:tcBorders>
            <w:shd w:val="clear" w:color="auto" w:fill="E2E2E2"/>
          </w:tcPr>
          <w:p w14:paraId="01E109DD"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Vplyvy na informatizáciu spoločnosti</w:t>
            </w:r>
          </w:p>
        </w:tc>
        <w:sdt>
          <w:sdtPr>
            <w:rPr>
              <w:b/>
              <w:sz w:val="20"/>
              <w:szCs w:val="20"/>
              <w:lang w:eastAsia="sk-SK"/>
            </w:rPr>
            <w:id w:val="-79522184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1440A2D"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A471E3E" w14:textId="77777777" w:rsidR="00244374" w:rsidRPr="0040341A" w:rsidRDefault="00244374" w:rsidP="00244374">
            <w:pPr>
              <w:ind w:right="-108"/>
              <w:rPr>
                <w:rFonts w:eastAsia="Times New Roman"/>
                <w:b/>
                <w:sz w:val="20"/>
                <w:szCs w:val="20"/>
                <w:lang w:eastAsia="sk-SK"/>
              </w:rPr>
            </w:pPr>
            <w:r w:rsidRPr="0040341A">
              <w:rPr>
                <w:rFonts w:eastAsia="Times New Roman"/>
                <w:b/>
                <w:sz w:val="20"/>
                <w:szCs w:val="20"/>
                <w:lang w:eastAsia="sk-SK"/>
              </w:rPr>
              <w:t>Pozitívne</w:t>
            </w:r>
          </w:p>
        </w:tc>
        <w:sdt>
          <w:sdtPr>
            <w:rPr>
              <w:b/>
              <w:sz w:val="20"/>
              <w:szCs w:val="20"/>
              <w:lang w:eastAsia="sk-SK"/>
            </w:rPr>
            <w:id w:val="49723790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55FFC5A"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E60DBA4"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Žiadne</w:t>
            </w:r>
          </w:p>
        </w:tc>
        <w:sdt>
          <w:sdtPr>
            <w:rPr>
              <w:b/>
              <w:sz w:val="20"/>
              <w:szCs w:val="20"/>
              <w:lang w:eastAsia="sk-SK"/>
            </w:rPr>
            <w:id w:val="14754180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4D6FF57"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70E817F" w14:textId="77777777" w:rsidR="00244374" w:rsidRPr="0040341A" w:rsidRDefault="00244374" w:rsidP="00244374">
            <w:pPr>
              <w:ind w:left="54"/>
              <w:rPr>
                <w:rFonts w:eastAsia="Times New Roman"/>
                <w:b/>
                <w:sz w:val="20"/>
                <w:szCs w:val="20"/>
                <w:lang w:eastAsia="sk-SK"/>
              </w:rPr>
            </w:pPr>
            <w:r w:rsidRPr="0040341A">
              <w:rPr>
                <w:rFonts w:eastAsia="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44374" w:rsidRPr="0040341A" w14:paraId="1A087A1A" w14:textId="77777777" w:rsidTr="00244374">
        <w:tc>
          <w:tcPr>
            <w:tcW w:w="3812" w:type="dxa"/>
            <w:tcBorders>
              <w:top w:val="single" w:sz="4" w:space="0" w:color="auto"/>
              <w:left w:val="single" w:sz="4" w:space="0" w:color="auto"/>
              <w:bottom w:val="nil"/>
              <w:right w:val="single" w:sz="4" w:space="0" w:color="auto"/>
            </w:tcBorders>
            <w:shd w:val="clear" w:color="auto" w:fill="E2E2E2"/>
          </w:tcPr>
          <w:p w14:paraId="1464F99A" w14:textId="77777777" w:rsidR="00244374" w:rsidRPr="0040341A" w:rsidRDefault="00244374" w:rsidP="00244374">
            <w:pPr>
              <w:rPr>
                <w:b/>
                <w:sz w:val="20"/>
                <w:szCs w:val="20"/>
                <w:lang w:eastAsia="sk-SK"/>
              </w:rPr>
            </w:pPr>
            <w:r w:rsidRPr="0040341A">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00C83E73" w14:textId="77777777" w:rsidR="00244374" w:rsidRPr="0040341A" w:rsidRDefault="00244374" w:rsidP="00244374">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1D10696B" w14:textId="77777777" w:rsidR="00244374" w:rsidRPr="0040341A" w:rsidRDefault="00244374" w:rsidP="00244374">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19A8E4B9" w14:textId="77777777" w:rsidR="00244374" w:rsidRPr="0040341A" w:rsidRDefault="00244374" w:rsidP="00244374">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7F5B4AAF" w14:textId="77777777" w:rsidR="00244374" w:rsidRPr="0040341A" w:rsidRDefault="00244374" w:rsidP="00244374">
            <w:pPr>
              <w:rPr>
                <w:b/>
                <w:sz w:val="20"/>
                <w:szCs w:val="20"/>
                <w:lang w:eastAsia="sk-SK"/>
              </w:rPr>
            </w:pPr>
          </w:p>
        </w:tc>
        <w:tc>
          <w:tcPr>
            <w:tcW w:w="547" w:type="dxa"/>
            <w:tcBorders>
              <w:top w:val="single" w:sz="4" w:space="0" w:color="auto"/>
              <w:left w:val="nil"/>
              <w:bottom w:val="nil"/>
              <w:right w:val="nil"/>
            </w:tcBorders>
            <w:shd w:val="clear" w:color="auto" w:fill="auto"/>
          </w:tcPr>
          <w:p w14:paraId="6C4D09FB" w14:textId="77777777" w:rsidR="00244374" w:rsidRPr="0040341A" w:rsidRDefault="00244374" w:rsidP="00244374">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284C1B7" w14:textId="77777777" w:rsidR="00244374" w:rsidRPr="0040341A" w:rsidRDefault="00244374" w:rsidP="00244374">
            <w:pPr>
              <w:ind w:left="54"/>
              <w:rPr>
                <w:b/>
                <w:sz w:val="20"/>
                <w:szCs w:val="20"/>
                <w:lang w:eastAsia="sk-SK"/>
              </w:rPr>
            </w:pPr>
          </w:p>
        </w:tc>
      </w:tr>
      <w:tr w:rsidR="00244374" w:rsidRPr="0040341A" w14:paraId="44F42D68" w14:textId="77777777" w:rsidTr="00244374">
        <w:tc>
          <w:tcPr>
            <w:tcW w:w="3812" w:type="dxa"/>
            <w:tcBorders>
              <w:top w:val="nil"/>
              <w:left w:val="single" w:sz="4" w:space="0" w:color="auto"/>
              <w:bottom w:val="nil"/>
              <w:right w:val="single" w:sz="4" w:space="0" w:color="auto"/>
            </w:tcBorders>
            <w:shd w:val="clear" w:color="auto" w:fill="E2E2E2"/>
          </w:tcPr>
          <w:p w14:paraId="5240EB25" w14:textId="77777777" w:rsidR="00244374" w:rsidRPr="0040341A" w:rsidRDefault="00244374" w:rsidP="00244374">
            <w:pPr>
              <w:ind w:left="196" w:hanging="196"/>
              <w:rPr>
                <w:rFonts w:eastAsia="Calibri"/>
                <w:b/>
                <w:sz w:val="20"/>
                <w:szCs w:val="20"/>
              </w:rPr>
            </w:pPr>
            <w:r w:rsidRPr="0040341A">
              <w:rPr>
                <w:rFonts w:eastAsia="Calibri"/>
                <w:b/>
                <w:sz w:val="20"/>
                <w:szCs w:val="20"/>
              </w:rPr>
              <w:t xml:space="preserve">    vplyvy služieb verejnej správy na občana</w:t>
            </w:r>
          </w:p>
        </w:tc>
        <w:sdt>
          <w:sdtPr>
            <w:rPr>
              <w:b/>
              <w:sz w:val="20"/>
              <w:szCs w:val="20"/>
              <w:lang w:eastAsia="sk-SK"/>
            </w:rPr>
            <w:id w:val="446896913"/>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F89D105" w14:textId="77777777" w:rsidR="00244374" w:rsidRPr="0040341A" w:rsidRDefault="00244374" w:rsidP="00244374">
                <w:pPr>
                  <w:jc w:val="center"/>
                  <w:rPr>
                    <w:b/>
                    <w:sz w:val="20"/>
                    <w:szCs w:val="20"/>
                    <w:lang w:eastAsia="sk-SK"/>
                  </w:rPr>
                </w:pPr>
                <w:r w:rsidRPr="0040341A">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052479D9" w14:textId="77777777" w:rsidR="00244374" w:rsidRPr="0040341A" w:rsidRDefault="00244374" w:rsidP="00244374">
            <w:pPr>
              <w:ind w:right="-108"/>
              <w:rPr>
                <w:b/>
                <w:sz w:val="20"/>
                <w:szCs w:val="20"/>
                <w:lang w:eastAsia="sk-SK"/>
              </w:rPr>
            </w:pPr>
            <w:r w:rsidRPr="0040341A">
              <w:rPr>
                <w:b/>
                <w:sz w:val="20"/>
                <w:szCs w:val="20"/>
                <w:lang w:eastAsia="sk-SK"/>
              </w:rPr>
              <w:t>Pozitívne</w:t>
            </w:r>
          </w:p>
        </w:tc>
        <w:sdt>
          <w:sdtPr>
            <w:rPr>
              <w:b/>
              <w:sz w:val="20"/>
              <w:szCs w:val="20"/>
              <w:lang w:eastAsia="sk-SK"/>
            </w:rPr>
            <w:id w:val="-1671246445"/>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636322D1" w14:textId="77777777" w:rsidR="00244374" w:rsidRPr="0040341A" w:rsidRDefault="00244374" w:rsidP="00244374">
                <w:pPr>
                  <w:jc w:val="center"/>
                  <w:rPr>
                    <w:b/>
                    <w:sz w:val="20"/>
                    <w:szCs w:val="20"/>
                    <w:lang w:eastAsia="sk-SK"/>
                  </w:rPr>
                </w:pPr>
                <w:r w:rsidRPr="0040341A">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6D3B9379" w14:textId="77777777" w:rsidR="00244374" w:rsidRPr="0040341A" w:rsidRDefault="00244374" w:rsidP="00244374">
            <w:pPr>
              <w:rPr>
                <w:b/>
                <w:sz w:val="20"/>
                <w:szCs w:val="20"/>
                <w:lang w:eastAsia="sk-SK"/>
              </w:rPr>
            </w:pPr>
            <w:r w:rsidRPr="0040341A">
              <w:rPr>
                <w:b/>
                <w:sz w:val="20"/>
                <w:szCs w:val="20"/>
                <w:lang w:eastAsia="sk-SK"/>
              </w:rPr>
              <w:t>Žiadne</w:t>
            </w:r>
          </w:p>
        </w:tc>
        <w:sdt>
          <w:sdtPr>
            <w:rPr>
              <w:b/>
              <w:sz w:val="20"/>
              <w:szCs w:val="20"/>
              <w:lang w:eastAsia="sk-SK"/>
            </w:rPr>
            <w:id w:val="-411080164"/>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1958A36" w14:textId="77777777" w:rsidR="00244374" w:rsidRPr="0040341A" w:rsidRDefault="00244374" w:rsidP="00244374">
                <w:pPr>
                  <w:jc w:val="center"/>
                  <w:rPr>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0E3F9D6" w14:textId="77777777" w:rsidR="00244374" w:rsidRPr="0040341A" w:rsidRDefault="00244374" w:rsidP="00244374">
            <w:pPr>
              <w:ind w:left="54"/>
              <w:rPr>
                <w:b/>
                <w:sz w:val="20"/>
                <w:szCs w:val="20"/>
                <w:lang w:eastAsia="sk-SK"/>
              </w:rPr>
            </w:pPr>
            <w:r w:rsidRPr="0040341A">
              <w:rPr>
                <w:b/>
                <w:sz w:val="20"/>
                <w:szCs w:val="20"/>
                <w:lang w:eastAsia="sk-SK"/>
              </w:rPr>
              <w:t>Negatívne</w:t>
            </w:r>
          </w:p>
        </w:tc>
      </w:tr>
      <w:tr w:rsidR="00244374" w:rsidRPr="0040341A" w14:paraId="2B96D9CB" w14:textId="77777777" w:rsidTr="00244374">
        <w:tc>
          <w:tcPr>
            <w:tcW w:w="3812" w:type="dxa"/>
            <w:tcBorders>
              <w:top w:val="nil"/>
              <w:left w:val="single" w:sz="4" w:space="0" w:color="auto"/>
              <w:bottom w:val="nil"/>
              <w:right w:val="single" w:sz="4" w:space="0" w:color="auto"/>
            </w:tcBorders>
            <w:shd w:val="clear" w:color="auto" w:fill="E2E2E2"/>
          </w:tcPr>
          <w:p w14:paraId="667EBE21" w14:textId="77777777" w:rsidR="00244374" w:rsidRPr="0040341A" w:rsidRDefault="00244374" w:rsidP="00244374">
            <w:pPr>
              <w:ind w:left="168" w:hanging="168"/>
              <w:rPr>
                <w:rFonts w:eastAsia="Calibri"/>
                <w:b/>
                <w:sz w:val="20"/>
                <w:szCs w:val="20"/>
              </w:rPr>
            </w:pPr>
            <w:r w:rsidRPr="0040341A">
              <w:rPr>
                <w:rFonts w:eastAsia="Calibri"/>
                <w:b/>
                <w:sz w:val="20"/>
                <w:szCs w:val="20"/>
              </w:rPr>
              <w:t xml:space="preserve">    vplyvy na procesy služieb vo verejnej správe</w:t>
            </w:r>
          </w:p>
        </w:tc>
        <w:sdt>
          <w:sdtPr>
            <w:rPr>
              <w:b/>
              <w:sz w:val="20"/>
              <w:szCs w:val="20"/>
              <w:lang w:eastAsia="sk-SK"/>
            </w:rPr>
            <w:id w:val="358780340"/>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750EB01" w14:textId="77777777" w:rsidR="00244374" w:rsidRPr="0040341A" w:rsidRDefault="00244374" w:rsidP="00244374">
                <w:pPr>
                  <w:jc w:val="center"/>
                  <w:rPr>
                    <w:b/>
                    <w:sz w:val="20"/>
                    <w:szCs w:val="20"/>
                    <w:lang w:eastAsia="sk-SK"/>
                  </w:rPr>
                </w:pPr>
                <w:r w:rsidRPr="0040341A">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654583B" w14:textId="77777777" w:rsidR="00244374" w:rsidRPr="0040341A" w:rsidRDefault="00244374" w:rsidP="00244374">
            <w:pPr>
              <w:ind w:right="-108"/>
              <w:rPr>
                <w:b/>
                <w:sz w:val="20"/>
                <w:szCs w:val="20"/>
                <w:lang w:eastAsia="sk-SK"/>
              </w:rPr>
            </w:pPr>
            <w:r w:rsidRPr="0040341A">
              <w:rPr>
                <w:b/>
                <w:sz w:val="20"/>
                <w:szCs w:val="20"/>
                <w:lang w:eastAsia="sk-SK"/>
              </w:rPr>
              <w:t>Pozitívne</w:t>
            </w:r>
          </w:p>
        </w:tc>
        <w:sdt>
          <w:sdtPr>
            <w:rPr>
              <w:b/>
              <w:sz w:val="20"/>
              <w:szCs w:val="20"/>
              <w:lang w:eastAsia="sk-SK"/>
            </w:rPr>
            <w:id w:val="-1688216428"/>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CC9CB97" w14:textId="77777777" w:rsidR="00244374" w:rsidRPr="0040341A" w:rsidRDefault="00244374" w:rsidP="00244374">
                <w:pPr>
                  <w:jc w:val="center"/>
                  <w:rPr>
                    <w:b/>
                    <w:sz w:val="20"/>
                    <w:szCs w:val="20"/>
                    <w:lang w:eastAsia="sk-SK"/>
                  </w:rPr>
                </w:pPr>
                <w:r w:rsidRPr="0040341A">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749438DE" w14:textId="77777777" w:rsidR="00244374" w:rsidRPr="0040341A" w:rsidRDefault="00244374" w:rsidP="00244374">
            <w:pPr>
              <w:rPr>
                <w:b/>
                <w:sz w:val="20"/>
                <w:szCs w:val="20"/>
                <w:lang w:eastAsia="sk-SK"/>
              </w:rPr>
            </w:pPr>
            <w:r w:rsidRPr="0040341A">
              <w:rPr>
                <w:b/>
                <w:sz w:val="20"/>
                <w:szCs w:val="20"/>
                <w:lang w:eastAsia="sk-SK"/>
              </w:rPr>
              <w:t>Žiadne</w:t>
            </w:r>
          </w:p>
        </w:tc>
        <w:sdt>
          <w:sdtPr>
            <w:rPr>
              <w:b/>
              <w:sz w:val="20"/>
              <w:szCs w:val="20"/>
              <w:lang w:eastAsia="sk-SK"/>
            </w:rPr>
            <w:id w:val="193424774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55694C1" w14:textId="77777777" w:rsidR="00244374" w:rsidRPr="0040341A" w:rsidRDefault="00244374" w:rsidP="00244374">
                <w:pPr>
                  <w:jc w:val="center"/>
                  <w:rPr>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595B6EA" w14:textId="77777777" w:rsidR="00244374" w:rsidRPr="0040341A" w:rsidRDefault="00244374" w:rsidP="00244374">
            <w:pPr>
              <w:ind w:left="54"/>
              <w:rPr>
                <w:b/>
                <w:sz w:val="20"/>
                <w:szCs w:val="20"/>
                <w:lang w:eastAsia="sk-SK"/>
              </w:rPr>
            </w:pPr>
            <w:r w:rsidRPr="0040341A">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44374" w:rsidRPr="0040341A" w14:paraId="5E0BB3DC" w14:textId="77777777" w:rsidTr="00244374">
        <w:tc>
          <w:tcPr>
            <w:tcW w:w="3812" w:type="dxa"/>
            <w:tcBorders>
              <w:top w:val="single" w:sz="4" w:space="0" w:color="000000"/>
              <w:left w:val="single" w:sz="4" w:space="0" w:color="auto"/>
              <w:bottom w:val="single" w:sz="4" w:space="0" w:color="auto"/>
              <w:right w:val="single" w:sz="4" w:space="0" w:color="auto"/>
            </w:tcBorders>
            <w:shd w:val="clear" w:color="auto" w:fill="E2E2E2"/>
          </w:tcPr>
          <w:p w14:paraId="552E0FB8" w14:textId="77777777" w:rsidR="00244374" w:rsidRPr="0040341A" w:rsidRDefault="00244374" w:rsidP="00244374">
            <w:pPr>
              <w:rPr>
                <w:rFonts w:eastAsia="Times New Roman"/>
                <w:b/>
                <w:sz w:val="20"/>
                <w:szCs w:val="20"/>
                <w:lang w:eastAsia="sk-SK"/>
              </w:rPr>
            </w:pPr>
            <w:r w:rsidRPr="0040341A">
              <w:rPr>
                <w:rFonts w:eastAsia="Times New Roman"/>
                <w:b/>
                <w:sz w:val="20"/>
                <w:szCs w:val="20"/>
              </w:rPr>
              <w:t>Vplyvy na manželstvo, rodičovstvo a rodinu</w:t>
            </w:r>
          </w:p>
        </w:tc>
        <w:sdt>
          <w:sdtPr>
            <w:rPr>
              <w:b/>
              <w:sz w:val="20"/>
              <w:szCs w:val="20"/>
              <w:lang w:eastAsia="sk-SK"/>
            </w:rPr>
            <w:id w:val="197317699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31DF0EA"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EB03081" w14:textId="77777777" w:rsidR="00244374" w:rsidRPr="0040341A" w:rsidRDefault="00244374" w:rsidP="00244374">
            <w:pPr>
              <w:ind w:right="-108"/>
              <w:rPr>
                <w:rFonts w:eastAsia="Times New Roman"/>
                <w:b/>
                <w:sz w:val="20"/>
                <w:szCs w:val="20"/>
                <w:lang w:eastAsia="sk-SK"/>
              </w:rPr>
            </w:pPr>
            <w:r w:rsidRPr="0040341A">
              <w:rPr>
                <w:rFonts w:eastAsia="Times New Roman"/>
                <w:b/>
                <w:sz w:val="20"/>
                <w:szCs w:val="20"/>
                <w:lang w:eastAsia="sk-SK"/>
              </w:rPr>
              <w:t>Pozitívne</w:t>
            </w:r>
          </w:p>
        </w:tc>
        <w:sdt>
          <w:sdtPr>
            <w:rPr>
              <w:b/>
              <w:sz w:val="20"/>
              <w:szCs w:val="20"/>
              <w:lang w:eastAsia="sk-SK"/>
            </w:rPr>
            <w:id w:val="-327444876"/>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8418322"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45060A8" w14:textId="77777777" w:rsidR="00244374" w:rsidRPr="0040341A" w:rsidRDefault="00244374" w:rsidP="00244374">
            <w:pPr>
              <w:rPr>
                <w:rFonts w:eastAsia="Times New Roman"/>
                <w:b/>
                <w:sz w:val="20"/>
                <w:szCs w:val="20"/>
                <w:lang w:eastAsia="sk-SK"/>
              </w:rPr>
            </w:pPr>
            <w:r w:rsidRPr="0040341A">
              <w:rPr>
                <w:rFonts w:eastAsia="Times New Roman"/>
                <w:b/>
                <w:sz w:val="20"/>
                <w:szCs w:val="20"/>
                <w:lang w:eastAsia="sk-SK"/>
              </w:rPr>
              <w:t>Žiadne</w:t>
            </w:r>
          </w:p>
        </w:tc>
        <w:sdt>
          <w:sdtPr>
            <w:rPr>
              <w:b/>
              <w:sz w:val="20"/>
              <w:szCs w:val="20"/>
              <w:lang w:eastAsia="sk-SK"/>
            </w:rPr>
            <w:id w:val="1354458312"/>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A98D470" w14:textId="77777777" w:rsidR="00244374" w:rsidRPr="0040341A" w:rsidRDefault="00244374" w:rsidP="00244374">
                <w:pPr>
                  <w:jc w:val="center"/>
                  <w:rPr>
                    <w:rFonts w:eastAsia="Times New Roman"/>
                    <w:b/>
                    <w:sz w:val="20"/>
                    <w:szCs w:val="20"/>
                    <w:lang w:eastAsia="sk-SK"/>
                  </w:rPr>
                </w:pPr>
                <w:r w:rsidRPr="0040341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41AAA80" w14:textId="77777777" w:rsidR="00244374" w:rsidRPr="0040341A" w:rsidRDefault="00244374" w:rsidP="00244374">
            <w:pPr>
              <w:ind w:left="54"/>
              <w:rPr>
                <w:rFonts w:eastAsia="Times New Roman"/>
                <w:b/>
                <w:sz w:val="20"/>
                <w:szCs w:val="20"/>
                <w:lang w:eastAsia="sk-SK"/>
              </w:rPr>
            </w:pPr>
            <w:r w:rsidRPr="0040341A">
              <w:rPr>
                <w:rFonts w:eastAsia="Times New Roman"/>
                <w:b/>
                <w:sz w:val="20"/>
                <w:szCs w:val="20"/>
                <w:lang w:eastAsia="sk-SK"/>
              </w:rPr>
              <w:t>Negatívne</w:t>
            </w:r>
          </w:p>
        </w:tc>
      </w:tr>
    </w:tbl>
    <w:p w14:paraId="01FFE414" w14:textId="77777777" w:rsidR="00244374" w:rsidRPr="0040341A" w:rsidRDefault="00244374" w:rsidP="00244374">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244374" w:rsidRPr="0040341A" w14:paraId="5EC32A78" w14:textId="77777777" w:rsidTr="00244374">
        <w:tc>
          <w:tcPr>
            <w:tcW w:w="9176" w:type="dxa"/>
            <w:tcBorders>
              <w:top w:val="single" w:sz="4" w:space="0" w:color="auto"/>
              <w:left w:val="single" w:sz="4" w:space="0" w:color="auto"/>
              <w:bottom w:val="nil"/>
              <w:right w:val="single" w:sz="4" w:space="0" w:color="auto"/>
            </w:tcBorders>
            <w:shd w:val="clear" w:color="auto" w:fill="E2E2E2"/>
          </w:tcPr>
          <w:p w14:paraId="50DD8EFC" w14:textId="77777777" w:rsidR="00244374" w:rsidRPr="0040341A" w:rsidRDefault="00244374" w:rsidP="00244374">
            <w:pPr>
              <w:numPr>
                <w:ilvl w:val="0"/>
                <w:numId w:val="6"/>
              </w:numPr>
              <w:ind w:left="426"/>
              <w:contextualSpacing/>
              <w:rPr>
                <w:rFonts w:eastAsia="Calibri"/>
                <w:b/>
              </w:rPr>
            </w:pPr>
            <w:r w:rsidRPr="0040341A">
              <w:rPr>
                <w:rFonts w:eastAsia="Calibri"/>
                <w:b/>
              </w:rPr>
              <w:t>Poznámky</w:t>
            </w:r>
          </w:p>
        </w:tc>
      </w:tr>
      <w:tr w:rsidR="00244374" w:rsidRPr="0040341A" w14:paraId="609C3BE9" w14:textId="77777777" w:rsidTr="00244374">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0413509" w14:textId="77777777" w:rsidR="00244374" w:rsidRPr="0040341A" w:rsidRDefault="00244374" w:rsidP="00244374">
            <w:pPr>
              <w:jc w:val="both"/>
              <w:rPr>
                <w:rFonts w:eastAsia="Calibri"/>
                <w:b/>
              </w:rPr>
            </w:pPr>
          </w:p>
        </w:tc>
      </w:tr>
      <w:tr w:rsidR="00244374" w:rsidRPr="0040341A" w14:paraId="4CFE373F" w14:textId="77777777" w:rsidTr="00244374">
        <w:tc>
          <w:tcPr>
            <w:tcW w:w="9176" w:type="dxa"/>
            <w:tcBorders>
              <w:top w:val="single" w:sz="4" w:space="0" w:color="auto"/>
              <w:left w:val="single" w:sz="4" w:space="0" w:color="auto"/>
              <w:bottom w:val="single" w:sz="4" w:space="0" w:color="FFFFFF"/>
              <w:right w:val="single" w:sz="4" w:space="0" w:color="auto"/>
            </w:tcBorders>
            <w:shd w:val="clear" w:color="auto" w:fill="E2E2E2"/>
          </w:tcPr>
          <w:p w14:paraId="64B348D6" w14:textId="77777777" w:rsidR="00244374" w:rsidRPr="0040341A" w:rsidRDefault="00244374" w:rsidP="00244374">
            <w:pPr>
              <w:numPr>
                <w:ilvl w:val="0"/>
                <w:numId w:val="6"/>
              </w:numPr>
              <w:ind w:left="426"/>
              <w:contextualSpacing/>
              <w:rPr>
                <w:rFonts w:eastAsia="Calibri"/>
                <w:b/>
              </w:rPr>
            </w:pPr>
            <w:r w:rsidRPr="0040341A">
              <w:rPr>
                <w:rFonts w:eastAsia="Calibri"/>
                <w:b/>
              </w:rPr>
              <w:t>Kontakt na spracovateľa</w:t>
            </w:r>
          </w:p>
        </w:tc>
      </w:tr>
      <w:tr w:rsidR="00244374" w:rsidRPr="0040341A" w14:paraId="638A4B51" w14:textId="77777777" w:rsidTr="00244374">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F9A4F3E" w14:textId="77777777" w:rsidR="00244374" w:rsidRPr="0040341A" w:rsidRDefault="00244374" w:rsidP="00244374">
            <w:pPr>
              <w:rPr>
                <w:rFonts w:eastAsia="Times New Roman"/>
                <w:iCs/>
                <w:lang w:eastAsia="sk-SK"/>
              </w:rPr>
            </w:pPr>
            <w:r w:rsidRPr="0040341A">
              <w:rPr>
                <w:rFonts w:eastAsia="Times New Roman"/>
                <w:iCs/>
                <w:lang w:eastAsia="sk-SK"/>
              </w:rPr>
              <w:t>Ing. Katarína Sokolová, hlavný štátny radca odboru stratégie a metodiky regionálneho rozvoja</w:t>
            </w:r>
          </w:p>
          <w:p w14:paraId="6DDED1D1" w14:textId="77777777" w:rsidR="00244374" w:rsidRPr="0040341A" w:rsidRDefault="00244374" w:rsidP="00244374">
            <w:pPr>
              <w:rPr>
                <w:rFonts w:eastAsia="Times New Roman"/>
                <w:iCs/>
                <w:lang w:eastAsia="sk-SK"/>
              </w:rPr>
            </w:pPr>
            <w:r w:rsidRPr="0040341A">
              <w:rPr>
                <w:rFonts w:eastAsia="Times New Roman"/>
                <w:lang w:eastAsia="sk-SK"/>
              </w:rPr>
              <w:t>0947 923 743</w:t>
            </w:r>
            <w:r w:rsidRPr="0040341A">
              <w:t xml:space="preserve"> </w:t>
            </w:r>
            <w:hyperlink r:id="rId11" w:history="1">
              <w:r w:rsidRPr="0040341A">
                <w:rPr>
                  <w:rStyle w:val="Hypertextovprepojenie"/>
                  <w:rFonts w:eastAsia="Times New Roman"/>
                  <w:iCs/>
                  <w:lang w:eastAsia="sk-SK"/>
                </w:rPr>
                <w:t>katarina.sokolova@mirri.gov.sk</w:t>
              </w:r>
            </w:hyperlink>
            <w:r w:rsidRPr="0040341A">
              <w:rPr>
                <w:rFonts w:eastAsia="Times New Roman"/>
                <w:iCs/>
                <w:lang w:eastAsia="sk-SK"/>
              </w:rPr>
              <w:t xml:space="preserve"> </w:t>
            </w:r>
          </w:p>
          <w:p w14:paraId="18242608" w14:textId="77777777" w:rsidR="00244374" w:rsidRPr="0040341A" w:rsidRDefault="00244374" w:rsidP="00244374">
            <w:pPr>
              <w:rPr>
                <w:rFonts w:eastAsia="Times New Roman"/>
                <w:iCs/>
                <w:lang w:eastAsia="sk-SK"/>
              </w:rPr>
            </w:pPr>
            <w:r w:rsidRPr="0040341A">
              <w:rPr>
                <w:rFonts w:eastAsia="Times New Roman"/>
                <w:iCs/>
                <w:lang w:eastAsia="sk-SK"/>
              </w:rPr>
              <w:t>Ing. Mária Zapletalová, hlavný štátny radca odboru stratégie a metodiky regionálneho rozvoja</w:t>
            </w:r>
          </w:p>
          <w:p w14:paraId="3DD3B1FC" w14:textId="77777777" w:rsidR="00244374" w:rsidRPr="0040341A" w:rsidRDefault="00244374" w:rsidP="00244374">
            <w:pPr>
              <w:rPr>
                <w:rFonts w:eastAsia="Times New Roman"/>
                <w:iCs/>
                <w:lang w:eastAsia="sk-SK"/>
              </w:rPr>
            </w:pPr>
            <w:r w:rsidRPr="0040341A">
              <w:rPr>
                <w:rFonts w:eastAsia="Times New Roman"/>
                <w:iCs/>
                <w:lang w:eastAsia="sk-SK"/>
              </w:rPr>
              <w:t xml:space="preserve">0948 925 835 </w:t>
            </w:r>
            <w:hyperlink r:id="rId12" w:history="1">
              <w:r w:rsidRPr="0040341A">
                <w:rPr>
                  <w:rStyle w:val="Hypertextovprepojenie"/>
                  <w:rFonts w:eastAsia="Times New Roman"/>
                  <w:iCs/>
                  <w:lang w:eastAsia="sk-SK"/>
                </w:rPr>
                <w:t>maria.zapletalova@mirri.gov.sk</w:t>
              </w:r>
            </w:hyperlink>
            <w:r w:rsidRPr="0040341A">
              <w:rPr>
                <w:rFonts w:eastAsia="Times New Roman"/>
                <w:iCs/>
                <w:lang w:eastAsia="sk-SK"/>
              </w:rPr>
              <w:t xml:space="preserve"> </w:t>
            </w:r>
          </w:p>
          <w:p w14:paraId="7D5FE969" w14:textId="77777777" w:rsidR="00244374" w:rsidRPr="0040341A" w:rsidRDefault="00244374" w:rsidP="00244374">
            <w:pPr>
              <w:rPr>
                <w:rFonts w:eastAsia="Times New Roman"/>
                <w:lang w:eastAsia="sk-SK"/>
              </w:rPr>
            </w:pPr>
          </w:p>
        </w:tc>
      </w:tr>
      <w:tr w:rsidR="00244374" w:rsidRPr="0040341A" w14:paraId="60E5F4C4" w14:textId="77777777" w:rsidTr="00244374">
        <w:tc>
          <w:tcPr>
            <w:tcW w:w="9176" w:type="dxa"/>
            <w:tcBorders>
              <w:top w:val="single" w:sz="4" w:space="0" w:color="auto"/>
              <w:left w:val="single" w:sz="4" w:space="0" w:color="auto"/>
              <w:bottom w:val="single" w:sz="4" w:space="0" w:color="FFFFFF"/>
              <w:right w:val="single" w:sz="4" w:space="0" w:color="auto"/>
            </w:tcBorders>
            <w:shd w:val="clear" w:color="auto" w:fill="E2E2E2"/>
          </w:tcPr>
          <w:p w14:paraId="4B784B1A" w14:textId="77777777" w:rsidR="00244374" w:rsidRPr="0040341A" w:rsidRDefault="00244374" w:rsidP="00244374">
            <w:pPr>
              <w:numPr>
                <w:ilvl w:val="0"/>
                <w:numId w:val="6"/>
              </w:numPr>
              <w:ind w:left="426"/>
              <w:contextualSpacing/>
              <w:rPr>
                <w:rFonts w:eastAsia="Calibri"/>
                <w:b/>
              </w:rPr>
            </w:pPr>
            <w:r w:rsidRPr="0040341A">
              <w:rPr>
                <w:rFonts w:eastAsia="Calibri"/>
                <w:b/>
              </w:rPr>
              <w:t>Zdroje</w:t>
            </w:r>
          </w:p>
        </w:tc>
      </w:tr>
      <w:tr w:rsidR="00244374" w:rsidRPr="0040341A" w14:paraId="6C4175E5" w14:textId="77777777" w:rsidTr="00244374">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0EBF89D" w14:textId="77777777" w:rsidR="00244374" w:rsidRPr="0040341A" w:rsidRDefault="00244374" w:rsidP="00244374">
            <w:pPr>
              <w:rPr>
                <w:rFonts w:eastAsia="Times New Roman"/>
                <w:iCs/>
                <w:lang w:eastAsia="sk-SK"/>
              </w:rPr>
            </w:pPr>
            <w:r w:rsidRPr="0040341A">
              <w:rPr>
                <w:rFonts w:eastAsia="Times New Roman"/>
                <w:iCs/>
                <w:lang w:eastAsia="sk-SK"/>
              </w:rPr>
              <w:t>Pre spracovanie relevantných analýz vybraných vplyvov sme vychádzali z vlastných dát:</w:t>
            </w:r>
          </w:p>
          <w:p w14:paraId="27AD9114" w14:textId="77777777" w:rsidR="00244374" w:rsidRPr="0040341A" w:rsidRDefault="00244374" w:rsidP="00244374">
            <w:pPr>
              <w:pStyle w:val="Odsekzoznamu"/>
              <w:numPr>
                <w:ilvl w:val="0"/>
                <w:numId w:val="12"/>
              </w:numPr>
              <w:spacing w:after="0" w:line="240" w:lineRule="auto"/>
              <w:rPr>
                <w:rFonts w:ascii="Times New Roman" w:eastAsia="Times New Roman" w:hAnsi="Times New Roman"/>
                <w:iCs/>
                <w:lang w:eastAsia="sk-SK"/>
              </w:rPr>
            </w:pPr>
            <w:r w:rsidRPr="0040341A">
              <w:rPr>
                <w:rFonts w:ascii="Times New Roman" w:eastAsia="Times New Roman" w:hAnsi="Times New Roman"/>
                <w:iCs/>
                <w:lang w:eastAsia="sk-SK"/>
              </w:rPr>
              <w:t>požadovaná výška dotácie v EUR,</w:t>
            </w:r>
          </w:p>
          <w:p w14:paraId="48A3716D" w14:textId="77777777" w:rsidR="00244374" w:rsidRPr="0040341A" w:rsidRDefault="00244374" w:rsidP="00244374">
            <w:pPr>
              <w:pStyle w:val="Odsekzoznamu"/>
              <w:numPr>
                <w:ilvl w:val="0"/>
                <w:numId w:val="12"/>
              </w:numPr>
              <w:spacing w:after="0" w:line="240" w:lineRule="auto"/>
              <w:rPr>
                <w:rFonts w:ascii="Times New Roman" w:eastAsia="Times New Roman" w:hAnsi="Times New Roman"/>
                <w:iCs/>
                <w:lang w:eastAsia="sk-SK"/>
              </w:rPr>
            </w:pPr>
            <w:r w:rsidRPr="0040341A">
              <w:rPr>
                <w:rFonts w:ascii="Times New Roman" w:eastAsia="Times New Roman" w:hAnsi="Times New Roman"/>
                <w:iCs/>
                <w:lang w:eastAsia="sk-SK"/>
              </w:rPr>
              <w:t xml:space="preserve">schválená výška dotácie v EUR, </w:t>
            </w:r>
          </w:p>
          <w:p w14:paraId="41432F2D" w14:textId="77777777" w:rsidR="00244374" w:rsidRPr="0040341A" w:rsidRDefault="00244374" w:rsidP="00244374">
            <w:pPr>
              <w:pStyle w:val="Odsekzoznamu"/>
              <w:numPr>
                <w:ilvl w:val="0"/>
                <w:numId w:val="12"/>
              </w:numPr>
              <w:spacing w:after="0" w:line="240" w:lineRule="auto"/>
              <w:rPr>
                <w:rFonts w:ascii="Times New Roman" w:eastAsia="Times New Roman" w:hAnsi="Times New Roman"/>
                <w:iCs/>
                <w:lang w:eastAsia="sk-SK"/>
              </w:rPr>
            </w:pPr>
            <w:r w:rsidRPr="0040341A">
              <w:rPr>
                <w:rFonts w:ascii="Times New Roman" w:eastAsia="Times New Roman" w:hAnsi="Times New Roman"/>
                <w:iCs/>
                <w:lang w:eastAsia="sk-SK"/>
              </w:rPr>
              <w:t>alokácia rozpočtovej kapitoly MIRRI SR.</w:t>
            </w:r>
          </w:p>
          <w:p w14:paraId="49759D40" w14:textId="77777777" w:rsidR="00244374" w:rsidRPr="0040341A" w:rsidRDefault="00244374" w:rsidP="00244374">
            <w:pPr>
              <w:rPr>
                <w:rFonts w:eastAsia="Times New Roman"/>
                <w:i/>
                <w:sz w:val="20"/>
                <w:szCs w:val="20"/>
                <w:lang w:eastAsia="sk-SK"/>
              </w:rPr>
            </w:pPr>
          </w:p>
          <w:p w14:paraId="401E7A2A" w14:textId="77777777" w:rsidR="00244374" w:rsidRPr="0040341A" w:rsidRDefault="00244374" w:rsidP="00244374">
            <w:pPr>
              <w:rPr>
                <w:rFonts w:eastAsia="Times New Roman"/>
                <w:b/>
                <w:sz w:val="20"/>
                <w:szCs w:val="20"/>
                <w:lang w:eastAsia="sk-SK"/>
              </w:rPr>
            </w:pPr>
          </w:p>
        </w:tc>
      </w:tr>
      <w:tr w:rsidR="00244374" w:rsidRPr="0040341A" w14:paraId="395BD396" w14:textId="77777777" w:rsidTr="00244374">
        <w:tc>
          <w:tcPr>
            <w:tcW w:w="9176" w:type="dxa"/>
            <w:tcBorders>
              <w:top w:val="single" w:sz="4" w:space="0" w:color="auto"/>
              <w:left w:val="single" w:sz="4" w:space="0" w:color="auto"/>
              <w:bottom w:val="single" w:sz="4" w:space="0" w:color="FFFFFF"/>
              <w:right w:val="single" w:sz="4" w:space="0" w:color="auto"/>
            </w:tcBorders>
            <w:shd w:val="clear" w:color="auto" w:fill="E2E2E2"/>
          </w:tcPr>
          <w:p w14:paraId="2654CDD3" w14:textId="77777777" w:rsidR="00244374" w:rsidRPr="0040341A" w:rsidRDefault="00244374" w:rsidP="00244374">
            <w:pPr>
              <w:numPr>
                <w:ilvl w:val="0"/>
                <w:numId w:val="6"/>
              </w:numPr>
              <w:ind w:left="447" w:hanging="425"/>
              <w:contextualSpacing/>
              <w:rPr>
                <w:rFonts w:eastAsia="Calibri"/>
                <w:b/>
              </w:rPr>
            </w:pPr>
            <w:r w:rsidRPr="0040341A">
              <w:rPr>
                <w:rFonts w:eastAsia="Calibri"/>
                <w:b/>
              </w:rPr>
              <w:t xml:space="preserve">Stanovisko Komisie na posudzovanie vybraných vplyvov z PPK </w:t>
            </w:r>
            <w:proofErr w:type="gramStart"/>
            <w:r w:rsidRPr="0040341A">
              <w:rPr>
                <w:rFonts w:eastAsia="Calibri"/>
                <w:b/>
              </w:rPr>
              <w:t>č.</w:t>
            </w:r>
            <w:proofErr w:type="gramEnd"/>
            <w:r w:rsidRPr="0040341A">
              <w:rPr>
                <w:rFonts w:eastAsia="Calibri"/>
                <w:b/>
              </w:rPr>
              <w:t xml:space="preserve"> ..........</w:t>
            </w:r>
            <w:r w:rsidRPr="0040341A">
              <w:rPr>
                <w:rFonts w:eastAsia="Calibri"/>
              </w:rPr>
              <w:t xml:space="preserve"> </w:t>
            </w:r>
          </w:p>
          <w:p w14:paraId="1E68E668" w14:textId="77777777" w:rsidR="00244374" w:rsidRPr="0040341A" w:rsidRDefault="00244374" w:rsidP="00244374">
            <w:pPr>
              <w:ind w:left="502"/>
              <w:rPr>
                <w:rFonts w:eastAsia="Times New Roman"/>
                <w:b/>
                <w:sz w:val="20"/>
                <w:szCs w:val="20"/>
                <w:lang w:eastAsia="sk-SK"/>
              </w:rPr>
            </w:pPr>
            <w:r w:rsidRPr="0040341A">
              <w:rPr>
                <w:rFonts w:eastAsia="Calibri"/>
              </w:rPr>
              <w:t>(v prípade, ak sa uskutočnilo v zmysle bodu 8.1 Jednotnej metodiky)</w:t>
            </w:r>
          </w:p>
        </w:tc>
      </w:tr>
      <w:tr w:rsidR="00244374" w:rsidRPr="0040341A" w14:paraId="066FBF84" w14:textId="77777777" w:rsidTr="00244374">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2D0F6FD" w14:textId="77777777" w:rsidR="00244374" w:rsidRPr="0040341A" w:rsidRDefault="00244374" w:rsidP="00244374">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44374" w:rsidRPr="0040341A" w14:paraId="1EC2C690" w14:textId="77777777" w:rsidTr="00244374">
              <w:trPr>
                <w:trHeight w:val="396"/>
              </w:trPr>
              <w:tc>
                <w:tcPr>
                  <w:tcW w:w="2552" w:type="dxa"/>
                </w:tcPr>
                <w:p w14:paraId="75A0050C" w14:textId="77777777" w:rsidR="00244374" w:rsidRPr="0040341A" w:rsidRDefault="00A13ABC" w:rsidP="00244374">
                  <w:pPr>
                    <w:rPr>
                      <w:rFonts w:eastAsia="Times New Roman"/>
                      <w:b/>
                      <w:sz w:val="20"/>
                      <w:szCs w:val="20"/>
                      <w:lang w:eastAsia="sk-SK"/>
                    </w:rPr>
                  </w:pPr>
                  <w:sdt>
                    <w:sdtPr>
                      <w:rPr>
                        <w:b/>
                        <w:sz w:val="20"/>
                        <w:szCs w:val="20"/>
                        <w:lang w:eastAsia="sk-SK"/>
                      </w:rPr>
                      <w:id w:val="-1274626857"/>
                      <w14:checkbox>
                        <w14:checked w14:val="0"/>
                        <w14:checkedState w14:val="2612" w14:font="MS Gothic"/>
                        <w14:uncheckedState w14:val="2610" w14:font="MS Gothic"/>
                      </w14:checkbox>
                    </w:sdtPr>
                    <w:sdtEndPr/>
                    <w:sdtContent>
                      <w:r w:rsidR="00244374" w:rsidRPr="0040341A">
                        <w:rPr>
                          <w:rFonts w:ascii="Segoe UI Symbol" w:eastAsia="MS Gothic" w:hAnsi="Segoe UI Symbol" w:cs="Segoe UI Symbol"/>
                          <w:b/>
                          <w:sz w:val="20"/>
                          <w:szCs w:val="20"/>
                          <w:lang w:eastAsia="sk-SK"/>
                        </w:rPr>
                        <w:t>☐</w:t>
                      </w:r>
                    </w:sdtContent>
                  </w:sdt>
                  <w:r w:rsidR="00244374" w:rsidRPr="0040341A">
                    <w:rPr>
                      <w:rFonts w:eastAsia="Times New Roman"/>
                      <w:b/>
                      <w:sz w:val="20"/>
                      <w:szCs w:val="20"/>
                      <w:lang w:eastAsia="sk-SK"/>
                    </w:rPr>
                    <w:t xml:space="preserve">  Súhlasné </w:t>
                  </w:r>
                </w:p>
              </w:tc>
              <w:tc>
                <w:tcPr>
                  <w:tcW w:w="3827" w:type="dxa"/>
                </w:tcPr>
                <w:p w14:paraId="16EEA5F5" w14:textId="77777777" w:rsidR="00244374" w:rsidRPr="0040341A" w:rsidRDefault="00A13ABC" w:rsidP="00244374">
                  <w:pPr>
                    <w:rPr>
                      <w:rFonts w:eastAsia="Times New Roman"/>
                      <w:b/>
                      <w:sz w:val="20"/>
                      <w:szCs w:val="20"/>
                      <w:lang w:eastAsia="sk-SK"/>
                    </w:rPr>
                  </w:pPr>
                  <w:sdt>
                    <w:sdtPr>
                      <w:rPr>
                        <w:b/>
                        <w:sz w:val="20"/>
                        <w:szCs w:val="20"/>
                        <w:lang w:eastAsia="sk-SK"/>
                      </w:rPr>
                      <w:id w:val="-367686557"/>
                      <w14:checkbox>
                        <w14:checked w14:val="0"/>
                        <w14:checkedState w14:val="2612" w14:font="MS Gothic"/>
                        <w14:uncheckedState w14:val="2610" w14:font="MS Gothic"/>
                      </w14:checkbox>
                    </w:sdtPr>
                    <w:sdtEndPr/>
                    <w:sdtContent>
                      <w:r w:rsidR="00244374" w:rsidRPr="0040341A">
                        <w:rPr>
                          <w:rFonts w:ascii="Segoe UI Symbol" w:eastAsia="MS Gothic" w:hAnsi="Segoe UI Symbol" w:cs="Segoe UI Symbol"/>
                          <w:b/>
                          <w:sz w:val="20"/>
                          <w:szCs w:val="20"/>
                          <w:lang w:eastAsia="sk-SK"/>
                        </w:rPr>
                        <w:t>☐</w:t>
                      </w:r>
                    </w:sdtContent>
                  </w:sdt>
                  <w:r w:rsidR="00244374" w:rsidRPr="0040341A">
                    <w:rPr>
                      <w:rFonts w:eastAsia="Times New Roman"/>
                      <w:b/>
                      <w:sz w:val="20"/>
                      <w:szCs w:val="20"/>
                      <w:lang w:eastAsia="sk-SK"/>
                    </w:rPr>
                    <w:t xml:space="preserve">  Súhlasné s návrhom na dopracovanie</w:t>
                  </w:r>
                </w:p>
              </w:tc>
              <w:tc>
                <w:tcPr>
                  <w:tcW w:w="2534" w:type="dxa"/>
                </w:tcPr>
                <w:p w14:paraId="5C616093" w14:textId="77777777" w:rsidR="00244374" w:rsidRPr="0040341A" w:rsidRDefault="00A13ABC" w:rsidP="00244374">
                  <w:pPr>
                    <w:ind w:right="459"/>
                    <w:rPr>
                      <w:rFonts w:eastAsia="Times New Roman"/>
                      <w:b/>
                      <w:sz w:val="20"/>
                      <w:szCs w:val="20"/>
                      <w:lang w:eastAsia="sk-SK"/>
                    </w:rPr>
                  </w:pPr>
                  <w:sdt>
                    <w:sdtPr>
                      <w:rPr>
                        <w:b/>
                        <w:sz w:val="20"/>
                        <w:szCs w:val="20"/>
                        <w:lang w:eastAsia="sk-SK"/>
                      </w:rPr>
                      <w:id w:val="131371018"/>
                      <w14:checkbox>
                        <w14:checked w14:val="0"/>
                        <w14:checkedState w14:val="2612" w14:font="MS Gothic"/>
                        <w14:uncheckedState w14:val="2610" w14:font="MS Gothic"/>
                      </w14:checkbox>
                    </w:sdtPr>
                    <w:sdtEndPr/>
                    <w:sdtContent>
                      <w:r w:rsidR="00244374" w:rsidRPr="0040341A">
                        <w:rPr>
                          <w:rFonts w:ascii="Segoe UI Symbol" w:eastAsia="MS Gothic" w:hAnsi="Segoe UI Symbol" w:cs="Segoe UI Symbol"/>
                          <w:b/>
                          <w:sz w:val="20"/>
                          <w:szCs w:val="20"/>
                          <w:lang w:eastAsia="sk-SK"/>
                        </w:rPr>
                        <w:t>☐</w:t>
                      </w:r>
                    </w:sdtContent>
                  </w:sdt>
                  <w:r w:rsidR="00244374" w:rsidRPr="0040341A">
                    <w:rPr>
                      <w:rFonts w:eastAsia="Times New Roman"/>
                      <w:b/>
                      <w:sz w:val="20"/>
                      <w:szCs w:val="20"/>
                      <w:lang w:eastAsia="sk-SK"/>
                    </w:rPr>
                    <w:t xml:space="preserve">  Nesúhlasné</w:t>
                  </w:r>
                </w:p>
              </w:tc>
            </w:tr>
          </w:tbl>
          <w:p w14:paraId="31485004" w14:textId="77777777" w:rsidR="00244374" w:rsidRPr="0040341A" w:rsidRDefault="00244374" w:rsidP="00244374">
            <w:pPr>
              <w:jc w:val="both"/>
              <w:rPr>
                <w:rFonts w:eastAsia="Times New Roman"/>
                <w:b/>
                <w:sz w:val="20"/>
                <w:szCs w:val="20"/>
                <w:lang w:eastAsia="sk-SK"/>
              </w:rPr>
            </w:pPr>
            <w:r w:rsidRPr="0040341A">
              <w:rPr>
                <w:rFonts w:eastAsia="Times New Roman"/>
                <w:b/>
                <w:sz w:val="20"/>
                <w:szCs w:val="20"/>
                <w:lang w:eastAsia="sk-SK"/>
              </w:rPr>
              <w:t>Uveďte pripomienky zo stanoviska Komisie z časti II. spolu s Vaším vyhodnotením:</w:t>
            </w:r>
          </w:p>
          <w:p w14:paraId="3E326ACB" w14:textId="77777777" w:rsidR="00244374" w:rsidRPr="0040341A" w:rsidRDefault="00244374" w:rsidP="00244374">
            <w:pPr>
              <w:rPr>
                <w:rFonts w:eastAsia="Times New Roman"/>
                <w:b/>
                <w:sz w:val="20"/>
                <w:szCs w:val="20"/>
                <w:lang w:eastAsia="sk-SK"/>
              </w:rPr>
            </w:pPr>
          </w:p>
          <w:p w14:paraId="2F37B035" w14:textId="77777777" w:rsidR="00244374" w:rsidRPr="0040341A" w:rsidRDefault="00244374" w:rsidP="00244374">
            <w:pPr>
              <w:rPr>
                <w:rFonts w:eastAsia="Times New Roman"/>
                <w:b/>
                <w:sz w:val="20"/>
                <w:szCs w:val="20"/>
                <w:lang w:eastAsia="sk-SK"/>
              </w:rPr>
            </w:pPr>
          </w:p>
        </w:tc>
      </w:tr>
      <w:tr w:rsidR="00244374" w:rsidRPr="0040341A" w14:paraId="59D19244" w14:textId="77777777" w:rsidTr="00244374">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812F1C4" w14:textId="77777777" w:rsidR="00244374" w:rsidRPr="0040341A" w:rsidRDefault="00244374" w:rsidP="00244374">
            <w:pPr>
              <w:numPr>
                <w:ilvl w:val="0"/>
                <w:numId w:val="6"/>
              </w:numPr>
              <w:ind w:left="450" w:hanging="425"/>
              <w:contextualSpacing/>
              <w:jc w:val="both"/>
              <w:rPr>
                <w:rFonts w:eastAsia="Calibri"/>
                <w:b/>
              </w:rPr>
            </w:pPr>
            <w:r w:rsidRPr="0040341A">
              <w:rPr>
                <w:rFonts w:eastAsia="Calibri"/>
                <w:b/>
              </w:rPr>
              <w:t xml:space="preserve">Stanovisko Komisie </w:t>
            </w:r>
            <w:proofErr w:type="gramStart"/>
            <w:r w:rsidRPr="0040341A">
              <w:rPr>
                <w:rFonts w:eastAsia="Calibri"/>
                <w:b/>
              </w:rPr>
              <w:t>na</w:t>
            </w:r>
            <w:proofErr w:type="gramEnd"/>
            <w:r w:rsidRPr="0040341A">
              <w:rPr>
                <w:rFonts w:eastAsia="Calibri"/>
                <w:b/>
              </w:rPr>
              <w:t xml:space="preserve"> posudzovanie vybraných vplyvov zo záverečného posúdenia č. 032/2023</w:t>
            </w:r>
            <w:r w:rsidRPr="0040341A">
              <w:rPr>
                <w:rFonts w:eastAsia="Calibri"/>
              </w:rPr>
              <w:t xml:space="preserve"> (v prípade, ak sa uskutočnilo v zmysle bodu 9.1. Jednotnej metodiky) </w:t>
            </w:r>
          </w:p>
        </w:tc>
      </w:tr>
      <w:tr w:rsidR="00244374" w:rsidRPr="0040341A" w14:paraId="28DD903D" w14:textId="77777777" w:rsidTr="00244374">
        <w:tblPrEx>
          <w:tblBorders>
            <w:insideH w:val="single" w:sz="4" w:space="0" w:color="FFFFFF"/>
            <w:insideV w:val="single" w:sz="4" w:space="0" w:color="FFFFFF"/>
          </w:tblBorders>
        </w:tblPrEx>
        <w:tc>
          <w:tcPr>
            <w:tcW w:w="9176" w:type="dxa"/>
            <w:shd w:val="clear" w:color="auto" w:fill="FFFFFF"/>
          </w:tcPr>
          <w:p w14:paraId="57E51F08" w14:textId="77777777" w:rsidR="00244374" w:rsidRPr="0040341A" w:rsidRDefault="00244374" w:rsidP="00244374">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44374" w:rsidRPr="0040341A" w14:paraId="0C73C8D7" w14:textId="77777777" w:rsidTr="00244374">
              <w:trPr>
                <w:trHeight w:val="396"/>
              </w:trPr>
              <w:tc>
                <w:tcPr>
                  <w:tcW w:w="2552" w:type="dxa"/>
                </w:tcPr>
                <w:p w14:paraId="0BE45811" w14:textId="77777777" w:rsidR="00244374" w:rsidRPr="0040341A" w:rsidRDefault="00A13ABC" w:rsidP="00244374">
                  <w:pPr>
                    <w:rPr>
                      <w:rFonts w:eastAsia="Times New Roman"/>
                      <w:b/>
                      <w:sz w:val="20"/>
                      <w:szCs w:val="20"/>
                      <w:lang w:eastAsia="sk-SK"/>
                    </w:rPr>
                  </w:pPr>
                  <w:sdt>
                    <w:sdtPr>
                      <w:rPr>
                        <w:b/>
                        <w:sz w:val="20"/>
                        <w:szCs w:val="20"/>
                        <w:lang w:eastAsia="sk-SK"/>
                      </w:rPr>
                      <w:id w:val="554049975"/>
                      <w14:checkbox>
                        <w14:checked w14:val="0"/>
                        <w14:checkedState w14:val="2612" w14:font="MS Gothic"/>
                        <w14:uncheckedState w14:val="2610" w14:font="MS Gothic"/>
                      </w14:checkbox>
                    </w:sdtPr>
                    <w:sdtEndPr/>
                    <w:sdtContent>
                      <w:r w:rsidR="00244374" w:rsidRPr="0040341A">
                        <w:rPr>
                          <w:rFonts w:ascii="Segoe UI Symbol" w:eastAsia="MS Gothic" w:hAnsi="Segoe UI Symbol" w:cs="Segoe UI Symbol"/>
                          <w:b/>
                          <w:sz w:val="20"/>
                          <w:szCs w:val="20"/>
                          <w:lang w:eastAsia="sk-SK"/>
                        </w:rPr>
                        <w:t>☐</w:t>
                      </w:r>
                    </w:sdtContent>
                  </w:sdt>
                  <w:r w:rsidR="00244374" w:rsidRPr="0040341A">
                    <w:rPr>
                      <w:rFonts w:eastAsia="Times New Roman"/>
                      <w:b/>
                      <w:sz w:val="20"/>
                      <w:szCs w:val="20"/>
                      <w:lang w:eastAsia="sk-SK"/>
                    </w:rPr>
                    <w:t xml:space="preserve">   Súhlasné </w:t>
                  </w:r>
                </w:p>
              </w:tc>
              <w:tc>
                <w:tcPr>
                  <w:tcW w:w="3827" w:type="dxa"/>
                </w:tcPr>
                <w:p w14:paraId="521335B4" w14:textId="77777777" w:rsidR="00244374" w:rsidRPr="0040341A" w:rsidRDefault="00A13ABC" w:rsidP="00244374">
                  <w:pPr>
                    <w:rPr>
                      <w:rFonts w:eastAsia="Times New Roman"/>
                      <w:b/>
                      <w:sz w:val="20"/>
                      <w:szCs w:val="20"/>
                      <w:lang w:eastAsia="sk-SK"/>
                    </w:rPr>
                  </w:pPr>
                  <w:sdt>
                    <w:sdtPr>
                      <w:rPr>
                        <w:b/>
                        <w:sz w:val="20"/>
                        <w:szCs w:val="20"/>
                        <w:lang w:eastAsia="sk-SK"/>
                      </w:rPr>
                      <w:id w:val="-1268224557"/>
                      <w14:checkbox>
                        <w14:checked w14:val="1"/>
                        <w14:checkedState w14:val="2612" w14:font="MS Gothic"/>
                        <w14:uncheckedState w14:val="2610" w14:font="MS Gothic"/>
                      </w14:checkbox>
                    </w:sdtPr>
                    <w:sdtEndPr/>
                    <w:sdtContent>
                      <w:r w:rsidR="00244374" w:rsidRPr="0040341A">
                        <w:rPr>
                          <w:rFonts w:ascii="Segoe UI Symbol" w:eastAsia="MS Gothic" w:hAnsi="Segoe UI Symbol" w:cs="Segoe UI Symbol"/>
                          <w:b/>
                          <w:sz w:val="20"/>
                          <w:szCs w:val="20"/>
                          <w:lang w:eastAsia="sk-SK"/>
                        </w:rPr>
                        <w:t>☒</w:t>
                      </w:r>
                    </w:sdtContent>
                  </w:sdt>
                  <w:r w:rsidR="00244374" w:rsidRPr="0040341A">
                    <w:rPr>
                      <w:rFonts w:eastAsia="Times New Roman"/>
                      <w:b/>
                      <w:sz w:val="20"/>
                      <w:szCs w:val="20"/>
                      <w:lang w:eastAsia="sk-SK"/>
                    </w:rPr>
                    <w:t xml:space="preserve">  Súhlasné s  návrhom na dopracovanie</w:t>
                  </w:r>
                </w:p>
              </w:tc>
              <w:tc>
                <w:tcPr>
                  <w:tcW w:w="2534" w:type="dxa"/>
                </w:tcPr>
                <w:p w14:paraId="460016B4" w14:textId="77777777" w:rsidR="00244374" w:rsidRPr="0040341A" w:rsidRDefault="00A13ABC" w:rsidP="00244374">
                  <w:pPr>
                    <w:ind w:right="459"/>
                    <w:rPr>
                      <w:rFonts w:eastAsia="Times New Roman"/>
                      <w:b/>
                      <w:sz w:val="20"/>
                      <w:szCs w:val="20"/>
                      <w:lang w:eastAsia="sk-SK"/>
                    </w:rPr>
                  </w:pPr>
                  <w:sdt>
                    <w:sdtPr>
                      <w:rPr>
                        <w:b/>
                        <w:sz w:val="20"/>
                        <w:szCs w:val="20"/>
                        <w:lang w:eastAsia="sk-SK"/>
                      </w:rPr>
                      <w:id w:val="-1708480537"/>
                      <w14:checkbox>
                        <w14:checked w14:val="0"/>
                        <w14:checkedState w14:val="2612" w14:font="MS Gothic"/>
                        <w14:uncheckedState w14:val="2610" w14:font="MS Gothic"/>
                      </w14:checkbox>
                    </w:sdtPr>
                    <w:sdtEndPr/>
                    <w:sdtContent>
                      <w:r w:rsidR="00244374" w:rsidRPr="0040341A">
                        <w:rPr>
                          <w:rFonts w:ascii="Segoe UI Symbol" w:eastAsia="MS Gothic" w:hAnsi="Segoe UI Symbol" w:cs="Segoe UI Symbol"/>
                          <w:b/>
                          <w:sz w:val="20"/>
                          <w:szCs w:val="20"/>
                          <w:lang w:eastAsia="sk-SK"/>
                        </w:rPr>
                        <w:t>☐</w:t>
                      </w:r>
                    </w:sdtContent>
                  </w:sdt>
                  <w:r w:rsidR="00244374" w:rsidRPr="0040341A">
                    <w:rPr>
                      <w:rFonts w:eastAsia="Times New Roman"/>
                      <w:b/>
                      <w:sz w:val="20"/>
                      <w:szCs w:val="20"/>
                      <w:lang w:eastAsia="sk-SK"/>
                    </w:rPr>
                    <w:t xml:space="preserve">  Nesúhlasné</w:t>
                  </w:r>
                </w:p>
              </w:tc>
            </w:tr>
          </w:tbl>
          <w:p w14:paraId="50ECA497" w14:textId="77777777" w:rsidR="00244374" w:rsidRPr="0040341A" w:rsidRDefault="00244374" w:rsidP="00244374">
            <w:pPr>
              <w:jc w:val="both"/>
              <w:rPr>
                <w:rFonts w:eastAsia="Times New Roman"/>
                <w:b/>
                <w:sz w:val="20"/>
                <w:szCs w:val="20"/>
                <w:lang w:eastAsia="sk-SK"/>
              </w:rPr>
            </w:pPr>
            <w:r w:rsidRPr="0040341A">
              <w:rPr>
                <w:rFonts w:eastAsia="Times New Roman"/>
                <w:b/>
                <w:sz w:val="20"/>
                <w:szCs w:val="20"/>
                <w:lang w:eastAsia="sk-SK"/>
              </w:rPr>
              <w:t>Uveďte pripomienky zo stanoviska Komisie z časti II. spolu s Vaším vyhodnotením:</w:t>
            </w:r>
          </w:p>
          <w:p w14:paraId="21730F72" w14:textId="77777777" w:rsidR="00244374" w:rsidRPr="0040341A" w:rsidRDefault="00244374" w:rsidP="00244374">
            <w:pPr>
              <w:rPr>
                <w:rFonts w:eastAsia="Times New Roman"/>
                <w:b/>
                <w:sz w:val="20"/>
                <w:szCs w:val="20"/>
                <w:lang w:eastAsia="sk-SK"/>
              </w:rPr>
            </w:pPr>
          </w:p>
          <w:p w14:paraId="5624530B"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II. Pripomienky a návrhy zmien: Komisia uplatňuje k materiálu nasledovné pripomienky a odporúčania:</w:t>
            </w:r>
          </w:p>
          <w:p w14:paraId="4A92A38A" w14:textId="77777777" w:rsidR="00244374" w:rsidRPr="0040341A" w:rsidRDefault="00244374" w:rsidP="00244374">
            <w:pPr>
              <w:jc w:val="both"/>
              <w:rPr>
                <w:rFonts w:eastAsia="Times New Roman"/>
                <w:szCs w:val="20"/>
                <w:lang w:eastAsia="sk-SK"/>
              </w:rPr>
            </w:pPr>
          </w:p>
          <w:p w14:paraId="7698B71A"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K doložke vybraných vplyvov</w:t>
            </w:r>
          </w:p>
          <w:p w14:paraId="5BB555B5"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Komisia odporúča predkladateľovi vypracovať aktuálnu verziu Doložky vybraných vplyvov. Doložku je nutné vyplniť vo všetkých povinných častiach.</w:t>
            </w:r>
          </w:p>
          <w:p w14:paraId="56A5E4EF"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Odôvodnenie: V zmysle aktuálnej Jednotnej metodiky na posudzovanie vybraných vplyvov platnej od 31.12.2022, v ktorej sa aktualizovala aj Doložka vybraných vplyvov. Aktuálna verzia je dostupná na: https://www.mhsr.sk/podnikatelske-prostredie/jednotna-metodika?csrt=6597478712117291344.</w:t>
            </w:r>
          </w:p>
          <w:p w14:paraId="354C790B" w14:textId="77777777" w:rsidR="00244374" w:rsidRPr="0040341A" w:rsidRDefault="00244374" w:rsidP="00244374">
            <w:pPr>
              <w:jc w:val="both"/>
              <w:rPr>
                <w:rFonts w:eastAsia="Times New Roman"/>
                <w:szCs w:val="20"/>
                <w:lang w:eastAsia="sk-SK"/>
              </w:rPr>
            </w:pPr>
          </w:p>
          <w:p w14:paraId="51CC7B21"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Komisia odporúča predkladateľovi materiálu doplniť chýbajúce údaje v doložke, a to v časti 8. Preskúmanie účelnosti – doplniť aj kritériá</w:t>
            </w:r>
            <w:proofErr w:type="gramStart"/>
            <w:r w:rsidRPr="0040341A">
              <w:rPr>
                <w:rFonts w:eastAsia="Times New Roman"/>
                <w:szCs w:val="20"/>
                <w:lang w:eastAsia="sk-SK"/>
              </w:rPr>
              <w:t>,  podľa</w:t>
            </w:r>
            <w:proofErr w:type="gramEnd"/>
            <w:r w:rsidRPr="0040341A">
              <w:rPr>
                <w:rFonts w:eastAsia="Times New Roman"/>
                <w:szCs w:val="20"/>
                <w:lang w:eastAsia="sk-SK"/>
              </w:rPr>
              <w:t xml:space="preserve"> ktorých je možné zhodnotiť, ako boli dosiahnuté stanovené ciele predmetnej koncepcie po stanovení základného rámca a spoločných princípoch či postupoch. Komisia tiež odporúča v časti 11. Kontakt na </w:t>
            </w:r>
            <w:proofErr w:type="gramStart"/>
            <w:r w:rsidRPr="0040341A">
              <w:rPr>
                <w:rFonts w:eastAsia="Times New Roman"/>
                <w:szCs w:val="20"/>
                <w:lang w:eastAsia="sk-SK"/>
              </w:rPr>
              <w:t>spracovateľa  -</w:t>
            </w:r>
            <w:proofErr w:type="gramEnd"/>
            <w:r w:rsidRPr="0040341A">
              <w:rPr>
                <w:rFonts w:eastAsia="Times New Roman"/>
                <w:szCs w:val="20"/>
                <w:lang w:eastAsia="sk-SK"/>
              </w:rPr>
              <w:t xml:space="preserve"> doplniť chýbajúcu funkciu  a telefonický kontakt na spracovateľa. </w:t>
            </w:r>
          </w:p>
          <w:p w14:paraId="2C9C7C8D"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 xml:space="preserve">Odôvodnenie: Uvedené časti je potrebné uviesť v zmysle </w:t>
            </w:r>
            <w:proofErr w:type="gramStart"/>
            <w:r w:rsidRPr="0040341A">
              <w:rPr>
                <w:rFonts w:eastAsia="Times New Roman"/>
                <w:szCs w:val="20"/>
                <w:lang w:eastAsia="sk-SK"/>
              </w:rPr>
              <w:t>aktualizovanej  Jednotnej</w:t>
            </w:r>
            <w:proofErr w:type="gramEnd"/>
            <w:r w:rsidRPr="0040341A">
              <w:rPr>
                <w:rFonts w:eastAsia="Times New Roman"/>
                <w:szCs w:val="20"/>
                <w:lang w:eastAsia="sk-SK"/>
              </w:rPr>
              <w:t xml:space="preserve"> metodiky na posudzovanie vybraných vplyvov. </w:t>
            </w:r>
          </w:p>
          <w:p w14:paraId="0A6305B7" w14:textId="77777777" w:rsidR="00244374" w:rsidRPr="0040341A" w:rsidRDefault="00244374" w:rsidP="00244374">
            <w:pPr>
              <w:jc w:val="both"/>
              <w:rPr>
                <w:rFonts w:eastAsia="Times New Roman"/>
                <w:szCs w:val="20"/>
                <w:lang w:eastAsia="sk-SK"/>
              </w:rPr>
            </w:pPr>
          </w:p>
          <w:p w14:paraId="13DF04D1"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K sociálnym vplyvom</w:t>
            </w:r>
          </w:p>
          <w:p w14:paraId="6DC87667" w14:textId="77777777" w:rsidR="00244374" w:rsidRPr="0040341A" w:rsidRDefault="00244374" w:rsidP="00244374">
            <w:pPr>
              <w:jc w:val="both"/>
              <w:rPr>
                <w:rFonts w:eastAsia="Times New Roman"/>
                <w:szCs w:val="20"/>
                <w:lang w:eastAsia="sk-SK"/>
              </w:rPr>
            </w:pPr>
            <w:proofErr w:type="gramStart"/>
            <w:r w:rsidRPr="0040341A">
              <w:rPr>
                <w:rFonts w:eastAsia="Times New Roman"/>
                <w:szCs w:val="20"/>
                <w:lang w:eastAsia="sk-SK"/>
              </w:rPr>
              <w:t>Komisia odporúča text uvádzaný v</w:t>
            </w:r>
            <w:proofErr w:type="gramEnd"/>
            <w:r w:rsidRPr="0040341A">
              <w:rPr>
                <w:rFonts w:eastAsia="Times New Roman"/>
                <w:szCs w:val="20"/>
                <w:lang w:eastAsia="sk-SK"/>
              </w:rPr>
              <w:t xml:space="preserve"> bode 4.1.1.1 písm. h) </w:t>
            </w:r>
            <w:proofErr w:type="gramStart"/>
            <w:r w:rsidRPr="0040341A">
              <w:rPr>
                <w:rFonts w:eastAsia="Times New Roman"/>
                <w:szCs w:val="20"/>
                <w:lang w:eastAsia="sk-SK"/>
              </w:rPr>
              <w:t>nahradiť</w:t>
            </w:r>
            <w:proofErr w:type="gramEnd"/>
            <w:r w:rsidRPr="0040341A">
              <w:rPr>
                <w:rFonts w:eastAsia="Times New Roman"/>
                <w:szCs w:val="20"/>
                <w:lang w:eastAsia="sk-SK"/>
              </w:rPr>
              <w:t xml:space="preserve"> nasledujúcim textom: „Predložený materiál umožňuje navýšenie disponibilných finančných prostriedkov vyčlenených na jednotlivé výzvy a umožňuje poskytnúť dodatočnú dotáciu. Vzhľadom na to, že finančné prostriedky budú použité na predchádzanie sociálneho vylúčenia a zmierňovanie jeho negatívnych dôsledkov, na podporu rovnosti príležitostí na trhu práce a na podporu znevýhodnených komunít, znamená to, že dodatočné finančné prostriedky môžu pozitívne ovplyvniť hospodárenie domácnosti v riziku chudoby alebo sociálneho vylúčenia. Domácnosti osôb v riziku chudoby budú pozitívne ovplyvnené tým, že sa rozšíria možnosti vytvorenia pracovných miest pre osoby v riziku chudoby, čím sa prispeje k zvýšeniu príjmov nízkopríjmových domácností a zlepšeniu ich životnej úrovne</w:t>
            </w:r>
            <w:proofErr w:type="gramStart"/>
            <w:r w:rsidRPr="0040341A">
              <w:rPr>
                <w:rFonts w:eastAsia="Times New Roman"/>
                <w:szCs w:val="20"/>
                <w:lang w:eastAsia="sk-SK"/>
              </w:rPr>
              <w:t>.“</w:t>
            </w:r>
            <w:proofErr w:type="gramEnd"/>
            <w:r w:rsidRPr="0040341A">
              <w:rPr>
                <w:rFonts w:eastAsia="Times New Roman"/>
                <w:szCs w:val="20"/>
                <w:lang w:eastAsia="sk-SK"/>
              </w:rPr>
              <w:t xml:space="preserve"> Zároveň odporúčame do písm. i) </w:t>
            </w:r>
            <w:proofErr w:type="gramStart"/>
            <w:r w:rsidRPr="0040341A">
              <w:rPr>
                <w:rFonts w:eastAsia="Times New Roman"/>
                <w:szCs w:val="20"/>
                <w:lang w:eastAsia="sk-SK"/>
              </w:rPr>
              <w:t>doplniť</w:t>
            </w:r>
            <w:proofErr w:type="gramEnd"/>
            <w:r w:rsidRPr="0040341A">
              <w:rPr>
                <w:rFonts w:eastAsia="Times New Roman"/>
                <w:szCs w:val="20"/>
                <w:lang w:eastAsia="sk-SK"/>
              </w:rPr>
              <w:t>, že oprávnenou skupinou v tomto bode sú“ obyvatelia SR v riziku chudoby alebo sociálneho vylúčenia“.</w:t>
            </w:r>
          </w:p>
          <w:p w14:paraId="3E733B43"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 xml:space="preserve">V bode 4.2 písm. </w:t>
            </w:r>
            <w:proofErr w:type="gramStart"/>
            <w:r w:rsidRPr="0040341A">
              <w:rPr>
                <w:rFonts w:eastAsia="Times New Roman"/>
                <w:szCs w:val="20"/>
                <w:lang w:eastAsia="sk-SK"/>
              </w:rPr>
              <w:t>c) je potrebné vypustiť vetu „Návrh nebude mať významný vplyv na niektorú zo zraniteľných skupín obyvateľstva, pričom nepriamo bude pozitívne vplývať na všetky skupiny obyvateľstva“ a nahradiť ju textom v tomto znení: „Niektoré projekty, ktoré budú predmetom dodatočnej dotácie zazmluvnených projektov v zmysle zachovania plynulosti čerpania finančných prostriedkov, sú zamerané na predchádzanie sociálneho vylúčenia a zmierňovanie jeho negatívnych dôsledkov, rovnosti príležitostí na trhu práce a podporu znevýhodnených komunít“.</w:t>
            </w:r>
            <w:proofErr w:type="gramEnd"/>
          </w:p>
          <w:p w14:paraId="65B55E44"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Odôvodnenie: Potreba vyplýva z metodického postupu pre analýzu sociálnych vplyvov.</w:t>
            </w:r>
          </w:p>
          <w:p w14:paraId="79EE4A3D" w14:textId="77777777" w:rsidR="00244374" w:rsidRPr="0040341A" w:rsidRDefault="00244374" w:rsidP="00244374">
            <w:pPr>
              <w:jc w:val="both"/>
              <w:rPr>
                <w:rFonts w:eastAsia="Times New Roman"/>
                <w:szCs w:val="20"/>
                <w:lang w:eastAsia="sk-SK"/>
              </w:rPr>
            </w:pPr>
          </w:p>
          <w:p w14:paraId="45A309CF"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K vplyvom na služby verejnej správy pre občana</w:t>
            </w:r>
          </w:p>
          <w:p w14:paraId="1ABC2996"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 xml:space="preserve">Komisia po preskúmaní predmetného materiálu nesúhlasí s vyznačením pozitívneho vplyvu na služby verejnej správy na občana a na procesy služieb vo verejnej správe, nakoľko predkladaný návrh podľa názoru Komisie nemá vplyv na služby verejnej správy pre občana (fyzická osoba – nepodnikateľ). </w:t>
            </w:r>
          </w:p>
          <w:p w14:paraId="3F941BBC" w14:textId="77777777" w:rsidR="00244374" w:rsidRPr="0040341A" w:rsidRDefault="00244374" w:rsidP="00244374">
            <w:pPr>
              <w:jc w:val="both"/>
              <w:rPr>
                <w:rFonts w:eastAsia="Times New Roman"/>
                <w:szCs w:val="20"/>
                <w:lang w:eastAsia="sk-SK"/>
              </w:rPr>
            </w:pPr>
          </w:p>
          <w:p w14:paraId="2FF8D6A3"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 xml:space="preserve">V zmysle metodického postupu pre analýzu vplyvov na služby verejnej správy pre občana je cieľom služieb uspokojovať ľudské potreby, a preto je nevyhnutné organizovať výkon verejnej správy a jej služieb tak, aby bol stredobodom pozornosti občan </w:t>
            </w:r>
            <w:proofErr w:type="gramStart"/>
            <w:r w:rsidRPr="0040341A">
              <w:rPr>
                <w:rFonts w:eastAsia="Times New Roman"/>
                <w:szCs w:val="20"/>
                <w:lang w:eastAsia="sk-SK"/>
              </w:rPr>
              <w:t>a</w:t>
            </w:r>
            <w:proofErr w:type="gramEnd"/>
            <w:r w:rsidRPr="0040341A">
              <w:rPr>
                <w:rFonts w:eastAsia="Times New Roman"/>
                <w:szCs w:val="20"/>
                <w:lang w:eastAsia="sk-SK"/>
              </w:rPr>
              <w:t xml:space="preserve"> uspokojenie jeho životných potrieb. Občanom je v kontexte tejto analýzy fyzická osoba, ktorá nevykonáva podnikateľskú činnosť alebo inú činnosť ako samostatne zárobkovo činná osoba. Službou verejnej správy v kontexte tejto analýzy je potrebné chápať úkony, ktoré sú realizované a poskytované občanom v rámci jednotlivých segmentov verejnej správy. Uspokojovanie životných potrieb občanov pri kontakte s orgánmi verejnej správy sa premieta do tzv. </w:t>
            </w:r>
            <w:proofErr w:type="gramStart"/>
            <w:r w:rsidRPr="0040341A">
              <w:rPr>
                <w:rFonts w:eastAsia="Times New Roman"/>
                <w:szCs w:val="20"/>
                <w:lang w:eastAsia="sk-SK"/>
              </w:rPr>
              <w:t>životných</w:t>
            </w:r>
            <w:proofErr w:type="gramEnd"/>
            <w:r w:rsidRPr="0040341A">
              <w:rPr>
                <w:rFonts w:eastAsia="Times New Roman"/>
                <w:szCs w:val="20"/>
                <w:lang w:eastAsia="sk-SK"/>
              </w:rPr>
              <w:t xml:space="preserve"> situácií  (napr. narodenie dieťaťa, sobáš, presťahovanie), ktoré sú chápané ako situácie, v ktorých sa občan môže počas svojich životných etáp ocitnúť , t.j. životné situácie týkajúce sa interakcie občana a verejnej správy.</w:t>
            </w:r>
          </w:p>
          <w:p w14:paraId="784EEECC" w14:textId="77777777" w:rsidR="00244374" w:rsidRPr="0040341A" w:rsidRDefault="00244374" w:rsidP="00244374">
            <w:pPr>
              <w:jc w:val="both"/>
              <w:rPr>
                <w:rFonts w:eastAsia="Times New Roman"/>
                <w:szCs w:val="20"/>
                <w:lang w:eastAsia="sk-SK"/>
              </w:rPr>
            </w:pPr>
          </w:p>
          <w:p w14:paraId="072C022C"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V zmysle tejto skutočnosti navrhuje Komisia predkladateľovi v doložke vybraných vplyvov vyznačiť žiadny vplyv na služby verejnej správy na občana a na procesy služieb vo verejnej správe.</w:t>
            </w:r>
          </w:p>
          <w:p w14:paraId="3E5C016A" w14:textId="77777777" w:rsidR="00244374" w:rsidRPr="0040341A" w:rsidRDefault="00244374" w:rsidP="00244374">
            <w:pPr>
              <w:jc w:val="both"/>
              <w:rPr>
                <w:rFonts w:eastAsia="Times New Roman"/>
                <w:szCs w:val="20"/>
                <w:lang w:eastAsia="sk-SK"/>
              </w:rPr>
            </w:pPr>
          </w:p>
          <w:p w14:paraId="6AAF1885" w14:textId="77777777" w:rsidR="00244374" w:rsidRPr="0040341A" w:rsidRDefault="00244374" w:rsidP="00244374">
            <w:pPr>
              <w:jc w:val="both"/>
              <w:rPr>
                <w:rFonts w:eastAsia="Times New Roman"/>
                <w:szCs w:val="20"/>
                <w:lang w:eastAsia="sk-SK"/>
              </w:rPr>
            </w:pPr>
            <w:r w:rsidRPr="0040341A">
              <w:rPr>
                <w:rFonts w:eastAsia="Times New Roman"/>
                <w:szCs w:val="20"/>
                <w:lang w:eastAsia="sk-SK"/>
              </w:rPr>
              <w:t xml:space="preserve">III. Záver: Stála pracovná komisia na posudzovanie vybraných vplyvov vyjadruje </w:t>
            </w:r>
          </w:p>
          <w:p w14:paraId="5A4C9E6D" w14:textId="77777777" w:rsidR="00244374" w:rsidRPr="0040341A" w:rsidRDefault="00244374" w:rsidP="00244374">
            <w:pPr>
              <w:jc w:val="both"/>
              <w:rPr>
                <w:rFonts w:eastAsia="Times New Roman"/>
                <w:szCs w:val="20"/>
                <w:lang w:eastAsia="sk-SK"/>
              </w:rPr>
            </w:pPr>
          </w:p>
          <w:p w14:paraId="48669BF5" w14:textId="77777777" w:rsidR="00244374" w:rsidRPr="0040341A" w:rsidRDefault="00244374" w:rsidP="00244374">
            <w:pPr>
              <w:jc w:val="center"/>
              <w:rPr>
                <w:rFonts w:eastAsia="Times New Roman"/>
                <w:b/>
                <w:szCs w:val="20"/>
                <w:lang w:eastAsia="sk-SK"/>
              </w:rPr>
            </w:pPr>
            <w:r w:rsidRPr="0040341A">
              <w:rPr>
                <w:rFonts w:eastAsia="Times New Roman"/>
                <w:b/>
                <w:szCs w:val="20"/>
                <w:lang w:eastAsia="sk-SK"/>
              </w:rPr>
              <w:t>súhlasné stanovisko s návrhom na dopracovanie</w:t>
            </w:r>
          </w:p>
          <w:p w14:paraId="2379D01C" w14:textId="77777777" w:rsidR="00244374" w:rsidRPr="0040341A" w:rsidRDefault="00244374" w:rsidP="00244374">
            <w:pPr>
              <w:jc w:val="both"/>
              <w:rPr>
                <w:rFonts w:eastAsia="Times New Roman"/>
                <w:szCs w:val="20"/>
                <w:lang w:eastAsia="sk-SK"/>
              </w:rPr>
            </w:pPr>
          </w:p>
          <w:p w14:paraId="13318E4D" w14:textId="77777777" w:rsidR="00244374" w:rsidRPr="0040341A" w:rsidRDefault="00244374" w:rsidP="00244374">
            <w:pPr>
              <w:jc w:val="both"/>
              <w:rPr>
                <w:rFonts w:eastAsia="Times New Roman"/>
                <w:szCs w:val="20"/>
                <w:lang w:eastAsia="sk-SK"/>
              </w:rPr>
            </w:pPr>
          </w:p>
          <w:p w14:paraId="6F2CE86D" w14:textId="77777777" w:rsidR="00244374" w:rsidRPr="0040341A" w:rsidRDefault="00244374" w:rsidP="00244374">
            <w:pPr>
              <w:jc w:val="both"/>
              <w:rPr>
                <w:rFonts w:eastAsia="Times New Roman"/>
                <w:b/>
                <w:sz w:val="20"/>
                <w:szCs w:val="20"/>
                <w:lang w:eastAsia="sk-SK"/>
              </w:rPr>
            </w:pPr>
            <w:proofErr w:type="gramStart"/>
            <w:r w:rsidRPr="0040341A">
              <w:rPr>
                <w:rFonts w:eastAsia="Times New Roman"/>
                <w:szCs w:val="20"/>
                <w:lang w:eastAsia="sk-SK"/>
              </w:rPr>
              <w:t>s</w:t>
            </w:r>
            <w:proofErr w:type="gramEnd"/>
            <w:r w:rsidRPr="0040341A">
              <w:rPr>
                <w:rFonts w:eastAsia="Times New Roman"/>
                <w:szCs w:val="20"/>
                <w:lang w:eastAsia="sk-SK"/>
              </w:rPr>
              <w:t xml:space="preserve"> materiálom predloženým na predbežné pripomienkové konanie s odporúčaním na jeho dopracovanie podľa pripomienok v bode II.</w:t>
            </w:r>
          </w:p>
        </w:tc>
      </w:tr>
    </w:tbl>
    <w:p w14:paraId="56F34AB4" w14:textId="77777777" w:rsidR="00244374" w:rsidRPr="0040341A" w:rsidRDefault="00244374" w:rsidP="00244374"/>
    <w:p w14:paraId="5D0F81E7" w14:textId="4721515A" w:rsidR="004519C2" w:rsidRPr="0040341A" w:rsidRDefault="004519C2" w:rsidP="00B32768">
      <w:pPr>
        <w:jc w:val="center"/>
        <w:rPr>
          <w:b/>
          <w:sz w:val="28"/>
          <w:szCs w:val="28"/>
          <w:highlight w:val="yellow"/>
          <w:lang w:eastAsia="sk-SK"/>
        </w:rPr>
      </w:pPr>
    </w:p>
    <w:p w14:paraId="5C1839BC" w14:textId="77777777" w:rsidR="00244374" w:rsidRPr="0040341A" w:rsidRDefault="00244374" w:rsidP="00244374">
      <w:pPr>
        <w:jc w:val="center"/>
        <w:rPr>
          <w:b/>
          <w:bCs/>
          <w:sz w:val="28"/>
          <w:szCs w:val="28"/>
          <w:lang w:eastAsia="sk-SK"/>
        </w:rPr>
      </w:pPr>
    </w:p>
    <w:p w14:paraId="17941730" w14:textId="77777777" w:rsidR="00244374" w:rsidRPr="0040341A" w:rsidRDefault="00244374" w:rsidP="00244374">
      <w:pPr>
        <w:jc w:val="center"/>
        <w:rPr>
          <w:b/>
          <w:bCs/>
          <w:sz w:val="28"/>
          <w:szCs w:val="28"/>
          <w:lang w:eastAsia="sk-SK"/>
        </w:rPr>
      </w:pPr>
    </w:p>
    <w:p w14:paraId="45FA8958" w14:textId="77777777" w:rsidR="00244374" w:rsidRPr="0040341A" w:rsidRDefault="00244374" w:rsidP="00244374">
      <w:pPr>
        <w:jc w:val="center"/>
        <w:rPr>
          <w:b/>
          <w:bCs/>
          <w:sz w:val="28"/>
          <w:szCs w:val="28"/>
          <w:lang w:eastAsia="sk-SK"/>
        </w:rPr>
      </w:pPr>
    </w:p>
    <w:p w14:paraId="77866AEB" w14:textId="77777777" w:rsidR="00244374" w:rsidRPr="0040341A" w:rsidRDefault="00244374" w:rsidP="00244374">
      <w:pPr>
        <w:jc w:val="center"/>
        <w:rPr>
          <w:b/>
          <w:bCs/>
          <w:sz w:val="28"/>
          <w:szCs w:val="28"/>
          <w:lang w:eastAsia="sk-SK"/>
        </w:rPr>
      </w:pPr>
    </w:p>
    <w:p w14:paraId="5118A5D5" w14:textId="77777777" w:rsidR="00244374" w:rsidRPr="0040341A" w:rsidRDefault="00244374" w:rsidP="00244374">
      <w:pPr>
        <w:jc w:val="center"/>
        <w:rPr>
          <w:b/>
          <w:bCs/>
          <w:sz w:val="28"/>
          <w:szCs w:val="28"/>
          <w:lang w:eastAsia="sk-SK"/>
        </w:rPr>
      </w:pPr>
    </w:p>
    <w:p w14:paraId="21628631" w14:textId="77777777" w:rsidR="00244374" w:rsidRPr="0040341A" w:rsidRDefault="00244374" w:rsidP="00244374">
      <w:pPr>
        <w:jc w:val="center"/>
        <w:rPr>
          <w:b/>
          <w:bCs/>
          <w:sz w:val="28"/>
          <w:szCs w:val="28"/>
          <w:lang w:eastAsia="sk-SK"/>
        </w:rPr>
      </w:pPr>
    </w:p>
    <w:p w14:paraId="1FF14C61" w14:textId="77777777" w:rsidR="00244374" w:rsidRPr="0040341A" w:rsidRDefault="00244374" w:rsidP="00244374">
      <w:pPr>
        <w:jc w:val="center"/>
        <w:rPr>
          <w:b/>
          <w:bCs/>
          <w:sz w:val="28"/>
          <w:szCs w:val="28"/>
          <w:lang w:eastAsia="sk-SK"/>
        </w:rPr>
      </w:pPr>
    </w:p>
    <w:p w14:paraId="1107EF15" w14:textId="77777777" w:rsidR="00244374" w:rsidRPr="0040341A" w:rsidRDefault="00244374" w:rsidP="00244374">
      <w:pPr>
        <w:jc w:val="center"/>
        <w:rPr>
          <w:b/>
          <w:bCs/>
          <w:sz w:val="28"/>
          <w:szCs w:val="28"/>
          <w:lang w:eastAsia="sk-SK"/>
        </w:rPr>
      </w:pPr>
    </w:p>
    <w:p w14:paraId="575AC59F" w14:textId="77777777" w:rsidR="00244374" w:rsidRPr="0040341A" w:rsidRDefault="00244374" w:rsidP="00244374">
      <w:pPr>
        <w:jc w:val="center"/>
        <w:rPr>
          <w:b/>
          <w:bCs/>
          <w:sz w:val="28"/>
          <w:szCs w:val="28"/>
          <w:lang w:eastAsia="sk-SK"/>
        </w:rPr>
      </w:pPr>
    </w:p>
    <w:p w14:paraId="3F744EF6" w14:textId="77777777" w:rsidR="00244374" w:rsidRPr="0040341A" w:rsidRDefault="00244374" w:rsidP="00244374">
      <w:pPr>
        <w:jc w:val="center"/>
        <w:rPr>
          <w:b/>
          <w:bCs/>
          <w:sz w:val="28"/>
          <w:szCs w:val="28"/>
          <w:lang w:eastAsia="sk-SK"/>
        </w:rPr>
      </w:pPr>
    </w:p>
    <w:p w14:paraId="6D446ED0" w14:textId="77777777" w:rsidR="00244374" w:rsidRPr="0040341A" w:rsidRDefault="00244374" w:rsidP="00244374">
      <w:pPr>
        <w:jc w:val="center"/>
        <w:rPr>
          <w:b/>
          <w:bCs/>
          <w:sz w:val="28"/>
          <w:szCs w:val="28"/>
          <w:lang w:eastAsia="sk-SK"/>
        </w:rPr>
      </w:pPr>
    </w:p>
    <w:p w14:paraId="101F46FE" w14:textId="77777777" w:rsidR="00244374" w:rsidRPr="0040341A" w:rsidRDefault="00244374" w:rsidP="00244374">
      <w:pPr>
        <w:jc w:val="center"/>
        <w:rPr>
          <w:b/>
          <w:bCs/>
          <w:sz w:val="28"/>
          <w:szCs w:val="28"/>
          <w:lang w:eastAsia="sk-SK"/>
        </w:rPr>
      </w:pPr>
    </w:p>
    <w:p w14:paraId="2894C0A8" w14:textId="77777777" w:rsidR="00244374" w:rsidRPr="0040341A" w:rsidRDefault="00244374" w:rsidP="00244374">
      <w:pPr>
        <w:jc w:val="center"/>
        <w:rPr>
          <w:b/>
          <w:bCs/>
          <w:sz w:val="28"/>
          <w:szCs w:val="28"/>
          <w:lang w:eastAsia="sk-SK"/>
        </w:rPr>
      </w:pPr>
    </w:p>
    <w:p w14:paraId="48BDB8C2" w14:textId="77777777" w:rsidR="00244374" w:rsidRPr="0040341A" w:rsidRDefault="00244374" w:rsidP="00244374">
      <w:pPr>
        <w:jc w:val="center"/>
        <w:rPr>
          <w:b/>
          <w:bCs/>
          <w:sz w:val="28"/>
          <w:szCs w:val="28"/>
          <w:lang w:eastAsia="sk-SK"/>
        </w:rPr>
      </w:pPr>
    </w:p>
    <w:p w14:paraId="49845B2B" w14:textId="77777777" w:rsidR="00244374" w:rsidRPr="0040341A" w:rsidRDefault="00244374" w:rsidP="00244374">
      <w:pPr>
        <w:jc w:val="center"/>
        <w:rPr>
          <w:b/>
          <w:bCs/>
          <w:sz w:val="28"/>
          <w:szCs w:val="28"/>
          <w:lang w:eastAsia="sk-SK"/>
        </w:rPr>
      </w:pPr>
    </w:p>
    <w:p w14:paraId="41573FE6" w14:textId="77777777" w:rsidR="00244374" w:rsidRPr="0040341A" w:rsidRDefault="00244374" w:rsidP="00244374">
      <w:pPr>
        <w:jc w:val="center"/>
        <w:rPr>
          <w:b/>
          <w:bCs/>
          <w:sz w:val="28"/>
          <w:szCs w:val="28"/>
          <w:lang w:eastAsia="sk-SK"/>
        </w:rPr>
      </w:pPr>
    </w:p>
    <w:p w14:paraId="4C96F0C0" w14:textId="77777777" w:rsidR="00244374" w:rsidRPr="0040341A" w:rsidRDefault="00244374" w:rsidP="00244374">
      <w:pPr>
        <w:jc w:val="center"/>
        <w:rPr>
          <w:b/>
          <w:bCs/>
          <w:sz w:val="28"/>
          <w:szCs w:val="28"/>
          <w:lang w:eastAsia="sk-SK"/>
        </w:rPr>
      </w:pPr>
    </w:p>
    <w:p w14:paraId="6237D85C" w14:textId="77777777" w:rsidR="00244374" w:rsidRPr="0040341A" w:rsidRDefault="00244374" w:rsidP="00244374">
      <w:pPr>
        <w:jc w:val="center"/>
        <w:rPr>
          <w:b/>
          <w:bCs/>
          <w:sz w:val="28"/>
          <w:szCs w:val="28"/>
          <w:lang w:eastAsia="sk-SK"/>
        </w:rPr>
      </w:pPr>
    </w:p>
    <w:p w14:paraId="1DD0D9B2" w14:textId="77777777" w:rsidR="00244374" w:rsidRPr="0040341A" w:rsidRDefault="00244374" w:rsidP="00244374">
      <w:pPr>
        <w:jc w:val="center"/>
        <w:rPr>
          <w:b/>
          <w:bCs/>
          <w:sz w:val="28"/>
          <w:szCs w:val="28"/>
          <w:lang w:eastAsia="sk-SK"/>
        </w:rPr>
      </w:pPr>
    </w:p>
    <w:p w14:paraId="0E5FE9C8" w14:textId="77777777" w:rsidR="00244374" w:rsidRPr="0040341A" w:rsidRDefault="00244374" w:rsidP="00244374">
      <w:pPr>
        <w:jc w:val="center"/>
        <w:rPr>
          <w:b/>
          <w:bCs/>
          <w:sz w:val="28"/>
          <w:szCs w:val="28"/>
          <w:lang w:eastAsia="sk-SK"/>
        </w:rPr>
      </w:pPr>
    </w:p>
    <w:p w14:paraId="760A4BA7" w14:textId="77777777" w:rsidR="00244374" w:rsidRPr="0040341A" w:rsidRDefault="00244374" w:rsidP="00244374">
      <w:pPr>
        <w:jc w:val="center"/>
        <w:rPr>
          <w:b/>
          <w:bCs/>
          <w:sz w:val="28"/>
          <w:szCs w:val="28"/>
          <w:lang w:eastAsia="sk-SK"/>
        </w:rPr>
      </w:pPr>
    </w:p>
    <w:p w14:paraId="45581CCA" w14:textId="77777777" w:rsidR="00244374" w:rsidRPr="0040341A" w:rsidRDefault="00244374" w:rsidP="00244374">
      <w:pPr>
        <w:jc w:val="center"/>
        <w:rPr>
          <w:b/>
          <w:bCs/>
          <w:sz w:val="28"/>
          <w:szCs w:val="28"/>
          <w:lang w:eastAsia="sk-SK"/>
        </w:rPr>
      </w:pPr>
    </w:p>
    <w:p w14:paraId="2255D611" w14:textId="77777777" w:rsidR="00244374" w:rsidRPr="0040341A" w:rsidRDefault="00244374" w:rsidP="00244374">
      <w:pPr>
        <w:jc w:val="center"/>
        <w:rPr>
          <w:b/>
          <w:bCs/>
          <w:sz w:val="28"/>
          <w:szCs w:val="28"/>
          <w:lang w:eastAsia="sk-SK"/>
        </w:rPr>
      </w:pPr>
    </w:p>
    <w:p w14:paraId="3131CAB7" w14:textId="77777777" w:rsidR="00244374" w:rsidRPr="0040341A" w:rsidRDefault="00244374" w:rsidP="00244374">
      <w:pPr>
        <w:jc w:val="center"/>
        <w:rPr>
          <w:b/>
          <w:bCs/>
          <w:sz w:val="28"/>
          <w:szCs w:val="28"/>
          <w:lang w:eastAsia="sk-SK"/>
        </w:rPr>
      </w:pPr>
    </w:p>
    <w:p w14:paraId="7FA995AE" w14:textId="77777777" w:rsidR="00244374" w:rsidRPr="0040341A" w:rsidRDefault="00244374" w:rsidP="00244374">
      <w:pPr>
        <w:jc w:val="center"/>
        <w:rPr>
          <w:b/>
          <w:bCs/>
          <w:sz w:val="28"/>
          <w:szCs w:val="28"/>
          <w:lang w:eastAsia="sk-SK"/>
        </w:rPr>
      </w:pPr>
    </w:p>
    <w:p w14:paraId="2A019708" w14:textId="77777777" w:rsidR="00244374" w:rsidRPr="0040341A" w:rsidRDefault="00244374" w:rsidP="00244374">
      <w:pPr>
        <w:jc w:val="center"/>
        <w:rPr>
          <w:b/>
          <w:bCs/>
          <w:sz w:val="28"/>
          <w:szCs w:val="28"/>
          <w:lang w:eastAsia="sk-SK"/>
        </w:rPr>
      </w:pPr>
    </w:p>
    <w:p w14:paraId="3706F5FD" w14:textId="77777777" w:rsidR="00244374" w:rsidRPr="0040341A" w:rsidRDefault="00244374" w:rsidP="00244374">
      <w:pPr>
        <w:jc w:val="center"/>
        <w:rPr>
          <w:b/>
          <w:bCs/>
          <w:sz w:val="28"/>
          <w:szCs w:val="28"/>
          <w:lang w:eastAsia="sk-SK"/>
        </w:rPr>
      </w:pPr>
    </w:p>
    <w:p w14:paraId="617358BE" w14:textId="77777777" w:rsidR="00244374" w:rsidRPr="0040341A" w:rsidRDefault="00244374" w:rsidP="00244374">
      <w:pPr>
        <w:jc w:val="center"/>
        <w:rPr>
          <w:b/>
          <w:bCs/>
          <w:sz w:val="28"/>
          <w:szCs w:val="28"/>
          <w:lang w:eastAsia="sk-SK"/>
        </w:rPr>
      </w:pPr>
    </w:p>
    <w:p w14:paraId="19985A39" w14:textId="77777777" w:rsidR="00244374" w:rsidRPr="0040341A" w:rsidRDefault="00244374" w:rsidP="00244374">
      <w:pPr>
        <w:jc w:val="center"/>
        <w:rPr>
          <w:b/>
          <w:bCs/>
          <w:sz w:val="28"/>
          <w:szCs w:val="28"/>
          <w:lang w:eastAsia="sk-SK"/>
        </w:rPr>
      </w:pPr>
    </w:p>
    <w:p w14:paraId="676C756C" w14:textId="77777777" w:rsidR="00244374" w:rsidRPr="0040341A" w:rsidRDefault="00244374" w:rsidP="00244374">
      <w:pPr>
        <w:jc w:val="center"/>
        <w:rPr>
          <w:b/>
          <w:bCs/>
          <w:sz w:val="28"/>
          <w:szCs w:val="28"/>
          <w:lang w:eastAsia="sk-SK"/>
        </w:rPr>
      </w:pPr>
    </w:p>
    <w:p w14:paraId="2374525F" w14:textId="77777777" w:rsidR="00244374" w:rsidRPr="0040341A" w:rsidRDefault="00244374" w:rsidP="00244374">
      <w:pPr>
        <w:jc w:val="center"/>
        <w:rPr>
          <w:b/>
          <w:bCs/>
          <w:sz w:val="28"/>
          <w:szCs w:val="28"/>
          <w:lang w:eastAsia="sk-SK"/>
        </w:rPr>
      </w:pPr>
    </w:p>
    <w:p w14:paraId="7ACFF282" w14:textId="77777777" w:rsidR="00244374" w:rsidRPr="0040341A" w:rsidRDefault="00244374" w:rsidP="00244374">
      <w:pPr>
        <w:jc w:val="center"/>
        <w:rPr>
          <w:b/>
          <w:bCs/>
          <w:sz w:val="28"/>
          <w:szCs w:val="28"/>
          <w:lang w:eastAsia="sk-SK"/>
        </w:rPr>
      </w:pPr>
    </w:p>
    <w:p w14:paraId="6DC1964A" w14:textId="75A29F8E" w:rsidR="00244374" w:rsidRPr="0040341A" w:rsidRDefault="00244374" w:rsidP="00244374">
      <w:pPr>
        <w:jc w:val="center"/>
        <w:rPr>
          <w:b/>
          <w:bCs/>
          <w:sz w:val="28"/>
          <w:szCs w:val="28"/>
          <w:lang w:eastAsia="sk-SK"/>
        </w:rPr>
      </w:pPr>
      <w:r w:rsidRPr="0040341A">
        <w:rPr>
          <w:b/>
          <w:bCs/>
          <w:sz w:val="28"/>
          <w:szCs w:val="28"/>
          <w:lang w:eastAsia="sk-SK"/>
        </w:rPr>
        <w:t xml:space="preserve">Analýza vplyvov </w:t>
      </w:r>
      <w:proofErr w:type="gramStart"/>
      <w:r w:rsidRPr="0040341A">
        <w:rPr>
          <w:b/>
          <w:bCs/>
          <w:sz w:val="28"/>
          <w:szCs w:val="28"/>
          <w:lang w:eastAsia="sk-SK"/>
        </w:rPr>
        <w:t>na</w:t>
      </w:r>
      <w:proofErr w:type="gramEnd"/>
      <w:r w:rsidRPr="0040341A">
        <w:rPr>
          <w:b/>
          <w:bCs/>
          <w:sz w:val="28"/>
          <w:szCs w:val="28"/>
          <w:lang w:eastAsia="sk-SK"/>
        </w:rPr>
        <w:t xml:space="preserve"> rozpočet verejnej správy,</w:t>
      </w:r>
    </w:p>
    <w:p w14:paraId="36AF94A3" w14:textId="77777777" w:rsidR="00244374" w:rsidRPr="0040341A" w:rsidRDefault="00244374" w:rsidP="00244374">
      <w:pPr>
        <w:jc w:val="center"/>
        <w:rPr>
          <w:b/>
          <w:bCs/>
          <w:sz w:val="28"/>
          <w:szCs w:val="28"/>
          <w:lang w:eastAsia="sk-SK"/>
        </w:rPr>
      </w:pPr>
      <w:proofErr w:type="gramStart"/>
      <w:r w:rsidRPr="0040341A">
        <w:rPr>
          <w:b/>
          <w:bCs/>
          <w:sz w:val="28"/>
          <w:szCs w:val="28"/>
          <w:lang w:eastAsia="sk-SK"/>
        </w:rPr>
        <w:t>na</w:t>
      </w:r>
      <w:proofErr w:type="gramEnd"/>
      <w:r w:rsidRPr="0040341A">
        <w:rPr>
          <w:b/>
          <w:bCs/>
          <w:sz w:val="28"/>
          <w:szCs w:val="28"/>
          <w:lang w:eastAsia="sk-SK"/>
        </w:rPr>
        <w:t xml:space="preserve"> zamestnanosť vo verejnej správe a financovanie návrhu</w:t>
      </w:r>
    </w:p>
    <w:p w14:paraId="08E5FF85" w14:textId="77777777" w:rsidR="00244374" w:rsidRPr="0040341A" w:rsidRDefault="00244374" w:rsidP="00244374">
      <w:pPr>
        <w:jc w:val="right"/>
        <w:rPr>
          <w:b/>
          <w:bCs/>
          <w:lang w:eastAsia="sk-SK"/>
        </w:rPr>
      </w:pPr>
    </w:p>
    <w:p w14:paraId="7A883DAC" w14:textId="77777777" w:rsidR="00244374" w:rsidRPr="0040341A" w:rsidRDefault="00244374" w:rsidP="00244374">
      <w:pPr>
        <w:jc w:val="right"/>
        <w:rPr>
          <w:b/>
          <w:bCs/>
          <w:lang w:eastAsia="sk-SK"/>
        </w:rPr>
      </w:pPr>
    </w:p>
    <w:p w14:paraId="57B2DDB4" w14:textId="77777777" w:rsidR="00244374" w:rsidRPr="0040341A" w:rsidRDefault="00244374" w:rsidP="00244374">
      <w:pPr>
        <w:rPr>
          <w:b/>
          <w:bCs/>
          <w:lang w:eastAsia="sk-SK"/>
        </w:rPr>
      </w:pPr>
      <w:r w:rsidRPr="0040341A">
        <w:rPr>
          <w:b/>
          <w:bCs/>
          <w:lang w:eastAsia="sk-SK"/>
        </w:rPr>
        <w:t xml:space="preserve">2.1 Zhrnutie vplyvov </w:t>
      </w:r>
      <w:proofErr w:type="gramStart"/>
      <w:r w:rsidRPr="0040341A">
        <w:rPr>
          <w:b/>
          <w:bCs/>
          <w:lang w:eastAsia="sk-SK"/>
        </w:rPr>
        <w:t>na</w:t>
      </w:r>
      <w:proofErr w:type="gramEnd"/>
      <w:r w:rsidRPr="0040341A">
        <w:rPr>
          <w:b/>
          <w:bCs/>
          <w:lang w:eastAsia="sk-SK"/>
        </w:rPr>
        <w:t xml:space="preserve"> rozpočet verejnej správy v návrhu</w:t>
      </w:r>
    </w:p>
    <w:p w14:paraId="03F023BA" w14:textId="77777777" w:rsidR="00244374" w:rsidRPr="0040341A" w:rsidRDefault="00244374" w:rsidP="00244374">
      <w:pPr>
        <w:jc w:val="right"/>
        <w:rPr>
          <w:sz w:val="20"/>
          <w:szCs w:val="20"/>
          <w:lang w:eastAsia="sk-SK"/>
        </w:rPr>
      </w:pPr>
      <w:r w:rsidRPr="0040341A">
        <w:rPr>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244374" w:rsidRPr="0040341A" w14:paraId="525C3507" w14:textId="77777777" w:rsidTr="00244374">
        <w:trPr>
          <w:cantSplit/>
          <w:trHeight w:val="194"/>
          <w:jc w:val="center"/>
        </w:trPr>
        <w:tc>
          <w:tcPr>
            <w:tcW w:w="4661" w:type="dxa"/>
            <w:vMerge w:val="restart"/>
            <w:shd w:val="clear" w:color="auto" w:fill="BFBFBF" w:themeFill="background1" w:themeFillShade="BF"/>
            <w:vAlign w:val="center"/>
          </w:tcPr>
          <w:p w14:paraId="2E97482D" w14:textId="77777777" w:rsidR="00244374" w:rsidRPr="0040341A" w:rsidRDefault="00244374" w:rsidP="00244374">
            <w:pPr>
              <w:jc w:val="center"/>
              <w:rPr>
                <w:b/>
                <w:bCs/>
                <w:lang w:eastAsia="sk-SK"/>
              </w:rPr>
            </w:pPr>
            <w:r w:rsidRPr="0040341A">
              <w:rPr>
                <w:b/>
                <w:bCs/>
                <w:lang w:eastAsia="sk-SK"/>
              </w:rPr>
              <w:t>Vplyvy na rozpočet verejnej správy</w:t>
            </w:r>
          </w:p>
        </w:tc>
        <w:tc>
          <w:tcPr>
            <w:tcW w:w="5068" w:type="dxa"/>
            <w:gridSpan w:val="4"/>
            <w:shd w:val="clear" w:color="auto" w:fill="BFBFBF" w:themeFill="background1" w:themeFillShade="BF"/>
            <w:vAlign w:val="center"/>
          </w:tcPr>
          <w:p w14:paraId="7CB8A343" w14:textId="77777777" w:rsidR="00244374" w:rsidRPr="0040341A" w:rsidRDefault="00244374" w:rsidP="00244374">
            <w:pPr>
              <w:jc w:val="center"/>
              <w:rPr>
                <w:b/>
                <w:bCs/>
                <w:lang w:eastAsia="sk-SK"/>
              </w:rPr>
            </w:pPr>
            <w:r w:rsidRPr="0040341A">
              <w:rPr>
                <w:b/>
                <w:bCs/>
                <w:lang w:eastAsia="sk-SK"/>
              </w:rPr>
              <w:t>Vplyv na rozpočet verejnej správy (v eurách)</w:t>
            </w:r>
          </w:p>
        </w:tc>
      </w:tr>
      <w:tr w:rsidR="00244374" w:rsidRPr="0040341A" w14:paraId="32C40507" w14:textId="77777777" w:rsidTr="00244374">
        <w:trPr>
          <w:cantSplit/>
          <w:trHeight w:val="70"/>
          <w:jc w:val="center"/>
        </w:trPr>
        <w:tc>
          <w:tcPr>
            <w:tcW w:w="4661" w:type="dxa"/>
            <w:vMerge/>
            <w:shd w:val="clear" w:color="auto" w:fill="BFBFBF" w:themeFill="background1" w:themeFillShade="BF"/>
            <w:vAlign w:val="center"/>
          </w:tcPr>
          <w:p w14:paraId="366B38C4" w14:textId="77777777" w:rsidR="00244374" w:rsidRPr="0040341A" w:rsidRDefault="00244374" w:rsidP="00244374">
            <w:pPr>
              <w:jc w:val="center"/>
              <w:rPr>
                <w:b/>
                <w:bCs/>
                <w:lang w:eastAsia="sk-SK"/>
              </w:rPr>
            </w:pPr>
          </w:p>
        </w:tc>
        <w:tc>
          <w:tcPr>
            <w:tcW w:w="1267" w:type="dxa"/>
            <w:shd w:val="clear" w:color="auto" w:fill="BFBFBF" w:themeFill="background1" w:themeFillShade="BF"/>
            <w:vAlign w:val="center"/>
          </w:tcPr>
          <w:p w14:paraId="4A6D8E45" w14:textId="77777777" w:rsidR="00244374" w:rsidRPr="0040341A" w:rsidRDefault="00244374" w:rsidP="00244374">
            <w:pPr>
              <w:jc w:val="center"/>
              <w:rPr>
                <w:b/>
                <w:bCs/>
                <w:lang w:eastAsia="sk-SK"/>
              </w:rPr>
            </w:pPr>
            <w:r w:rsidRPr="0040341A">
              <w:rPr>
                <w:b/>
                <w:bCs/>
                <w:lang w:eastAsia="sk-SK"/>
              </w:rPr>
              <w:t>2023</w:t>
            </w:r>
          </w:p>
        </w:tc>
        <w:tc>
          <w:tcPr>
            <w:tcW w:w="1267" w:type="dxa"/>
            <w:shd w:val="clear" w:color="auto" w:fill="BFBFBF" w:themeFill="background1" w:themeFillShade="BF"/>
            <w:vAlign w:val="center"/>
          </w:tcPr>
          <w:p w14:paraId="67F7C973" w14:textId="77777777" w:rsidR="00244374" w:rsidRPr="0040341A" w:rsidRDefault="00244374" w:rsidP="00244374">
            <w:pPr>
              <w:jc w:val="center"/>
              <w:rPr>
                <w:b/>
                <w:bCs/>
                <w:lang w:eastAsia="sk-SK"/>
              </w:rPr>
            </w:pPr>
            <w:r w:rsidRPr="0040341A">
              <w:rPr>
                <w:b/>
                <w:bCs/>
                <w:lang w:eastAsia="sk-SK"/>
              </w:rPr>
              <w:t>2024</w:t>
            </w:r>
          </w:p>
        </w:tc>
        <w:tc>
          <w:tcPr>
            <w:tcW w:w="1267" w:type="dxa"/>
            <w:shd w:val="clear" w:color="auto" w:fill="BFBFBF" w:themeFill="background1" w:themeFillShade="BF"/>
            <w:vAlign w:val="center"/>
          </w:tcPr>
          <w:p w14:paraId="27F83F8F" w14:textId="77777777" w:rsidR="00244374" w:rsidRPr="0040341A" w:rsidRDefault="00244374" w:rsidP="00244374">
            <w:pPr>
              <w:jc w:val="center"/>
              <w:rPr>
                <w:b/>
                <w:bCs/>
                <w:lang w:eastAsia="sk-SK"/>
              </w:rPr>
            </w:pPr>
            <w:r w:rsidRPr="0040341A">
              <w:rPr>
                <w:b/>
                <w:bCs/>
                <w:lang w:eastAsia="sk-SK"/>
              </w:rPr>
              <w:t>2025</w:t>
            </w:r>
          </w:p>
        </w:tc>
        <w:tc>
          <w:tcPr>
            <w:tcW w:w="1267" w:type="dxa"/>
            <w:shd w:val="clear" w:color="auto" w:fill="BFBFBF" w:themeFill="background1" w:themeFillShade="BF"/>
            <w:vAlign w:val="center"/>
          </w:tcPr>
          <w:p w14:paraId="79AB114F" w14:textId="77777777" w:rsidR="00244374" w:rsidRPr="0040341A" w:rsidRDefault="00244374" w:rsidP="00244374">
            <w:pPr>
              <w:jc w:val="center"/>
              <w:rPr>
                <w:b/>
                <w:bCs/>
                <w:lang w:eastAsia="sk-SK"/>
              </w:rPr>
            </w:pPr>
            <w:r w:rsidRPr="0040341A">
              <w:rPr>
                <w:b/>
                <w:bCs/>
                <w:lang w:eastAsia="sk-SK"/>
              </w:rPr>
              <w:t>2026</w:t>
            </w:r>
          </w:p>
        </w:tc>
      </w:tr>
      <w:tr w:rsidR="00244374" w:rsidRPr="0040341A" w14:paraId="4629E202" w14:textId="77777777" w:rsidTr="00244374">
        <w:trPr>
          <w:trHeight w:val="70"/>
          <w:jc w:val="center"/>
        </w:trPr>
        <w:tc>
          <w:tcPr>
            <w:tcW w:w="4661" w:type="dxa"/>
            <w:shd w:val="clear" w:color="auto" w:fill="C0C0C0"/>
            <w:noWrap/>
            <w:vAlign w:val="center"/>
          </w:tcPr>
          <w:p w14:paraId="2501A4CD" w14:textId="77777777" w:rsidR="00244374" w:rsidRPr="0040341A" w:rsidRDefault="00244374" w:rsidP="00244374">
            <w:pPr>
              <w:rPr>
                <w:lang w:eastAsia="sk-SK"/>
              </w:rPr>
            </w:pPr>
            <w:r w:rsidRPr="0040341A">
              <w:rPr>
                <w:b/>
                <w:bCs/>
                <w:lang w:eastAsia="sk-SK"/>
              </w:rPr>
              <w:t>Príjmy verejnej správy celkom</w:t>
            </w:r>
          </w:p>
        </w:tc>
        <w:tc>
          <w:tcPr>
            <w:tcW w:w="1267" w:type="dxa"/>
            <w:shd w:val="clear" w:color="auto" w:fill="C0C0C0"/>
            <w:vAlign w:val="center"/>
          </w:tcPr>
          <w:p w14:paraId="4B1C1C59"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C0C0C0"/>
            <w:vAlign w:val="center"/>
          </w:tcPr>
          <w:p w14:paraId="10784DF0"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C0C0C0"/>
            <w:vAlign w:val="center"/>
          </w:tcPr>
          <w:p w14:paraId="7252AE3A"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C0C0C0"/>
            <w:vAlign w:val="center"/>
          </w:tcPr>
          <w:p w14:paraId="68F2D031" w14:textId="77777777" w:rsidR="00244374" w:rsidRPr="0040341A" w:rsidRDefault="00244374" w:rsidP="00244374">
            <w:pPr>
              <w:jc w:val="right"/>
              <w:rPr>
                <w:b/>
                <w:bCs/>
                <w:lang w:eastAsia="sk-SK"/>
              </w:rPr>
            </w:pPr>
            <w:r w:rsidRPr="0040341A">
              <w:rPr>
                <w:b/>
                <w:bCs/>
                <w:lang w:eastAsia="sk-SK"/>
              </w:rPr>
              <w:t>0</w:t>
            </w:r>
          </w:p>
        </w:tc>
      </w:tr>
      <w:tr w:rsidR="00244374" w:rsidRPr="0040341A" w14:paraId="707473FC" w14:textId="77777777" w:rsidTr="00244374">
        <w:trPr>
          <w:trHeight w:val="132"/>
          <w:jc w:val="center"/>
        </w:trPr>
        <w:tc>
          <w:tcPr>
            <w:tcW w:w="4661" w:type="dxa"/>
            <w:noWrap/>
            <w:vAlign w:val="center"/>
          </w:tcPr>
          <w:p w14:paraId="4FD04A61" w14:textId="77777777" w:rsidR="00244374" w:rsidRPr="0040341A" w:rsidRDefault="00244374" w:rsidP="00244374">
            <w:pPr>
              <w:rPr>
                <w:lang w:eastAsia="sk-SK"/>
              </w:rPr>
            </w:pPr>
            <w:r w:rsidRPr="0040341A">
              <w:rPr>
                <w:lang w:eastAsia="sk-SK"/>
              </w:rPr>
              <w:t xml:space="preserve">v tom: MIRRI SR </w:t>
            </w:r>
          </w:p>
        </w:tc>
        <w:tc>
          <w:tcPr>
            <w:tcW w:w="1267" w:type="dxa"/>
            <w:noWrap/>
            <w:vAlign w:val="center"/>
          </w:tcPr>
          <w:p w14:paraId="04C25B69"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2F397B66"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4B3FD0FF"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6A41916A" w14:textId="77777777" w:rsidR="00244374" w:rsidRPr="0040341A" w:rsidRDefault="00244374" w:rsidP="00244374">
            <w:pPr>
              <w:jc w:val="right"/>
              <w:rPr>
                <w:lang w:eastAsia="sk-SK"/>
              </w:rPr>
            </w:pPr>
            <w:r w:rsidRPr="0040341A">
              <w:rPr>
                <w:lang w:eastAsia="sk-SK"/>
              </w:rPr>
              <w:t>0</w:t>
            </w:r>
          </w:p>
        </w:tc>
      </w:tr>
      <w:tr w:rsidR="00244374" w:rsidRPr="0040341A" w14:paraId="298937DF" w14:textId="77777777" w:rsidTr="00244374">
        <w:trPr>
          <w:trHeight w:val="70"/>
          <w:jc w:val="center"/>
        </w:trPr>
        <w:tc>
          <w:tcPr>
            <w:tcW w:w="4661" w:type="dxa"/>
            <w:noWrap/>
            <w:vAlign w:val="center"/>
          </w:tcPr>
          <w:p w14:paraId="3E927AA4" w14:textId="77777777" w:rsidR="00244374" w:rsidRPr="0040341A" w:rsidRDefault="00244374" w:rsidP="00244374">
            <w:pPr>
              <w:rPr>
                <w:b/>
                <w:bCs/>
                <w:i/>
                <w:iCs/>
                <w:lang w:eastAsia="sk-SK"/>
              </w:rPr>
            </w:pPr>
            <w:r w:rsidRPr="0040341A">
              <w:rPr>
                <w:b/>
                <w:bCs/>
                <w:i/>
                <w:iCs/>
                <w:lang w:eastAsia="sk-SK"/>
              </w:rPr>
              <w:t xml:space="preserve">z toho:  </w:t>
            </w:r>
          </w:p>
        </w:tc>
        <w:tc>
          <w:tcPr>
            <w:tcW w:w="1267" w:type="dxa"/>
            <w:noWrap/>
            <w:vAlign w:val="center"/>
          </w:tcPr>
          <w:p w14:paraId="1477B53B" w14:textId="77777777" w:rsidR="00244374" w:rsidRPr="0040341A" w:rsidRDefault="00244374" w:rsidP="00244374">
            <w:pPr>
              <w:jc w:val="right"/>
              <w:rPr>
                <w:b/>
                <w:bCs/>
                <w:iCs/>
                <w:lang w:eastAsia="sk-SK"/>
              </w:rPr>
            </w:pPr>
          </w:p>
        </w:tc>
        <w:tc>
          <w:tcPr>
            <w:tcW w:w="1267" w:type="dxa"/>
            <w:noWrap/>
            <w:vAlign w:val="center"/>
          </w:tcPr>
          <w:p w14:paraId="4F704F21" w14:textId="77777777" w:rsidR="00244374" w:rsidRPr="0040341A" w:rsidRDefault="00244374" w:rsidP="00244374">
            <w:pPr>
              <w:jc w:val="right"/>
              <w:rPr>
                <w:b/>
                <w:bCs/>
                <w:iCs/>
                <w:lang w:eastAsia="sk-SK"/>
              </w:rPr>
            </w:pPr>
          </w:p>
        </w:tc>
        <w:tc>
          <w:tcPr>
            <w:tcW w:w="1267" w:type="dxa"/>
            <w:noWrap/>
            <w:vAlign w:val="center"/>
          </w:tcPr>
          <w:p w14:paraId="229895C2" w14:textId="77777777" w:rsidR="00244374" w:rsidRPr="0040341A" w:rsidRDefault="00244374" w:rsidP="00244374">
            <w:pPr>
              <w:jc w:val="right"/>
              <w:rPr>
                <w:b/>
                <w:bCs/>
                <w:iCs/>
                <w:lang w:eastAsia="sk-SK"/>
              </w:rPr>
            </w:pPr>
          </w:p>
        </w:tc>
        <w:tc>
          <w:tcPr>
            <w:tcW w:w="1267" w:type="dxa"/>
            <w:noWrap/>
            <w:vAlign w:val="center"/>
          </w:tcPr>
          <w:p w14:paraId="52B5F51D" w14:textId="77777777" w:rsidR="00244374" w:rsidRPr="0040341A" w:rsidRDefault="00244374" w:rsidP="00244374">
            <w:pPr>
              <w:jc w:val="right"/>
              <w:rPr>
                <w:b/>
                <w:bCs/>
                <w:iCs/>
                <w:lang w:eastAsia="sk-SK"/>
              </w:rPr>
            </w:pPr>
          </w:p>
        </w:tc>
      </w:tr>
      <w:tr w:rsidR="00244374" w:rsidRPr="0040341A" w14:paraId="3DB6F5C2" w14:textId="77777777" w:rsidTr="00244374">
        <w:trPr>
          <w:trHeight w:val="125"/>
          <w:jc w:val="center"/>
        </w:trPr>
        <w:tc>
          <w:tcPr>
            <w:tcW w:w="4661" w:type="dxa"/>
            <w:noWrap/>
            <w:vAlign w:val="center"/>
          </w:tcPr>
          <w:p w14:paraId="103133CA" w14:textId="77777777" w:rsidR="00244374" w:rsidRPr="0040341A" w:rsidRDefault="00244374" w:rsidP="00244374">
            <w:pPr>
              <w:rPr>
                <w:b/>
                <w:bCs/>
                <w:i/>
                <w:iCs/>
                <w:lang w:eastAsia="sk-SK"/>
              </w:rPr>
            </w:pPr>
            <w:r w:rsidRPr="0040341A">
              <w:rPr>
                <w:b/>
                <w:bCs/>
                <w:i/>
                <w:iCs/>
                <w:lang w:eastAsia="sk-SK"/>
              </w:rPr>
              <w:t>- vplyv na ŠR</w:t>
            </w:r>
          </w:p>
        </w:tc>
        <w:tc>
          <w:tcPr>
            <w:tcW w:w="1267" w:type="dxa"/>
            <w:noWrap/>
            <w:vAlign w:val="center"/>
          </w:tcPr>
          <w:p w14:paraId="4A9C94B0"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740108A3"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6B55A36"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652B357"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0FA9A472" w14:textId="77777777" w:rsidTr="00244374">
        <w:trPr>
          <w:trHeight w:val="125"/>
          <w:jc w:val="center"/>
        </w:trPr>
        <w:tc>
          <w:tcPr>
            <w:tcW w:w="4661" w:type="dxa"/>
            <w:noWrap/>
            <w:vAlign w:val="center"/>
          </w:tcPr>
          <w:p w14:paraId="2EFEF58F" w14:textId="77777777" w:rsidR="00244374" w:rsidRPr="0040341A" w:rsidRDefault="00244374" w:rsidP="00244374">
            <w:pPr>
              <w:ind w:left="259"/>
              <w:rPr>
                <w:b/>
                <w:bCs/>
                <w:i/>
                <w:iCs/>
                <w:lang w:eastAsia="sk-SK"/>
              </w:rPr>
            </w:pPr>
            <w:r w:rsidRPr="0040341A">
              <w:rPr>
                <w:bCs/>
                <w:i/>
                <w:iCs/>
                <w:lang w:eastAsia="sk-SK"/>
              </w:rPr>
              <w:t>Rozpočtové prostriedky</w:t>
            </w:r>
          </w:p>
        </w:tc>
        <w:tc>
          <w:tcPr>
            <w:tcW w:w="1267" w:type="dxa"/>
            <w:noWrap/>
            <w:vAlign w:val="center"/>
          </w:tcPr>
          <w:p w14:paraId="061F3FE0"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77E22E71"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3B1C9C7D"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3AC2F91"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0CC0DDCF" w14:textId="77777777" w:rsidTr="00244374">
        <w:trPr>
          <w:trHeight w:val="125"/>
          <w:jc w:val="center"/>
        </w:trPr>
        <w:tc>
          <w:tcPr>
            <w:tcW w:w="4661" w:type="dxa"/>
            <w:noWrap/>
            <w:vAlign w:val="center"/>
          </w:tcPr>
          <w:p w14:paraId="7A1669ED" w14:textId="77777777" w:rsidR="00244374" w:rsidRPr="0040341A" w:rsidRDefault="00244374" w:rsidP="00244374">
            <w:pPr>
              <w:ind w:left="259"/>
              <w:rPr>
                <w:bCs/>
                <w:i/>
                <w:iCs/>
                <w:lang w:eastAsia="sk-SK"/>
              </w:rPr>
            </w:pPr>
            <w:r w:rsidRPr="0040341A">
              <w:rPr>
                <w:bCs/>
                <w:i/>
                <w:iCs/>
                <w:lang w:eastAsia="sk-SK"/>
              </w:rPr>
              <w:t>EÚ zdroje</w:t>
            </w:r>
          </w:p>
        </w:tc>
        <w:tc>
          <w:tcPr>
            <w:tcW w:w="1267" w:type="dxa"/>
            <w:noWrap/>
            <w:vAlign w:val="center"/>
          </w:tcPr>
          <w:p w14:paraId="48EA91FF"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69EFC8DD"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2EF9AF56"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3BC8430B" w14:textId="77777777" w:rsidR="00244374" w:rsidRPr="0040341A" w:rsidRDefault="00244374" w:rsidP="00244374">
            <w:pPr>
              <w:jc w:val="right"/>
              <w:rPr>
                <w:lang w:eastAsia="sk-SK"/>
              </w:rPr>
            </w:pPr>
            <w:r w:rsidRPr="0040341A">
              <w:rPr>
                <w:lang w:eastAsia="sk-SK"/>
              </w:rPr>
              <w:t>0</w:t>
            </w:r>
          </w:p>
        </w:tc>
      </w:tr>
      <w:tr w:rsidR="00244374" w:rsidRPr="0040341A" w14:paraId="74EDB181" w14:textId="77777777" w:rsidTr="00244374">
        <w:trPr>
          <w:trHeight w:val="125"/>
          <w:jc w:val="center"/>
        </w:trPr>
        <w:tc>
          <w:tcPr>
            <w:tcW w:w="4661" w:type="dxa"/>
            <w:noWrap/>
            <w:vAlign w:val="center"/>
          </w:tcPr>
          <w:p w14:paraId="5E09F563" w14:textId="77777777" w:rsidR="00244374" w:rsidRPr="0040341A" w:rsidRDefault="00244374" w:rsidP="00244374">
            <w:pPr>
              <w:rPr>
                <w:b/>
                <w:bCs/>
                <w:i/>
                <w:iCs/>
                <w:lang w:eastAsia="sk-SK"/>
              </w:rPr>
            </w:pPr>
            <w:r w:rsidRPr="0040341A">
              <w:rPr>
                <w:b/>
                <w:bCs/>
                <w:i/>
                <w:iCs/>
                <w:lang w:eastAsia="sk-SK"/>
              </w:rPr>
              <w:t>- vplyv na obce</w:t>
            </w:r>
          </w:p>
        </w:tc>
        <w:tc>
          <w:tcPr>
            <w:tcW w:w="1267" w:type="dxa"/>
            <w:noWrap/>
            <w:vAlign w:val="center"/>
          </w:tcPr>
          <w:p w14:paraId="3F17B0BB"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0AE3C0A4"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E620AB9"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72424F6B"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66B85D81" w14:textId="77777777" w:rsidTr="00244374">
        <w:trPr>
          <w:trHeight w:val="125"/>
          <w:jc w:val="center"/>
        </w:trPr>
        <w:tc>
          <w:tcPr>
            <w:tcW w:w="4661" w:type="dxa"/>
            <w:noWrap/>
            <w:vAlign w:val="center"/>
          </w:tcPr>
          <w:p w14:paraId="5DBFA8F5" w14:textId="77777777" w:rsidR="00244374" w:rsidRPr="0040341A" w:rsidRDefault="00244374" w:rsidP="00244374">
            <w:pPr>
              <w:rPr>
                <w:b/>
                <w:bCs/>
                <w:i/>
                <w:iCs/>
                <w:lang w:eastAsia="sk-SK"/>
              </w:rPr>
            </w:pPr>
            <w:r w:rsidRPr="0040341A">
              <w:rPr>
                <w:b/>
                <w:bCs/>
                <w:i/>
                <w:iCs/>
                <w:lang w:eastAsia="sk-SK"/>
              </w:rPr>
              <w:t>- vplyv na vyššie územné celky</w:t>
            </w:r>
          </w:p>
        </w:tc>
        <w:tc>
          <w:tcPr>
            <w:tcW w:w="1267" w:type="dxa"/>
            <w:noWrap/>
            <w:vAlign w:val="center"/>
          </w:tcPr>
          <w:p w14:paraId="1CC1AC07"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4CF14708"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F3EEA7A"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0BB62BBB"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47B90501" w14:textId="77777777" w:rsidTr="00244374">
        <w:trPr>
          <w:trHeight w:val="125"/>
          <w:jc w:val="center"/>
        </w:trPr>
        <w:tc>
          <w:tcPr>
            <w:tcW w:w="4661" w:type="dxa"/>
            <w:noWrap/>
            <w:vAlign w:val="center"/>
          </w:tcPr>
          <w:p w14:paraId="49E7FD06" w14:textId="77777777" w:rsidR="00244374" w:rsidRPr="0040341A" w:rsidRDefault="00244374" w:rsidP="00244374">
            <w:pPr>
              <w:rPr>
                <w:b/>
                <w:bCs/>
                <w:i/>
                <w:iCs/>
                <w:lang w:eastAsia="sk-SK"/>
              </w:rPr>
            </w:pPr>
            <w:r w:rsidRPr="0040341A">
              <w:rPr>
                <w:b/>
                <w:bCs/>
                <w:i/>
                <w:iCs/>
                <w:lang w:eastAsia="sk-SK"/>
              </w:rPr>
              <w:t>- vplyv na ostatné subjekty verejnej správy</w:t>
            </w:r>
          </w:p>
        </w:tc>
        <w:tc>
          <w:tcPr>
            <w:tcW w:w="1267" w:type="dxa"/>
            <w:noWrap/>
            <w:vAlign w:val="center"/>
          </w:tcPr>
          <w:p w14:paraId="63E29CE1"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07A94B71"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04BFF084"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27AAFD9"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7710DDD2" w14:textId="77777777" w:rsidTr="00244374">
        <w:trPr>
          <w:trHeight w:val="125"/>
          <w:jc w:val="center"/>
        </w:trPr>
        <w:tc>
          <w:tcPr>
            <w:tcW w:w="4661" w:type="dxa"/>
            <w:shd w:val="clear" w:color="auto" w:fill="C0C0C0"/>
            <w:noWrap/>
            <w:vAlign w:val="center"/>
          </w:tcPr>
          <w:p w14:paraId="2001C3CB" w14:textId="77777777" w:rsidR="00244374" w:rsidRPr="0040341A" w:rsidRDefault="00244374" w:rsidP="00244374">
            <w:pPr>
              <w:rPr>
                <w:b/>
                <w:bCs/>
                <w:lang w:eastAsia="sk-SK"/>
              </w:rPr>
            </w:pPr>
            <w:r w:rsidRPr="0040341A">
              <w:rPr>
                <w:b/>
                <w:bCs/>
                <w:lang w:eastAsia="sk-SK"/>
              </w:rPr>
              <w:t>Výdavky verejnej správy celkom</w:t>
            </w:r>
          </w:p>
        </w:tc>
        <w:tc>
          <w:tcPr>
            <w:tcW w:w="1267" w:type="dxa"/>
            <w:shd w:val="clear" w:color="auto" w:fill="C0C0C0"/>
            <w:noWrap/>
            <w:vAlign w:val="center"/>
          </w:tcPr>
          <w:p w14:paraId="7EC100B5" w14:textId="77777777" w:rsidR="00244374" w:rsidRPr="0040341A" w:rsidRDefault="00244374" w:rsidP="00244374">
            <w:pPr>
              <w:jc w:val="right"/>
              <w:rPr>
                <w:b/>
                <w:bCs/>
                <w:lang w:eastAsia="sk-SK"/>
              </w:rPr>
            </w:pPr>
            <w:r w:rsidRPr="0040341A">
              <w:rPr>
                <w:b/>
                <w:bCs/>
                <w:lang w:eastAsia="sk-SK"/>
              </w:rPr>
              <w:t>1 110 178</w:t>
            </w:r>
          </w:p>
        </w:tc>
        <w:tc>
          <w:tcPr>
            <w:tcW w:w="1267" w:type="dxa"/>
            <w:shd w:val="clear" w:color="auto" w:fill="C0C0C0"/>
            <w:noWrap/>
            <w:vAlign w:val="center"/>
          </w:tcPr>
          <w:p w14:paraId="4D452846" w14:textId="77777777" w:rsidR="00244374" w:rsidRPr="0040341A" w:rsidRDefault="00244374" w:rsidP="00244374">
            <w:pPr>
              <w:jc w:val="right"/>
              <w:rPr>
                <w:b/>
                <w:bCs/>
                <w:lang w:eastAsia="sk-SK"/>
              </w:rPr>
            </w:pPr>
            <w:r w:rsidRPr="0040341A">
              <w:rPr>
                <w:b/>
                <w:bCs/>
                <w:lang w:eastAsia="sk-SK"/>
              </w:rPr>
              <w:t>1 110 178</w:t>
            </w:r>
          </w:p>
        </w:tc>
        <w:tc>
          <w:tcPr>
            <w:tcW w:w="1267" w:type="dxa"/>
            <w:shd w:val="clear" w:color="auto" w:fill="C0C0C0"/>
            <w:noWrap/>
            <w:vAlign w:val="center"/>
          </w:tcPr>
          <w:p w14:paraId="7126DD78" w14:textId="77777777" w:rsidR="00244374" w:rsidRPr="0040341A" w:rsidRDefault="00244374" w:rsidP="00244374">
            <w:pPr>
              <w:jc w:val="right"/>
              <w:rPr>
                <w:b/>
                <w:bCs/>
                <w:lang w:eastAsia="sk-SK"/>
              </w:rPr>
            </w:pPr>
            <w:r w:rsidRPr="0040341A">
              <w:rPr>
                <w:b/>
                <w:bCs/>
                <w:lang w:eastAsia="sk-SK"/>
              </w:rPr>
              <w:t>1 110 178</w:t>
            </w:r>
          </w:p>
        </w:tc>
        <w:tc>
          <w:tcPr>
            <w:tcW w:w="1267" w:type="dxa"/>
            <w:shd w:val="clear" w:color="auto" w:fill="C0C0C0"/>
            <w:noWrap/>
            <w:vAlign w:val="center"/>
          </w:tcPr>
          <w:p w14:paraId="7B0B2ED7" w14:textId="77777777" w:rsidR="00244374" w:rsidRPr="0040341A" w:rsidRDefault="00244374" w:rsidP="00244374">
            <w:pPr>
              <w:jc w:val="right"/>
              <w:rPr>
                <w:b/>
                <w:bCs/>
                <w:lang w:eastAsia="sk-SK"/>
              </w:rPr>
            </w:pPr>
            <w:r w:rsidRPr="0040341A">
              <w:rPr>
                <w:b/>
                <w:bCs/>
                <w:lang w:eastAsia="sk-SK"/>
              </w:rPr>
              <w:t xml:space="preserve">1 110 178   </w:t>
            </w:r>
          </w:p>
        </w:tc>
      </w:tr>
      <w:tr w:rsidR="00244374" w:rsidRPr="0040341A" w14:paraId="5A577641" w14:textId="77777777" w:rsidTr="00244374">
        <w:trPr>
          <w:trHeight w:val="70"/>
          <w:jc w:val="center"/>
        </w:trPr>
        <w:tc>
          <w:tcPr>
            <w:tcW w:w="4661" w:type="dxa"/>
            <w:noWrap/>
            <w:vAlign w:val="center"/>
          </w:tcPr>
          <w:p w14:paraId="5D1ABAE5" w14:textId="77777777" w:rsidR="00244374" w:rsidRPr="0040341A" w:rsidRDefault="00244374" w:rsidP="00244374">
            <w:pPr>
              <w:rPr>
                <w:lang w:eastAsia="sk-SK"/>
              </w:rPr>
            </w:pPr>
            <w:r w:rsidRPr="0040341A">
              <w:rPr>
                <w:lang w:eastAsia="sk-SK"/>
              </w:rPr>
              <w:t xml:space="preserve">v tom: MIRRI SR </w:t>
            </w:r>
          </w:p>
        </w:tc>
        <w:tc>
          <w:tcPr>
            <w:tcW w:w="1267" w:type="dxa"/>
            <w:noWrap/>
            <w:vAlign w:val="center"/>
          </w:tcPr>
          <w:p w14:paraId="6580DBE6" w14:textId="77777777" w:rsidR="00244374" w:rsidRPr="0040341A" w:rsidRDefault="00244374" w:rsidP="00244374">
            <w:pPr>
              <w:jc w:val="right"/>
              <w:rPr>
                <w:lang w:eastAsia="sk-SK"/>
              </w:rPr>
            </w:pPr>
            <w:r w:rsidRPr="0040341A">
              <w:rPr>
                <w:lang w:eastAsia="sk-SK"/>
              </w:rPr>
              <w:t>1 110 178</w:t>
            </w:r>
          </w:p>
        </w:tc>
        <w:tc>
          <w:tcPr>
            <w:tcW w:w="1267" w:type="dxa"/>
            <w:noWrap/>
            <w:vAlign w:val="center"/>
          </w:tcPr>
          <w:p w14:paraId="1B80F84C" w14:textId="77777777" w:rsidR="00244374" w:rsidRPr="0040341A" w:rsidRDefault="00244374" w:rsidP="00244374">
            <w:pPr>
              <w:jc w:val="right"/>
              <w:rPr>
                <w:lang w:eastAsia="sk-SK"/>
              </w:rPr>
            </w:pPr>
            <w:r w:rsidRPr="0040341A">
              <w:rPr>
                <w:lang w:eastAsia="sk-SK"/>
              </w:rPr>
              <w:t>1 110 178</w:t>
            </w:r>
          </w:p>
        </w:tc>
        <w:tc>
          <w:tcPr>
            <w:tcW w:w="1267" w:type="dxa"/>
            <w:noWrap/>
            <w:vAlign w:val="center"/>
          </w:tcPr>
          <w:p w14:paraId="3DC24B1C" w14:textId="77777777" w:rsidR="00244374" w:rsidRPr="0040341A" w:rsidRDefault="00244374" w:rsidP="00244374">
            <w:pPr>
              <w:jc w:val="right"/>
              <w:rPr>
                <w:lang w:eastAsia="sk-SK"/>
              </w:rPr>
            </w:pPr>
            <w:r w:rsidRPr="0040341A">
              <w:rPr>
                <w:lang w:eastAsia="sk-SK"/>
              </w:rPr>
              <w:t>1 110 178</w:t>
            </w:r>
          </w:p>
        </w:tc>
        <w:tc>
          <w:tcPr>
            <w:tcW w:w="1267" w:type="dxa"/>
            <w:noWrap/>
            <w:vAlign w:val="center"/>
          </w:tcPr>
          <w:p w14:paraId="61C8404B" w14:textId="77777777" w:rsidR="00244374" w:rsidRPr="0040341A" w:rsidRDefault="00244374" w:rsidP="00244374">
            <w:pPr>
              <w:jc w:val="right"/>
              <w:rPr>
                <w:lang w:eastAsia="sk-SK"/>
              </w:rPr>
            </w:pPr>
            <w:r w:rsidRPr="0040341A">
              <w:rPr>
                <w:lang w:eastAsia="sk-SK"/>
              </w:rPr>
              <w:t>1 110 178</w:t>
            </w:r>
          </w:p>
        </w:tc>
      </w:tr>
      <w:tr w:rsidR="00244374" w:rsidRPr="0040341A" w14:paraId="3D42B51D" w14:textId="77777777" w:rsidTr="00244374">
        <w:trPr>
          <w:trHeight w:val="70"/>
          <w:jc w:val="center"/>
        </w:trPr>
        <w:tc>
          <w:tcPr>
            <w:tcW w:w="4661" w:type="dxa"/>
            <w:noWrap/>
            <w:vAlign w:val="center"/>
          </w:tcPr>
          <w:p w14:paraId="686082DD" w14:textId="77777777" w:rsidR="00244374" w:rsidRPr="0040341A" w:rsidRDefault="00244374" w:rsidP="00244374">
            <w:pPr>
              <w:rPr>
                <w:b/>
                <w:bCs/>
                <w:i/>
                <w:iCs/>
                <w:lang w:eastAsia="sk-SK"/>
              </w:rPr>
            </w:pPr>
            <w:r w:rsidRPr="0040341A">
              <w:rPr>
                <w:b/>
                <w:bCs/>
                <w:i/>
                <w:iCs/>
                <w:lang w:eastAsia="sk-SK"/>
              </w:rPr>
              <w:t xml:space="preserve">z toho: </w:t>
            </w:r>
          </w:p>
        </w:tc>
        <w:tc>
          <w:tcPr>
            <w:tcW w:w="1267" w:type="dxa"/>
            <w:noWrap/>
            <w:vAlign w:val="center"/>
          </w:tcPr>
          <w:p w14:paraId="59893DA9" w14:textId="77777777" w:rsidR="00244374" w:rsidRPr="0040341A" w:rsidRDefault="00244374" w:rsidP="00244374">
            <w:pPr>
              <w:jc w:val="right"/>
              <w:rPr>
                <w:b/>
                <w:bCs/>
                <w:iCs/>
                <w:lang w:eastAsia="sk-SK"/>
              </w:rPr>
            </w:pPr>
          </w:p>
        </w:tc>
        <w:tc>
          <w:tcPr>
            <w:tcW w:w="1267" w:type="dxa"/>
            <w:noWrap/>
            <w:vAlign w:val="center"/>
          </w:tcPr>
          <w:p w14:paraId="010F7363" w14:textId="77777777" w:rsidR="00244374" w:rsidRPr="0040341A" w:rsidRDefault="00244374" w:rsidP="00244374">
            <w:pPr>
              <w:jc w:val="right"/>
              <w:rPr>
                <w:b/>
                <w:bCs/>
                <w:iCs/>
                <w:lang w:eastAsia="sk-SK"/>
              </w:rPr>
            </w:pPr>
          </w:p>
        </w:tc>
        <w:tc>
          <w:tcPr>
            <w:tcW w:w="1267" w:type="dxa"/>
            <w:noWrap/>
            <w:vAlign w:val="center"/>
          </w:tcPr>
          <w:p w14:paraId="48CA3B29" w14:textId="77777777" w:rsidR="00244374" w:rsidRPr="0040341A" w:rsidRDefault="00244374" w:rsidP="00244374">
            <w:pPr>
              <w:jc w:val="right"/>
              <w:rPr>
                <w:b/>
                <w:bCs/>
                <w:iCs/>
                <w:lang w:eastAsia="sk-SK"/>
              </w:rPr>
            </w:pPr>
          </w:p>
        </w:tc>
        <w:tc>
          <w:tcPr>
            <w:tcW w:w="1267" w:type="dxa"/>
            <w:noWrap/>
            <w:vAlign w:val="center"/>
          </w:tcPr>
          <w:p w14:paraId="114C7575" w14:textId="77777777" w:rsidR="00244374" w:rsidRPr="0040341A" w:rsidRDefault="00244374" w:rsidP="00244374">
            <w:pPr>
              <w:jc w:val="right"/>
              <w:rPr>
                <w:b/>
                <w:bCs/>
                <w:iCs/>
                <w:lang w:eastAsia="sk-SK"/>
              </w:rPr>
            </w:pPr>
          </w:p>
        </w:tc>
      </w:tr>
      <w:tr w:rsidR="00244374" w:rsidRPr="0040341A" w14:paraId="17C79C8B" w14:textId="77777777" w:rsidTr="00244374">
        <w:trPr>
          <w:trHeight w:val="70"/>
          <w:jc w:val="center"/>
        </w:trPr>
        <w:tc>
          <w:tcPr>
            <w:tcW w:w="4661" w:type="dxa"/>
            <w:noWrap/>
            <w:vAlign w:val="center"/>
          </w:tcPr>
          <w:p w14:paraId="432AE86F" w14:textId="77777777" w:rsidR="00244374" w:rsidRPr="0040341A" w:rsidRDefault="00244374" w:rsidP="00244374">
            <w:pPr>
              <w:rPr>
                <w:b/>
                <w:bCs/>
                <w:i/>
                <w:iCs/>
                <w:lang w:eastAsia="sk-SK"/>
              </w:rPr>
            </w:pPr>
            <w:r w:rsidRPr="0040341A">
              <w:rPr>
                <w:b/>
                <w:bCs/>
                <w:i/>
                <w:iCs/>
                <w:lang w:eastAsia="sk-SK"/>
              </w:rPr>
              <w:t>- vplyv na ŠR</w:t>
            </w:r>
          </w:p>
        </w:tc>
        <w:tc>
          <w:tcPr>
            <w:tcW w:w="1267" w:type="dxa"/>
            <w:noWrap/>
            <w:vAlign w:val="center"/>
          </w:tcPr>
          <w:p w14:paraId="6023CE6D"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8B31F36"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AC13EDE"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1295CC34"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37ED3FE8" w14:textId="77777777" w:rsidTr="00244374">
        <w:trPr>
          <w:trHeight w:val="70"/>
          <w:jc w:val="center"/>
        </w:trPr>
        <w:tc>
          <w:tcPr>
            <w:tcW w:w="4661" w:type="dxa"/>
            <w:noWrap/>
            <w:vAlign w:val="center"/>
          </w:tcPr>
          <w:p w14:paraId="5FCD3611" w14:textId="77777777" w:rsidR="00244374" w:rsidRPr="0040341A" w:rsidRDefault="00244374" w:rsidP="00244374">
            <w:pPr>
              <w:ind w:left="259"/>
              <w:rPr>
                <w:b/>
                <w:bCs/>
                <w:i/>
                <w:iCs/>
                <w:lang w:eastAsia="sk-SK"/>
              </w:rPr>
            </w:pPr>
            <w:r w:rsidRPr="0040341A">
              <w:rPr>
                <w:bCs/>
                <w:i/>
                <w:iCs/>
                <w:lang w:eastAsia="sk-SK"/>
              </w:rPr>
              <w:t>Rozpočtové prostriedky</w:t>
            </w:r>
          </w:p>
        </w:tc>
        <w:tc>
          <w:tcPr>
            <w:tcW w:w="1267" w:type="dxa"/>
            <w:noWrap/>
            <w:vAlign w:val="center"/>
          </w:tcPr>
          <w:p w14:paraId="5EA02582"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40CBC551"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45D8D24"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73FC7A50"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51E9AC09" w14:textId="77777777" w:rsidTr="00244374">
        <w:trPr>
          <w:trHeight w:val="70"/>
          <w:jc w:val="center"/>
        </w:trPr>
        <w:tc>
          <w:tcPr>
            <w:tcW w:w="4661" w:type="dxa"/>
            <w:noWrap/>
            <w:vAlign w:val="center"/>
          </w:tcPr>
          <w:p w14:paraId="23B9700A" w14:textId="77777777" w:rsidR="00244374" w:rsidRPr="0040341A" w:rsidRDefault="00244374" w:rsidP="00244374">
            <w:pPr>
              <w:rPr>
                <w:bCs/>
                <w:i/>
                <w:iCs/>
                <w:lang w:eastAsia="sk-SK"/>
              </w:rPr>
            </w:pPr>
            <w:r w:rsidRPr="0040341A">
              <w:rPr>
                <w:bCs/>
                <w:i/>
                <w:iCs/>
                <w:lang w:eastAsia="sk-SK"/>
              </w:rPr>
              <w:t xml:space="preserve">    EÚ zdroje</w:t>
            </w:r>
          </w:p>
        </w:tc>
        <w:tc>
          <w:tcPr>
            <w:tcW w:w="1267" w:type="dxa"/>
            <w:noWrap/>
            <w:vAlign w:val="center"/>
          </w:tcPr>
          <w:p w14:paraId="1C0BF16C"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11398225"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66428AF9"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21DA61E1" w14:textId="77777777" w:rsidR="00244374" w:rsidRPr="0040341A" w:rsidRDefault="00244374" w:rsidP="00244374">
            <w:pPr>
              <w:jc w:val="right"/>
              <w:rPr>
                <w:lang w:eastAsia="sk-SK"/>
              </w:rPr>
            </w:pPr>
            <w:r w:rsidRPr="0040341A">
              <w:rPr>
                <w:lang w:eastAsia="sk-SK"/>
              </w:rPr>
              <w:t>0</w:t>
            </w:r>
          </w:p>
        </w:tc>
      </w:tr>
      <w:tr w:rsidR="00244374" w:rsidRPr="0040341A" w14:paraId="42066D7F" w14:textId="77777777" w:rsidTr="00244374">
        <w:trPr>
          <w:trHeight w:val="70"/>
          <w:jc w:val="center"/>
        </w:trPr>
        <w:tc>
          <w:tcPr>
            <w:tcW w:w="4661" w:type="dxa"/>
            <w:noWrap/>
            <w:vAlign w:val="center"/>
          </w:tcPr>
          <w:p w14:paraId="0C79B10F" w14:textId="77777777" w:rsidR="00244374" w:rsidRPr="0040341A" w:rsidRDefault="00244374" w:rsidP="00244374">
            <w:pPr>
              <w:rPr>
                <w:bCs/>
                <w:i/>
                <w:iCs/>
                <w:lang w:eastAsia="sk-SK"/>
              </w:rPr>
            </w:pPr>
            <w:r w:rsidRPr="0040341A">
              <w:rPr>
                <w:bCs/>
                <w:i/>
                <w:iCs/>
                <w:lang w:eastAsia="sk-SK"/>
              </w:rPr>
              <w:t xml:space="preserve">    Spolufinancovanie</w:t>
            </w:r>
          </w:p>
        </w:tc>
        <w:tc>
          <w:tcPr>
            <w:tcW w:w="1267" w:type="dxa"/>
            <w:noWrap/>
            <w:vAlign w:val="center"/>
          </w:tcPr>
          <w:p w14:paraId="338A537B"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5CB17704"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1F2FAC6C"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02F66828" w14:textId="77777777" w:rsidR="00244374" w:rsidRPr="0040341A" w:rsidRDefault="00244374" w:rsidP="00244374">
            <w:pPr>
              <w:jc w:val="right"/>
              <w:rPr>
                <w:lang w:eastAsia="sk-SK"/>
              </w:rPr>
            </w:pPr>
            <w:r w:rsidRPr="0040341A">
              <w:rPr>
                <w:lang w:eastAsia="sk-SK"/>
              </w:rPr>
              <w:t>0</w:t>
            </w:r>
          </w:p>
        </w:tc>
      </w:tr>
      <w:tr w:rsidR="00244374" w:rsidRPr="0040341A" w14:paraId="04F97F15" w14:textId="77777777" w:rsidTr="00244374">
        <w:trPr>
          <w:trHeight w:val="125"/>
          <w:jc w:val="center"/>
        </w:trPr>
        <w:tc>
          <w:tcPr>
            <w:tcW w:w="4661" w:type="dxa"/>
            <w:noWrap/>
            <w:vAlign w:val="center"/>
          </w:tcPr>
          <w:p w14:paraId="0BA36600" w14:textId="77777777" w:rsidR="00244374" w:rsidRPr="0040341A" w:rsidRDefault="00244374" w:rsidP="00244374">
            <w:pPr>
              <w:rPr>
                <w:b/>
                <w:bCs/>
                <w:i/>
                <w:iCs/>
                <w:lang w:eastAsia="sk-SK"/>
              </w:rPr>
            </w:pPr>
            <w:r w:rsidRPr="0040341A">
              <w:rPr>
                <w:b/>
                <w:bCs/>
                <w:i/>
                <w:iCs/>
                <w:lang w:eastAsia="sk-SK"/>
              </w:rPr>
              <w:t>- vplyv na obce</w:t>
            </w:r>
          </w:p>
        </w:tc>
        <w:tc>
          <w:tcPr>
            <w:tcW w:w="1267" w:type="dxa"/>
            <w:noWrap/>
            <w:vAlign w:val="center"/>
          </w:tcPr>
          <w:p w14:paraId="168CD5B6"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33EF5413"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7F793623"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81EE9BA"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195AACDD" w14:textId="77777777" w:rsidTr="00244374">
        <w:trPr>
          <w:trHeight w:val="125"/>
          <w:jc w:val="center"/>
        </w:trPr>
        <w:tc>
          <w:tcPr>
            <w:tcW w:w="4661" w:type="dxa"/>
            <w:noWrap/>
            <w:vAlign w:val="center"/>
          </w:tcPr>
          <w:p w14:paraId="728CFB6D" w14:textId="77777777" w:rsidR="00244374" w:rsidRPr="0040341A" w:rsidRDefault="00244374" w:rsidP="00244374">
            <w:pPr>
              <w:ind w:left="203"/>
              <w:rPr>
                <w:bCs/>
                <w:i/>
                <w:iCs/>
                <w:lang w:eastAsia="sk-SK"/>
              </w:rPr>
            </w:pPr>
            <w:proofErr w:type="gramStart"/>
            <w:r w:rsidRPr="0040341A">
              <w:rPr>
                <w:bCs/>
                <w:i/>
                <w:iCs/>
                <w:lang w:eastAsia="sk-SK"/>
              </w:rPr>
              <w:t>z</w:t>
            </w:r>
            <w:proofErr w:type="gramEnd"/>
            <w:r w:rsidRPr="0040341A">
              <w:rPr>
                <w:bCs/>
                <w:i/>
                <w:iCs/>
                <w:lang w:eastAsia="sk-SK"/>
              </w:rPr>
              <w:t xml:space="preserve"> toho vplyv nových úloh v zmysle ods. 2 Čl. 6 ústavného zákona č. 493/2011 Z. z. </w:t>
            </w:r>
          </w:p>
          <w:p w14:paraId="25968AA5" w14:textId="77777777" w:rsidR="00244374" w:rsidRPr="0040341A" w:rsidRDefault="00244374" w:rsidP="00244374">
            <w:pPr>
              <w:ind w:left="203"/>
              <w:rPr>
                <w:b/>
                <w:bCs/>
                <w:i/>
                <w:iCs/>
                <w:lang w:eastAsia="sk-SK"/>
              </w:rPr>
            </w:pPr>
            <w:r w:rsidRPr="0040341A">
              <w:rPr>
                <w:bCs/>
                <w:i/>
                <w:iCs/>
                <w:lang w:eastAsia="sk-SK"/>
              </w:rPr>
              <w:t>o rozpočtovej zodpovednosti</w:t>
            </w:r>
          </w:p>
        </w:tc>
        <w:tc>
          <w:tcPr>
            <w:tcW w:w="1267" w:type="dxa"/>
            <w:noWrap/>
            <w:vAlign w:val="center"/>
          </w:tcPr>
          <w:p w14:paraId="1B51B422"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28784E2D"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2A5BD550"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2013240C" w14:textId="77777777" w:rsidR="00244374" w:rsidRPr="0040341A" w:rsidRDefault="00244374" w:rsidP="00244374">
            <w:pPr>
              <w:jc w:val="right"/>
              <w:rPr>
                <w:lang w:eastAsia="sk-SK"/>
              </w:rPr>
            </w:pPr>
            <w:r w:rsidRPr="0040341A">
              <w:rPr>
                <w:lang w:eastAsia="sk-SK"/>
              </w:rPr>
              <w:t>0</w:t>
            </w:r>
          </w:p>
        </w:tc>
      </w:tr>
      <w:tr w:rsidR="00244374" w:rsidRPr="0040341A" w14:paraId="0596DF85" w14:textId="77777777" w:rsidTr="00244374">
        <w:trPr>
          <w:trHeight w:val="125"/>
          <w:jc w:val="center"/>
        </w:trPr>
        <w:tc>
          <w:tcPr>
            <w:tcW w:w="4661" w:type="dxa"/>
            <w:noWrap/>
            <w:vAlign w:val="center"/>
          </w:tcPr>
          <w:p w14:paraId="46A65F38" w14:textId="77777777" w:rsidR="00244374" w:rsidRPr="0040341A" w:rsidRDefault="00244374" w:rsidP="00244374">
            <w:pPr>
              <w:rPr>
                <w:b/>
                <w:bCs/>
                <w:i/>
                <w:iCs/>
                <w:lang w:eastAsia="sk-SK"/>
              </w:rPr>
            </w:pPr>
            <w:r w:rsidRPr="0040341A">
              <w:rPr>
                <w:b/>
                <w:bCs/>
                <w:i/>
                <w:iCs/>
                <w:lang w:eastAsia="sk-SK"/>
              </w:rPr>
              <w:t>- vplyv na vyššie územné celky</w:t>
            </w:r>
          </w:p>
        </w:tc>
        <w:tc>
          <w:tcPr>
            <w:tcW w:w="1267" w:type="dxa"/>
            <w:noWrap/>
            <w:vAlign w:val="center"/>
          </w:tcPr>
          <w:p w14:paraId="779FC560"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4763F281"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05B17CD"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21AD049E"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544B4F44" w14:textId="77777777" w:rsidTr="00244374">
        <w:trPr>
          <w:trHeight w:val="125"/>
          <w:jc w:val="center"/>
        </w:trPr>
        <w:tc>
          <w:tcPr>
            <w:tcW w:w="4661" w:type="dxa"/>
            <w:noWrap/>
            <w:vAlign w:val="center"/>
          </w:tcPr>
          <w:p w14:paraId="080994B0" w14:textId="77777777" w:rsidR="00244374" w:rsidRPr="0040341A" w:rsidRDefault="00244374" w:rsidP="00244374">
            <w:pPr>
              <w:ind w:left="203"/>
              <w:rPr>
                <w:bCs/>
                <w:i/>
                <w:iCs/>
                <w:lang w:eastAsia="sk-SK"/>
              </w:rPr>
            </w:pPr>
            <w:proofErr w:type="gramStart"/>
            <w:r w:rsidRPr="0040341A">
              <w:rPr>
                <w:bCs/>
                <w:i/>
                <w:iCs/>
                <w:lang w:eastAsia="sk-SK"/>
              </w:rPr>
              <w:t>z</w:t>
            </w:r>
            <w:proofErr w:type="gramEnd"/>
            <w:r w:rsidRPr="0040341A">
              <w:rPr>
                <w:bCs/>
                <w:i/>
                <w:iCs/>
                <w:lang w:eastAsia="sk-SK"/>
              </w:rPr>
              <w:t xml:space="preserve"> toho vplyv nových úloh v zmysle ods. 2 Čl. 6 ústavného zákona č. 493/2011 Z. z. </w:t>
            </w:r>
          </w:p>
          <w:p w14:paraId="7299CD38" w14:textId="77777777" w:rsidR="00244374" w:rsidRPr="0040341A" w:rsidRDefault="00244374" w:rsidP="00244374">
            <w:pPr>
              <w:ind w:left="203"/>
              <w:rPr>
                <w:b/>
                <w:bCs/>
                <w:i/>
                <w:iCs/>
                <w:lang w:eastAsia="sk-SK"/>
              </w:rPr>
            </w:pPr>
            <w:r w:rsidRPr="0040341A">
              <w:rPr>
                <w:bCs/>
                <w:i/>
                <w:iCs/>
                <w:lang w:eastAsia="sk-SK"/>
              </w:rPr>
              <w:t>o rozpočtovej zodpovednosti</w:t>
            </w:r>
          </w:p>
        </w:tc>
        <w:tc>
          <w:tcPr>
            <w:tcW w:w="1267" w:type="dxa"/>
            <w:noWrap/>
            <w:vAlign w:val="center"/>
          </w:tcPr>
          <w:p w14:paraId="1162E0C5"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1955B01F"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075264D7" w14:textId="77777777" w:rsidR="00244374" w:rsidRPr="0040341A" w:rsidRDefault="00244374" w:rsidP="00244374">
            <w:pPr>
              <w:jc w:val="right"/>
              <w:rPr>
                <w:lang w:eastAsia="sk-SK"/>
              </w:rPr>
            </w:pPr>
            <w:r w:rsidRPr="0040341A">
              <w:rPr>
                <w:lang w:eastAsia="sk-SK"/>
              </w:rPr>
              <w:t>0</w:t>
            </w:r>
          </w:p>
        </w:tc>
        <w:tc>
          <w:tcPr>
            <w:tcW w:w="1267" w:type="dxa"/>
            <w:noWrap/>
            <w:vAlign w:val="center"/>
          </w:tcPr>
          <w:p w14:paraId="7EF33BD5" w14:textId="77777777" w:rsidR="00244374" w:rsidRPr="0040341A" w:rsidRDefault="00244374" w:rsidP="00244374">
            <w:pPr>
              <w:jc w:val="right"/>
              <w:rPr>
                <w:lang w:eastAsia="sk-SK"/>
              </w:rPr>
            </w:pPr>
            <w:r w:rsidRPr="0040341A">
              <w:rPr>
                <w:lang w:eastAsia="sk-SK"/>
              </w:rPr>
              <w:t>0</w:t>
            </w:r>
          </w:p>
        </w:tc>
      </w:tr>
      <w:tr w:rsidR="00244374" w:rsidRPr="0040341A" w14:paraId="52F3998C" w14:textId="77777777" w:rsidTr="00244374">
        <w:trPr>
          <w:trHeight w:val="70"/>
          <w:jc w:val="center"/>
        </w:trPr>
        <w:tc>
          <w:tcPr>
            <w:tcW w:w="4661" w:type="dxa"/>
            <w:noWrap/>
            <w:vAlign w:val="center"/>
          </w:tcPr>
          <w:p w14:paraId="682CCB54" w14:textId="77777777" w:rsidR="00244374" w:rsidRPr="0040341A" w:rsidRDefault="00244374" w:rsidP="00244374">
            <w:pPr>
              <w:rPr>
                <w:b/>
                <w:bCs/>
                <w:lang w:eastAsia="sk-SK"/>
              </w:rPr>
            </w:pPr>
            <w:r w:rsidRPr="0040341A">
              <w:rPr>
                <w:b/>
                <w:bCs/>
                <w:i/>
                <w:iCs/>
                <w:lang w:eastAsia="sk-SK"/>
              </w:rPr>
              <w:t>- vplyv na ostatné subjekty verejnej správy</w:t>
            </w:r>
          </w:p>
        </w:tc>
        <w:tc>
          <w:tcPr>
            <w:tcW w:w="1267" w:type="dxa"/>
            <w:noWrap/>
            <w:vAlign w:val="center"/>
          </w:tcPr>
          <w:p w14:paraId="19813760"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0D3619E5"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F8C2C9F"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F98C612"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438C4EE1" w14:textId="77777777" w:rsidTr="00244374">
        <w:trPr>
          <w:trHeight w:val="70"/>
          <w:jc w:val="center"/>
        </w:trPr>
        <w:tc>
          <w:tcPr>
            <w:tcW w:w="4661" w:type="dxa"/>
            <w:shd w:val="clear" w:color="auto" w:fill="BFBFBF" w:themeFill="background1" w:themeFillShade="BF"/>
            <w:noWrap/>
            <w:vAlign w:val="center"/>
          </w:tcPr>
          <w:p w14:paraId="6656772F" w14:textId="77777777" w:rsidR="00244374" w:rsidRPr="0040341A" w:rsidRDefault="00244374" w:rsidP="00244374">
            <w:pPr>
              <w:rPr>
                <w:b/>
                <w:bCs/>
                <w:lang w:eastAsia="sk-SK"/>
              </w:rPr>
            </w:pPr>
            <w:r w:rsidRPr="0040341A">
              <w:rPr>
                <w:b/>
                <w:bCs/>
                <w:lang w:eastAsia="sk-SK"/>
              </w:rPr>
              <w:t xml:space="preserve">Vplyv na počet zamestnancov </w:t>
            </w:r>
          </w:p>
        </w:tc>
        <w:tc>
          <w:tcPr>
            <w:tcW w:w="1267" w:type="dxa"/>
            <w:shd w:val="clear" w:color="auto" w:fill="BFBFBF" w:themeFill="background1" w:themeFillShade="BF"/>
            <w:noWrap/>
            <w:vAlign w:val="center"/>
          </w:tcPr>
          <w:p w14:paraId="1E27326C"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BFBFBF" w:themeFill="background1" w:themeFillShade="BF"/>
            <w:noWrap/>
            <w:vAlign w:val="center"/>
          </w:tcPr>
          <w:p w14:paraId="60C625BC"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BFBFBF" w:themeFill="background1" w:themeFillShade="BF"/>
            <w:noWrap/>
            <w:vAlign w:val="center"/>
          </w:tcPr>
          <w:p w14:paraId="2CA28898"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BFBFBF" w:themeFill="background1" w:themeFillShade="BF"/>
            <w:noWrap/>
            <w:vAlign w:val="center"/>
          </w:tcPr>
          <w:p w14:paraId="725F0D40" w14:textId="77777777" w:rsidR="00244374" w:rsidRPr="0040341A" w:rsidRDefault="00244374" w:rsidP="00244374">
            <w:pPr>
              <w:jc w:val="right"/>
              <w:rPr>
                <w:b/>
                <w:bCs/>
                <w:lang w:eastAsia="sk-SK"/>
              </w:rPr>
            </w:pPr>
            <w:r w:rsidRPr="0040341A">
              <w:rPr>
                <w:b/>
                <w:bCs/>
                <w:lang w:eastAsia="sk-SK"/>
              </w:rPr>
              <w:t>0</w:t>
            </w:r>
          </w:p>
        </w:tc>
      </w:tr>
      <w:tr w:rsidR="00244374" w:rsidRPr="0040341A" w14:paraId="00DA868D" w14:textId="77777777" w:rsidTr="00244374">
        <w:trPr>
          <w:trHeight w:val="70"/>
          <w:jc w:val="center"/>
        </w:trPr>
        <w:tc>
          <w:tcPr>
            <w:tcW w:w="4661" w:type="dxa"/>
            <w:noWrap/>
            <w:vAlign w:val="center"/>
          </w:tcPr>
          <w:p w14:paraId="78BAE6AD" w14:textId="77777777" w:rsidR="00244374" w:rsidRPr="0040341A" w:rsidRDefault="00244374" w:rsidP="00244374">
            <w:pPr>
              <w:rPr>
                <w:b/>
                <w:bCs/>
                <w:i/>
                <w:iCs/>
                <w:lang w:eastAsia="sk-SK"/>
              </w:rPr>
            </w:pPr>
            <w:r w:rsidRPr="0040341A">
              <w:rPr>
                <w:b/>
                <w:bCs/>
                <w:i/>
                <w:iCs/>
                <w:lang w:eastAsia="sk-SK"/>
              </w:rPr>
              <w:t>- vplyv na ŠR</w:t>
            </w:r>
          </w:p>
        </w:tc>
        <w:tc>
          <w:tcPr>
            <w:tcW w:w="1267" w:type="dxa"/>
            <w:noWrap/>
            <w:vAlign w:val="center"/>
          </w:tcPr>
          <w:p w14:paraId="35306BFE"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1DABAD8B"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E2D5ECC"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0D9AA5E2"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629A93B0" w14:textId="77777777" w:rsidTr="00244374">
        <w:trPr>
          <w:trHeight w:val="70"/>
          <w:jc w:val="center"/>
        </w:trPr>
        <w:tc>
          <w:tcPr>
            <w:tcW w:w="4661" w:type="dxa"/>
            <w:noWrap/>
            <w:vAlign w:val="center"/>
          </w:tcPr>
          <w:p w14:paraId="5A689295" w14:textId="77777777" w:rsidR="00244374" w:rsidRPr="0040341A" w:rsidRDefault="00244374" w:rsidP="00244374">
            <w:pPr>
              <w:rPr>
                <w:b/>
                <w:bCs/>
                <w:i/>
                <w:iCs/>
                <w:lang w:eastAsia="sk-SK"/>
              </w:rPr>
            </w:pPr>
            <w:r w:rsidRPr="0040341A">
              <w:rPr>
                <w:b/>
                <w:bCs/>
                <w:i/>
                <w:iCs/>
                <w:lang w:eastAsia="sk-SK"/>
              </w:rPr>
              <w:t>- vplyv na obce</w:t>
            </w:r>
          </w:p>
        </w:tc>
        <w:tc>
          <w:tcPr>
            <w:tcW w:w="1267" w:type="dxa"/>
            <w:noWrap/>
            <w:vAlign w:val="center"/>
          </w:tcPr>
          <w:p w14:paraId="78CC4348"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4F3E0EB3"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1AC6D873"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96A6B13"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032727D2" w14:textId="77777777" w:rsidTr="00244374">
        <w:trPr>
          <w:trHeight w:val="70"/>
          <w:jc w:val="center"/>
        </w:trPr>
        <w:tc>
          <w:tcPr>
            <w:tcW w:w="4661" w:type="dxa"/>
            <w:noWrap/>
            <w:vAlign w:val="center"/>
          </w:tcPr>
          <w:p w14:paraId="5F20B455" w14:textId="77777777" w:rsidR="00244374" w:rsidRPr="0040341A" w:rsidRDefault="00244374" w:rsidP="00244374">
            <w:pPr>
              <w:rPr>
                <w:b/>
                <w:bCs/>
                <w:i/>
                <w:iCs/>
                <w:lang w:eastAsia="sk-SK"/>
              </w:rPr>
            </w:pPr>
            <w:r w:rsidRPr="0040341A">
              <w:rPr>
                <w:b/>
                <w:bCs/>
                <w:i/>
                <w:iCs/>
                <w:lang w:eastAsia="sk-SK"/>
              </w:rPr>
              <w:t>- vplyv na vyššie územné celky</w:t>
            </w:r>
          </w:p>
        </w:tc>
        <w:tc>
          <w:tcPr>
            <w:tcW w:w="1267" w:type="dxa"/>
            <w:noWrap/>
            <w:vAlign w:val="center"/>
          </w:tcPr>
          <w:p w14:paraId="04B30237"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268A995"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43E9C68"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1033578"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5B4E3377" w14:textId="77777777" w:rsidTr="00244374">
        <w:trPr>
          <w:trHeight w:val="70"/>
          <w:jc w:val="center"/>
        </w:trPr>
        <w:tc>
          <w:tcPr>
            <w:tcW w:w="4661" w:type="dxa"/>
            <w:noWrap/>
            <w:vAlign w:val="center"/>
          </w:tcPr>
          <w:p w14:paraId="102F53FF" w14:textId="77777777" w:rsidR="00244374" w:rsidRPr="0040341A" w:rsidRDefault="00244374" w:rsidP="00244374">
            <w:pPr>
              <w:rPr>
                <w:b/>
                <w:bCs/>
                <w:i/>
                <w:iCs/>
                <w:lang w:eastAsia="sk-SK"/>
              </w:rPr>
            </w:pPr>
            <w:r w:rsidRPr="0040341A">
              <w:rPr>
                <w:b/>
                <w:bCs/>
                <w:i/>
                <w:iCs/>
                <w:lang w:eastAsia="sk-SK"/>
              </w:rPr>
              <w:t>- vplyv na ostatné subjekty verejnej správy</w:t>
            </w:r>
          </w:p>
        </w:tc>
        <w:tc>
          <w:tcPr>
            <w:tcW w:w="1267" w:type="dxa"/>
            <w:noWrap/>
            <w:vAlign w:val="center"/>
          </w:tcPr>
          <w:p w14:paraId="02B613AB"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1E1D29D1"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FD9EE39"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4694F37F"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68FE1E27" w14:textId="77777777" w:rsidTr="00244374">
        <w:trPr>
          <w:trHeight w:val="70"/>
          <w:jc w:val="center"/>
        </w:trPr>
        <w:tc>
          <w:tcPr>
            <w:tcW w:w="4661" w:type="dxa"/>
            <w:shd w:val="clear" w:color="auto" w:fill="BFBFBF" w:themeFill="background1" w:themeFillShade="BF"/>
            <w:noWrap/>
            <w:vAlign w:val="center"/>
          </w:tcPr>
          <w:p w14:paraId="62193E63" w14:textId="77777777" w:rsidR="00244374" w:rsidRPr="0040341A" w:rsidRDefault="00244374" w:rsidP="00244374">
            <w:pPr>
              <w:rPr>
                <w:b/>
                <w:lang w:eastAsia="sk-SK"/>
              </w:rPr>
            </w:pPr>
            <w:r w:rsidRPr="0040341A">
              <w:rPr>
                <w:b/>
                <w:lang w:eastAsia="sk-SK"/>
              </w:rPr>
              <w:t>Vplyv na mzdové výdavky</w:t>
            </w:r>
          </w:p>
        </w:tc>
        <w:tc>
          <w:tcPr>
            <w:tcW w:w="1267" w:type="dxa"/>
            <w:shd w:val="clear" w:color="auto" w:fill="BFBFBF" w:themeFill="background1" w:themeFillShade="BF"/>
            <w:noWrap/>
            <w:vAlign w:val="center"/>
          </w:tcPr>
          <w:p w14:paraId="7D7B33DA" w14:textId="77777777" w:rsidR="00244374" w:rsidRPr="0040341A" w:rsidRDefault="00244374" w:rsidP="00244374">
            <w:pPr>
              <w:jc w:val="right"/>
              <w:rPr>
                <w:b/>
                <w:lang w:eastAsia="sk-SK"/>
              </w:rPr>
            </w:pPr>
            <w:r w:rsidRPr="0040341A">
              <w:rPr>
                <w:b/>
                <w:lang w:eastAsia="sk-SK"/>
              </w:rPr>
              <w:t>0</w:t>
            </w:r>
          </w:p>
        </w:tc>
        <w:tc>
          <w:tcPr>
            <w:tcW w:w="1267" w:type="dxa"/>
            <w:shd w:val="clear" w:color="auto" w:fill="BFBFBF" w:themeFill="background1" w:themeFillShade="BF"/>
            <w:noWrap/>
            <w:vAlign w:val="center"/>
          </w:tcPr>
          <w:p w14:paraId="7A8134DE" w14:textId="77777777" w:rsidR="00244374" w:rsidRPr="0040341A" w:rsidRDefault="00244374" w:rsidP="00244374">
            <w:pPr>
              <w:jc w:val="right"/>
              <w:rPr>
                <w:b/>
                <w:lang w:eastAsia="sk-SK"/>
              </w:rPr>
            </w:pPr>
            <w:r w:rsidRPr="0040341A">
              <w:rPr>
                <w:b/>
                <w:lang w:eastAsia="sk-SK"/>
              </w:rPr>
              <w:t>0</w:t>
            </w:r>
          </w:p>
        </w:tc>
        <w:tc>
          <w:tcPr>
            <w:tcW w:w="1267" w:type="dxa"/>
            <w:shd w:val="clear" w:color="auto" w:fill="BFBFBF" w:themeFill="background1" w:themeFillShade="BF"/>
            <w:noWrap/>
            <w:vAlign w:val="center"/>
          </w:tcPr>
          <w:p w14:paraId="49D62075" w14:textId="77777777" w:rsidR="00244374" w:rsidRPr="0040341A" w:rsidRDefault="00244374" w:rsidP="00244374">
            <w:pPr>
              <w:jc w:val="right"/>
              <w:rPr>
                <w:b/>
                <w:lang w:eastAsia="sk-SK"/>
              </w:rPr>
            </w:pPr>
            <w:r w:rsidRPr="0040341A">
              <w:rPr>
                <w:b/>
                <w:lang w:eastAsia="sk-SK"/>
              </w:rPr>
              <w:t>0</w:t>
            </w:r>
          </w:p>
        </w:tc>
        <w:tc>
          <w:tcPr>
            <w:tcW w:w="1267" w:type="dxa"/>
            <w:shd w:val="clear" w:color="auto" w:fill="BFBFBF" w:themeFill="background1" w:themeFillShade="BF"/>
            <w:noWrap/>
            <w:vAlign w:val="center"/>
          </w:tcPr>
          <w:p w14:paraId="36A8136D" w14:textId="77777777" w:rsidR="00244374" w:rsidRPr="0040341A" w:rsidRDefault="00244374" w:rsidP="00244374">
            <w:pPr>
              <w:jc w:val="right"/>
              <w:rPr>
                <w:b/>
                <w:lang w:eastAsia="sk-SK"/>
              </w:rPr>
            </w:pPr>
            <w:r w:rsidRPr="0040341A">
              <w:rPr>
                <w:b/>
                <w:lang w:eastAsia="sk-SK"/>
              </w:rPr>
              <w:t>0</w:t>
            </w:r>
          </w:p>
        </w:tc>
      </w:tr>
      <w:tr w:rsidR="00244374" w:rsidRPr="0040341A" w14:paraId="4C6D48D5" w14:textId="77777777" w:rsidTr="00244374">
        <w:trPr>
          <w:trHeight w:val="70"/>
          <w:jc w:val="center"/>
        </w:trPr>
        <w:tc>
          <w:tcPr>
            <w:tcW w:w="4661" w:type="dxa"/>
            <w:noWrap/>
            <w:vAlign w:val="center"/>
          </w:tcPr>
          <w:p w14:paraId="77D7AB09" w14:textId="77777777" w:rsidR="00244374" w:rsidRPr="0040341A" w:rsidRDefault="00244374" w:rsidP="00244374">
            <w:pPr>
              <w:rPr>
                <w:b/>
                <w:bCs/>
                <w:i/>
                <w:iCs/>
                <w:lang w:eastAsia="sk-SK"/>
              </w:rPr>
            </w:pPr>
            <w:r w:rsidRPr="0040341A">
              <w:rPr>
                <w:b/>
                <w:bCs/>
                <w:i/>
                <w:iCs/>
                <w:lang w:eastAsia="sk-SK"/>
              </w:rPr>
              <w:t>- vplyv na ŠR</w:t>
            </w:r>
          </w:p>
        </w:tc>
        <w:tc>
          <w:tcPr>
            <w:tcW w:w="1267" w:type="dxa"/>
            <w:noWrap/>
            <w:vAlign w:val="center"/>
          </w:tcPr>
          <w:p w14:paraId="27C9758D"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76AF70AB"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43825724"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7A55E634"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2091DFE3" w14:textId="77777777" w:rsidTr="00244374">
        <w:trPr>
          <w:trHeight w:val="70"/>
          <w:jc w:val="center"/>
        </w:trPr>
        <w:tc>
          <w:tcPr>
            <w:tcW w:w="4661" w:type="dxa"/>
            <w:noWrap/>
            <w:vAlign w:val="center"/>
          </w:tcPr>
          <w:p w14:paraId="178FFB9B" w14:textId="77777777" w:rsidR="00244374" w:rsidRPr="0040341A" w:rsidRDefault="00244374" w:rsidP="00244374">
            <w:pPr>
              <w:rPr>
                <w:b/>
                <w:bCs/>
                <w:i/>
                <w:iCs/>
                <w:lang w:eastAsia="sk-SK"/>
              </w:rPr>
            </w:pPr>
            <w:r w:rsidRPr="0040341A">
              <w:rPr>
                <w:b/>
                <w:bCs/>
                <w:i/>
                <w:iCs/>
                <w:lang w:eastAsia="sk-SK"/>
              </w:rPr>
              <w:t>- vplyv na obce</w:t>
            </w:r>
          </w:p>
        </w:tc>
        <w:tc>
          <w:tcPr>
            <w:tcW w:w="1267" w:type="dxa"/>
            <w:noWrap/>
            <w:vAlign w:val="center"/>
          </w:tcPr>
          <w:p w14:paraId="09B43630"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18F90D9"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5BB4C4A0"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40E80844"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7E2CC15B" w14:textId="77777777" w:rsidTr="00244374">
        <w:trPr>
          <w:trHeight w:val="70"/>
          <w:jc w:val="center"/>
        </w:trPr>
        <w:tc>
          <w:tcPr>
            <w:tcW w:w="4661" w:type="dxa"/>
            <w:noWrap/>
            <w:vAlign w:val="center"/>
          </w:tcPr>
          <w:p w14:paraId="1746D05F" w14:textId="77777777" w:rsidR="00244374" w:rsidRPr="0040341A" w:rsidRDefault="00244374" w:rsidP="00244374">
            <w:pPr>
              <w:rPr>
                <w:b/>
                <w:bCs/>
                <w:i/>
                <w:iCs/>
                <w:lang w:eastAsia="sk-SK"/>
              </w:rPr>
            </w:pPr>
            <w:r w:rsidRPr="0040341A">
              <w:rPr>
                <w:b/>
                <w:bCs/>
                <w:i/>
                <w:iCs/>
                <w:lang w:eastAsia="sk-SK"/>
              </w:rPr>
              <w:t>- vplyv na vyššie územné celky</w:t>
            </w:r>
          </w:p>
        </w:tc>
        <w:tc>
          <w:tcPr>
            <w:tcW w:w="1267" w:type="dxa"/>
            <w:noWrap/>
            <w:vAlign w:val="center"/>
          </w:tcPr>
          <w:p w14:paraId="12B49C3D"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35DA8DD4"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1C7FC44D"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C9A7FFB"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789FDB4A" w14:textId="77777777" w:rsidTr="00244374">
        <w:trPr>
          <w:trHeight w:val="70"/>
          <w:jc w:val="center"/>
        </w:trPr>
        <w:tc>
          <w:tcPr>
            <w:tcW w:w="4661" w:type="dxa"/>
            <w:noWrap/>
            <w:vAlign w:val="center"/>
          </w:tcPr>
          <w:p w14:paraId="1602C5F5" w14:textId="77777777" w:rsidR="00244374" w:rsidRPr="0040341A" w:rsidRDefault="00244374" w:rsidP="00244374">
            <w:pPr>
              <w:rPr>
                <w:b/>
                <w:bCs/>
                <w:lang w:eastAsia="sk-SK"/>
              </w:rPr>
            </w:pPr>
            <w:r w:rsidRPr="0040341A">
              <w:rPr>
                <w:b/>
                <w:bCs/>
                <w:i/>
                <w:iCs/>
                <w:lang w:eastAsia="sk-SK"/>
              </w:rPr>
              <w:t>- vplyv na ostatné subjekty verejnej správy</w:t>
            </w:r>
          </w:p>
        </w:tc>
        <w:tc>
          <w:tcPr>
            <w:tcW w:w="1267" w:type="dxa"/>
            <w:noWrap/>
            <w:vAlign w:val="center"/>
          </w:tcPr>
          <w:p w14:paraId="03711243"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23D6480B"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6E968E35" w14:textId="77777777" w:rsidR="00244374" w:rsidRPr="0040341A" w:rsidRDefault="00244374" w:rsidP="00244374">
            <w:pPr>
              <w:jc w:val="right"/>
              <w:rPr>
                <w:b/>
                <w:bCs/>
                <w:iCs/>
                <w:lang w:eastAsia="sk-SK"/>
              </w:rPr>
            </w:pPr>
            <w:r w:rsidRPr="0040341A">
              <w:rPr>
                <w:b/>
                <w:bCs/>
                <w:iCs/>
                <w:lang w:eastAsia="sk-SK"/>
              </w:rPr>
              <w:t>0</w:t>
            </w:r>
          </w:p>
        </w:tc>
        <w:tc>
          <w:tcPr>
            <w:tcW w:w="1267" w:type="dxa"/>
            <w:noWrap/>
            <w:vAlign w:val="center"/>
          </w:tcPr>
          <w:p w14:paraId="20DA7AA5" w14:textId="77777777" w:rsidR="00244374" w:rsidRPr="0040341A" w:rsidRDefault="00244374" w:rsidP="00244374">
            <w:pPr>
              <w:jc w:val="right"/>
              <w:rPr>
                <w:b/>
                <w:bCs/>
                <w:iCs/>
                <w:lang w:eastAsia="sk-SK"/>
              </w:rPr>
            </w:pPr>
            <w:r w:rsidRPr="0040341A">
              <w:rPr>
                <w:b/>
                <w:bCs/>
                <w:iCs/>
                <w:lang w:eastAsia="sk-SK"/>
              </w:rPr>
              <w:t>0</w:t>
            </w:r>
          </w:p>
        </w:tc>
      </w:tr>
      <w:tr w:rsidR="00244374" w:rsidRPr="0040341A" w14:paraId="5CF391E4" w14:textId="77777777" w:rsidTr="00244374">
        <w:trPr>
          <w:trHeight w:val="70"/>
          <w:jc w:val="center"/>
        </w:trPr>
        <w:tc>
          <w:tcPr>
            <w:tcW w:w="4661" w:type="dxa"/>
            <w:shd w:val="clear" w:color="auto" w:fill="C0C0C0"/>
            <w:noWrap/>
            <w:vAlign w:val="center"/>
          </w:tcPr>
          <w:p w14:paraId="27AC8D6F" w14:textId="77777777" w:rsidR="00244374" w:rsidRPr="0040341A" w:rsidRDefault="00244374" w:rsidP="00244374">
            <w:pPr>
              <w:rPr>
                <w:b/>
                <w:bCs/>
                <w:lang w:eastAsia="sk-SK"/>
              </w:rPr>
            </w:pPr>
            <w:r w:rsidRPr="0040341A">
              <w:rPr>
                <w:b/>
                <w:bCs/>
                <w:lang w:eastAsia="sk-SK"/>
              </w:rPr>
              <w:t>Financovanie zabezpečené v rozpočte</w:t>
            </w:r>
          </w:p>
        </w:tc>
        <w:tc>
          <w:tcPr>
            <w:tcW w:w="1267" w:type="dxa"/>
            <w:shd w:val="clear" w:color="auto" w:fill="C0C0C0"/>
            <w:noWrap/>
            <w:vAlign w:val="center"/>
          </w:tcPr>
          <w:p w14:paraId="21BAB65D" w14:textId="77777777" w:rsidR="00244374" w:rsidRPr="0040341A" w:rsidRDefault="00244374" w:rsidP="00244374">
            <w:pPr>
              <w:jc w:val="right"/>
              <w:rPr>
                <w:b/>
                <w:bCs/>
                <w:lang w:eastAsia="sk-SK"/>
              </w:rPr>
            </w:pPr>
            <w:r w:rsidRPr="0040341A">
              <w:rPr>
                <w:b/>
                <w:bCs/>
                <w:lang w:eastAsia="sk-SK"/>
              </w:rPr>
              <w:t>1 110 178</w:t>
            </w:r>
          </w:p>
        </w:tc>
        <w:tc>
          <w:tcPr>
            <w:tcW w:w="1267" w:type="dxa"/>
            <w:shd w:val="clear" w:color="auto" w:fill="C0C0C0"/>
            <w:noWrap/>
            <w:vAlign w:val="center"/>
          </w:tcPr>
          <w:p w14:paraId="12F2DBDD" w14:textId="77777777" w:rsidR="00244374" w:rsidRPr="0040341A" w:rsidRDefault="00244374" w:rsidP="00244374">
            <w:pPr>
              <w:jc w:val="right"/>
              <w:rPr>
                <w:b/>
                <w:bCs/>
                <w:lang w:eastAsia="sk-SK"/>
              </w:rPr>
            </w:pPr>
            <w:r w:rsidRPr="0040341A">
              <w:rPr>
                <w:b/>
                <w:bCs/>
                <w:lang w:eastAsia="sk-SK"/>
              </w:rPr>
              <w:t>1 110 178</w:t>
            </w:r>
          </w:p>
        </w:tc>
        <w:tc>
          <w:tcPr>
            <w:tcW w:w="1267" w:type="dxa"/>
            <w:shd w:val="clear" w:color="auto" w:fill="C0C0C0"/>
            <w:noWrap/>
            <w:vAlign w:val="center"/>
          </w:tcPr>
          <w:p w14:paraId="09E96B1B" w14:textId="77777777" w:rsidR="00244374" w:rsidRPr="0040341A" w:rsidRDefault="00244374" w:rsidP="00244374">
            <w:pPr>
              <w:jc w:val="right"/>
              <w:rPr>
                <w:b/>
                <w:bCs/>
                <w:lang w:eastAsia="sk-SK"/>
              </w:rPr>
            </w:pPr>
            <w:r w:rsidRPr="0040341A">
              <w:rPr>
                <w:b/>
                <w:bCs/>
                <w:lang w:eastAsia="sk-SK"/>
              </w:rPr>
              <w:t>1 110 178</w:t>
            </w:r>
          </w:p>
        </w:tc>
        <w:tc>
          <w:tcPr>
            <w:tcW w:w="1267" w:type="dxa"/>
            <w:shd w:val="clear" w:color="auto" w:fill="C0C0C0"/>
            <w:noWrap/>
            <w:vAlign w:val="center"/>
          </w:tcPr>
          <w:p w14:paraId="5ABE98AA" w14:textId="77777777" w:rsidR="00244374" w:rsidRPr="0040341A" w:rsidRDefault="00244374" w:rsidP="00244374">
            <w:pPr>
              <w:jc w:val="right"/>
              <w:rPr>
                <w:b/>
                <w:bCs/>
                <w:lang w:eastAsia="sk-SK"/>
              </w:rPr>
            </w:pPr>
            <w:r w:rsidRPr="0040341A">
              <w:rPr>
                <w:b/>
                <w:bCs/>
                <w:lang w:eastAsia="sk-SK"/>
              </w:rPr>
              <w:t>1 110 178</w:t>
            </w:r>
          </w:p>
        </w:tc>
      </w:tr>
      <w:tr w:rsidR="00244374" w:rsidRPr="0040341A" w14:paraId="76540729" w14:textId="77777777" w:rsidTr="00244374">
        <w:trPr>
          <w:trHeight w:val="70"/>
          <w:jc w:val="center"/>
        </w:trPr>
        <w:tc>
          <w:tcPr>
            <w:tcW w:w="4661" w:type="dxa"/>
            <w:noWrap/>
            <w:vAlign w:val="center"/>
          </w:tcPr>
          <w:p w14:paraId="0730B365" w14:textId="77777777" w:rsidR="00244374" w:rsidRPr="0040341A" w:rsidRDefault="00244374" w:rsidP="00244374">
            <w:pPr>
              <w:rPr>
                <w:lang w:eastAsia="sk-SK"/>
              </w:rPr>
            </w:pPr>
            <w:r w:rsidRPr="0040341A">
              <w:rPr>
                <w:lang w:eastAsia="sk-SK"/>
              </w:rPr>
              <w:t xml:space="preserve">v tom: MIRRI SR </w:t>
            </w:r>
          </w:p>
        </w:tc>
        <w:tc>
          <w:tcPr>
            <w:tcW w:w="1267" w:type="dxa"/>
            <w:noWrap/>
            <w:vAlign w:val="center"/>
          </w:tcPr>
          <w:p w14:paraId="725EDBD1" w14:textId="77777777" w:rsidR="00244374" w:rsidRPr="0040341A" w:rsidRDefault="00244374" w:rsidP="00244374">
            <w:pPr>
              <w:jc w:val="right"/>
              <w:rPr>
                <w:lang w:eastAsia="sk-SK"/>
              </w:rPr>
            </w:pPr>
            <w:r w:rsidRPr="0040341A">
              <w:rPr>
                <w:lang w:eastAsia="sk-SK"/>
              </w:rPr>
              <w:t>1 110 178</w:t>
            </w:r>
          </w:p>
        </w:tc>
        <w:tc>
          <w:tcPr>
            <w:tcW w:w="1267" w:type="dxa"/>
            <w:noWrap/>
            <w:vAlign w:val="center"/>
          </w:tcPr>
          <w:p w14:paraId="3C23CE9F" w14:textId="77777777" w:rsidR="00244374" w:rsidRPr="0040341A" w:rsidRDefault="00244374" w:rsidP="00244374">
            <w:pPr>
              <w:jc w:val="right"/>
              <w:rPr>
                <w:lang w:eastAsia="sk-SK"/>
              </w:rPr>
            </w:pPr>
            <w:r w:rsidRPr="0040341A">
              <w:rPr>
                <w:lang w:eastAsia="sk-SK"/>
              </w:rPr>
              <w:t>1 110 178</w:t>
            </w:r>
          </w:p>
        </w:tc>
        <w:tc>
          <w:tcPr>
            <w:tcW w:w="1267" w:type="dxa"/>
            <w:noWrap/>
            <w:vAlign w:val="center"/>
          </w:tcPr>
          <w:p w14:paraId="44BA809B" w14:textId="77777777" w:rsidR="00244374" w:rsidRPr="0040341A" w:rsidRDefault="00244374" w:rsidP="00244374">
            <w:pPr>
              <w:jc w:val="right"/>
              <w:rPr>
                <w:lang w:eastAsia="sk-SK"/>
              </w:rPr>
            </w:pPr>
            <w:r w:rsidRPr="0040341A">
              <w:rPr>
                <w:lang w:eastAsia="sk-SK"/>
              </w:rPr>
              <w:t>1 110 178</w:t>
            </w:r>
          </w:p>
        </w:tc>
        <w:tc>
          <w:tcPr>
            <w:tcW w:w="1267" w:type="dxa"/>
            <w:noWrap/>
            <w:vAlign w:val="center"/>
          </w:tcPr>
          <w:p w14:paraId="41E481CA" w14:textId="77777777" w:rsidR="00244374" w:rsidRPr="0040341A" w:rsidRDefault="00244374" w:rsidP="00244374">
            <w:pPr>
              <w:jc w:val="right"/>
              <w:rPr>
                <w:lang w:eastAsia="sk-SK"/>
              </w:rPr>
            </w:pPr>
            <w:r w:rsidRPr="0040341A">
              <w:rPr>
                <w:lang w:eastAsia="sk-SK"/>
              </w:rPr>
              <w:t>1 110 178</w:t>
            </w:r>
          </w:p>
        </w:tc>
      </w:tr>
      <w:tr w:rsidR="00244374" w:rsidRPr="0040341A" w14:paraId="7AF46424" w14:textId="77777777" w:rsidTr="00244374">
        <w:trPr>
          <w:trHeight w:val="70"/>
          <w:jc w:val="center"/>
        </w:trPr>
        <w:tc>
          <w:tcPr>
            <w:tcW w:w="4661" w:type="dxa"/>
            <w:shd w:val="clear" w:color="auto" w:fill="BFBFBF" w:themeFill="background1" w:themeFillShade="BF"/>
            <w:noWrap/>
            <w:vAlign w:val="center"/>
          </w:tcPr>
          <w:p w14:paraId="10A39580" w14:textId="77777777" w:rsidR="00244374" w:rsidRPr="0040341A" w:rsidRDefault="00244374" w:rsidP="00244374">
            <w:pPr>
              <w:rPr>
                <w:b/>
                <w:lang w:eastAsia="sk-SK"/>
              </w:rPr>
            </w:pPr>
            <w:r w:rsidRPr="0040341A">
              <w:rPr>
                <w:b/>
                <w:lang w:eastAsia="sk-SK"/>
              </w:rPr>
              <w:t>Iné ako rozpočtové zdroje</w:t>
            </w:r>
          </w:p>
        </w:tc>
        <w:tc>
          <w:tcPr>
            <w:tcW w:w="1267" w:type="dxa"/>
            <w:shd w:val="clear" w:color="auto" w:fill="BFBFBF" w:themeFill="background1" w:themeFillShade="BF"/>
            <w:noWrap/>
            <w:vAlign w:val="center"/>
          </w:tcPr>
          <w:p w14:paraId="6EAB0EA9"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BFBFBF" w:themeFill="background1" w:themeFillShade="BF"/>
            <w:noWrap/>
            <w:vAlign w:val="center"/>
          </w:tcPr>
          <w:p w14:paraId="335E6E52"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BFBFBF" w:themeFill="background1" w:themeFillShade="BF"/>
            <w:noWrap/>
            <w:vAlign w:val="center"/>
          </w:tcPr>
          <w:p w14:paraId="48BAFC42"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BFBFBF" w:themeFill="background1" w:themeFillShade="BF"/>
            <w:noWrap/>
            <w:vAlign w:val="center"/>
          </w:tcPr>
          <w:p w14:paraId="486C39DB" w14:textId="77777777" w:rsidR="00244374" w:rsidRPr="0040341A" w:rsidRDefault="00244374" w:rsidP="00244374">
            <w:pPr>
              <w:jc w:val="right"/>
              <w:rPr>
                <w:b/>
                <w:bCs/>
                <w:lang w:eastAsia="sk-SK"/>
              </w:rPr>
            </w:pPr>
            <w:r w:rsidRPr="0040341A">
              <w:rPr>
                <w:b/>
                <w:bCs/>
                <w:lang w:eastAsia="sk-SK"/>
              </w:rPr>
              <w:t>0</w:t>
            </w:r>
          </w:p>
        </w:tc>
      </w:tr>
      <w:tr w:rsidR="00244374" w:rsidRPr="0040341A" w14:paraId="230ED9EE" w14:textId="77777777" w:rsidTr="00244374">
        <w:trPr>
          <w:trHeight w:val="70"/>
          <w:jc w:val="center"/>
        </w:trPr>
        <w:tc>
          <w:tcPr>
            <w:tcW w:w="4661" w:type="dxa"/>
            <w:shd w:val="clear" w:color="auto" w:fill="A6A6A6" w:themeFill="background1" w:themeFillShade="A6"/>
            <w:noWrap/>
            <w:vAlign w:val="center"/>
          </w:tcPr>
          <w:p w14:paraId="0CB2B444" w14:textId="77777777" w:rsidR="00244374" w:rsidRPr="0040341A" w:rsidRDefault="00244374" w:rsidP="00244374">
            <w:pPr>
              <w:rPr>
                <w:b/>
                <w:bCs/>
                <w:lang w:eastAsia="sk-SK"/>
              </w:rPr>
            </w:pPr>
            <w:r w:rsidRPr="0040341A">
              <w:rPr>
                <w:b/>
                <w:bCs/>
                <w:lang w:eastAsia="sk-SK"/>
              </w:rPr>
              <w:t>Rozpočtovo nekrytý vplyv / úspora</w:t>
            </w:r>
          </w:p>
        </w:tc>
        <w:tc>
          <w:tcPr>
            <w:tcW w:w="1267" w:type="dxa"/>
            <w:shd w:val="clear" w:color="auto" w:fill="A6A6A6" w:themeFill="background1" w:themeFillShade="A6"/>
            <w:noWrap/>
            <w:vAlign w:val="center"/>
          </w:tcPr>
          <w:p w14:paraId="3EBA397E"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A6A6A6" w:themeFill="background1" w:themeFillShade="A6"/>
            <w:noWrap/>
            <w:vAlign w:val="center"/>
          </w:tcPr>
          <w:p w14:paraId="093C77BC"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A6A6A6" w:themeFill="background1" w:themeFillShade="A6"/>
            <w:noWrap/>
            <w:vAlign w:val="center"/>
          </w:tcPr>
          <w:p w14:paraId="6FCA1C6B" w14:textId="77777777" w:rsidR="00244374" w:rsidRPr="0040341A" w:rsidRDefault="00244374" w:rsidP="00244374">
            <w:pPr>
              <w:jc w:val="right"/>
              <w:rPr>
                <w:b/>
                <w:bCs/>
                <w:lang w:eastAsia="sk-SK"/>
              </w:rPr>
            </w:pPr>
            <w:r w:rsidRPr="0040341A">
              <w:rPr>
                <w:b/>
                <w:bCs/>
                <w:lang w:eastAsia="sk-SK"/>
              </w:rPr>
              <w:t>0</w:t>
            </w:r>
          </w:p>
        </w:tc>
        <w:tc>
          <w:tcPr>
            <w:tcW w:w="1267" w:type="dxa"/>
            <w:shd w:val="clear" w:color="auto" w:fill="A6A6A6" w:themeFill="background1" w:themeFillShade="A6"/>
            <w:noWrap/>
            <w:vAlign w:val="center"/>
          </w:tcPr>
          <w:p w14:paraId="37B12CC2" w14:textId="77777777" w:rsidR="00244374" w:rsidRPr="0040341A" w:rsidRDefault="00244374" w:rsidP="00244374">
            <w:pPr>
              <w:jc w:val="right"/>
              <w:rPr>
                <w:b/>
                <w:bCs/>
                <w:lang w:eastAsia="sk-SK"/>
              </w:rPr>
            </w:pPr>
            <w:r w:rsidRPr="0040341A">
              <w:rPr>
                <w:b/>
                <w:bCs/>
                <w:lang w:eastAsia="sk-SK"/>
              </w:rPr>
              <w:t>0</w:t>
            </w:r>
          </w:p>
        </w:tc>
      </w:tr>
    </w:tbl>
    <w:p w14:paraId="0BCB55EF" w14:textId="77777777" w:rsidR="00244374" w:rsidRPr="0040341A" w:rsidRDefault="00244374" w:rsidP="00244374">
      <w:pPr>
        <w:rPr>
          <w:b/>
          <w:bCs/>
          <w:lang w:eastAsia="sk-SK"/>
        </w:rPr>
      </w:pPr>
      <w:r w:rsidRPr="0040341A">
        <w:rPr>
          <w:b/>
          <w:bCs/>
          <w:lang w:eastAsia="sk-SK"/>
        </w:rPr>
        <w:br w:type="page"/>
        <w:t xml:space="preserve">2.1.1. Financovanie návrhu - Návrh </w:t>
      </w:r>
      <w:proofErr w:type="gramStart"/>
      <w:r w:rsidRPr="0040341A">
        <w:rPr>
          <w:b/>
          <w:bCs/>
          <w:lang w:eastAsia="sk-SK"/>
        </w:rPr>
        <w:t>na</w:t>
      </w:r>
      <w:proofErr w:type="gramEnd"/>
      <w:r w:rsidRPr="0040341A">
        <w:rPr>
          <w:b/>
          <w:bCs/>
          <w:lang w:eastAsia="sk-SK"/>
        </w:rPr>
        <w:t xml:space="preserve"> riešenie úbytku príjmov alebo zvýšených výdavkov podľa § 33 ods. </w:t>
      </w:r>
      <w:proofErr w:type="gramStart"/>
      <w:r w:rsidRPr="0040341A">
        <w:rPr>
          <w:b/>
          <w:bCs/>
          <w:lang w:eastAsia="sk-SK"/>
        </w:rPr>
        <w:t>1</w:t>
      </w:r>
      <w:proofErr w:type="gramEnd"/>
      <w:r w:rsidRPr="0040341A">
        <w:rPr>
          <w:b/>
          <w:bCs/>
          <w:lang w:eastAsia="sk-SK"/>
        </w:rPr>
        <w:t xml:space="preserve"> zákona č. 523/2004 Z. z. o rozpočtových pravidlách verejnej správy:</w:t>
      </w:r>
    </w:p>
    <w:p w14:paraId="12AC5678" w14:textId="77777777" w:rsidR="00244374" w:rsidRPr="0040341A" w:rsidRDefault="00244374" w:rsidP="00244374">
      <w:pPr>
        <w:jc w:val="both"/>
        <w:rPr>
          <w:b/>
          <w:bCs/>
          <w:sz w:val="12"/>
          <w:lang w:eastAsia="sk-SK"/>
        </w:rPr>
      </w:pPr>
    </w:p>
    <w:p w14:paraId="787DE63F" w14:textId="77777777" w:rsidR="00244374" w:rsidRPr="0040341A" w:rsidRDefault="00244374" w:rsidP="00244374">
      <w:pPr>
        <w:pBdr>
          <w:top w:val="single" w:sz="4" w:space="1" w:color="auto"/>
          <w:left w:val="single" w:sz="4" w:space="4" w:color="auto"/>
          <w:bottom w:val="single" w:sz="4" w:space="0" w:color="auto"/>
          <w:right w:val="single" w:sz="4" w:space="4" w:color="auto"/>
        </w:pBdr>
        <w:jc w:val="both"/>
        <w:rPr>
          <w:b/>
          <w:bCs/>
          <w:lang w:eastAsia="sk-SK"/>
        </w:rPr>
      </w:pPr>
      <w:r w:rsidRPr="0040341A">
        <w:rPr>
          <w:bCs/>
          <w:lang w:eastAsia="sk-SK"/>
        </w:rPr>
        <w:t xml:space="preserve">Finančné prostriedky zo štátneho rozpočtu pre kapitolu Ministerstva investícií, regionálneho rozvoja a informatizácie Slovenskej republiky vo výške 1 110 178 € sú pre rok </w:t>
      </w:r>
      <w:proofErr w:type="gramStart"/>
      <w:r w:rsidRPr="0040341A">
        <w:rPr>
          <w:bCs/>
          <w:lang w:eastAsia="sk-SK"/>
        </w:rPr>
        <w:t xml:space="preserve">2023 </w:t>
      </w:r>
      <w:r w:rsidRPr="0040341A">
        <w:rPr>
          <w:lang w:eastAsia="sk-SK"/>
        </w:rPr>
        <w:t xml:space="preserve"> rozpočtovo</w:t>
      </w:r>
      <w:proofErr w:type="gramEnd"/>
      <w:r w:rsidRPr="0040341A">
        <w:rPr>
          <w:lang w:eastAsia="sk-SK"/>
        </w:rPr>
        <w:t xml:space="preserve"> </w:t>
      </w:r>
      <w:r w:rsidRPr="0040341A">
        <w:rPr>
          <w:bCs/>
          <w:lang w:eastAsia="sk-SK"/>
        </w:rPr>
        <w:t>zabezpečené a aj s výhľadom na nasledujúce tri roky. Finančné prostriedky</w:t>
      </w:r>
      <w:r w:rsidRPr="0040341A">
        <w:rPr>
          <w:lang w:eastAsia="sk-SK"/>
        </w:rPr>
        <w:t xml:space="preserve"> </w:t>
      </w:r>
      <w:r w:rsidRPr="0040341A">
        <w:rPr>
          <w:bCs/>
          <w:lang w:eastAsia="sk-SK"/>
        </w:rPr>
        <w:t xml:space="preserve">pre každý z uvedených rokov súvisia s potrebou zabezpečenia podpory projektov s pridanou hodnotou pre regióny </w:t>
      </w:r>
      <w:proofErr w:type="gramStart"/>
      <w:r w:rsidRPr="0040341A">
        <w:rPr>
          <w:bCs/>
          <w:lang w:eastAsia="sk-SK"/>
        </w:rPr>
        <w:t>a</w:t>
      </w:r>
      <w:proofErr w:type="gramEnd"/>
      <w:r w:rsidRPr="0040341A">
        <w:rPr>
          <w:bCs/>
          <w:lang w:eastAsia="sk-SK"/>
        </w:rPr>
        <w:t xml:space="preserve"> ich lokálne ekonomiky. Po poskytnutí rozpočtovo zabezpečených finančných prostriedkov môžeme očakávať pozitívne dopady najmä </w:t>
      </w:r>
      <w:proofErr w:type="gramStart"/>
      <w:r w:rsidRPr="0040341A">
        <w:rPr>
          <w:bCs/>
          <w:lang w:eastAsia="sk-SK"/>
        </w:rPr>
        <w:t>na</w:t>
      </w:r>
      <w:proofErr w:type="gramEnd"/>
      <w:r w:rsidRPr="0040341A">
        <w:rPr>
          <w:bCs/>
          <w:lang w:eastAsia="sk-SK"/>
        </w:rPr>
        <w:t xml:space="preserve"> strane príjmov štátneho rozpočtu plynúcich z tvorby nových pracovných miest a podpory realizácie investícií z podnikateľskej sféry. Pôjde predovšetkým o príjmy z priamych daní a nepriamych daní. Zároveň v nadväznosti </w:t>
      </w:r>
      <w:proofErr w:type="gramStart"/>
      <w:r w:rsidRPr="0040341A">
        <w:rPr>
          <w:bCs/>
          <w:lang w:eastAsia="sk-SK"/>
        </w:rPr>
        <w:t>na</w:t>
      </w:r>
      <w:proofErr w:type="gramEnd"/>
      <w:r w:rsidRPr="0040341A">
        <w:rPr>
          <w:bCs/>
          <w:lang w:eastAsia="sk-SK"/>
        </w:rPr>
        <w:t xml:space="preserve"> nárast zamestnanosti súvisiacej s financovaním projektov možno očakávať pozitívny vplyv </w:t>
      </w:r>
      <w:r w:rsidRPr="0040341A">
        <w:rPr>
          <w:bCs/>
          <w:lang w:eastAsia="sk-SK"/>
        </w:rPr>
        <w:br/>
        <w:t>na rozpočet verejnej správy v podobe poklesu výdavkov na podporu sociálne odkázaných domácností v jednotlivých okresoch. Výšku príjmov v súčasnosti nie je možné vyčísliť.</w:t>
      </w:r>
    </w:p>
    <w:p w14:paraId="10F708FC" w14:textId="77777777" w:rsidR="00244374" w:rsidRPr="0040341A" w:rsidRDefault="00244374" w:rsidP="00244374">
      <w:pPr>
        <w:rPr>
          <w:b/>
          <w:bCs/>
          <w:lang w:eastAsia="sk-SK"/>
        </w:rPr>
      </w:pPr>
      <w:r w:rsidRPr="0040341A">
        <w:rPr>
          <w:b/>
          <w:bCs/>
          <w:lang w:eastAsia="sk-SK"/>
        </w:rPr>
        <w:t>2.2. Popis a charakteristika návrhu</w:t>
      </w:r>
    </w:p>
    <w:p w14:paraId="70205607" w14:textId="77777777" w:rsidR="00244374" w:rsidRPr="0040341A" w:rsidRDefault="00244374" w:rsidP="00244374">
      <w:pPr>
        <w:rPr>
          <w:lang w:eastAsia="sk-SK"/>
        </w:rPr>
      </w:pPr>
    </w:p>
    <w:p w14:paraId="23914A5F" w14:textId="77777777" w:rsidR="00244374" w:rsidRPr="0040341A" w:rsidRDefault="00244374" w:rsidP="00244374">
      <w:pPr>
        <w:jc w:val="both"/>
        <w:rPr>
          <w:b/>
          <w:bCs/>
          <w:lang w:eastAsia="sk-SK"/>
        </w:rPr>
      </w:pPr>
      <w:r w:rsidRPr="0040341A">
        <w:rPr>
          <w:b/>
          <w:bCs/>
          <w:lang w:eastAsia="sk-SK"/>
        </w:rPr>
        <w:t>2.2.1. Popis návrhu:</w:t>
      </w:r>
    </w:p>
    <w:p w14:paraId="17DEF3DC" w14:textId="77777777" w:rsidR="00244374" w:rsidRPr="0040341A" w:rsidRDefault="00244374" w:rsidP="00244374">
      <w:pPr>
        <w:jc w:val="both"/>
        <w:rPr>
          <w:b/>
          <w:bCs/>
          <w:lang w:eastAsia="sk-SK"/>
        </w:rPr>
      </w:pPr>
    </w:p>
    <w:p w14:paraId="5F3DEE20" w14:textId="77777777" w:rsidR="00244374" w:rsidRPr="0040341A" w:rsidRDefault="00244374" w:rsidP="00244374">
      <w:pPr>
        <w:tabs>
          <w:tab w:val="num" w:pos="1080"/>
        </w:tabs>
        <w:ind w:firstLine="567"/>
        <w:jc w:val="both"/>
        <w:rPr>
          <w:lang w:eastAsia="sk-SK"/>
        </w:rPr>
      </w:pPr>
      <w:r w:rsidRPr="0040341A">
        <w:rPr>
          <w:lang w:eastAsia="sk-SK"/>
        </w:rPr>
        <w:t xml:space="preserve">Návrhom </w:t>
      </w:r>
      <w:proofErr w:type="gramStart"/>
      <w:r w:rsidRPr="0040341A">
        <w:rPr>
          <w:lang w:eastAsia="sk-SK"/>
        </w:rPr>
        <w:t>sa</w:t>
      </w:r>
      <w:proofErr w:type="gramEnd"/>
      <w:r w:rsidRPr="0040341A">
        <w:rPr>
          <w:lang w:eastAsia="sk-SK"/>
        </w:rPr>
        <w:t xml:space="preserve"> kontinuálne pokračuje v poskytovaní podpory regionálneho rozvoja </w:t>
      </w:r>
      <w:r w:rsidRPr="0040341A">
        <w:rPr>
          <w:lang w:eastAsia="sk-SK"/>
        </w:rPr>
        <w:br/>
        <w:t xml:space="preserve">na celom území Slovenskej republiky pre všetky oprávnené subjekty územnej spolupráce.  </w:t>
      </w:r>
    </w:p>
    <w:p w14:paraId="65E52C19" w14:textId="77777777" w:rsidR="00244374" w:rsidRPr="0040341A" w:rsidRDefault="00244374" w:rsidP="00244374">
      <w:pPr>
        <w:tabs>
          <w:tab w:val="num" w:pos="1080"/>
        </w:tabs>
        <w:ind w:firstLine="567"/>
        <w:jc w:val="both"/>
        <w:rPr>
          <w:lang w:eastAsia="sk-SK"/>
        </w:rPr>
      </w:pPr>
      <w:r w:rsidRPr="0040341A">
        <w:rPr>
          <w:lang w:eastAsia="sk-SK"/>
        </w:rPr>
        <w:t xml:space="preserve">Návrhom </w:t>
      </w:r>
      <w:proofErr w:type="gramStart"/>
      <w:r w:rsidRPr="0040341A">
        <w:rPr>
          <w:lang w:eastAsia="sk-SK"/>
        </w:rPr>
        <w:t>sa</w:t>
      </w:r>
      <w:proofErr w:type="gramEnd"/>
      <w:r w:rsidRPr="0040341A">
        <w:rPr>
          <w:lang w:eastAsia="sk-SK"/>
        </w:rPr>
        <w:t xml:space="preserve"> taktiež umožňuje navýšenie disponibilných finančných prostriedkov vyčlenených na výzvu a predĺženie lehoty na predkladanie žiadostí o dotáciu, ak táto zmena nemá vplyv na zmenu podmienok poskytnutia dotácie. Po naplnení zákonných podmienok môže žiadateľ </w:t>
      </w:r>
      <w:proofErr w:type="gramStart"/>
      <w:r w:rsidRPr="0040341A">
        <w:rPr>
          <w:lang w:eastAsia="sk-SK"/>
        </w:rPr>
        <w:t>na</w:t>
      </w:r>
      <w:proofErr w:type="gramEnd"/>
      <w:r w:rsidRPr="0040341A">
        <w:rPr>
          <w:lang w:eastAsia="sk-SK"/>
        </w:rPr>
        <w:t xml:space="preserve"> základe tohto návrhu zákona žiadať o dodatočnú dotáciu. </w:t>
      </w:r>
    </w:p>
    <w:p w14:paraId="23D99932" w14:textId="77777777" w:rsidR="00244374" w:rsidRPr="0040341A" w:rsidRDefault="00244374" w:rsidP="00244374">
      <w:pPr>
        <w:rPr>
          <w:lang w:eastAsia="sk-SK"/>
        </w:rPr>
      </w:pPr>
    </w:p>
    <w:p w14:paraId="6DD6CC08" w14:textId="77777777" w:rsidR="00244374" w:rsidRPr="0040341A" w:rsidRDefault="00244374" w:rsidP="00244374">
      <w:pPr>
        <w:rPr>
          <w:lang w:eastAsia="sk-SK"/>
        </w:rPr>
      </w:pPr>
      <w:r w:rsidRPr="0040341A">
        <w:rPr>
          <w:lang w:eastAsia="sk-SK"/>
        </w:rPr>
        <w:t>.......................................................................................................................................................</w:t>
      </w:r>
    </w:p>
    <w:p w14:paraId="645E49F0" w14:textId="77777777" w:rsidR="00244374" w:rsidRPr="0040341A" w:rsidRDefault="00244374" w:rsidP="00244374">
      <w:pPr>
        <w:rPr>
          <w:lang w:eastAsia="sk-SK"/>
        </w:rPr>
      </w:pPr>
    </w:p>
    <w:p w14:paraId="10475FEC" w14:textId="77777777" w:rsidR="00244374" w:rsidRPr="0040341A" w:rsidRDefault="00244374" w:rsidP="00244374">
      <w:pPr>
        <w:rPr>
          <w:b/>
          <w:bCs/>
          <w:lang w:eastAsia="sk-SK"/>
        </w:rPr>
      </w:pPr>
      <w:r w:rsidRPr="0040341A">
        <w:rPr>
          <w:b/>
          <w:bCs/>
          <w:lang w:eastAsia="sk-SK"/>
        </w:rPr>
        <w:t>2.2.2. Charakteristika návrhu:</w:t>
      </w:r>
    </w:p>
    <w:p w14:paraId="1D378B25" w14:textId="77777777" w:rsidR="00244374" w:rsidRPr="0040341A" w:rsidRDefault="00244374" w:rsidP="00244374">
      <w:pPr>
        <w:rPr>
          <w:lang w:eastAsia="sk-SK"/>
        </w:rPr>
      </w:pPr>
    </w:p>
    <w:p w14:paraId="76E1DCEF" w14:textId="77777777" w:rsidR="00244374" w:rsidRPr="0040341A" w:rsidRDefault="00244374" w:rsidP="00244374">
      <w:pPr>
        <w:rPr>
          <w:lang w:eastAsia="sk-SK"/>
        </w:rPr>
      </w:pPr>
      <w:r w:rsidRPr="0040341A">
        <w:rPr>
          <w:b/>
          <w:bdr w:val="single" w:sz="4" w:space="0" w:color="auto"/>
          <w:lang w:eastAsia="sk-SK"/>
        </w:rPr>
        <w:t xml:space="preserve">     </w:t>
      </w:r>
      <w:r w:rsidRPr="0040341A">
        <w:rPr>
          <w:b/>
          <w:lang w:eastAsia="sk-SK"/>
        </w:rPr>
        <w:t xml:space="preserve">  </w:t>
      </w:r>
      <w:proofErr w:type="gramStart"/>
      <w:r w:rsidRPr="0040341A">
        <w:rPr>
          <w:lang w:eastAsia="sk-SK"/>
        </w:rPr>
        <w:t>zmena</w:t>
      </w:r>
      <w:proofErr w:type="gramEnd"/>
      <w:r w:rsidRPr="0040341A">
        <w:rPr>
          <w:lang w:eastAsia="sk-SK"/>
        </w:rPr>
        <w:t xml:space="preserve"> sadzby</w:t>
      </w:r>
    </w:p>
    <w:p w14:paraId="51E5BC80" w14:textId="77777777" w:rsidR="00244374" w:rsidRPr="0040341A" w:rsidRDefault="00244374" w:rsidP="00244374">
      <w:pPr>
        <w:rPr>
          <w:lang w:eastAsia="sk-SK"/>
        </w:rPr>
      </w:pPr>
      <w:r w:rsidRPr="0040341A">
        <w:rPr>
          <w:bdr w:val="single" w:sz="4" w:space="0" w:color="auto"/>
          <w:lang w:eastAsia="sk-SK"/>
        </w:rPr>
        <w:t xml:space="preserve">     </w:t>
      </w:r>
      <w:r w:rsidRPr="0040341A">
        <w:rPr>
          <w:lang w:eastAsia="sk-SK"/>
        </w:rPr>
        <w:t xml:space="preserve">  </w:t>
      </w:r>
      <w:proofErr w:type="gramStart"/>
      <w:r w:rsidRPr="0040341A">
        <w:rPr>
          <w:lang w:eastAsia="sk-SK"/>
        </w:rPr>
        <w:t>zmena</w:t>
      </w:r>
      <w:proofErr w:type="gramEnd"/>
      <w:r w:rsidRPr="0040341A">
        <w:rPr>
          <w:lang w:eastAsia="sk-SK"/>
        </w:rPr>
        <w:t xml:space="preserve"> v nároku</w:t>
      </w:r>
    </w:p>
    <w:p w14:paraId="757D681E" w14:textId="77777777" w:rsidR="00244374" w:rsidRPr="0040341A" w:rsidRDefault="00244374" w:rsidP="00244374">
      <w:pPr>
        <w:rPr>
          <w:lang w:eastAsia="sk-SK"/>
        </w:rPr>
      </w:pPr>
      <w:r w:rsidRPr="0040341A">
        <w:rPr>
          <w:bdr w:val="single" w:sz="4" w:space="0" w:color="auto"/>
          <w:lang w:eastAsia="sk-SK"/>
        </w:rPr>
        <w:t xml:space="preserve">     </w:t>
      </w:r>
      <w:r w:rsidRPr="0040341A">
        <w:rPr>
          <w:lang w:eastAsia="sk-SK"/>
        </w:rPr>
        <w:t xml:space="preserve">  </w:t>
      </w:r>
      <w:proofErr w:type="gramStart"/>
      <w:r w:rsidRPr="0040341A">
        <w:rPr>
          <w:lang w:eastAsia="sk-SK"/>
        </w:rPr>
        <w:t>nová</w:t>
      </w:r>
      <w:proofErr w:type="gramEnd"/>
      <w:r w:rsidRPr="0040341A">
        <w:rPr>
          <w:lang w:eastAsia="sk-SK"/>
        </w:rPr>
        <w:t xml:space="preserve"> služba alebo nariadenie (alebo ich zrušenie)</w:t>
      </w:r>
    </w:p>
    <w:p w14:paraId="67103D22" w14:textId="77777777" w:rsidR="00244374" w:rsidRPr="0040341A" w:rsidRDefault="00244374" w:rsidP="00244374">
      <w:pPr>
        <w:rPr>
          <w:lang w:eastAsia="sk-SK"/>
        </w:rPr>
      </w:pPr>
      <w:r w:rsidRPr="0040341A">
        <w:rPr>
          <w:noProof/>
          <w:lang w:val="sk-SK" w:eastAsia="sk-SK"/>
        </w:rPr>
        <mc:AlternateContent>
          <mc:Choice Requires="wps">
            <w:drawing>
              <wp:anchor distT="0" distB="0" distL="114300" distR="114300" simplePos="0" relativeHeight="251660288" behindDoc="0" locked="0" layoutInCell="1" allowOverlap="1" wp14:anchorId="2B8FCC6F" wp14:editId="46A28847">
                <wp:simplePos x="0" y="0"/>
                <wp:positionH relativeFrom="margin">
                  <wp:align>left</wp:align>
                </wp:positionH>
                <wp:positionV relativeFrom="paragraph">
                  <wp:posOffset>159385</wp:posOffset>
                </wp:positionV>
                <wp:extent cx="234950" cy="196850"/>
                <wp:effectExtent l="0" t="0" r="31750" b="31750"/>
                <wp:wrapNone/>
                <wp:docPr id="2" name="Rovná spojnica 2"/>
                <wp:cNvGraphicFramePr/>
                <a:graphic xmlns:a="http://schemas.openxmlformats.org/drawingml/2006/main">
                  <a:graphicData uri="http://schemas.microsoft.com/office/word/2010/wordprocessingShape">
                    <wps:wsp>
                      <wps:cNvCnPr/>
                      <wps:spPr>
                        <a:xfrm flipH="1">
                          <a:off x="0" y="0"/>
                          <a:ext cx="234950" cy="196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F4BCC" id="Rovná spojnica 2" o:spid="_x0000_s1026" style="position:absolute;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5pt" to="1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" strokecolor="black [3040]">
                <w10:wrap anchorx="margin"/>
              </v:line>
            </w:pict>
          </mc:Fallback>
        </mc:AlternateContent>
      </w:r>
      <w:r w:rsidRPr="0040341A">
        <w:rPr>
          <w:bdr w:val="single" w:sz="4" w:space="0" w:color="auto"/>
          <w:lang w:eastAsia="sk-SK"/>
        </w:rPr>
        <w:t xml:space="preserve">     </w:t>
      </w:r>
      <w:r w:rsidRPr="0040341A">
        <w:rPr>
          <w:lang w:eastAsia="sk-SK"/>
        </w:rPr>
        <w:t xml:space="preserve">  </w:t>
      </w:r>
      <w:proofErr w:type="gramStart"/>
      <w:r w:rsidRPr="0040341A">
        <w:rPr>
          <w:lang w:eastAsia="sk-SK"/>
        </w:rPr>
        <w:t>kombinovaný</w:t>
      </w:r>
      <w:proofErr w:type="gramEnd"/>
      <w:r w:rsidRPr="0040341A">
        <w:rPr>
          <w:lang w:eastAsia="sk-SK"/>
        </w:rPr>
        <w:t xml:space="preserve"> návrh</w:t>
      </w:r>
    </w:p>
    <w:p w14:paraId="75063377" w14:textId="77777777" w:rsidR="00244374" w:rsidRPr="0040341A" w:rsidRDefault="00244374" w:rsidP="00244374">
      <w:pPr>
        <w:rPr>
          <w:lang w:eastAsia="sk-SK"/>
        </w:rPr>
      </w:pPr>
      <w:r w:rsidRPr="0040341A">
        <w:rPr>
          <w:bdr w:val="single" w:sz="4" w:space="0" w:color="auto"/>
          <w:lang w:eastAsia="sk-SK"/>
        </w:rPr>
        <w:t xml:space="preserve">   </w:t>
      </w:r>
      <w:r w:rsidRPr="0040341A">
        <w:rPr>
          <w:noProof/>
          <w:lang w:val="sk-SK" w:eastAsia="sk-SK"/>
        </w:rPr>
        <mc:AlternateContent>
          <mc:Choice Requires="wps">
            <w:drawing>
              <wp:anchor distT="0" distB="0" distL="114300" distR="114300" simplePos="0" relativeHeight="251659264" behindDoc="0" locked="0" layoutInCell="1" allowOverlap="1" wp14:anchorId="6452F058" wp14:editId="5CDB5707">
                <wp:simplePos x="0" y="0"/>
                <wp:positionH relativeFrom="column">
                  <wp:posOffset>0</wp:posOffset>
                </wp:positionH>
                <wp:positionV relativeFrom="paragraph">
                  <wp:posOffset>-635</wp:posOffset>
                </wp:positionV>
                <wp:extent cx="180975" cy="152400"/>
                <wp:effectExtent l="0" t="0" r="28575" b="19050"/>
                <wp:wrapNone/>
                <wp:docPr id="3" name="Rovná spojnica 3"/>
                <wp:cNvGraphicFramePr/>
                <a:graphic xmlns:a="http://schemas.openxmlformats.org/drawingml/2006/main">
                  <a:graphicData uri="http://schemas.microsoft.com/office/word/2010/wordprocessingShape">
                    <wps:wsp>
                      <wps:cNvCnPr/>
                      <wps:spPr>
                        <a:xfrm>
                          <a:off x="0" y="0"/>
                          <a:ext cx="180975"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30C17" id="Rovná spojnica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1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" strokecolor="black [3040]"/>
            </w:pict>
          </mc:Fallback>
        </mc:AlternateContent>
      </w:r>
      <w:r w:rsidRPr="0040341A">
        <w:rPr>
          <w:bdr w:val="single" w:sz="4" w:space="0" w:color="auto"/>
          <w:lang w:eastAsia="sk-SK"/>
        </w:rPr>
        <w:t xml:space="preserve">  </w:t>
      </w:r>
      <w:r w:rsidRPr="0040341A">
        <w:rPr>
          <w:lang w:eastAsia="sk-SK"/>
        </w:rPr>
        <w:t xml:space="preserve">  </w:t>
      </w:r>
      <w:proofErr w:type="gramStart"/>
      <w:r w:rsidRPr="0040341A">
        <w:rPr>
          <w:lang w:eastAsia="sk-SK"/>
        </w:rPr>
        <w:t>iné</w:t>
      </w:r>
      <w:proofErr w:type="gramEnd"/>
      <w:r w:rsidRPr="0040341A">
        <w:rPr>
          <w:lang w:eastAsia="sk-SK"/>
        </w:rPr>
        <w:t xml:space="preserve"> </w:t>
      </w:r>
    </w:p>
    <w:p w14:paraId="09F14E93" w14:textId="77777777" w:rsidR="00244374" w:rsidRPr="0040341A" w:rsidRDefault="00244374" w:rsidP="00244374">
      <w:pPr>
        <w:rPr>
          <w:lang w:eastAsia="sk-SK"/>
        </w:rPr>
      </w:pPr>
    </w:p>
    <w:p w14:paraId="09601813" w14:textId="77777777" w:rsidR="00244374" w:rsidRPr="0040341A" w:rsidRDefault="00244374" w:rsidP="00244374">
      <w:pPr>
        <w:rPr>
          <w:lang w:eastAsia="sk-SK"/>
        </w:rPr>
      </w:pPr>
    </w:p>
    <w:p w14:paraId="46884CFF" w14:textId="77777777" w:rsidR="00244374" w:rsidRPr="0040341A" w:rsidRDefault="00244374" w:rsidP="00244374">
      <w:pPr>
        <w:rPr>
          <w:lang w:eastAsia="sk-SK"/>
        </w:rPr>
      </w:pPr>
      <w:r w:rsidRPr="0040341A">
        <w:rPr>
          <w:b/>
          <w:bCs/>
          <w:lang w:eastAsia="sk-SK"/>
        </w:rPr>
        <w:t>2.2.3. Predpoklady vývoja objemu aktivít:</w:t>
      </w:r>
    </w:p>
    <w:p w14:paraId="75FEA009" w14:textId="77777777" w:rsidR="00244374" w:rsidRPr="0040341A" w:rsidRDefault="00244374" w:rsidP="00244374">
      <w:pPr>
        <w:rPr>
          <w:lang w:eastAsia="sk-SK"/>
        </w:rPr>
      </w:pPr>
    </w:p>
    <w:p w14:paraId="444E6B76" w14:textId="77777777" w:rsidR="00244374" w:rsidRPr="0040341A" w:rsidRDefault="00244374" w:rsidP="00244374">
      <w:pPr>
        <w:jc w:val="right"/>
        <w:rPr>
          <w:sz w:val="20"/>
          <w:szCs w:val="20"/>
          <w:lang w:eastAsia="sk-SK"/>
        </w:rPr>
      </w:pPr>
      <w:r w:rsidRPr="0040341A">
        <w:rPr>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244374" w:rsidRPr="0040341A" w14:paraId="5C988D0B" w14:textId="77777777" w:rsidTr="00244374">
        <w:trPr>
          <w:cantSplit/>
          <w:trHeight w:val="70"/>
        </w:trPr>
        <w:tc>
          <w:tcPr>
            <w:tcW w:w="4530" w:type="dxa"/>
            <w:vMerge w:val="restart"/>
            <w:shd w:val="clear" w:color="auto" w:fill="BFBFBF" w:themeFill="background1" w:themeFillShade="BF"/>
            <w:vAlign w:val="center"/>
          </w:tcPr>
          <w:p w14:paraId="0F7D60D1" w14:textId="77777777" w:rsidR="00244374" w:rsidRPr="0040341A" w:rsidRDefault="00244374" w:rsidP="00244374">
            <w:pPr>
              <w:autoSpaceDE w:val="0"/>
              <w:autoSpaceDN w:val="0"/>
              <w:adjustRightInd w:val="0"/>
              <w:jc w:val="center"/>
              <w:rPr>
                <w:b/>
                <w:bCs/>
                <w:lang w:eastAsia="sk-SK"/>
              </w:rPr>
            </w:pPr>
            <w:r w:rsidRPr="0040341A">
              <w:rPr>
                <w:b/>
                <w:bCs/>
                <w:lang w:eastAsia="sk-SK"/>
              </w:rPr>
              <w:t>Objem aktivít</w:t>
            </w:r>
          </w:p>
        </w:tc>
        <w:tc>
          <w:tcPr>
            <w:tcW w:w="1134" w:type="dxa"/>
            <w:gridSpan w:val="4"/>
            <w:shd w:val="clear" w:color="auto" w:fill="BFBFBF" w:themeFill="background1" w:themeFillShade="BF"/>
            <w:vAlign w:val="center"/>
          </w:tcPr>
          <w:p w14:paraId="57F7E853" w14:textId="77777777" w:rsidR="00244374" w:rsidRPr="0040341A" w:rsidRDefault="00244374" w:rsidP="00244374">
            <w:pPr>
              <w:autoSpaceDE w:val="0"/>
              <w:autoSpaceDN w:val="0"/>
              <w:adjustRightInd w:val="0"/>
              <w:jc w:val="center"/>
              <w:rPr>
                <w:b/>
                <w:bCs/>
                <w:lang w:eastAsia="sk-SK"/>
              </w:rPr>
            </w:pPr>
            <w:r w:rsidRPr="0040341A">
              <w:rPr>
                <w:b/>
                <w:bCs/>
                <w:lang w:eastAsia="sk-SK"/>
              </w:rPr>
              <w:t>Odhadované objemy</w:t>
            </w:r>
          </w:p>
        </w:tc>
      </w:tr>
      <w:tr w:rsidR="00244374" w:rsidRPr="0040341A" w14:paraId="32F41FDB" w14:textId="77777777" w:rsidTr="00244374">
        <w:trPr>
          <w:cantSplit/>
          <w:trHeight w:val="70"/>
        </w:trPr>
        <w:tc>
          <w:tcPr>
            <w:tcW w:w="4530" w:type="dxa"/>
            <w:vMerge/>
            <w:shd w:val="clear" w:color="auto" w:fill="BFBFBF" w:themeFill="background1" w:themeFillShade="BF"/>
          </w:tcPr>
          <w:p w14:paraId="6367D77B" w14:textId="77777777" w:rsidR="00244374" w:rsidRPr="0040341A" w:rsidRDefault="00244374" w:rsidP="00244374">
            <w:pPr>
              <w:autoSpaceDE w:val="0"/>
              <w:autoSpaceDN w:val="0"/>
              <w:adjustRightInd w:val="0"/>
              <w:jc w:val="center"/>
              <w:rPr>
                <w:b/>
                <w:bCs/>
                <w:lang w:eastAsia="sk-SK"/>
              </w:rPr>
            </w:pPr>
          </w:p>
        </w:tc>
        <w:tc>
          <w:tcPr>
            <w:tcW w:w="1134" w:type="dxa"/>
            <w:shd w:val="clear" w:color="auto" w:fill="BFBFBF" w:themeFill="background1" w:themeFillShade="BF"/>
            <w:vAlign w:val="center"/>
          </w:tcPr>
          <w:p w14:paraId="21C26686" w14:textId="77777777" w:rsidR="00244374" w:rsidRPr="0040341A" w:rsidRDefault="00244374" w:rsidP="00244374">
            <w:pPr>
              <w:autoSpaceDE w:val="0"/>
              <w:autoSpaceDN w:val="0"/>
              <w:adjustRightInd w:val="0"/>
              <w:jc w:val="center"/>
              <w:rPr>
                <w:b/>
                <w:bCs/>
                <w:lang w:eastAsia="sk-SK"/>
              </w:rPr>
            </w:pPr>
            <w:r w:rsidRPr="0040341A">
              <w:rPr>
                <w:b/>
                <w:bCs/>
                <w:lang w:eastAsia="sk-SK"/>
              </w:rPr>
              <w:t>2023</w:t>
            </w:r>
          </w:p>
        </w:tc>
        <w:tc>
          <w:tcPr>
            <w:tcW w:w="1134" w:type="dxa"/>
            <w:shd w:val="clear" w:color="auto" w:fill="BFBFBF" w:themeFill="background1" w:themeFillShade="BF"/>
            <w:vAlign w:val="center"/>
          </w:tcPr>
          <w:p w14:paraId="39E3D82E" w14:textId="77777777" w:rsidR="00244374" w:rsidRPr="0040341A" w:rsidRDefault="00244374" w:rsidP="00244374">
            <w:pPr>
              <w:autoSpaceDE w:val="0"/>
              <w:autoSpaceDN w:val="0"/>
              <w:adjustRightInd w:val="0"/>
              <w:jc w:val="center"/>
              <w:rPr>
                <w:b/>
                <w:bCs/>
                <w:lang w:eastAsia="sk-SK"/>
              </w:rPr>
            </w:pPr>
            <w:r w:rsidRPr="0040341A">
              <w:rPr>
                <w:b/>
                <w:bCs/>
                <w:lang w:eastAsia="sk-SK"/>
              </w:rPr>
              <w:t>2024</w:t>
            </w:r>
          </w:p>
        </w:tc>
        <w:tc>
          <w:tcPr>
            <w:tcW w:w="1134" w:type="dxa"/>
            <w:shd w:val="clear" w:color="auto" w:fill="BFBFBF" w:themeFill="background1" w:themeFillShade="BF"/>
            <w:vAlign w:val="center"/>
          </w:tcPr>
          <w:p w14:paraId="74E92AB5" w14:textId="77777777" w:rsidR="00244374" w:rsidRPr="0040341A" w:rsidRDefault="00244374" w:rsidP="00244374">
            <w:pPr>
              <w:autoSpaceDE w:val="0"/>
              <w:autoSpaceDN w:val="0"/>
              <w:adjustRightInd w:val="0"/>
              <w:jc w:val="center"/>
              <w:rPr>
                <w:b/>
                <w:bCs/>
                <w:lang w:eastAsia="sk-SK"/>
              </w:rPr>
            </w:pPr>
            <w:r w:rsidRPr="0040341A">
              <w:rPr>
                <w:b/>
                <w:bCs/>
                <w:lang w:eastAsia="sk-SK"/>
              </w:rPr>
              <w:t>2025</w:t>
            </w:r>
          </w:p>
        </w:tc>
        <w:tc>
          <w:tcPr>
            <w:tcW w:w="1134" w:type="dxa"/>
            <w:shd w:val="clear" w:color="auto" w:fill="BFBFBF" w:themeFill="background1" w:themeFillShade="BF"/>
            <w:vAlign w:val="center"/>
          </w:tcPr>
          <w:p w14:paraId="30186554" w14:textId="77777777" w:rsidR="00244374" w:rsidRPr="0040341A" w:rsidRDefault="00244374" w:rsidP="00244374">
            <w:pPr>
              <w:autoSpaceDE w:val="0"/>
              <w:autoSpaceDN w:val="0"/>
              <w:adjustRightInd w:val="0"/>
              <w:jc w:val="center"/>
              <w:rPr>
                <w:b/>
                <w:bCs/>
                <w:lang w:eastAsia="sk-SK"/>
              </w:rPr>
            </w:pPr>
            <w:r w:rsidRPr="0040341A">
              <w:rPr>
                <w:b/>
                <w:bCs/>
                <w:lang w:eastAsia="sk-SK"/>
              </w:rPr>
              <w:t>2026</w:t>
            </w:r>
          </w:p>
        </w:tc>
      </w:tr>
      <w:tr w:rsidR="00244374" w:rsidRPr="0040341A" w14:paraId="3B6C370B" w14:textId="77777777" w:rsidTr="00244374">
        <w:trPr>
          <w:trHeight w:val="70"/>
        </w:trPr>
        <w:tc>
          <w:tcPr>
            <w:tcW w:w="4530" w:type="dxa"/>
          </w:tcPr>
          <w:p w14:paraId="5A76F451" w14:textId="77777777" w:rsidR="00244374" w:rsidRPr="0040341A" w:rsidRDefault="00244374" w:rsidP="00244374">
            <w:pPr>
              <w:autoSpaceDE w:val="0"/>
              <w:autoSpaceDN w:val="0"/>
              <w:adjustRightInd w:val="0"/>
              <w:rPr>
                <w:lang w:eastAsia="sk-SK"/>
              </w:rPr>
            </w:pPr>
            <w:r w:rsidRPr="0040341A">
              <w:rPr>
                <w:lang w:eastAsia="sk-SK"/>
              </w:rPr>
              <w:t>Indikátor ABC</w:t>
            </w:r>
          </w:p>
        </w:tc>
        <w:tc>
          <w:tcPr>
            <w:tcW w:w="1134" w:type="dxa"/>
          </w:tcPr>
          <w:p w14:paraId="2087A683" w14:textId="77777777" w:rsidR="00244374" w:rsidRPr="0040341A" w:rsidRDefault="00244374" w:rsidP="00244374">
            <w:pPr>
              <w:autoSpaceDE w:val="0"/>
              <w:autoSpaceDN w:val="0"/>
              <w:adjustRightInd w:val="0"/>
              <w:jc w:val="right"/>
              <w:rPr>
                <w:lang w:eastAsia="sk-SK"/>
              </w:rPr>
            </w:pPr>
          </w:p>
        </w:tc>
        <w:tc>
          <w:tcPr>
            <w:tcW w:w="1134" w:type="dxa"/>
          </w:tcPr>
          <w:p w14:paraId="0F0BB653" w14:textId="77777777" w:rsidR="00244374" w:rsidRPr="0040341A" w:rsidRDefault="00244374" w:rsidP="00244374">
            <w:pPr>
              <w:autoSpaceDE w:val="0"/>
              <w:autoSpaceDN w:val="0"/>
              <w:adjustRightInd w:val="0"/>
              <w:jc w:val="right"/>
              <w:rPr>
                <w:lang w:eastAsia="sk-SK"/>
              </w:rPr>
            </w:pPr>
          </w:p>
        </w:tc>
        <w:tc>
          <w:tcPr>
            <w:tcW w:w="1134" w:type="dxa"/>
          </w:tcPr>
          <w:p w14:paraId="4F5E539C" w14:textId="77777777" w:rsidR="00244374" w:rsidRPr="0040341A" w:rsidRDefault="00244374" w:rsidP="00244374">
            <w:pPr>
              <w:autoSpaceDE w:val="0"/>
              <w:autoSpaceDN w:val="0"/>
              <w:adjustRightInd w:val="0"/>
              <w:jc w:val="right"/>
              <w:rPr>
                <w:lang w:eastAsia="sk-SK"/>
              </w:rPr>
            </w:pPr>
          </w:p>
        </w:tc>
        <w:tc>
          <w:tcPr>
            <w:tcW w:w="1134" w:type="dxa"/>
          </w:tcPr>
          <w:p w14:paraId="70BA701F" w14:textId="77777777" w:rsidR="00244374" w:rsidRPr="0040341A" w:rsidRDefault="00244374" w:rsidP="00244374">
            <w:pPr>
              <w:autoSpaceDE w:val="0"/>
              <w:autoSpaceDN w:val="0"/>
              <w:adjustRightInd w:val="0"/>
              <w:jc w:val="right"/>
              <w:rPr>
                <w:lang w:eastAsia="sk-SK"/>
              </w:rPr>
            </w:pPr>
          </w:p>
        </w:tc>
      </w:tr>
      <w:tr w:rsidR="00244374" w:rsidRPr="0040341A" w14:paraId="4F289510" w14:textId="77777777" w:rsidTr="00244374">
        <w:trPr>
          <w:trHeight w:val="70"/>
        </w:trPr>
        <w:tc>
          <w:tcPr>
            <w:tcW w:w="4530" w:type="dxa"/>
          </w:tcPr>
          <w:p w14:paraId="41887C7C" w14:textId="77777777" w:rsidR="00244374" w:rsidRPr="0040341A" w:rsidRDefault="00244374" w:rsidP="00244374">
            <w:pPr>
              <w:autoSpaceDE w:val="0"/>
              <w:autoSpaceDN w:val="0"/>
              <w:adjustRightInd w:val="0"/>
              <w:rPr>
                <w:lang w:eastAsia="sk-SK"/>
              </w:rPr>
            </w:pPr>
            <w:r w:rsidRPr="0040341A">
              <w:rPr>
                <w:lang w:eastAsia="sk-SK"/>
              </w:rPr>
              <w:t>Indikátor KLM</w:t>
            </w:r>
          </w:p>
        </w:tc>
        <w:tc>
          <w:tcPr>
            <w:tcW w:w="1134" w:type="dxa"/>
          </w:tcPr>
          <w:p w14:paraId="2C1C7292" w14:textId="77777777" w:rsidR="00244374" w:rsidRPr="0040341A" w:rsidRDefault="00244374" w:rsidP="00244374">
            <w:pPr>
              <w:autoSpaceDE w:val="0"/>
              <w:autoSpaceDN w:val="0"/>
              <w:adjustRightInd w:val="0"/>
              <w:jc w:val="right"/>
              <w:rPr>
                <w:lang w:eastAsia="sk-SK"/>
              </w:rPr>
            </w:pPr>
          </w:p>
        </w:tc>
        <w:tc>
          <w:tcPr>
            <w:tcW w:w="1134" w:type="dxa"/>
          </w:tcPr>
          <w:p w14:paraId="5A64167E" w14:textId="77777777" w:rsidR="00244374" w:rsidRPr="0040341A" w:rsidRDefault="00244374" w:rsidP="00244374">
            <w:pPr>
              <w:autoSpaceDE w:val="0"/>
              <w:autoSpaceDN w:val="0"/>
              <w:adjustRightInd w:val="0"/>
              <w:jc w:val="right"/>
              <w:rPr>
                <w:lang w:eastAsia="sk-SK"/>
              </w:rPr>
            </w:pPr>
          </w:p>
        </w:tc>
        <w:tc>
          <w:tcPr>
            <w:tcW w:w="1134" w:type="dxa"/>
          </w:tcPr>
          <w:p w14:paraId="4CBFB63E" w14:textId="77777777" w:rsidR="00244374" w:rsidRPr="0040341A" w:rsidRDefault="00244374" w:rsidP="00244374">
            <w:pPr>
              <w:autoSpaceDE w:val="0"/>
              <w:autoSpaceDN w:val="0"/>
              <w:adjustRightInd w:val="0"/>
              <w:jc w:val="right"/>
              <w:rPr>
                <w:lang w:eastAsia="sk-SK"/>
              </w:rPr>
            </w:pPr>
          </w:p>
        </w:tc>
        <w:tc>
          <w:tcPr>
            <w:tcW w:w="1134" w:type="dxa"/>
          </w:tcPr>
          <w:p w14:paraId="71BF3386" w14:textId="77777777" w:rsidR="00244374" w:rsidRPr="0040341A" w:rsidRDefault="00244374" w:rsidP="00244374">
            <w:pPr>
              <w:autoSpaceDE w:val="0"/>
              <w:autoSpaceDN w:val="0"/>
              <w:adjustRightInd w:val="0"/>
              <w:jc w:val="right"/>
              <w:rPr>
                <w:lang w:eastAsia="sk-SK"/>
              </w:rPr>
            </w:pPr>
          </w:p>
        </w:tc>
      </w:tr>
      <w:tr w:rsidR="00244374" w:rsidRPr="0040341A" w14:paraId="27C21428" w14:textId="77777777" w:rsidTr="00244374">
        <w:trPr>
          <w:trHeight w:val="70"/>
        </w:trPr>
        <w:tc>
          <w:tcPr>
            <w:tcW w:w="4530" w:type="dxa"/>
          </w:tcPr>
          <w:p w14:paraId="62EB6A8A" w14:textId="77777777" w:rsidR="00244374" w:rsidRPr="0040341A" w:rsidRDefault="00244374" w:rsidP="00244374">
            <w:pPr>
              <w:autoSpaceDE w:val="0"/>
              <w:autoSpaceDN w:val="0"/>
              <w:adjustRightInd w:val="0"/>
              <w:rPr>
                <w:lang w:eastAsia="sk-SK"/>
              </w:rPr>
            </w:pPr>
            <w:r w:rsidRPr="0040341A">
              <w:rPr>
                <w:lang w:eastAsia="sk-SK"/>
              </w:rPr>
              <w:t>Indikátor XYZ</w:t>
            </w:r>
          </w:p>
        </w:tc>
        <w:tc>
          <w:tcPr>
            <w:tcW w:w="1134" w:type="dxa"/>
          </w:tcPr>
          <w:p w14:paraId="7C632744" w14:textId="77777777" w:rsidR="00244374" w:rsidRPr="0040341A" w:rsidRDefault="00244374" w:rsidP="00244374">
            <w:pPr>
              <w:autoSpaceDE w:val="0"/>
              <w:autoSpaceDN w:val="0"/>
              <w:adjustRightInd w:val="0"/>
              <w:jc w:val="right"/>
              <w:rPr>
                <w:lang w:eastAsia="sk-SK"/>
              </w:rPr>
            </w:pPr>
          </w:p>
        </w:tc>
        <w:tc>
          <w:tcPr>
            <w:tcW w:w="1134" w:type="dxa"/>
          </w:tcPr>
          <w:p w14:paraId="02E65491" w14:textId="77777777" w:rsidR="00244374" w:rsidRPr="0040341A" w:rsidRDefault="00244374" w:rsidP="00244374">
            <w:pPr>
              <w:autoSpaceDE w:val="0"/>
              <w:autoSpaceDN w:val="0"/>
              <w:adjustRightInd w:val="0"/>
              <w:jc w:val="right"/>
              <w:rPr>
                <w:lang w:eastAsia="sk-SK"/>
              </w:rPr>
            </w:pPr>
          </w:p>
        </w:tc>
        <w:tc>
          <w:tcPr>
            <w:tcW w:w="1134" w:type="dxa"/>
          </w:tcPr>
          <w:p w14:paraId="5946F1B3" w14:textId="77777777" w:rsidR="00244374" w:rsidRPr="0040341A" w:rsidRDefault="00244374" w:rsidP="00244374">
            <w:pPr>
              <w:autoSpaceDE w:val="0"/>
              <w:autoSpaceDN w:val="0"/>
              <w:adjustRightInd w:val="0"/>
              <w:jc w:val="right"/>
              <w:rPr>
                <w:lang w:eastAsia="sk-SK"/>
              </w:rPr>
            </w:pPr>
          </w:p>
        </w:tc>
        <w:tc>
          <w:tcPr>
            <w:tcW w:w="1134" w:type="dxa"/>
          </w:tcPr>
          <w:p w14:paraId="11B3549F" w14:textId="77777777" w:rsidR="00244374" w:rsidRPr="0040341A" w:rsidRDefault="00244374" w:rsidP="00244374">
            <w:pPr>
              <w:autoSpaceDE w:val="0"/>
              <w:autoSpaceDN w:val="0"/>
              <w:adjustRightInd w:val="0"/>
              <w:jc w:val="right"/>
              <w:rPr>
                <w:lang w:eastAsia="sk-SK"/>
              </w:rPr>
            </w:pPr>
          </w:p>
        </w:tc>
      </w:tr>
    </w:tbl>
    <w:p w14:paraId="5B8C0571" w14:textId="77777777" w:rsidR="00244374" w:rsidRPr="0040341A" w:rsidRDefault="00244374" w:rsidP="00244374">
      <w:pPr>
        <w:rPr>
          <w:lang w:eastAsia="sk-SK"/>
        </w:rPr>
      </w:pPr>
    </w:p>
    <w:p w14:paraId="25B9A1C2" w14:textId="77777777" w:rsidR="00244374" w:rsidRPr="0040341A" w:rsidRDefault="00244374" w:rsidP="00244374">
      <w:pPr>
        <w:rPr>
          <w:lang w:eastAsia="sk-SK"/>
        </w:rPr>
      </w:pPr>
    </w:p>
    <w:p w14:paraId="5D7F63EB" w14:textId="77777777" w:rsidR="00244374" w:rsidRPr="0040341A" w:rsidRDefault="00244374" w:rsidP="00244374">
      <w:pPr>
        <w:rPr>
          <w:lang w:eastAsia="sk-SK"/>
        </w:rPr>
      </w:pPr>
    </w:p>
    <w:p w14:paraId="7B292368" w14:textId="4185B287" w:rsidR="00244374" w:rsidRPr="0040341A" w:rsidRDefault="00244374" w:rsidP="00244374">
      <w:pPr>
        <w:rPr>
          <w:lang w:eastAsia="sk-SK"/>
        </w:rPr>
      </w:pPr>
    </w:p>
    <w:p w14:paraId="411ECF5E" w14:textId="70914403" w:rsidR="00244374" w:rsidRPr="0040341A" w:rsidRDefault="00244374" w:rsidP="00244374">
      <w:pPr>
        <w:rPr>
          <w:lang w:eastAsia="sk-SK"/>
        </w:rPr>
      </w:pPr>
    </w:p>
    <w:p w14:paraId="0FEB2A98" w14:textId="77777777" w:rsidR="00244374" w:rsidRPr="0040341A" w:rsidRDefault="00244374" w:rsidP="00244374">
      <w:pPr>
        <w:rPr>
          <w:lang w:eastAsia="sk-SK"/>
        </w:rPr>
      </w:pPr>
    </w:p>
    <w:p w14:paraId="74404257" w14:textId="77777777" w:rsidR="00244374" w:rsidRPr="0040341A" w:rsidRDefault="00244374" w:rsidP="00244374">
      <w:pPr>
        <w:rPr>
          <w:b/>
          <w:bCs/>
          <w:lang w:eastAsia="sk-SK"/>
        </w:rPr>
      </w:pPr>
      <w:r w:rsidRPr="0040341A">
        <w:rPr>
          <w:b/>
          <w:bCs/>
          <w:lang w:eastAsia="sk-SK"/>
        </w:rPr>
        <w:t xml:space="preserve">2.2.4. Výpočty vplyvov </w:t>
      </w:r>
      <w:proofErr w:type="gramStart"/>
      <w:r w:rsidRPr="0040341A">
        <w:rPr>
          <w:b/>
          <w:bCs/>
          <w:lang w:eastAsia="sk-SK"/>
        </w:rPr>
        <w:t>na</w:t>
      </w:r>
      <w:proofErr w:type="gramEnd"/>
      <w:r w:rsidRPr="0040341A">
        <w:rPr>
          <w:b/>
          <w:bCs/>
          <w:lang w:eastAsia="sk-SK"/>
        </w:rPr>
        <w:t xml:space="preserve"> verejné financie</w:t>
      </w:r>
    </w:p>
    <w:p w14:paraId="603E03A8" w14:textId="77777777" w:rsidR="00244374" w:rsidRPr="0040341A" w:rsidRDefault="00244374" w:rsidP="00244374">
      <w:pPr>
        <w:rPr>
          <w:lang w:eastAsia="sk-SK"/>
        </w:rPr>
      </w:pPr>
    </w:p>
    <w:p w14:paraId="461F2E34" w14:textId="77777777" w:rsidR="00244374" w:rsidRPr="0040341A" w:rsidRDefault="00244374" w:rsidP="00244374">
      <w:pPr>
        <w:ind w:firstLine="567"/>
        <w:jc w:val="both"/>
        <w:rPr>
          <w:lang w:eastAsia="sk-SK"/>
        </w:rPr>
      </w:pPr>
      <w:r w:rsidRPr="0040341A">
        <w:rPr>
          <w:lang w:eastAsia="sk-SK"/>
        </w:rPr>
        <w:t xml:space="preserve">V rámci vyhlásených (zároveň aj vyhodnotených) výziev v rokoch 2019 - 2022 evidujeme vysoký dopyt zo strany žiadateľov, ktorí predložili v 8 výzvach celkovo 2249 žiadostí </w:t>
      </w:r>
      <w:r w:rsidRPr="0040341A">
        <w:rPr>
          <w:lang w:eastAsia="sk-SK"/>
        </w:rPr>
        <w:br/>
        <w:t xml:space="preserve">s požadovanou výškou dotácie takmer 66,7 mil. </w:t>
      </w:r>
      <w:r w:rsidRPr="0040341A">
        <w:rPr>
          <w:bCs/>
          <w:lang w:eastAsia="sk-SK"/>
        </w:rPr>
        <w:t>€</w:t>
      </w:r>
      <w:r w:rsidRPr="0040341A">
        <w:rPr>
          <w:lang w:eastAsia="sk-SK"/>
        </w:rPr>
        <w:t xml:space="preserve">.  </w:t>
      </w:r>
    </w:p>
    <w:p w14:paraId="353C697E" w14:textId="77777777" w:rsidR="00244374" w:rsidRPr="0040341A" w:rsidRDefault="00244374" w:rsidP="00244374">
      <w:pPr>
        <w:ind w:firstLine="567"/>
        <w:jc w:val="both"/>
        <w:rPr>
          <w:lang w:eastAsia="sk-SK"/>
        </w:rPr>
      </w:pPr>
      <w:r w:rsidRPr="0040341A">
        <w:rPr>
          <w:lang w:eastAsia="sk-SK"/>
        </w:rPr>
        <w:t xml:space="preserve">Vzhľadom </w:t>
      </w:r>
      <w:proofErr w:type="gramStart"/>
      <w:r w:rsidRPr="0040341A">
        <w:rPr>
          <w:lang w:eastAsia="sk-SK"/>
        </w:rPr>
        <w:t>na</w:t>
      </w:r>
      <w:proofErr w:type="gramEnd"/>
      <w:r w:rsidRPr="0040341A">
        <w:rPr>
          <w:lang w:eastAsia="sk-SK"/>
        </w:rPr>
        <w:t xml:space="preserve"> pokračovanie podpory regionálneho rozvoja pre subjekty územnej spolupráce sa naďalej budú podporovať inovatívne projekty, projekty podporujúce konkurencieschopnosť regiónov ako aj projekty smerujúce k znižovaniu regionálnych disparít.</w:t>
      </w:r>
    </w:p>
    <w:p w14:paraId="69A7D020" w14:textId="77777777" w:rsidR="00244374" w:rsidRPr="0040341A" w:rsidRDefault="00244374" w:rsidP="00244374">
      <w:pPr>
        <w:tabs>
          <w:tab w:val="num" w:pos="1080"/>
        </w:tabs>
        <w:ind w:firstLine="567"/>
        <w:jc w:val="both"/>
        <w:rPr>
          <w:lang w:eastAsia="sk-SK"/>
        </w:rPr>
      </w:pPr>
      <w:r w:rsidRPr="0040341A">
        <w:rPr>
          <w:lang w:eastAsia="sk-SK"/>
        </w:rPr>
        <w:t xml:space="preserve">V rámci pripravovanej novely zákona č. 539/2008 Z. z. (zákon o regionálnom rozvoji) </w:t>
      </w:r>
      <w:proofErr w:type="gramStart"/>
      <w:r w:rsidRPr="0040341A">
        <w:rPr>
          <w:lang w:eastAsia="sk-SK"/>
        </w:rPr>
        <w:t>sa</w:t>
      </w:r>
      <w:proofErr w:type="gramEnd"/>
      <w:r w:rsidRPr="0040341A">
        <w:rPr>
          <w:lang w:eastAsia="sk-SK"/>
        </w:rPr>
        <w:t xml:space="preserve"> </w:t>
      </w:r>
      <w:r w:rsidRPr="0040341A">
        <w:rPr>
          <w:bCs/>
          <w:szCs w:val="20"/>
          <w:lang w:eastAsia="sk-SK"/>
        </w:rPr>
        <w:t>p</w:t>
      </w:r>
      <w:r w:rsidRPr="0040341A">
        <w:rPr>
          <w:lang w:eastAsia="sk-SK"/>
        </w:rPr>
        <w:t xml:space="preserve">ri výpočte vplyvov na rozpočet verejnej správy vychádzalo z aktuálnej situácie súvisiacej s rastúcou infláciou, ktorá má významný vplyv na navyšovanie cien služieb, energií a dodávok rôznych tovarov. V nadväznosti k tomu bolo novelou zákona doplnené osobité ustanovenie </w:t>
      </w:r>
      <w:r w:rsidRPr="0040341A">
        <w:rPr>
          <w:lang w:eastAsia="sk-SK"/>
        </w:rPr>
        <w:br/>
        <w:t xml:space="preserve">k poskytovaniu dodatočnej dotácie zazmluvnených projektov v zmysle zachovania plynulosti čerpania finančných prostriedkov. Dodatočné finančné prostriedky pre zazmluvnené projekty budú rozpočtovo zabezpečené v rozpočtovej kapitole </w:t>
      </w:r>
      <w:r w:rsidRPr="0040341A">
        <w:rPr>
          <w:bCs/>
          <w:lang w:eastAsia="sk-SK"/>
        </w:rPr>
        <w:t xml:space="preserve">Ministerstva investícií, regionálneho rozvoja </w:t>
      </w:r>
      <w:proofErr w:type="gramStart"/>
      <w:r w:rsidRPr="0040341A">
        <w:rPr>
          <w:bCs/>
          <w:lang w:eastAsia="sk-SK"/>
        </w:rPr>
        <w:t>a</w:t>
      </w:r>
      <w:proofErr w:type="gramEnd"/>
      <w:r w:rsidRPr="0040341A">
        <w:rPr>
          <w:bCs/>
          <w:lang w:eastAsia="sk-SK"/>
        </w:rPr>
        <w:t xml:space="preserve"> informatizácie Slovenskej republiky.</w:t>
      </w:r>
    </w:p>
    <w:p w14:paraId="65E85528" w14:textId="77777777" w:rsidR="00244374" w:rsidRPr="0040341A" w:rsidRDefault="00244374" w:rsidP="00244374">
      <w:pPr>
        <w:tabs>
          <w:tab w:val="num" w:pos="1080"/>
        </w:tabs>
        <w:jc w:val="both"/>
        <w:rPr>
          <w:bCs/>
          <w:lang w:eastAsia="sk-SK"/>
        </w:rPr>
      </w:pPr>
    </w:p>
    <w:p w14:paraId="1D17D133" w14:textId="77777777" w:rsidR="00244374" w:rsidRPr="0040341A" w:rsidRDefault="00244374" w:rsidP="00244374">
      <w:pPr>
        <w:tabs>
          <w:tab w:val="num" w:pos="1080"/>
        </w:tabs>
        <w:jc w:val="both"/>
        <w:rPr>
          <w:bCs/>
          <w:lang w:eastAsia="sk-SK"/>
        </w:rPr>
      </w:pPr>
    </w:p>
    <w:p w14:paraId="35C15A0F" w14:textId="77777777" w:rsidR="00244374" w:rsidRPr="0040341A" w:rsidRDefault="00244374" w:rsidP="00244374">
      <w:pPr>
        <w:tabs>
          <w:tab w:val="num" w:pos="1080"/>
        </w:tabs>
        <w:jc w:val="both"/>
        <w:rPr>
          <w:bCs/>
          <w:lang w:eastAsia="sk-SK"/>
        </w:rPr>
      </w:pPr>
    </w:p>
    <w:p w14:paraId="55A8C4B2" w14:textId="77777777" w:rsidR="00244374" w:rsidRPr="0040341A" w:rsidRDefault="00244374" w:rsidP="00244374">
      <w:pPr>
        <w:tabs>
          <w:tab w:val="num" w:pos="1080"/>
        </w:tabs>
        <w:jc w:val="both"/>
        <w:rPr>
          <w:bCs/>
          <w:szCs w:val="20"/>
          <w:lang w:eastAsia="sk-SK"/>
        </w:rPr>
      </w:pPr>
    </w:p>
    <w:p w14:paraId="468EB2EF" w14:textId="77777777" w:rsidR="00244374" w:rsidRPr="0040341A" w:rsidRDefault="00244374" w:rsidP="00244374">
      <w:pPr>
        <w:tabs>
          <w:tab w:val="num" w:pos="1080"/>
        </w:tabs>
        <w:jc w:val="both"/>
        <w:rPr>
          <w:bCs/>
          <w:szCs w:val="20"/>
          <w:lang w:eastAsia="sk-SK"/>
        </w:rPr>
        <w:sectPr w:rsidR="00244374" w:rsidRPr="0040341A" w:rsidSect="0024437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276" w:left="1417" w:header="708" w:footer="708" w:gutter="0"/>
          <w:pgNumType w:start="1"/>
          <w:cols w:space="708"/>
          <w:docGrid w:linePitch="360"/>
        </w:sectPr>
      </w:pPr>
    </w:p>
    <w:p w14:paraId="6B736598" w14:textId="77777777" w:rsidR="00244374" w:rsidRPr="0040341A" w:rsidRDefault="00244374" w:rsidP="00244374">
      <w:pPr>
        <w:tabs>
          <w:tab w:val="num" w:pos="1080"/>
        </w:tabs>
        <w:jc w:val="right"/>
        <w:rPr>
          <w:bCs/>
          <w:lang w:eastAsia="sk-SK"/>
        </w:rPr>
      </w:pPr>
      <w:r w:rsidRPr="0040341A">
        <w:rPr>
          <w:bCs/>
          <w:lang w:eastAsia="sk-SK"/>
        </w:rPr>
        <w:t xml:space="preserve">Tabuľka č. 3 </w:t>
      </w:r>
    </w:p>
    <w:p w14:paraId="450D7234" w14:textId="77777777" w:rsidR="00244374" w:rsidRPr="0040341A" w:rsidRDefault="00244374" w:rsidP="00244374">
      <w:pPr>
        <w:tabs>
          <w:tab w:val="num" w:pos="1080"/>
        </w:tabs>
        <w:jc w:val="both"/>
        <w:rPr>
          <w:bCs/>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244374" w:rsidRPr="0040341A" w14:paraId="29213F3F" w14:textId="77777777" w:rsidTr="0024437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E303A4" w14:textId="77777777" w:rsidR="00244374" w:rsidRPr="0040341A" w:rsidRDefault="00244374" w:rsidP="00244374">
            <w:pPr>
              <w:jc w:val="center"/>
              <w:rPr>
                <w:b/>
                <w:bCs/>
                <w:lang w:eastAsia="sk-SK"/>
              </w:rPr>
            </w:pPr>
            <w:r w:rsidRPr="0040341A">
              <w:rPr>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30F80BF" w14:textId="77777777" w:rsidR="00244374" w:rsidRPr="0040341A" w:rsidRDefault="00244374" w:rsidP="00244374">
            <w:pPr>
              <w:jc w:val="center"/>
              <w:rPr>
                <w:b/>
                <w:bCs/>
                <w:lang w:eastAsia="sk-SK"/>
              </w:rPr>
            </w:pPr>
            <w:r w:rsidRPr="0040341A">
              <w:rPr>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4CAF4E1" w14:textId="77777777" w:rsidR="00244374" w:rsidRPr="0040341A" w:rsidRDefault="00244374" w:rsidP="00244374">
            <w:pPr>
              <w:jc w:val="center"/>
              <w:rPr>
                <w:b/>
                <w:bCs/>
                <w:lang w:eastAsia="sk-SK"/>
              </w:rPr>
            </w:pPr>
            <w:r w:rsidRPr="0040341A">
              <w:rPr>
                <w:b/>
                <w:bCs/>
                <w:lang w:eastAsia="sk-SK"/>
              </w:rPr>
              <w:t>poznámka</w:t>
            </w:r>
          </w:p>
        </w:tc>
      </w:tr>
      <w:tr w:rsidR="00244374" w:rsidRPr="0040341A" w14:paraId="575A105D" w14:textId="77777777" w:rsidTr="0024437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7B840FC0" w14:textId="77777777" w:rsidR="00244374" w:rsidRPr="0040341A" w:rsidRDefault="00244374" w:rsidP="00244374">
            <w:pPr>
              <w:rPr>
                <w:b/>
                <w:bCs/>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145D3DFA" w14:textId="77777777" w:rsidR="00244374" w:rsidRPr="0040341A" w:rsidRDefault="00244374" w:rsidP="00244374">
            <w:pPr>
              <w:jc w:val="center"/>
              <w:rPr>
                <w:b/>
                <w:bCs/>
                <w:lang w:eastAsia="sk-SK"/>
              </w:rPr>
            </w:pPr>
            <w:r w:rsidRPr="0040341A">
              <w:rPr>
                <w:b/>
                <w:bCs/>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14:paraId="581F51CC" w14:textId="77777777" w:rsidR="00244374" w:rsidRPr="0040341A" w:rsidRDefault="00244374" w:rsidP="00244374">
            <w:pPr>
              <w:jc w:val="center"/>
              <w:rPr>
                <w:b/>
                <w:bCs/>
                <w:lang w:eastAsia="sk-SK"/>
              </w:rPr>
            </w:pPr>
            <w:r w:rsidRPr="0040341A">
              <w:rPr>
                <w:b/>
                <w:bCs/>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4491DEDE" w14:textId="77777777" w:rsidR="00244374" w:rsidRPr="0040341A" w:rsidRDefault="00244374" w:rsidP="00244374">
            <w:pPr>
              <w:jc w:val="center"/>
              <w:rPr>
                <w:b/>
                <w:bCs/>
                <w:lang w:eastAsia="sk-SK"/>
              </w:rPr>
            </w:pPr>
            <w:r w:rsidRPr="0040341A">
              <w:rPr>
                <w:b/>
                <w:bCs/>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2B1FC9BC" w14:textId="77777777" w:rsidR="00244374" w:rsidRPr="0040341A" w:rsidRDefault="00244374" w:rsidP="00244374">
            <w:pPr>
              <w:jc w:val="center"/>
              <w:rPr>
                <w:b/>
                <w:bCs/>
                <w:lang w:eastAsia="sk-SK"/>
              </w:rPr>
            </w:pPr>
            <w:r w:rsidRPr="0040341A">
              <w:rPr>
                <w:b/>
                <w:bCs/>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14:paraId="7D8AF807" w14:textId="77777777" w:rsidR="00244374" w:rsidRPr="0040341A" w:rsidRDefault="00244374" w:rsidP="00244374">
            <w:pPr>
              <w:rPr>
                <w:b/>
                <w:bCs/>
                <w:lang w:eastAsia="sk-SK"/>
              </w:rPr>
            </w:pPr>
          </w:p>
        </w:tc>
      </w:tr>
      <w:tr w:rsidR="00244374" w:rsidRPr="0040341A" w14:paraId="09E5775A" w14:textId="77777777" w:rsidTr="00244374">
        <w:trPr>
          <w:trHeight w:val="255"/>
        </w:trPr>
        <w:tc>
          <w:tcPr>
            <w:tcW w:w="4950" w:type="dxa"/>
            <w:tcBorders>
              <w:top w:val="nil"/>
              <w:left w:val="single" w:sz="4" w:space="0" w:color="auto"/>
              <w:bottom w:val="single" w:sz="4" w:space="0" w:color="auto"/>
              <w:right w:val="single" w:sz="4" w:space="0" w:color="auto"/>
            </w:tcBorders>
          </w:tcPr>
          <w:p w14:paraId="3532A850" w14:textId="77777777" w:rsidR="00244374" w:rsidRPr="0040341A" w:rsidRDefault="00244374" w:rsidP="00244374">
            <w:pPr>
              <w:rPr>
                <w:b/>
                <w:bCs/>
                <w:vertAlign w:val="superscript"/>
                <w:lang w:eastAsia="sk-SK"/>
              </w:rPr>
            </w:pPr>
            <w:r w:rsidRPr="0040341A">
              <w:rPr>
                <w:b/>
                <w:bCs/>
                <w:lang w:eastAsia="sk-SK"/>
              </w:rPr>
              <w:t>Daňové príjmy (100)</w:t>
            </w:r>
            <w:r w:rsidRPr="0040341A">
              <w:rPr>
                <w:b/>
                <w:bCs/>
                <w:vertAlign w:val="superscript"/>
                <w:lang w:eastAsia="sk-SK"/>
              </w:rPr>
              <w:t>1</w:t>
            </w:r>
          </w:p>
        </w:tc>
        <w:tc>
          <w:tcPr>
            <w:tcW w:w="1500" w:type="dxa"/>
            <w:tcBorders>
              <w:top w:val="nil"/>
              <w:left w:val="nil"/>
              <w:bottom w:val="single" w:sz="4" w:space="0" w:color="auto"/>
              <w:right w:val="single" w:sz="4" w:space="0" w:color="auto"/>
            </w:tcBorders>
          </w:tcPr>
          <w:p w14:paraId="736FC772" w14:textId="77777777" w:rsidR="00244374" w:rsidRPr="0040341A" w:rsidRDefault="00244374" w:rsidP="00244374">
            <w:pPr>
              <w:jc w:val="center"/>
              <w:rPr>
                <w:b/>
                <w:bCs/>
                <w:lang w:eastAsia="sk-SK"/>
              </w:rPr>
            </w:pPr>
          </w:p>
        </w:tc>
        <w:tc>
          <w:tcPr>
            <w:tcW w:w="1500" w:type="dxa"/>
            <w:tcBorders>
              <w:top w:val="nil"/>
              <w:left w:val="nil"/>
              <w:bottom w:val="single" w:sz="4" w:space="0" w:color="auto"/>
              <w:right w:val="single" w:sz="4" w:space="0" w:color="auto"/>
            </w:tcBorders>
          </w:tcPr>
          <w:p w14:paraId="22435E12" w14:textId="77777777" w:rsidR="00244374" w:rsidRPr="0040341A" w:rsidRDefault="00244374" w:rsidP="00244374">
            <w:pPr>
              <w:jc w:val="center"/>
              <w:rPr>
                <w:b/>
                <w:bCs/>
                <w:lang w:eastAsia="sk-SK"/>
              </w:rPr>
            </w:pPr>
          </w:p>
        </w:tc>
        <w:tc>
          <w:tcPr>
            <w:tcW w:w="1500" w:type="dxa"/>
            <w:tcBorders>
              <w:top w:val="nil"/>
              <w:left w:val="nil"/>
              <w:bottom w:val="single" w:sz="4" w:space="0" w:color="auto"/>
              <w:right w:val="single" w:sz="4" w:space="0" w:color="auto"/>
            </w:tcBorders>
          </w:tcPr>
          <w:p w14:paraId="0D7CA38C" w14:textId="77777777" w:rsidR="00244374" w:rsidRPr="0040341A" w:rsidRDefault="00244374" w:rsidP="00244374">
            <w:pPr>
              <w:jc w:val="center"/>
              <w:rPr>
                <w:b/>
                <w:bCs/>
                <w:lang w:eastAsia="sk-SK"/>
              </w:rPr>
            </w:pPr>
          </w:p>
        </w:tc>
        <w:tc>
          <w:tcPr>
            <w:tcW w:w="1500" w:type="dxa"/>
            <w:tcBorders>
              <w:top w:val="nil"/>
              <w:left w:val="nil"/>
              <w:bottom w:val="single" w:sz="4" w:space="0" w:color="auto"/>
              <w:right w:val="single" w:sz="4" w:space="0" w:color="auto"/>
            </w:tcBorders>
          </w:tcPr>
          <w:p w14:paraId="019ADE85" w14:textId="77777777" w:rsidR="00244374" w:rsidRPr="0040341A" w:rsidRDefault="00244374" w:rsidP="00244374">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2D5751AF" w14:textId="77777777" w:rsidR="00244374" w:rsidRPr="0040341A" w:rsidRDefault="00244374" w:rsidP="00244374">
            <w:pPr>
              <w:rPr>
                <w:lang w:eastAsia="sk-SK"/>
              </w:rPr>
            </w:pPr>
            <w:r w:rsidRPr="0040341A">
              <w:rPr>
                <w:lang w:eastAsia="sk-SK"/>
              </w:rPr>
              <w:t> </w:t>
            </w:r>
          </w:p>
        </w:tc>
      </w:tr>
      <w:tr w:rsidR="00244374" w:rsidRPr="0040341A" w14:paraId="7A9C7C6D" w14:textId="77777777" w:rsidTr="00244374">
        <w:trPr>
          <w:trHeight w:val="255"/>
        </w:trPr>
        <w:tc>
          <w:tcPr>
            <w:tcW w:w="4950" w:type="dxa"/>
            <w:tcBorders>
              <w:top w:val="nil"/>
              <w:left w:val="single" w:sz="4" w:space="0" w:color="auto"/>
              <w:bottom w:val="single" w:sz="4" w:space="0" w:color="auto"/>
              <w:right w:val="single" w:sz="4" w:space="0" w:color="auto"/>
            </w:tcBorders>
          </w:tcPr>
          <w:p w14:paraId="43206F54" w14:textId="77777777" w:rsidR="00244374" w:rsidRPr="0040341A" w:rsidRDefault="00244374" w:rsidP="00244374">
            <w:pPr>
              <w:rPr>
                <w:b/>
                <w:bCs/>
                <w:lang w:eastAsia="sk-SK"/>
              </w:rPr>
            </w:pPr>
            <w:r w:rsidRPr="0040341A">
              <w:rPr>
                <w:b/>
                <w:bCs/>
                <w:lang w:eastAsia="sk-SK"/>
              </w:rPr>
              <w:t>Nedaňové príjmy (200)</w:t>
            </w:r>
            <w:r w:rsidRPr="0040341A">
              <w:rPr>
                <w:b/>
                <w:bCs/>
                <w:vertAlign w:val="superscript"/>
                <w:lang w:eastAsia="sk-SK"/>
              </w:rPr>
              <w:t>1</w:t>
            </w:r>
          </w:p>
        </w:tc>
        <w:tc>
          <w:tcPr>
            <w:tcW w:w="1500" w:type="dxa"/>
            <w:tcBorders>
              <w:top w:val="nil"/>
              <w:left w:val="nil"/>
              <w:bottom w:val="single" w:sz="4" w:space="0" w:color="auto"/>
              <w:right w:val="single" w:sz="4" w:space="0" w:color="auto"/>
            </w:tcBorders>
          </w:tcPr>
          <w:p w14:paraId="4E5BD17A" w14:textId="77777777" w:rsidR="00244374" w:rsidRPr="0040341A" w:rsidRDefault="00244374" w:rsidP="00244374">
            <w:pPr>
              <w:jc w:val="center"/>
              <w:rPr>
                <w:b/>
                <w:bCs/>
                <w:lang w:eastAsia="sk-SK"/>
              </w:rPr>
            </w:pPr>
          </w:p>
        </w:tc>
        <w:tc>
          <w:tcPr>
            <w:tcW w:w="1500" w:type="dxa"/>
            <w:tcBorders>
              <w:top w:val="nil"/>
              <w:left w:val="nil"/>
              <w:bottom w:val="single" w:sz="4" w:space="0" w:color="auto"/>
              <w:right w:val="single" w:sz="4" w:space="0" w:color="auto"/>
            </w:tcBorders>
          </w:tcPr>
          <w:p w14:paraId="33802351" w14:textId="77777777" w:rsidR="00244374" w:rsidRPr="0040341A" w:rsidRDefault="00244374" w:rsidP="00244374">
            <w:pPr>
              <w:jc w:val="center"/>
              <w:rPr>
                <w:b/>
                <w:bCs/>
                <w:lang w:eastAsia="sk-SK"/>
              </w:rPr>
            </w:pPr>
          </w:p>
        </w:tc>
        <w:tc>
          <w:tcPr>
            <w:tcW w:w="1500" w:type="dxa"/>
            <w:tcBorders>
              <w:top w:val="nil"/>
              <w:left w:val="nil"/>
              <w:bottom w:val="single" w:sz="4" w:space="0" w:color="auto"/>
              <w:right w:val="single" w:sz="4" w:space="0" w:color="auto"/>
            </w:tcBorders>
          </w:tcPr>
          <w:p w14:paraId="55D7A6C7" w14:textId="77777777" w:rsidR="00244374" w:rsidRPr="0040341A" w:rsidRDefault="00244374" w:rsidP="00244374">
            <w:pPr>
              <w:jc w:val="center"/>
              <w:rPr>
                <w:b/>
                <w:bCs/>
                <w:lang w:eastAsia="sk-SK"/>
              </w:rPr>
            </w:pPr>
          </w:p>
        </w:tc>
        <w:tc>
          <w:tcPr>
            <w:tcW w:w="1500" w:type="dxa"/>
            <w:tcBorders>
              <w:top w:val="nil"/>
              <w:left w:val="nil"/>
              <w:bottom w:val="single" w:sz="4" w:space="0" w:color="auto"/>
              <w:right w:val="single" w:sz="4" w:space="0" w:color="auto"/>
            </w:tcBorders>
          </w:tcPr>
          <w:p w14:paraId="4D25FDA7" w14:textId="77777777" w:rsidR="00244374" w:rsidRPr="0040341A" w:rsidRDefault="00244374" w:rsidP="00244374">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4580D5F2" w14:textId="77777777" w:rsidR="00244374" w:rsidRPr="0040341A" w:rsidRDefault="00244374" w:rsidP="00244374">
            <w:pPr>
              <w:rPr>
                <w:lang w:eastAsia="sk-SK"/>
              </w:rPr>
            </w:pPr>
            <w:r w:rsidRPr="0040341A">
              <w:rPr>
                <w:lang w:eastAsia="sk-SK"/>
              </w:rPr>
              <w:t> </w:t>
            </w:r>
          </w:p>
        </w:tc>
      </w:tr>
      <w:tr w:rsidR="00244374" w:rsidRPr="0040341A" w14:paraId="2EE47488" w14:textId="77777777" w:rsidTr="00244374">
        <w:trPr>
          <w:trHeight w:val="255"/>
        </w:trPr>
        <w:tc>
          <w:tcPr>
            <w:tcW w:w="4950" w:type="dxa"/>
            <w:tcBorders>
              <w:top w:val="nil"/>
              <w:left w:val="single" w:sz="4" w:space="0" w:color="auto"/>
              <w:bottom w:val="single" w:sz="4" w:space="0" w:color="auto"/>
              <w:right w:val="single" w:sz="4" w:space="0" w:color="auto"/>
            </w:tcBorders>
          </w:tcPr>
          <w:p w14:paraId="605E67CB" w14:textId="77777777" w:rsidR="00244374" w:rsidRPr="0040341A" w:rsidRDefault="00244374" w:rsidP="00244374">
            <w:pPr>
              <w:rPr>
                <w:b/>
                <w:bCs/>
                <w:lang w:eastAsia="sk-SK"/>
              </w:rPr>
            </w:pPr>
            <w:r w:rsidRPr="0040341A">
              <w:rPr>
                <w:b/>
                <w:bCs/>
                <w:lang w:eastAsia="sk-SK"/>
              </w:rPr>
              <w:t>Granty a transfery (300)</w:t>
            </w:r>
            <w:r w:rsidRPr="0040341A">
              <w:rPr>
                <w:b/>
                <w:bCs/>
                <w:vertAlign w:val="superscript"/>
                <w:lang w:eastAsia="sk-SK"/>
              </w:rPr>
              <w:t>1</w:t>
            </w:r>
          </w:p>
        </w:tc>
        <w:tc>
          <w:tcPr>
            <w:tcW w:w="1500" w:type="dxa"/>
            <w:tcBorders>
              <w:top w:val="nil"/>
              <w:left w:val="nil"/>
              <w:bottom w:val="single" w:sz="4" w:space="0" w:color="auto"/>
              <w:right w:val="single" w:sz="4" w:space="0" w:color="auto"/>
            </w:tcBorders>
          </w:tcPr>
          <w:p w14:paraId="20C0BCE0" w14:textId="77777777" w:rsidR="00244374" w:rsidRPr="0040341A" w:rsidRDefault="00244374" w:rsidP="00244374">
            <w:pPr>
              <w:jc w:val="center"/>
              <w:rPr>
                <w:b/>
                <w:bCs/>
                <w:lang w:eastAsia="sk-SK"/>
              </w:rPr>
            </w:pPr>
          </w:p>
        </w:tc>
        <w:tc>
          <w:tcPr>
            <w:tcW w:w="1500" w:type="dxa"/>
            <w:tcBorders>
              <w:top w:val="nil"/>
              <w:left w:val="nil"/>
              <w:bottom w:val="single" w:sz="4" w:space="0" w:color="auto"/>
              <w:right w:val="single" w:sz="4" w:space="0" w:color="auto"/>
            </w:tcBorders>
          </w:tcPr>
          <w:p w14:paraId="1D1AA6F5" w14:textId="77777777" w:rsidR="00244374" w:rsidRPr="0040341A" w:rsidRDefault="00244374" w:rsidP="00244374">
            <w:pPr>
              <w:jc w:val="center"/>
              <w:rPr>
                <w:b/>
                <w:bCs/>
                <w:lang w:eastAsia="sk-SK"/>
              </w:rPr>
            </w:pPr>
          </w:p>
        </w:tc>
        <w:tc>
          <w:tcPr>
            <w:tcW w:w="1500" w:type="dxa"/>
            <w:tcBorders>
              <w:top w:val="nil"/>
              <w:left w:val="nil"/>
              <w:bottom w:val="single" w:sz="4" w:space="0" w:color="auto"/>
              <w:right w:val="single" w:sz="4" w:space="0" w:color="auto"/>
            </w:tcBorders>
          </w:tcPr>
          <w:p w14:paraId="2283C6B8" w14:textId="77777777" w:rsidR="00244374" w:rsidRPr="0040341A" w:rsidRDefault="00244374" w:rsidP="00244374">
            <w:pPr>
              <w:jc w:val="center"/>
              <w:rPr>
                <w:b/>
                <w:bCs/>
                <w:lang w:eastAsia="sk-SK"/>
              </w:rPr>
            </w:pPr>
          </w:p>
        </w:tc>
        <w:tc>
          <w:tcPr>
            <w:tcW w:w="1500" w:type="dxa"/>
            <w:tcBorders>
              <w:top w:val="nil"/>
              <w:left w:val="nil"/>
              <w:bottom w:val="single" w:sz="4" w:space="0" w:color="auto"/>
              <w:right w:val="single" w:sz="4" w:space="0" w:color="auto"/>
            </w:tcBorders>
          </w:tcPr>
          <w:p w14:paraId="346B3FC9" w14:textId="77777777" w:rsidR="00244374" w:rsidRPr="0040341A" w:rsidRDefault="00244374" w:rsidP="00244374">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117ACBAD" w14:textId="77777777" w:rsidR="00244374" w:rsidRPr="0040341A" w:rsidRDefault="00244374" w:rsidP="00244374">
            <w:pPr>
              <w:rPr>
                <w:lang w:eastAsia="sk-SK"/>
              </w:rPr>
            </w:pPr>
            <w:r w:rsidRPr="0040341A">
              <w:rPr>
                <w:lang w:eastAsia="sk-SK"/>
              </w:rPr>
              <w:t> </w:t>
            </w:r>
          </w:p>
        </w:tc>
      </w:tr>
      <w:tr w:rsidR="00244374" w:rsidRPr="0040341A" w14:paraId="1AEDA553" w14:textId="77777777" w:rsidTr="00244374">
        <w:trPr>
          <w:trHeight w:val="255"/>
        </w:trPr>
        <w:tc>
          <w:tcPr>
            <w:tcW w:w="4950" w:type="dxa"/>
            <w:tcBorders>
              <w:top w:val="nil"/>
              <w:left w:val="single" w:sz="4" w:space="0" w:color="auto"/>
              <w:bottom w:val="single" w:sz="4" w:space="0" w:color="auto"/>
              <w:right w:val="single" w:sz="4" w:space="0" w:color="auto"/>
            </w:tcBorders>
          </w:tcPr>
          <w:p w14:paraId="0D57403A" w14:textId="77777777" w:rsidR="00244374" w:rsidRPr="0040341A" w:rsidRDefault="00244374" w:rsidP="00244374">
            <w:pPr>
              <w:rPr>
                <w:b/>
                <w:bCs/>
                <w:lang w:eastAsia="sk-SK"/>
              </w:rPr>
            </w:pPr>
            <w:r w:rsidRPr="0040341A">
              <w:rPr>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6747BB19" w14:textId="77777777" w:rsidR="00244374" w:rsidRPr="0040341A" w:rsidRDefault="00244374" w:rsidP="00244374">
            <w:pPr>
              <w:jc w:val="center"/>
              <w:rPr>
                <w:b/>
                <w:bCs/>
                <w:lang w:eastAsia="sk-SK"/>
              </w:rPr>
            </w:pPr>
            <w:r w:rsidRPr="0040341A">
              <w:rPr>
                <w:b/>
                <w:bCs/>
                <w:lang w:eastAsia="sk-SK"/>
              </w:rPr>
              <w:t> </w:t>
            </w:r>
          </w:p>
        </w:tc>
        <w:tc>
          <w:tcPr>
            <w:tcW w:w="1500" w:type="dxa"/>
            <w:tcBorders>
              <w:top w:val="nil"/>
              <w:left w:val="nil"/>
              <w:bottom w:val="single" w:sz="4" w:space="0" w:color="auto"/>
              <w:right w:val="single" w:sz="4" w:space="0" w:color="auto"/>
            </w:tcBorders>
            <w:shd w:val="clear" w:color="auto" w:fill="FFFF99"/>
          </w:tcPr>
          <w:p w14:paraId="45E1999B" w14:textId="77777777" w:rsidR="00244374" w:rsidRPr="0040341A" w:rsidRDefault="00244374" w:rsidP="00244374">
            <w:pPr>
              <w:jc w:val="center"/>
              <w:rPr>
                <w:b/>
                <w:bCs/>
                <w:lang w:eastAsia="sk-SK"/>
              </w:rPr>
            </w:pPr>
            <w:r w:rsidRPr="0040341A">
              <w:rPr>
                <w:b/>
                <w:bCs/>
                <w:lang w:eastAsia="sk-SK"/>
              </w:rPr>
              <w:t> </w:t>
            </w:r>
          </w:p>
        </w:tc>
        <w:tc>
          <w:tcPr>
            <w:tcW w:w="1500" w:type="dxa"/>
            <w:tcBorders>
              <w:top w:val="nil"/>
              <w:left w:val="nil"/>
              <w:bottom w:val="single" w:sz="4" w:space="0" w:color="auto"/>
              <w:right w:val="single" w:sz="4" w:space="0" w:color="auto"/>
            </w:tcBorders>
            <w:shd w:val="clear" w:color="auto" w:fill="FFFF99"/>
          </w:tcPr>
          <w:p w14:paraId="7ACE9BE2" w14:textId="77777777" w:rsidR="00244374" w:rsidRPr="0040341A" w:rsidRDefault="00244374" w:rsidP="00244374">
            <w:pPr>
              <w:jc w:val="center"/>
              <w:rPr>
                <w:b/>
                <w:bCs/>
                <w:lang w:eastAsia="sk-SK"/>
              </w:rPr>
            </w:pPr>
            <w:r w:rsidRPr="0040341A">
              <w:rPr>
                <w:b/>
                <w:bCs/>
                <w:lang w:eastAsia="sk-SK"/>
              </w:rPr>
              <w:t> </w:t>
            </w:r>
          </w:p>
        </w:tc>
        <w:tc>
          <w:tcPr>
            <w:tcW w:w="1500" w:type="dxa"/>
            <w:tcBorders>
              <w:top w:val="nil"/>
              <w:left w:val="nil"/>
              <w:bottom w:val="single" w:sz="4" w:space="0" w:color="auto"/>
              <w:right w:val="single" w:sz="4" w:space="0" w:color="auto"/>
            </w:tcBorders>
            <w:shd w:val="clear" w:color="auto" w:fill="FFFF99"/>
          </w:tcPr>
          <w:p w14:paraId="633F1F5E" w14:textId="77777777" w:rsidR="00244374" w:rsidRPr="0040341A" w:rsidRDefault="00244374" w:rsidP="00244374">
            <w:pPr>
              <w:jc w:val="center"/>
              <w:rPr>
                <w:b/>
                <w:bCs/>
                <w:lang w:eastAsia="sk-SK"/>
              </w:rPr>
            </w:pPr>
            <w:r w:rsidRPr="0040341A">
              <w:rPr>
                <w:b/>
                <w:bCs/>
                <w:lang w:eastAsia="sk-SK"/>
              </w:rPr>
              <w:t> </w:t>
            </w:r>
          </w:p>
        </w:tc>
        <w:tc>
          <w:tcPr>
            <w:tcW w:w="3000" w:type="dxa"/>
            <w:tcBorders>
              <w:top w:val="nil"/>
              <w:left w:val="nil"/>
              <w:bottom w:val="single" w:sz="4" w:space="0" w:color="auto"/>
              <w:right w:val="single" w:sz="4" w:space="0" w:color="auto"/>
            </w:tcBorders>
            <w:noWrap/>
            <w:vAlign w:val="bottom"/>
          </w:tcPr>
          <w:p w14:paraId="07A33324" w14:textId="77777777" w:rsidR="00244374" w:rsidRPr="0040341A" w:rsidRDefault="00244374" w:rsidP="00244374">
            <w:pPr>
              <w:rPr>
                <w:lang w:eastAsia="sk-SK"/>
              </w:rPr>
            </w:pPr>
            <w:r w:rsidRPr="0040341A">
              <w:rPr>
                <w:lang w:eastAsia="sk-SK"/>
              </w:rPr>
              <w:t> </w:t>
            </w:r>
          </w:p>
        </w:tc>
      </w:tr>
      <w:tr w:rsidR="00244374" w:rsidRPr="0040341A" w14:paraId="7C621921" w14:textId="77777777" w:rsidTr="00244374">
        <w:trPr>
          <w:trHeight w:val="255"/>
        </w:trPr>
        <w:tc>
          <w:tcPr>
            <w:tcW w:w="4950" w:type="dxa"/>
            <w:tcBorders>
              <w:top w:val="nil"/>
              <w:left w:val="single" w:sz="4" w:space="0" w:color="auto"/>
              <w:bottom w:val="single" w:sz="4" w:space="0" w:color="auto"/>
              <w:right w:val="single" w:sz="4" w:space="0" w:color="auto"/>
            </w:tcBorders>
          </w:tcPr>
          <w:p w14:paraId="29EC324D" w14:textId="77777777" w:rsidR="00244374" w:rsidRPr="0040341A" w:rsidRDefault="00244374" w:rsidP="00244374">
            <w:pPr>
              <w:rPr>
                <w:b/>
                <w:bCs/>
                <w:lang w:eastAsia="sk-SK"/>
              </w:rPr>
            </w:pPr>
            <w:r w:rsidRPr="0040341A">
              <w:rPr>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655282F2" w14:textId="77777777" w:rsidR="00244374" w:rsidRPr="0040341A" w:rsidRDefault="00244374" w:rsidP="00244374">
            <w:pPr>
              <w:jc w:val="center"/>
              <w:rPr>
                <w:b/>
                <w:bCs/>
                <w:lang w:eastAsia="sk-SK"/>
              </w:rPr>
            </w:pPr>
            <w:r w:rsidRPr="0040341A">
              <w:rPr>
                <w:b/>
                <w:bCs/>
                <w:lang w:eastAsia="sk-SK"/>
              </w:rPr>
              <w:t> </w:t>
            </w:r>
          </w:p>
        </w:tc>
        <w:tc>
          <w:tcPr>
            <w:tcW w:w="1500" w:type="dxa"/>
            <w:tcBorders>
              <w:top w:val="nil"/>
              <w:left w:val="nil"/>
              <w:bottom w:val="single" w:sz="4" w:space="0" w:color="auto"/>
              <w:right w:val="single" w:sz="4" w:space="0" w:color="auto"/>
            </w:tcBorders>
            <w:shd w:val="clear" w:color="auto" w:fill="FFFF99"/>
          </w:tcPr>
          <w:p w14:paraId="297668FD" w14:textId="77777777" w:rsidR="00244374" w:rsidRPr="0040341A" w:rsidRDefault="00244374" w:rsidP="00244374">
            <w:pPr>
              <w:jc w:val="center"/>
              <w:rPr>
                <w:b/>
                <w:bCs/>
                <w:lang w:eastAsia="sk-SK"/>
              </w:rPr>
            </w:pPr>
            <w:r w:rsidRPr="0040341A">
              <w:rPr>
                <w:b/>
                <w:bCs/>
                <w:lang w:eastAsia="sk-SK"/>
              </w:rPr>
              <w:t> </w:t>
            </w:r>
          </w:p>
        </w:tc>
        <w:tc>
          <w:tcPr>
            <w:tcW w:w="1500" w:type="dxa"/>
            <w:tcBorders>
              <w:top w:val="nil"/>
              <w:left w:val="nil"/>
              <w:bottom w:val="single" w:sz="4" w:space="0" w:color="auto"/>
              <w:right w:val="single" w:sz="4" w:space="0" w:color="auto"/>
            </w:tcBorders>
            <w:shd w:val="clear" w:color="auto" w:fill="FFFF99"/>
          </w:tcPr>
          <w:p w14:paraId="3EA67B0A" w14:textId="77777777" w:rsidR="00244374" w:rsidRPr="0040341A" w:rsidRDefault="00244374" w:rsidP="00244374">
            <w:pPr>
              <w:jc w:val="center"/>
              <w:rPr>
                <w:b/>
                <w:bCs/>
                <w:lang w:eastAsia="sk-SK"/>
              </w:rPr>
            </w:pPr>
            <w:r w:rsidRPr="0040341A">
              <w:rPr>
                <w:b/>
                <w:bCs/>
                <w:lang w:eastAsia="sk-SK"/>
              </w:rPr>
              <w:t> </w:t>
            </w:r>
          </w:p>
        </w:tc>
        <w:tc>
          <w:tcPr>
            <w:tcW w:w="1500" w:type="dxa"/>
            <w:tcBorders>
              <w:top w:val="nil"/>
              <w:left w:val="nil"/>
              <w:bottom w:val="single" w:sz="4" w:space="0" w:color="auto"/>
              <w:right w:val="single" w:sz="4" w:space="0" w:color="auto"/>
            </w:tcBorders>
            <w:shd w:val="clear" w:color="auto" w:fill="FFFF99"/>
          </w:tcPr>
          <w:p w14:paraId="13CB1344" w14:textId="77777777" w:rsidR="00244374" w:rsidRPr="0040341A" w:rsidRDefault="00244374" w:rsidP="00244374">
            <w:pPr>
              <w:jc w:val="center"/>
              <w:rPr>
                <w:b/>
                <w:bCs/>
                <w:lang w:eastAsia="sk-SK"/>
              </w:rPr>
            </w:pPr>
            <w:r w:rsidRPr="0040341A">
              <w:rPr>
                <w:b/>
                <w:bCs/>
                <w:lang w:eastAsia="sk-SK"/>
              </w:rPr>
              <w:t> </w:t>
            </w:r>
          </w:p>
        </w:tc>
        <w:tc>
          <w:tcPr>
            <w:tcW w:w="3000" w:type="dxa"/>
            <w:tcBorders>
              <w:top w:val="nil"/>
              <w:left w:val="nil"/>
              <w:bottom w:val="single" w:sz="4" w:space="0" w:color="auto"/>
              <w:right w:val="single" w:sz="4" w:space="0" w:color="auto"/>
            </w:tcBorders>
            <w:noWrap/>
            <w:vAlign w:val="bottom"/>
          </w:tcPr>
          <w:p w14:paraId="70AEC901" w14:textId="77777777" w:rsidR="00244374" w:rsidRPr="0040341A" w:rsidRDefault="00244374" w:rsidP="00244374">
            <w:pPr>
              <w:rPr>
                <w:lang w:eastAsia="sk-SK"/>
              </w:rPr>
            </w:pPr>
            <w:r w:rsidRPr="0040341A">
              <w:rPr>
                <w:lang w:eastAsia="sk-SK"/>
              </w:rPr>
              <w:t> </w:t>
            </w:r>
          </w:p>
        </w:tc>
      </w:tr>
      <w:tr w:rsidR="00244374" w:rsidRPr="0040341A" w14:paraId="6BA0C12B" w14:textId="77777777" w:rsidTr="0024437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5A6B0B3C" w14:textId="77777777" w:rsidR="00244374" w:rsidRPr="0040341A" w:rsidRDefault="00244374" w:rsidP="00244374">
            <w:pPr>
              <w:rPr>
                <w:b/>
                <w:bCs/>
                <w:lang w:eastAsia="sk-SK"/>
              </w:rPr>
            </w:pPr>
            <w:r w:rsidRPr="0040341A">
              <w:rPr>
                <w:b/>
                <w:bCs/>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579AED90" w14:textId="77777777" w:rsidR="00244374" w:rsidRPr="0040341A" w:rsidRDefault="00244374" w:rsidP="00244374">
            <w:pPr>
              <w:jc w:val="center"/>
              <w:rPr>
                <w:b/>
                <w:bCs/>
                <w:lang w:eastAsia="sk-SK"/>
              </w:rPr>
            </w:pPr>
            <w:r w:rsidRPr="0040341A">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D98954F" w14:textId="77777777" w:rsidR="00244374" w:rsidRPr="0040341A" w:rsidRDefault="00244374" w:rsidP="00244374">
            <w:pPr>
              <w:jc w:val="center"/>
              <w:rPr>
                <w:b/>
                <w:bCs/>
                <w:lang w:eastAsia="sk-SK"/>
              </w:rPr>
            </w:pPr>
            <w:r w:rsidRPr="0040341A">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1A4FC66" w14:textId="77777777" w:rsidR="00244374" w:rsidRPr="0040341A" w:rsidRDefault="00244374" w:rsidP="00244374">
            <w:pPr>
              <w:jc w:val="center"/>
              <w:rPr>
                <w:b/>
                <w:bCs/>
                <w:lang w:eastAsia="sk-SK"/>
              </w:rPr>
            </w:pPr>
            <w:r w:rsidRPr="0040341A">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173A2E9" w14:textId="77777777" w:rsidR="00244374" w:rsidRPr="0040341A" w:rsidRDefault="00244374" w:rsidP="00244374">
            <w:pPr>
              <w:jc w:val="center"/>
              <w:rPr>
                <w:b/>
                <w:bCs/>
                <w:lang w:eastAsia="sk-SK"/>
              </w:rPr>
            </w:pPr>
            <w:r w:rsidRPr="0040341A">
              <w:rPr>
                <w:b/>
                <w:bCs/>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4C3D6D8E" w14:textId="77777777" w:rsidR="00244374" w:rsidRPr="0040341A" w:rsidRDefault="00244374" w:rsidP="00244374">
            <w:pPr>
              <w:rPr>
                <w:lang w:eastAsia="sk-SK"/>
              </w:rPr>
            </w:pPr>
            <w:r w:rsidRPr="0040341A">
              <w:rPr>
                <w:lang w:eastAsia="sk-SK"/>
              </w:rPr>
              <w:t> </w:t>
            </w:r>
          </w:p>
        </w:tc>
      </w:tr>
    </w:tbl>
    <w:p w14:paraId="111F7919" w14:textId="77777777" w:rsidR="00244374" w:rsidRPr="0040341A" w:rsidRDefault="00244374" w:rsidP="00244374">
      <w:pPr>
        <w:tabs>
          <w:tab w:val="num" w:pos="1080"/>
        </w:tabs>
        <w:jc w:val="both"/>
        <w:rPr>
          <w:bCs/>
          <w:sz w:val="20"/>
          <w:szCs w:val="20"/>
          <w:lang w:eastAsia="sk-SK"/>
        </w:rPr>
      </w:pPr>
      <w:r w:rsidRPr="0040341A">
        <w:rPr>
          <w:bCs/>
          <w:sz w:val="20"/>
          <w:szCs w:val="20"/>
          <w:lang w:eastAsia="sk-SK"/>
        </w:rPr>
        <w:t xml:space="preserve">1 </w:t>
      </w:r>
      <w:proofErr w:type="gramStart"/>
      <w:r w:rsidRPr="0040341A">
        <w:rPr>
          <w:bCs/>
          <w:sz w:val="20"/>
          <w:szCs w:val="20"/>
          <w:lang w:eastAsia="sk-SK"/>
        </w:rPr>
        <w:t>–  príjmy</w:t>
      </w:r>
      <w:proofErr w:type="gramEnd"/>
      <w:r w:rsidRPr="0040341A">
        <w:rPr>
          <w:bCs/>
          <w:sz w:val="20"/>
          <w:szCs w:val="20"/>
          <w:lang w:eastAsia="sk-SK"/>
        </w:rPr>
        <w:t xml:space="preserve"> rozpísať až do položiek platnej ekonomickej klasifikácie</w:t>
      </w:r>
    </w:p>
    <w:p w14:paraId="7F756BE6" w14:textId="77777777" w:rsidR="00244374" w:rsidRPr="0040341A" w:rsidRDefault="00244374" w:rsidP="00244374">
      <w:pPr>
        <w:tabs>
          <w:tab w:val="num" w:pos="1080"/>
        </w:tabs>
        <w:jc w:val="both"/>
        <w:rPr>
          <w:bCs/>
          <w:szCs w:val="20"/>
          <w:lang w:eastAsia="sk-SK"/>
        </w:rPr>
      </w:pPr>
    </w:p>
    <w:p w14:paraId="56B9631E" w14:textId="77777777" w:rsidR="00244374" w:rsidRPr="0040341A" w:rsidRDefault="00244374" w:rsidP="00244374">
      <w:pPr>
        <w:tabs>
          <w:tab w:val="num" w:pos="1080"/>
        </w:tabs>
        <w:jc w:val="both"/>
        <w:rPr>
          <w:b/>
          <w:bCs/>
          <w:szCs w:val="20"/>
          <w:lang w:eastAsia="sk-SK"/>
        </w:rPr>
      </w:pPr>
      <w:r w:rsidRPr="0040341A">
        <w:rPr>
          <w:b/>
          <w:bCs/>
          <w:szCs w:val="20"/>
          <w:lang w:eastAsia="sk-SK"/>
        </w:rPr>
        <w:t>Poznámka:</w:t>
      </w:r>
    </w:p>
    <w:p w14:paraId="211C6CD0" w14:textId="77777777" w:rsidR="00244374" w:rsidRPr="0040341A" w:rsidRDefault="00244374" w:rsidP="00244374">
      <w:pPr>
        <w:tabs>
          <w:tab w:val="num" w:pos="1080"/>
        </w:tabs>
        <w:jc w:val="both"/>
        <w:rPr>
          <w:bCs/>
          <w:szCs w:val="20"/>
          <w:lang w:eastAsia="sk-SK"/>
        </w:rPr>
      </w:pPr>
      <w:r w:rsidRPr="0040341A">
        <w:rPr>
          <w:bCs/>
          <w:szCs w:val="20"/>
          <w:lang w:eastAsia="sk-SK"/>
        </w:rPr>
        <w:t xml:space="preserve">Ak </w:t>
      </w:r>
      <w:proofErr w:type="gramStart"/>
      <w:r w:rsidRPr="0040341A">
        <w:rPr>
          <w:bCs/>
          <w:szCs w:val="20"/>
          <w:lang w:eastAsia="sk-SK"/>
        </w:rPr>
        <w:t>sa</w:t>
      </w:r>
      <w:proofErr w:type="gramEnd"/>
      <w:r w:rsidRPr="0040341A">
        <w:rPr>
          <w:bCs/>
          <w:szCs w:val="20"/>
          <w:lang w:eastAsia="sk-SK"/>
        </w:rPr>
        <w:t xml:space="preserve"> vplyv týka viacerých subjektov verejnej správy, vypĺňa sa samostatná tabuľka za každý subjekt.</w:t>
      </w:r>
    </w:p>
    <w:p w14:paraId="47E5EB49" w14:textId="77777777" w:rsidR="00922838" w:rsidRPr="0040341A" w:rsidRDefault="00922838" w:rsidP="00922838">
      <w:pPr>
        <w:tabs>
          <w:tab w:val="num" w:pos="1080"/>
        </w:tabs>
        <w:ind w:right="-578"/>
        <w:rPr>
          <w:bCs/>
          <w:lang w:eastAsia="sk-SK"/>
        </w:rPr>
        <w:sectPr w:rsidR="00922838" w:rsidRPr="0040341A" w:rsidSect="00922838">
          <w:footerReference w:type="default" r:id="rId19"/>
          <w:footnotePr>
            <w:numFmt w:val="chicago"/>
          </w:footnotePr>
          <w:pgSz w:w="16838" w:h="11906" w:orient="landscape"/>
          <w:pgMar w:top="1418" w:right="1134" w:bottom="1418" w:left="1134" w:header="510" w:footer="567" w:gutter="0"/>
          <w:pgNumType w:start="1"/>
          <w:cols w:space="708"/>
          <w:formProt w:val="0"/>
          <w:docGrid w:linePitch="360"/>
        </w:sectPr>
      </w:pPr>
    </w:p>
    <w:p w14:paraId="22F20C30" w14:textId="3599828B" w:rsidR="00244374" w:rsidRPr="0040341A" w:rsidRDefault="00244374" w:rsidP="00922838">
      <w:pPr>
        <w:tabs>
          <w:tab w:val="num" w:pos="1080"/>
        </w:tabs>
        <w:ind w:right="-578"/>
        <w:rPr>
          <w:bCs/>
          <w:lang w:eastAsia="sk-SK"/>
        </w:rPr>
        <w:sectPr w:rsidR="00244374" w:rsidRPr="0040341A" w:rsidSect="00244374">
          <w:footnotePr>
            <w:numFmt w:val="chicago"/>
          </w:footnotePr>
          <w:pgSz w:w="11906" w:h="16838"/>
          <w:pgMar w:top="1134" w:right="1418" w:bottom="1134" w:left="1418" w:header="510" w:footer="567" w:gutter="0"/>
          <w:pgNumType w:start="1"/>
          <w:cols w:space="708"/>
          <w:formProt w:val="0"/>
          <w:docGrid w:linePitch="360"/>
        </w:sectPr>
      </w:pPr>
    </w:p>
    <w:p w14:paraId="7645D9BB" w14:textId="0BD26ED1" w:rsidR="00244374" w:rsidRPr="0040341A" w:rsidRDefault="00244374" w:rsidP="00244374">
      <w:pPr>
        <w:tabs>
          <w:tab w:val="num" w:pos="1080"/>
        </w:tabs>
        <w:ind w:right="-578"/>
        <w:jc w:val="right"/>
        <w:rPr>
          <w:bCs/>
          <w:lang w:eastAsia="sk-SK"/>
        </w:rPr>
      </w:pPr>
    </w:p>
    <w:p w14:paraId="70BEC135" w14:textId="77777777" w:rsidR="00244374" w:rsidRPr="0040341A" w:rsidRDefault="00244374" w:rsidP="00244374">
      <w:pPr>
        <w:tabs>
          <w:tab w:val="num" w:pos="1080"/>
        </w:tabs>
        <w:ind w:right="-32"/>
        <w:jc w:val="right"/>
        <w:rPr>
          <w:bCs/>
          <w:lang w:eastAsia="sk-SK"/>
        </w:rPr>
      </w:pPr>
      <w:r w:rsidRPr="0040341A">
        <w:rPr>
          <w:bCs/>
          <w:lang w:eastAsia="sk-SK"/>
        </w:rPr>
        <w:t xml:space="preserve">Tabuľka č. 4 </w:t>
      </w:r>
    </w:p>
    <w:p w14:paraId="61070C35" w14:textId="77777777" w:rsidR="00244374" w:rsidRPr="0040341A" w:rsidRDefault="00244374" w:rsidP="00244374">
      <w:pPr>
        <w:tabs>
          <w:tab w:val="num" w:pos="1080"/>
        </w:tabs>
        <w:jc w:val="both"/>
        <w:rPr>
          <w:bCs/>
          <w:szCs w:val="20"/>
          <w:lang w:eastAsia="sk-SK"/>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244374" w:rsidRPr="0040341A" w14:paraId="6B7B4259" w14:textId="77777777" w:rsidTr="0024437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66C3421" w14:textId="77777777" w:rsidR="00244374" w:rsidRPr="0040341A" w:rsidRDefault="00244374" w:rsidP="00244374">
            <w:pPr>
              <w:jc w:val="center"/>
              <w:rPr>
                <w:b/>
                <w:bCs/>
                <w:sz w:val="20"/>
                <w:szCs w:val="20"/>
                <w:lang w:eastAsia="sk-SK"/>
              </w:rPr>
            </w:pPr>
            <w:r w:rsidRPr="0040341A">
              <w:rPr>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6018BEE3" w14:textId="77777777" w:rsidR="00244374" w:rsidRPr="0040341A" w:rsidRDefault="00244374" w:rsidP="00244374">
            <w:pPr>
              <w:jc w:val="center"/>
              <w:rPr>
                <w:b/>
                <w:bCs/>
                <w:sz w:val="20"/>
                <w:szCs w:val="20"/>
                <w:lang w:eastAsia="sk-SK"/>
              </w:rPr>
            </w:pPr>
            <w:r w:rsidRPr="0040341A">
              <w:rPr>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05FEFB2" w14:textId="77777777" w:rsidR="00244374" w:rsidRPr="0040341A" w:rsidRDefault="00244374" w:rsidP="00244374">
            <w:pPr>
              <w:jc w:val="center"/>
              <w:rPr>
                <w:b/>
                <w:bCs/>
                <w:lang w:eastAsia="sk-SK"/>
              </w:rPr>
            </w:pPr>
            <w:r w:rsidRPr="0040341A">
              <w:rPr>
                <w:b/>
                <w:bCs/>
                <w:lang w:eastAsia="sk-SK"/>
              </w:rPr>
              <w:t>poznámka</w:t>
            </w:r>
          </w:p>
        </w:tc>
      </w:tr>
      <w:tr w:rsidR="00244374" w:rsidRPr="0040341A" w14:paraId="5D95053A" w14:textId="77777777" w:rsidTr="0024437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2AD437E" w14:textId="77777777" w:rsidR="00244374" w:rsidRPr="0040341A" w:rsidRDefault="00244374" w:rsidP="00244374">
            <w:pPr>
              <w:rPr>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7C034004" w14:textId="77777777" w:rsidR="00244374" w:rsidRPr="0040341A" w:rsidRDefault="00244374" w:rsidP="00244374">
            <w:pPr>
              <w:jc w:val="center"/>
              <w:rPr>
                <w:b/>
                <w:bCs/>
                <w:sz w:val="20"/>
                <w:szCs w:val="20"/>
                <w:lang w:eastAsia="sk-SK"/>
              </w:rPr>
            </w:pPr>
            <w:r w:rsidRPr="0040341A">
              <w:rPr>
                <w:b/>
                <w:bCs/>
                <w:sz w:val="20"/>
                <w:szCs w:val="20"/>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14:paraId="23BBD46A" w14:textId="77777777" w:rsidR="00244374" w:rsidRPr="0040341A" w:rsidRDefault="00244374" w:rsidP="00244374">
            <w:pPr>
              <w:jc w:val="center"/>
              <w:rPr>
                <w:b/>
                <w:bCs/>
                <w:sz w:val="20"/>
                <w:szCs w:val="20"/>
                <w:lang w:eastAsia="sk-SK"/>
              </w:rPr>
            </w:pPr>
            <w:r w:rsidRPr="0040341A">
              <w:rPr>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77D09CD4" w14:textId="77777777" w:rsidR="00244374" w:rsidRPr="0040341A" w:rsidRDefault="00244374" w:rsidP="00244374">
            <w:pPr>
              <w:jc w:val="center"/>
              <w:rPr>
                <w:b/>
                <w:bCs/>
                <w:sz w:val="20"/>
                <w:szCs w:val="20"/>
                <w:lang w:eastAsia="sk-SK"/>
              </w:rPr>
            </w:pPr>
            <w:r w:rsidRPr="0040341A">
              <w:rPr>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191D654F" w14:textId="77777777" w:rsidR="00244374" w:rsidRPr="0040341A" w:rsidRDefault="00244374" w:rsidP="00244374">
            <w:pPr>
              <w:jc w:val="center"/>
              <w:rPr>
                <w:b/>
                <w:bCs/>
                <w:sz w:val="20"/>
                <w:szCs w:val="20"/>
                <w:lang w:eastAsia="sk-SK"/>
              </w:rPr>
            </w:pPr>
            <w:r w:rsidRPr="0040341A">
              <w:rPr>
                <w:b/>
                <w:bCs/>
                <w:sz w:val="20"/>
                <w:szCs w:val="20"/>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14:paraId="17C43795" w14:textId="77777777" w:rsidR="00244374" w:rsidRPr="0040341A" w:rsidRDefault="00244374" w:rsidP="00244374">
            <w:pPr>
              <w:rPr>
                <w:b/>
                <w:bCs/>
                <w:lang w:eastAsia="sk-SK"/>
              </w:rPr>
            </w:pPr>
          </w:p>
        </w:tc>
      </w:tr>
      <w:tr w:rsidR="00244374" w:rsidRPr="0040341A" w14:paraId="4328B15C" w14:textId="77777777" w:rsidTr="00244374">
        <w:trPr>
          <w:trHeight w:val="255"/>
        </w:trPr>
        <w:tc>
          <w:tcPr>
            <w:tcW w:w="7070" w:type="dxa"/>
            <w:tcBorders>
              <w:top w:val="nil"/>
              <w:left w:val="single" w:sz="4" w:space="0" w:color="auto"/>
              <w:bottom w:val="single" w:sz="4" w:space="0" w:color="auto"/>
              <w:right w:val="single" w:sz="4" w:space="0" w:color="auto"/>
            </w:tcBorders>
          </w:tcPr>
          <w:p w14:paraId="38F66174" w14:textId="77777777" w:rsidR="00244374" w:rsidRPr="0040341A" w:rsidRDefault="00244374" w:rsidP="00244374">
            <w:pPr>
              <w:rPr>
                <w:b/>
                <w:bCs/>
                <w:sz w:val="20"/>
                <w:szCs w:val="20"/>
                <w:lang w:eastAsia="sk-SK"/>
              </w:rPr>
            </w:pPr>
            <w:r w:rsidRPr="0040341A">
              <w:rPr>
                <w:b/>
                <w:bCs/>
                <w:sz w:val="20"/>
                <w:szCs w:val="20"/>
                <w:lang w:eastAsia="sk-SK"/>
              </w:rPr>
              <w:t>Bežné výdavky (600)</w:t>
            </w:r>
          </w:p>
        </w:tc>
        <w:tc>
          <w:tcPr>
            <w:tcW w:w="1430" w:type="dxa"/>
            <w:tcBorders>
              <w:top w:val="nil"/>
              <w:left w:val="nil"/>
              <w:bottom w:val="single" w:sz="4" w:space="0" w:color="auto"/>
              <w:right w:val="single" w:sz="4" w:space="0" w:color="auto"/>
            </w:tcBorders>
          </w:tcPr>
          <w:p w14:paraId="5F0581BF" w14:textId="77777777" w:rsidR="00244374" w:rsidRPr="0040341A" w:rsidRDefault="00244374" w:rsidP="00244374">
            <w:pPr>
              <w:jc w:val="center"/>
              <w:rPr>
                <w:b/>
                <w:bCs/>
                <w:sz w:val="20"/>
                <w:szCs w:val="20"/>
                <w:lang w:eastAsia="sk-SK"/>
              </w:rPr>
            </w:pPr>
            <w:r w:rsidRPr="0040341A">
              <w:rPr>
                <w:b/>
                <w:bCs/>
                <w:sz w:val="20"/>
                <w:szCs w:val="20"/>
                <w:lang w:eastAsia="sk-SK"/>
              </w:rPr>
              <w:t>1 110 178</w:t>
            </w:r>
          </w:p>
        </w:tc>
        <w:tc>
          <w:tcPr>
            <w:tcW w:w="1650" w:type="dxa"/>
            <w:tcBorders>
              <w:top w:val="nil"/>
              <w:left w:val="nil"/>
              <w:bottom w:val="single" w:sz="4" w:space="0" w:color="auto"/>
              <w:right w:val="single" w:sz="4" w:space="0" w:color="auto"/>
            </w:tcBorders>
          </w:tcPr>
          <w:p w14:paraId="714F57B9" w14:textId="77777777" w:rsidR="00244374" w:rsidRPr="0040341A" w:rsidRDefault="00244374" w:rsidP="00244374">
            <w:pPr>
              <w:jc w:val="center"/>
              <w:rPr>
                <w:b/>
                <w:bCs/>
                <w:sz w:val="20"/>
                <w:szCs w:val="20"/>
                <w:lang w:eastAsia="sk-SK"/>
              </w:rPr>
            </w:pPr>
            <w:r w:rsidRPr="0040341A">
              <w:rPr>
                <w:b/>
                <w:bCs/>
                <w:sz w:val="20"/>
                <w:szCs w:val="20"/>
                <w:lang w:eastAsia="sk-SK"/>
              </w:rPr>
              <w:t>1 110 178</w:t>
            </w:r>
          </w:p>
        </w:tc>
        <w:tc>
          <w:tcPr>
            <w:tcW w:w="1540" w:type="dxa"/>
            <w:tcBorders>
              <w:top w:val="nil"/>
              <w:left w:val="nil"/>
              <w:bottom w:val="single" w:sz="4" w:space="0" w:color="auto"/>
              <w:right w:val="single" w:sz="4" w:space="0" w:color="auto"/>
            </w:tcBorders>
          </w:tcPr>
          <w:p w14:paraId="0BE53E29" w14:textId="77777777" w:rsidR="00244374" w:rsidRPr="0040341A" w:rsidRDefault="00244374" w:rsidP="00244374">
            <w:pPr>
              <w:jc w:val="center"/>
              <w:rPr>
                <w:b/>
                <w:bCs/>
                <w:sz w:val="20"/>
                <w:szCs w:val="20"/>
                <w:lang w:eastAsia="sk-SK"/>
              </w:rPr>
            </w:pPr>
            <w:r w:rsidRPr="0040341A">
              <w:rPr>
                <w:b/>
                <w:bCs/>
                <w:sz w:val="20"/>
                <w:szCs w:val="20"/>
                <w:lang w:eastAsia="sk-SK"/>
              </w:rPr>
              <w:t>1 110 178</w:t>
            </w:r>
          </w:p>
        </w:tc>
        <w:tc>
          <w:tcPr>
            <w:tcW w:w="1540" w:type="dxa"/>
            <w:tcBorders>
              <w:top w:val="nil"/>
              <w:left w:val="nil"/>
              <w:bottom w:val="single" w:sz="4" w:space="0" w:color="auto"/>
              <w:right w:val="single" w:sz="4" w:space="0" w:color="auto"/>
            </w:tcBorders>
          </w:tcPr>
          <w:p w14:paraId="748E5860" w14:textId="77777777" w:rsidR="00244374" w:rsidRPr="0040341A" w:rsidRDefault="00244374" w:rsidP="00244374">
            <w:pPr>
              <w:jc w:val="center"/>
              <w:rPr>
                <w:b/>
                <w:bCs/>
                <w:lang w:eastAsia="sk-SK"/>
              </w:rPr>
            </w:pPr>
            <w:r w:rsidRPr="0040341A">
              <w:rPr>
                <w:b/>
                <w:bCs/>
                <w:sz w:val="20"/>
                <w:szCs w:val="20"/>
                <w:lang w:eastAsia="sk-SK"/>
              </w:rPr>
              <w:t>1 110 178</w:t>
            </w:r>
          </w:p>
        </w:tc>
        <w:tc>
          <w:tcPr>
            <w:tcW w:w="1649" w:type="dxa"/>
            <w:tcBorders>
              <w:top w:val="nil"/>
              <w:left w:val="nil"/>
              <w:bottom w:val="single" w:sz="4" w:space="0" w:color="auto"/>
              <w:right w:val="single" w:sz="4" w:space="0" w:color="auto"/>
            </w:tcBorders>
            <w:noWrap/>
            <w:vAlign w:val="bottom"/>
          </w:tcPr>
          <w:p w14:paraId="13E13E88" w14:textId="77777777" w:rsidR="00244374" w:rsidRPr="0040341A" w:rsidRDefault="00244374" w:rsidP="00244374">
            <w:pPr>
              <w:rPr>
                <w:lang w:eastAsia="sk-SK"/>
              </w:rPr>
            </w:pPr>
            <w:r w:rsidRPr="0040341A">
              <w:rPr>
                <w:lang w:eastAsia="sk-SK"/>
              </w:rPr>
              <w:t> </w:t>
            </w:r>
          </w:p>
        </w:tc>
      </w:tr>
      <w:tr w:rsidR="00244374" w:rsidRPr="0040341A" w14:paraId="6BB5AEC4" w14:textId="77777777" w:rsidTr="00244374">
        <w:trPr>
          <w:trHeight w:val="255"/>
        </w:trPr>
        <w:tc>
          <w:tcPr>
            <w:tcW w:w="7070" w:type="dxa"/>
            <w:tcBorders>
              <w:top w:val="nil"/>
              <w:left w:val="single" w:sz="4" w:space="0" w:color="auto"/>
              <w:bottom w:val="single" w:sz="4" w:space="0" w:color="auto"/>
              <w:right w:val="single" w:sz="4" w:space="0" w:color="auto"/>
            </w:tcBorders>
          </w:tcPr>
          <w:p w14:paraId="0B28FAFB" w14:textId="77777777" w:rsidR="00244374" w:rsidRPr="0040341A" w:rsidRDefault="00244374" w:rsidP="00244374">
            <w:pPr>
              <w:rPr>
                <w:sz w:val="20"/>
                <w:szCs w:val="20"/>
                <w:lang w:eastAsia="sk-SK"/>
              </w:rPr>
            </w:pPr>
            <w:r w:rsidRPr="0040341A">
              <w:rPr>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E311985" w14:textId="77777777" w:rsidR="00244374" w:rsidRPr="0040341A" w:rsidRDefault="00244374" w:rsidP="00244374">
            <w:pPr>
              <w:jc w:val="center"/>
              <w:rPr>
                <w:sz w:val="20"/>
                <w:szCs w:val="20"/>
                <w:lang w:eastAsia="sk-SK"/>
              </w:rPr>
            </w:pPr>
          </w:p>
        </w:tc>
        <w:tc>
          <w:tcPr>
            <w:tcW w:w="1650" w:type="dxa"/>
            <w:tcBorders>
              <w:top w:val="nil"/>
              <w:left w:val="nil"/>
              <w:bottom w:val="single" w:sz="4" w:space="0" w:color="auto"/>
              <w:right w:val="single" w:sz="4" w:space="0" w:color="auto"/>
            </w:tcBorders>
          </w:tcPr>
          <w:p w14:paraId="7CACCED7"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0C8811E8"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5B23B83D" w14:textId="77777777" w:rsidR="00244374" w:rsidRPr="0040341A" w:rsidRDefault="00244374" w:rsidP="00244374">
            <w:pPr>
              <w:jc w:val="center"/>
              <w:rPr>
                <w:lang w:eastAsia="sk-SK"/>
              </w:rPr>
            </w:pPr>
          </w:p>
        </w:tc>
        <w:tc>
          <w:tcPr>
            <w:tcW w:w="1649" w:type="dxa"/>
            <w:tcBorders>
              <w:top w:val="nil"/>
              <w:left w:val="nil"/>
              <w:bottom w:val="single" w:sz="4" w:space="0" w:color="auto"/>
              <w:right w:val="single" w:sz="4" w:space="0" w:color="auto"/>
            </w:tcBorders>
            <w:noWrap/>
            <w:vAlign w:val="bottom"/>
          </w:tcPr>
          <w:p w14:paraId="045FD687" w14:textId="77777777" w:rsidR="00244374" w:rsidRPr="0040341A" w:rsidRDefault="00244374" w:rsidP="00244374">
            <w:pPr>
              <w:rPr>
                <w:lang w:eastAsia="sk-SK"/>
              </w:rPr>
            </w:pPr>
            <w:r w:rsidRPr="0040341A">
              <w:rPr>
                <w:lang w:eastAsia="sk-SK"/>
              </w:rPr>
              <w:t> </w:t>
            </w:r>
          </w:p>
        </w:tc>
      </w:tr>
      <w:tr w:rsidR="00244374" w:rsidRPr="0040341A" w14:paraId="1B6AA304" w14:textId="77777777" w:rsidTr="00244374">
        <w:trPr>
          <w:trHeight w:val="255"/>
        </w:trPr>
        <w:tc>
          <w:tcPr>
            <w:tcW w:w="7070" w:type="dxa"/>
            <w:tcBorders>
              <w:top w:val="nil"/>
              <w:left w:val="single" w:sz="4" w:space="0" w:color="auto"/>
              <w:bottom w:val="single" w:sz="4" w:space="0" w:color="auto"/>
              <w:right w:val="single" w:sz="4" w:space="0" w:color="auto"/>
            </w:tcBorders>
          </w:tcPr>
          <w:p w14:paraId="33FE781C" w14:textId="77777777" w:rsidR="00244374" w:rsidRPr="0040341A" w:rsidRDefault="00244374" w:rsidP="00244374">
            <w:pPr>
              <w:rPr>
                <w:sz w:val="20"/>
                <w:szCs w:val="20"/>
                <w:vertAlign w:val="superscript"/>
                <w:lang w:eastAsia="sk-SK"/>
              </w:rPr>
            </w:pPr>
            <w:r w:rsidRPr="0040341A">
              <w:rPr>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44529B05" w14:textId="77777777" w:rsidR="00244374" w:rsidRPr="0040341A" w:rsidRDefault="00244374" w:rsidP="00244374">
            <w:pPr>
              <w:jc w:val="center"/>
              <w:rPr>
                <w:sz w:val="20"/>
                <w:szCs w:val="20"/>
                <w:lang w:eastAsia="sk-SK"/>
              </w:rPr>
            </w:pPr>
          </w:p>
        </w:tc>
        <w:tc>
          <w:tcPr>
            <w:tcW w:w="1650" w:type="dxa"/>
            <w:tcBorders>
              <w:top w:val="nil"/>
              <w:left w:val="nil"/>
              <w:bottom w:val="single" w:sz="4" w:space="0" w:color="auto"/>
              <w:right w:val="single" w:sz="4" w:space="0" w:color="auto"/>
            </w:tcBorders>
          </w:tcPr>
          <w:p w14:paraId="3011E848"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3A08E75A"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02A02F55" w14:textId="77777777" w:rsidR="00244374" w:rsidRPr="0040341A" w:rsidRDefault="00244374" w:rsidP="00244374">
            <w:pPr>
              <w:jc w:val="center"/>
              <w:rPr>
                <w:lang w:eastAsia="sk-SK"/>
              </w:rPr>
            </w:pPr>
          </w:p>
        </w:tc>
        <w:tc>
          <w:tcPr>
            <w:tcW w:w="1649" w:type="dxa"/>
            <w:tcBorders>
              <w:top w:val="nil"/>
              <w:left w:val="nil"/>
              <w:bottom w:val="single" w:sz="4" w:space="0" w:color="auto"/>
              <w:right w:val="single" w:sz="4" w:space="0" w:color="auto"/>
            </w:tcBorders>
            <w:noWrap/>
            <w:vAlign w:val="bottom"/>
          </w:tcPr>
          <w:p w14:paraId="564475DE" w14:textId="77777777" w:rsidR="00244374" w:rsidRPr="0040341A" w:rsidRDefault="00244374" w:rsidP="00244374">
            <w:pPr>
              <w:rPr>
                <w:lang w:eastAsia="sk-SK"/>
              </w:rPr>
            </w:pPr>
            <w:r w:rsidRPr="0040341A">
              <w:rPr>
                <w:lang w:eastAsia="sk-SK"/>
              </w:rPr>
              <w:t> </w:t>
            </w:r>
          </w:p>
        </w:tc>
      </w:tr>
      <w:tr w:rsidR="00244374" w:rsidRPr="0040341A" w14:paraId="262A048A" w14:textId="77777777" w:rsidTr="00244374">
        <w:trPr>
          <w:trHeight w:val="255"/>
        </w:trPr>
        <w:tc>
          <w:tcPr>
            <w:tcW w:w="7070" w:type="dxa"/>
            <w:tcBorders>
              <w:top w:val="nil"/>
              <w:left w:val="single" w:sz="4" w:space="0" w:color="auto"/>
              <w:bottom w:val="single" w:sz="4" w:space="0" w:color="auto"/>
              <w:right w:val="single" w:sz="4" w:space="0" w:color="auto"/>
            </w:tcBorders>
          </w:tcPr>
          <w:p w14:paraId="64FC8101" w14:textId="77777777" w:rsidR="00244374" w:rsidRPr="0040341A" w:rsidRDefault="00244374" w:rsidP="00244374">
            <w:pPr>
              <w:rPr>
                <w:sz w:val="20"/>
                <w:szCs w:val="20"/>
                <w:vertAlign w:val="superscript"/>
                <w:lang w:eastAsia="sk-SK"/>
              </w:rPr>
            </w:pPr>
            <w:r w:rsidRPr="0040341A">
              <w:rPr>
                <w:sz w:val="20"/>
                <w:szCs w:val="20"/>
                <w:lang w:eastAsia="sk-SK"/>
              </w:rPr>
              <w:t xml:space="preserve">  Tovary a služby (630)</w:t>
            </w:r>
            <w:r w:rsidRPr="0040341A">
              <w:rPr>
                <w:sz w:val="20"/>
                <w:szCs w:val="20"/>
                <w:vertAlign w:val="superscript"/>
                <w:lang w:eastAsia="sk-SK"/>
              </w:rPr>
              <w:t>2</w:t>
            </w:r>
          </w:p>
        </w:tc>
        <w:tc>
          <w:tcPr>
            <w:tcW w:w="1430" w:type="dxa"/>
            <w:tcBorders>
              <w:top w:val="nil"/>
              <w:left w:val="nil"/>
              <w:bottom w:val="single" w:sz="4" w:space="0" w:color="auto"/>
              <w:right w:val="single" w:sz="4" w:space="0" w:color="auto"/>
            </w:tcBorders>
          </w:tcPr>
          <w:p w14:paraId="45EDF82D" w14:textId="77777777" w:rsidR="00244374" w:rsidRPr="0040341A" w:rsidRDefault="00244374" w:rsidP="00244374">
            <w:pPr>
              <w:jc w:val="center"/>
              <w:rPr>
                <w:sz w:val="20"/>
                <w:szCs w:val="20"/>
                <w:lang w:eastAsia="sk-SK"/>
              </w:rPr>
            </w:pPr>
          </w:p>
        </w:tc>
        <w:tc>
          <w:tcPr>
            <w:tcW w:w="1650" w:type="dxa"/>
            <w:tcBorders>
              <w:top w:val="nil"/>
              <w:left w:val="nil"/>
              <w:bottom w:val="single" w:sz="4" w:space="0" w:color="auto"/>
              <w:right w:val="single" w:sz="4" w:space="0" w:color="auto"/>
            </w:tcBorders>
          </w:tcPr>
          <w:p w14:paraId="5556B701"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7AB78756"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6DCFF69C" w14:textId="77777777" w:rsidR="00244374" w:rsidRPr="0040341A" w:rsidRDefault="00244374" w:rsidP="00244374">
            <w:pPr>
              <w:jc w:val="center"/>
              <w:rPr>
                <w:lang w:eastAsia="sk-SK"/>
              </w:rPr>
            </w:pPr>
          </w:p>
        </w:tc>
        <w:tc>
          <w:tcPr>
            <w:tcW w:w="1649" w:type="dxa"/>
            <w:tcBorders>
              <w:top w:val="nil"/>
              <w:left w:val="nil"/>
              <w:bottom w:val="single" w:sz="4" w:space="0" w:color="auto"/>
              <w:right w:val="single" w:sz="4" w:space="0" w:color="auto"/>
            </w:tcBorders>
            <w:noWrap/>
            <w:vAlign w:val="bottom"/>
          </w:tcPr>
          <w:p w14:paraId="5E34AEFD" w14:textId="77777777" w:rsidR="00244374" w:rsidRPr="0040341A" w:rsidRDefault="00244374" w:rsidP="00244374">
            <w:pPr>
              <w:rPr>
                <w:lang w:eastAsia="sk-SK"/>
              </w:rPr>
            </w:pPr>
            <w:r w:rsidRPr="0040341A">
              <w:rPr>
                <w:lang w:eastAsia="sk-SK"/>
              </w:rPr>
              <w:t> </w:t>
            </w:r>
          </w:p>
        </w:tc>
      </w:tr>
      <w:tr w:rsidR="00244374" w:rsidRPr="0040341A" w14:paraId="484AEED3" w14:textId="77777777" w:rsidTr="00244374">
        <w:trPr>
          <w:trHeight w:val="255"/>
        </w:trPr>
        <w:tc>
          <w:tcPr>
            <w:tcW w:w="7070" w:type="dxa"/>
            <w:tcBorders>
              <w:top w:val="nil"/>
              <w:left w:val="single" w:sz="4" w:space="0" w:color="auto"/>
              <w:bottom w:val="single" w:sz="4" w:space="0" w:color="auto"/>
              <w:right w:val="single" w:sz="4" w:space="0" w:color="auto"/>
            </w:tcBorders>
          </w:tcPr>
          <w:p w14:paraId="34FCF9CD" w14:textId="77777777" w:rsidR="00244374" w:rsidRPr="0040341A" w:rsidRDefault="00244374" w:rsidP="00244374">
            <w:pPr>
              <w:rPr>
                <w:sz w:val="20"/>
                <w:szCs w:val="20"/>
                <w:lang w:eastAsia="sk-SK"/>
              </w:rPr>
            </w:pPr>
            <w:r w:rsidRPr="0040341A">
              <w:rPr>
                <w:sz w:val="20"/>
                <w:szCs w:val="20"/>
                <w:lang w:eastAsia="sk-SK"/>
              </w:rPr>
              <w:t xml:space="preserve">  Bežné transfery (640)</w:t>
            </w:r>
            <w:r w:rsidRPr="0040341A">
              <w:rPr>
                <w:sz w:val="20"/>
                <w:szCs w:val="20"/>
                <w:vertAlign w:val="superscript"/>
                <w:lang w:eastAsia="sk-SK"/>
              </w:rPr>
              <w:t>2</w:t>
            </w:r>
          </w:p>
        </w:tc>
        <w:tc>
          <w:tcPr>
            <w:tcW w:w="1430" w:type="dxa"/>
            <w:tcBorders>
              <w:top w:val="nil"/>
              <w:left w:val="nil"/>
              <w:bottom w:val="single" w:sz="4" w:space="0" w:color="auto"/>
              <w:right w:val="single" w:sz="4" w:space="0" w:color="auto"/>
            </w:tcBorders>
          </w:tcPr>
          <w:p w14:paraId="6807F4E1" w14:textId="77777777" w:rsidR="00244374" w:rsidRPr="0040341A" w:rsidRDefault="00244374" w:rsidP="00244374">
            <w:pPr>
              <w:jc w:val="center"/>
              <w:rPr>
                <w:sz w:val="20"/>
                <w:szCs w:val="20"/>
                <w:lang w:eastAsia="sk-SK"/>
              </w:rPr>
            </w:pPr>
            <w:r w:rsidRPr="0040341A">
              <w:rPr>
                <w:sz w:val="20"/>
                <w:szCs w:val="20"/>
                <w:lang w:eastAsia="sk-SK"/>
              </w:rPr>
              <w:t>1 110 178</w:t>
            </w:r>
          </w:p>
        </w:tc>
        <w:tc>
          <w:tcPr>
            <w:tcW w:w="1650" w:type="dxa"/>
            <w:tcBorders>
              <w:top w:val="nil"/>
              <w:left w:val="nil"/>
              <w:bottom w:val="single" w:sz="4" w:space="0" w:color="auto"/>
              <w:right w:val="single" w:sz="4" w:space="0" w:color="auto"/>
            </w:tcBorders>
          </w:tcPr>
          <w:p w14:paraId="144A398D" w14:textId="77777777" w:rsidR="00244374" w:rsidRPr="0040341A" w:rsidRDefault="00244374" w:rsidP="00244374">
            <w:pPr>
              <w:jc w:val="center"/>
              <w:rPr>
                <w:sz w:val="20"/>
                <w:szCs w:val="20"/>
                <w:lang w:eastAsia="sk-SK"/>
              </w:rPr>
            </w:pPr>
            <w:r w:rsidRPr="0040341A">
              <w:rPr>
                <w:sz w:val="20"/>
                <w:szCs w:val="20"/>
                <w:lang w:eastAsia="sk-SK"/>
              </w:rPr>
              <w:t>1 110 178</w:t>
            </w:r>
          </w:p>
        </w:tc>
        <w:tc>
          <w:tcPr>
            <w:tcW w:w="1540" w:type="dxa"/>
            <w:tcBorders>
              <w:top w:val="nil"/>
              <w:left w:val="nil"/>
              <w:bottom w:val="single" w:sz="4" w:space="0" w:color="auto"/>
              <w:right w:val="single" w:sz="4" w:space="0" w:color="auto"/>
            </w:tcBorders>
          </w:tcPr>
          <w:p w14:paraId="7E8E9994" w14:textId="77777777" w:rsidR="00244374" w:rsidRPr="0040341A" w:rsidRDefault="00244374" w:rsidP="00244374">
            <w:pPr>
              <w:jc w:val="center"/>
              <w:rPr>
                <w:sz w:val="20"/>
                <w:szCs w:val="20"/>
                <w:lang w:eastAsia="sk-SK"/>
              </w:rPr>
            </w:pPr>
            <w:r w:rsidRPr="0040341A">
              <w:rPr>
                <w:sz w:val="20"/>
                <w:szCs w:val="20"/>
                <w:lang w:eastAsia="sk-SK"/>
              </w:rPr>
              <w:t>1 110 178</w:t>
            </w:r>
          </w:p>
        </w:tc>
        <w:tc>
          <w:tcPr>
            <w:tcW w:w="1540" w:type="dxa"/>
            <w:tcBorders>
              <w:top w:val="nil"/>
              <w:left w:val="nil"/>
              <w:bottom w:val="single" w:sz="4" w:space="0" w:color="auto"/>
              <w:right w:val="single" w:sz="4" w:space="0" w:color="auto"/>
            </w:tcBorders>
          </w:tcPr>
          <w:p w14:paraId="3FA6CE48" w14:textId="77777777" w:rsidR="00244374" w:rsidRPr="0040341A" w:rsidRDefault="00244374" w:rsidP="00244374">
            <w:pPr>
              <w:jc w:val="center"/>
              <w:rPr>
                <w:lang w:eastAsia="sk-SK"/>
              </w:rPr>
            </w:pPr>
            <w:r w:rsidRPr="0040341A">
              <w:rPr>
                <w:sz w:val="20"/>
                <w:szCs w:val="20"/>
                <w:lang w:eastAsia="sk-SK"/>
              </w:rPr>
              <w:t>1 110 178</w:t>
            </w:r>
          </w:p>
        </w:tc>
        <w:tc>
          <w:tcPr>
            <w:tcW w:w="1649" w:type="dxa"/>
            <w:tcBorders>
              <w:top w:val="nil"/>
              <w:left w:val="nil"/>
              <w:bottom w:val="single" w:sz="4" w:space="0" w:color="auto"/>
              <w:right w:val="single" w:sz="4" w:space="0" w:color="auto"/>
            </w:tcBorders>
            <w:noWrap/>
            <w:vAlign w:val="bottom"/>
          </w:tcPr>
          <w:p w14:paraId="7D448262" w14:textId="77777777" w:rsidR="00244374" w:rsidRPr="0040341A" w:rsidRDefault="00244374" w:rsidP="00244374">
            <w:pPr>
              <w:rPr>
                <w:lang w:eastAsia="sk-SK"/>
              </w:rPr>
            </w:pPr>
            <w:r w:rsidRPr="0040341A">
              <w:rPr>
                <w:lang w:eastAsia="sk-SK"/>
              </w:rPr>
              <w:t> </w:t>
            </w:r>
          </w:p>
        </w:tc>
      </w:tr>
      <w:tr w:rsidR="00244374" w:rsidRPr="0040341A" w14:paraId="73C43E11" w14:textId="77777777" w:rsidTr="00244374">
        <w:trPr>
          <w:trHeight w:val="255"/>
        </w:trPr>
        <w:tc>
          <w:tcPr>
            <w:tcW w:w="7070" w:type="dxa"/>
            <w:tcBorders>
              <w:top w:val="nil"/>
              <w:left w:val="single" w:sz="4" w:space="0" w:color="auto"/>
              <w:bottom w:val="single" w:sz="4" w:space="0" w:color="auto"/>
              <w:right w:val="single" w:sz="4" w:space="0" w:color="auto"/>
            </w:tcBorders>
            <w:vAlign w:val="center"/>
          </w:tcPr>
          <w:p w14:paraId="7DB8ECFD" w14:textId="77777777" w:rsidR="00244374" w:rsidRPr="0040341A" w:rsidRDefault="00244374" w:rsidP="00244374">
            <w:pPr>
              <w:rPr>
                <w:sz w:val="20"/>
                <w:szCs w:val="20"/>
                <w:lang w:eastAsia="sk-SK"/>
              </w:rPr>
            </w:pPr>
            <w:r w:rsidRPr="0040341A">
              <w:rPr>
                <w:sz w:val="20"/>
                <w:szCs w:val="20"/>
                <w:lang w:eastAsia="sk-SK"/>
              </w:rPr>
              <w:t xml:space="preserve">  Splácanie úrokov a ostatné platby súvisiace s </w:t>
            </w:r>
            <w:r w:rsidRPr="0040341A">
              <w:t xml:space="preserve"> </w:t>
            </w:r>
            <w:r w:rsidRPr="0040341A">
              <w:rPr>
                <w:sz w:val="20"/>
                <w:szCs w:val="20"/>
                <w:lang w:eastAsia="sk-SK"/>
              </w:rPr>
              <w:t>úverom, pôžičkou, návratnou finančnou výpomocou a finančným prenájmom (650)</w:t>
            </w:r>
            <w:r w:rsidRPr="0040341A">
              <w:rPr>
                <w:sz w:val="20"/>
                <w:szCs w:val="20"/>
                <w:vertAlign w:val="superscript"/>
                <w:lang w:eastAsia="sk-SK"/>
              </w:rPr>
              <w:t>2</w:t>
            </w:r>
          </w:p>
        </w:tc>
        <w:tc>
          <w:tcPr>
            <w:tcW w:w="1430" w:type="dxa"/>
            <w:tcBorders>
              <w:top w:val="nil"/>
              <w:left w:val="nil"/>
              <w:bottom w:val="single" w:sz="4" w:space="0" w:color="auto"/>
              <w:right w:val="single" w:sz="4" w:space="0" w:color="auto"/>
            </w:tcBorders>
          </w:tcPr>
          <w:p w14:paraId="3A68AC08" w14:textId="77777777" w:rsidR="00244374" w:rsidRPr="0040341A" w:rsidRDefault="00244374" w:rsidP="00244374">
            <w:pPr>
              <w:jc w:val="center"/>
              <w:rPr>
                <w:sz w:val="20"/>
                <w:szCs w:val="20"/>
                <w:lang w:eastAsia="sk-SK"/>
              </w:rPr>
            </w:pPr>
          </w:p>
        </w:tc>
        <w:tc>
          <w:tcPr>
            <w:tcW w:w="1650" w:type="dxa"/>
            <w:tcBorders>
              <w:top w:val="nil"/>
              <w:left w:val="nil"/>
              <w:bottom w:val="single" w:sz="4" w:space="0" w:color="auto"/>
              <w:right w:val="single" w:sz="4" w:space="0" w:color="auto"/>
            </w:tcBorders>
          </w:tcPr>
          <w:p w14:paraId="5C9C8E24"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7D05CFBE"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62FFB5F7" w14:textId="77777777" w:rsidR="00244374" w:rsidRPr="0040341A" w:rsidRDefault="00244374" w:rsidP="00244374">
            <w:pPr>
              <w:jc w:val="center"/>
              <w:rPr>
                <w:lang w:eastAsia="sk-SK"/>
              </w:rPr>
            </w:pPr>
          </w:p>
        </w:tc>
        <w:tc>
          <w:tcPr>
            <w:tcW w:w="1649" w:type="dxa"/>
            <w:tcBorders>
              <w:top w:val="nil"/>
              <w:left w:val="nil"/>
              <w:bottom w:val="single" w:sz="4" w:space="0" w:color="auto"/>
              <w:right w:val="single" w:sz="4" w:space="0" w:color="auto"/>
            </w:tcBorders>
            <w:noWrap/>
            <w:vAlign w:val="bottom"/>
          </w:tcPr>
          <w:p w14:paraId="06F4AE02" w14:textId="77777777" w:rsidR="00244374" w:rsidRPr="0040341A" w:rsidRDefault="00244374" w:rsidP="00244374">
            <w:pPr>
              <w:rPr>
                <w:lang w:eastAsia="sk-SK"/>
              </w:rPr>
            </w:pPr>
          </w:p>
        </w:tc>
      </w:tr>
      <w:tr w:rsidR="00244374" w:rsidRPr="0040341A" w14:paraId="6596DB80" w14:textId="77777777" w:rsidTr="00244374">
        <w:trPr>
          <w:trHeight w:val="255"/>
        </w:trPr>
        <w:tc>
          <w:tcPr>
            <w:tcW w:w="7070" w:type="dxa"/>
            <w:tcBorders>
              <w:top w:val="nil"/>
              <w:left w:val="single" w:sz="4" w:space="0" w:color="auto"/>
              <w:bottom w:val="single" w:sz="4" w:space="0" w:color="auto"/>
              <w:right w:val="single" w:sz="4" w:space="0" w:color="auto"/>
            </w:tcBorders>
          </w:tcPr>
          <w:p w14:paraId="4A8E0CFC" w14:textId="77777777" w:rsidR="00244374" w:rsidRPr="0040341A" w:rsidRDefault="00244374" w:rsidP="00244374">
            <w:pPr>
              <w:rPr>
                <w:b/>
                <w:bCs/>
                <w:sz w:val="20"/>
                <w:szCs w:val="20"/>
                <w:lang w:eastAsia="sk-SK"/>
              </w:rPr>
            </w:pPr>
            <w:r w:rsidRPr="0040341A">
              <w:rPr>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4694EE4C" w14:textId="77777777" w:rsidR="00244374" w:rsidRPr="0040341A" w:rsidRDefault="00244374" w:rsidP="00244374">
            <w:pPr>
              <w:jc w:val="center"/>
              <w:rPr>
                <w:b/>
                <w:bCs/>
                <w:sz w:val="20"/>
                <w:szCs w:val="20"/>
                <w:lang w:eastAsia="sk-SK"/>
              </w:rPr>
            </w:pPr>
          </w:p>
        </w:tc>
        <w:tc>
          <w:tcPr>
            <w:tcW w:w="1650" w:type="dxa"/>
            <w:tcBorders>
              <w:top w:val="nil"/>
              <w:left w:val="nil"/>
              <w:bottom w:val="single" w:sz="4" w:space="0" w:color="auto"/>
              <w:right w:val="single" w:sz="4" w:space="0" w:color="auto"/>
            </w:tcBorders>
          </w:tcPr>
          <w:p w14:paraId="5A86AFC7" w14:textId="77777777" w:rsidR="00244374" w:rsidRPr="0040341A" w:rsidRDefault="00244374" w:rsidP="00244374">
            <w:pPr>
              <w:jc w:val="center"/>
              <w:rPr>
                <w:b/>
                <w:bCs/>
                <w:sz w:val="20"/>
                <w:szCs w:val="20"/>
                <w:lang w:eastAsia="sk-SK"/>
              </w:rPr>
            </w:pPr>
          </w:p>
        </w:tc>
        <w:tc>
          <w:tcPr>
            <w:tcW w:w="1540" w:type="dxa"/>
            <w:tcBorders>
              <w:top w:val="nil"/>
              <w:left w:val="nil"/>
              <w:bottom w:val="single" w:sz="4" w:space="0" w:color="auto"/>
              <w:right w:val="single" w:sz="4" w:space="0" w:color="auto"/>
            </w:tcBorders>
          </w:tcPr>
          <w:p w14:paraId="7C123AC8" w14:textId="77777777" w:rsidR="00244374" w:rsidRPr="0040341A" w:rsidRDefault="00244374" w:rsidP="00244374">
            <w:pPr>
              <w:jc w:val="center"/>
              <w:rPr>
                <w:b/>
                <w:bCs/>
                <w:sz w:val="20"/>
                <w:szCs w:val="20"/>
                <w:lang w:eastAsia="sk-SK"/>
              </w:rPr>
            </w:pPr>
          </w:p>
        </w:tc>
        <w:tc>
          <w:tcPr>
            <w:tcW w:w="1540" w:type="dxa"/>
            <w:tcBorders>
              <w:top w:val="nil"/>
              <w:left w:val="nil"/>
              <w:bottom w:val="single" w:sz="4" w:space="0" w:color="auto"/>
              <w:right w:val="single" w:sz="4" w:space="0" w:color="auto"/>
            </w:tcBorders>
          </w:tcPr>
          <w:p w14:paraId="62661486" w14:textId="77777777" w:rsidR="00244374" w:rsidRPr="0040341A" w:rsidRDefault="00244374" w:rsidP="00244374">
            <w:pPr>
              <w:jc w:val="center"/>
              <w:rPr>
                <w:b/>
                <w:bCs/>
                <w:lang w:eastAsia="sk-SK"/>
              </w:rPr>
            </w:pPr>
          </w:p>
        </w:tc>
        <w:tc>
          <w:tcPr>
            <w:tcW w:w="1649" w:type="dxa"/>
            <w:tcBorders>
              <w:top w:val="nil"/>
              <w:left w:val="nil"/>
              <w:bottom w:val="single" w:sz="4" w:space="0" w:color="auto"/>
              <w:right w:val="single" w:sz="4" w:space="0" w:color="auto"/>
            </w:tcBorders>
            <w:noWrap/>
            <w:vAlign w:val="bottom"/>
          </w:tcPr>
          <w:p w14:paraId="012E3AEA" w14:textId="77777777" w:rsidR="00244374" w:rsidRPr="0040341A" w:rsidRDefault="00244374" w:rsidP="00244374">
            <w:pPr>
              <w:rPr>
                <w:lang w:eastAsia="sk-SK"/>
              </w:rPr>
            </w:pPr>
            <w:r w:rsidRPr="0040341A">
              <w:rPr>
                <w:lang w:eastAsia="sk-SK"/>
              </w:rPr>
              <w:t> </w:t>
            </w:r>
          </w:p>
        </w:tc>
      </w:tr>
      <w:tr w:rsidR="00244374" w:rsidRPr="0040341A" w14:paraId="3FB8481D" w14:textId="77777777" w:rsidTr="00244374">
        <w:trPr>
          <w:trHeight w:val="255"/>
        </w:trPr>
        <w:tc>
          <w:tcPr>
            <w:tcW w:w="7070" w:type="dxa"/>
            <w:tcBorders>
              <w:top w:val="nil"/>
              <w:left w:val="single" w:sz="4" w:space="0" w:color="auto"/>
              <w:bottom w:val="single" w:sz="4" w:space="0" w:color="auto"/>
              <w:right w:val="single" w:sz="4" w:space="0" w:color="auto"/>
            </w:tcBorders>
          </w:tcPr>
          <w:p w14:paraId="676FBC0E" w14:textId="77777777" w:rsidR="00244374" w:rsidRPr="0040341A" w:rsidRDefault="00244374" w:rsidP="00244374">
            <w:pPr>
              <w:rPr>
                <w:sz w:val="20"/>
                <w:szCs w:val="20"/>
                <w:lang w:eastAsia="sk-SK"/>
              </w:rPr>
            </w:pPr>
            <w:r w:rsidRPr="0040341A">
              <w:rPr>
                <w:sz w:val="20"/>
                <w:szCs w:val="20"/>
                <w:lang w:eastAsia="sk-SK"/>
              </w:rPr>
              <w:t xml:space="preserve">  Obstarávanie kapitálových aktív (710)</w:t>
            </w:r>
            <w:r w:rsidRPr="0040341A">
              <w:rPr>
                <w:sz w:val="20"/>
                <w:szCs w:val="20"/>
                <w:vertAlign w:val="superscript"/>
                <w:lang w:eastAsia="sk-SK"/>
              </w:rPr>
              <w:t>2</w:t>
            </w:r>
          </w:p>
        </w:tc>
        <w:tc>
          <w:tcPr>
            <w:tcW w:w="1430" w:type="dxa"/>
            <w:tcBorders>
              <w:top w:val="nil"/>
              <w:left w:val="nil"/>
              <w:bottom w:val="single" w:sz="4" w:space="0" w:color="auto"/>
              <w:right w:val="single" w:sz="4" w:space="0" w:color="auto"/>
            </w:tcBorders>
          </w:tcPr>
          <w:p w14:paraId="448E425F" w14:textId="77777777" w:rsidR="00244374" w:rsidRPr="0040341A" w:rsidRDefault="00244374" w:rsidP="00244374">
            <w:pPr>
              <w:jc w:val="center"/>
              <w:rPr>
                <w:sz w:val="20"/>
                <w:szCs w:val="20"/>
                <w:lang w:eastAsia="sk-SK"/>
              </w:rPr>
            </w:pPr>
          </w:p>
        </w:tc>
        <w:tc>
          <w:tcPr>
            <w:tcW w:w="1650" w:type="dxa"/>
            <w:tcBorders>
              <w:top w:val="nil"/>
              <w:left w:val="nil"/>
              <w:bottom w:val="single" w:sz="4" w:space="0" w:color="auto"/>
              <w:right w:val="single" w:sz="4" w:space="0" w:color="auto"/>
            </w:tcBorders>
          </w:tcPr>
          <w:p w14:paraId="209515D3"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1272F4EE"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5F2B078E" w14:textId="77777777" w:rsidR="00244374" w:rsidRPr="0040341A" w:rsidRDefault="00244374" w:rsidP="00244374">
            <w:pPr>
              <w:jc w:val="center"/>
              <w:rPr>
                <w:lang w:eastAsia="sk-SK"/>
              </w:rPr>
            </w:pPr>
          </w:p>
        </w:tc>
        <w:tc>
          <w:tcPr>
            <w:tcW w:w="1649" w:type="dxa"/>
            <w:tcBorders>
              <w:top w:val="nil"/>
              <w:left w:val="nil"/>
              <w:bottom w:val="single" w:sz="4" w:space="0" w:color="auto"/>
              <w:right w:val="single" w:sz="4" w:space="0" w:color="auto"/>
            </w:tcBorders>
            <w:noWrap/>
            <w:vAlign w:val="bottom"/>
          </w:tcPr>
          <w:p w14:paraId="10CDBC2A" w14:textId="77777777" w:rsidR="00244374" w:rsidRPr="0040341A" w:rsidRDefault="00244374" w:rsidP="00244374">
            <w:pPr>
              <w:rPr>
                <w:lang w:eastAsia="sk-SK"/>
              </w:rPr>
            </w:pPr>
            <w:r w:rsidRPr="0040341A">
              <w:rPr>
                <w:lang w:eastAsia="sk-SK"/>
              </w:rPr>
              <w:t> </w:t>
            </w:r>
          </w:p>
        </w:tc>
      </w:tr>
      <w:tr w:rsidR="00244374" w:rsidRPr="0040341A" w14:paraId="29F9AE85" w14:textId="77777777" w:rsidTr="00244374">
        <w:trPr>
          <w:trHeight w:val="255"/>
        </w:trPr>
        <w:tc>
          <w:tcPr>
            <w:tcW w:w="7070" w:type="dxa"/>
            <w:tcBorders>
              <w:top w:val="nil"/>
              <w:left w:val="single" w:sz="4" w:space="0" w:color="auto"/>
              <w:bottom w:val="single" w:sz="4" w:space="0" w:color="auto"/>
              <w:right w:val="single" w:sz="4" w:space="0" w:color="auto"/>
            </w:tcBorders>
          </w:tcPr>
          <w:p w14:paraId="1BB3447F" w14:textId="77777777" w:rsidR="00244374" w:rsidRPr="0040341A" w:rsidRDefault="00244374" w:rsidP="00244374">
            <w:pPr>
              <w:rPr>
                <w:sz w:val="20"/>
                <w:szCs w:val="20"/>
                <w:lang w:eastAsia="sk-SK"/>
              </w:rPr>
            </w:pPr>
            <w:r w:rsidRPr="0040341A">
              <w:rPr>
                <w:sz w:val="20"/>
                <w:szCs w:val="20"/>
                <w:lang w:eastAsia="sk-SK"/>
              </w:rPr>
              <w:t xml:space="preserve">  Kapitálové transfery (720)</w:t>
            </w:r>
            <w:r w:rsidRPr="0040341A">
              <w:rPr>
                <w:sz w:val="20"/>
                <w:szCs w:val="20"/>
                <w:vertAlign w:val="superscript"/>
                <w:lang w:eastAsia="sk-SK"/>
              </w:rPr>
              <w:t>2</w:t>
            </w:r>
          </w:p>
        </w:tc>
        <w:tc>
          <w:tcPr>
            <w:tcW w:w="1430" w:type="dxa"/>
            <w:tcBorders>
              <w:top w:val="nil"/>
              <w:left w:val="nil"/>
              <w:bottom w:val="single" w:sz="4" w:space="0" w:color="auto"/>
              <w:right w:val="single" w:sz="4" w:space="0" w:color="auto"/>
            </w:tcBorders>
          </w:tcPr>
          <w:p w14:paraId="47578C4F" w14:textId="77777777" w:rsidR="00244374" w:rsidRPr="0040341A" w:rsidRDefault="00244374" w:rsidP="00244374">
            <w:pPr>
              <w:jc w:val="center"/>
              <w:rPr>
                <w:sz w:val="20"/>
                <w:szCs w:val="20"/>
                <w:lang w:eastAsia="sk-SK"/>
              </w:rPr>
            </w:pPr>
          </w:p>
        </w:tc>
        <w:tc>
          <w:tcPr>
            <w:tcW w:w="1650" w:type="dxa"/>
            <w:tcBorders>
              <w:top w:val="nil"/>
              <w:left w:val="nil"/>
              <w:bottom w:val="single" w:sz="4" w:space="0" w:color="auto"/>
              <w:right w:val="single" w:sz="4" w:space="0" w:color="auto"/>
            </w:tcBorders>
          </w:tcPr>
          <w:p w14:paraId="04AE9A2E"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395D8445" w14:textId="77777777" w:rsidR="00244374" w:rsidRPr="0040341A" w:rsidRDefault="00244374" w:rsidP="00244374">
            <w:pPr>
              <w:jc w:val="center"/>
              <w:rPr>
                <w:sz w:val="20"/>
                <w:szCs w:val="20"/>
                <w:lang w:eastAsia="sk-SK"/>
              </w:rPr>
            </w:pPr>
          </w:p>
        </w:tc>
        <w:tc>
          <w:tcPr>
            <w:tcW w:w="1540" w:type="dxa"/>
            <w:tcBorders>
              <w:top w:val="nil"/>
              <w:left w:val="nil"/>
              <w:bottom w:val="single" w:sz="4" w:space="0" w:color="auto"/>
              <w:right w:val="single" w:sz="4" w:space="0" w:color="auto"/>
            </w:tcBorders>
          </w:tcPr>
          <w:p w14:paraId="53A80F53" w14:textId="77777777" w:rsidR="00244374" w:rsidRPr="0040341A" w:rsidRDefault="00244374" w:rsidP="00244374">
            <w:pPr>
              <w:jc w:val="center"/>
              <w:rPr>
                <w:lang w:eastAsia="sk-SK"/>
              </w:rPr>
            </w:pPr>
          </w:p>
        </w:tc>
        <w:tc>
          <w:tcPr>
            <w:tcW w:w="1649" w:type="dxa"/>
            <w:tcBorders>
              <w:top w:val="nil"/>
              <w:left w:val="nil"/>
              <w:bottom w:val="single" w:sz="4" w:space="0" w:color="auto"/>
              <w:right w:val="single" w:sz="4" w:space="0" w:color="auto"/>
            </w:tcBorders>
            <w:noWrap/>
            <w:vAlign w:val="bottom"/>
          </w:tcPr>
          <w:p w14:paraId="7160CF32" w14:textId="77777777" w:rsidR="00244374" w:rsidRPr="0040341A" w:rsidRDefault="00244374" w:rsidP="00244374">
            <w:pPr>
              <w:rPr>
                <w:lang w:eastAsia="sk-SK"/>
              </w:rPr>
            </w:pPr>
            <w:r w:rsidRPr="0040341A">
              <w:rPr>
                <w:lang w:eastAsia="sk-SK"/>
              </w:rPr>
              <w:t> </w:t>
            </w:r>
          </w:p>
        </w:tc>
      </w:tr>
      <w:tr w:rsidR="00244374" w:rsidRPr="0040341A" w14:paraId="70352165" w14:textId="77777777" w:rsidTr="00244374">
        <w:trPr>
          <w:trHeight w:val="255"/>
        </w:trPr>
        <w:tc>
          <w:tcPr>
            <w:tcW w:w="7070" w:type="dxa"/>
            <w:tcBorders>
              <w:top w:val="nil"/>
              <w:left w:val="single" w:sz="4" w:space="0" w:color="auto"/>
              <w:bottom w:val="single" w:sz="4" w:space="0" w:color="auto"/>
              <w:right w:val="single" w:sz="4" w:space="0" w:color="auto"/>
            </w:tcBorders>
          </w:tcPr>
          <w:p w14:paraId="6AA8F9CF" w14:textId="77777777" w:rsidR="00244374" w:rsidRPr="0040341A" w:rsidRDefault="00244374" w:rsidP="00244374">
            <w:pPr>
              <w:rPr>
                <w:b/>
                <w:bCs/>
                <w:sz w:val="20"/>
                <w:szCs w:val="20"/>
                <w:lang w:eastAsia="sk-SK"/>
              </w:rPr>
            </w:pPr>
            <w:r w:rsidRPr="0040341A">
              <w:rPr>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FFFF99"/>
          </w:tcPr>
          <w:p w14:paraId="6F845DB4" w14:textId="77777777" w:rsidR="00244374" w:rsidRPr="0040341A" w:rsidRDefault="00244374" w:rsidP="00244374">
            <w:pPr>
              <w:jc w:val="center"/>
              <w:rPr>
                <w:b/>
                <w:bCs/>
                <w:sz w:val="20"/>
                <w:szCs w:val="20"/>
                <w:lang w:eastAsia="sk-SK"/>
              </w:rPr>
            </w:pPr>
            <w:r w:rsidRPr="0040341A">
              <w:rPr>
                <w:b/>
                <w:bCs/>
                <w:sz w:val="20"/>
                <w:szCs w:val="20"/>
                <w:lang w:eastAsia="sk-SK"/>
              </w:rPr>
              <w:t> </w:t>
            </w:r>
          </w:p>
        </w:tc>
        <w:tc>
          <w:tcPr>
            <w:tcW w:w="1650" w:type="dxa"/>
            <w:tcBorders>
              <w:top w:val="nil"/>
              <w:left w:val="nil"/>
              <w:bottom w:val="single" w:sz="4" w:space="0" w:color="auto"/>
              <w:right w:val="single" w:sz="4" w:space="0" w:color="auto"/>
            </w:tcBorders>
            <w:shd w:val="clear" w:color="auto" w:fill="FFFF99"/>
          </w:tcPr>
          <w:p w14:paraId="440BA49F" w14:textId="77777777" w:rsidR="00244374" w:rsidRPr="0040341A" w:rsidRDefault="00244374" w:rsidP="00244374">
            <w:pPr>
              <w:jc w:val="center"/>
              <w:rPr>
                <w:b/>
                <w:bCs/>
                <w:sz w:val="20"/>
                <w:szCs w:val="20"/>
                <w:lang w:eastAsia="sk-SK"/>
              </w:rPr>
            </w:pPr>
            <w:r w:rsidRPr="0040341A">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0DB746B3" w14:textId="77777777" w:rsidR="00244374" w:rsidRPr="0040341A" w:rsidRDefault="00244374" w:rsidP="00244374">
            <w:pPr>
              <w:jc w:val="center"/>
              <w:rPr>
                <w:b/>
                <w:bCs/>
                <w:sz w:val="20"/>
                <w:szCs w:val="20"/>
                <w:lang w:eastAsia="sk-SK"/>
              </w:rPr>
            </w:pPr>
            <w:r w:rsidRPr="0040341A">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B1FF9D3" w14:textId="77777777" w:rsidR="00244374" w:rsidRPr="0040341A" w:rsidRDefault="00244374" w:rsidP="00244374">
            <w:pPr>
              <w:jc w:val="center"/>
              <w:rPr>
                <w:b/>
                <w:bCs/>
                <w:lang w:eastAsia="sk-SK"/>
              </w:rPr>
            </w:pPr>
            <w:r w:rsidRPr="0040341A">
              <w:rPr>
                <w:b/>
                <w:bCs/>
                <w:lang w:eastAsia="sk-SK"/>
              </w:rPr>
              <w:t> </w:t>
            </w:r>
          </w:p>
        </w:tc>
        <w:tc>
          <w:tcPr>
            <w:tcW w:w="1649" w:type="dxa"/>
            <w:tcBorders>
              <w:top w:val="nil"/>
              <w:left w:val="nil"/>
              <w:bottom w:val="single" w:sz="4" w:space="0" w:color="auto"/>
              <w:right w:val="single" w:sz="4" w:space="0" w:color="auto"/>
            </w:tcBorders>
            <w:noWrap/>
            <w:vAlign w:val="bottom"/>
          </w:tcPr>
          <w:p w14:paraId="24BFE15B" w14:textId="77777777" w:rsidR="00244374" w:rsidRPr="0040341A" w:rsidRDefault="00244374" w:rsidP="00244374">
            <w:pPr>
              <w:rPr>
                <w:lang w:eastAsia="sk-SK"/>
              </w:rPr>
            </w:pPr>
            <w:r w:rsidRPr="0040341A">
              <w:rPr>
                <w:lang w:eastAsia="sk-SK"/>
              </w:rPr>
              <w:t> </w:t>
            </w:r>
          </w:p>
        </w:tc>
      </w:tr>
      <w:tr w:rsidR="00244374" w:rsidRPr="0040341A" w14:paraId="2B8C4854" w14:textId="77777777" w:rsidTr="0024437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4F0884" w14:textId="77777777" w:rsidR="00244374" w:rsidRPr="0040341A" w:rsidRDefault="00244374" w:rsidP="00244374">
            <w:pPr>
              <w:rPr>
                <w:b/>
                <w:bCs/>
                <w:sz w:val="20"/>
                <w:szCs w:val="20"/>
                <w:lang w:eastAsia="sk-SK"/>
              </w:rPr>
            </w:pPr>
            <w:r w:rsidRPr="0040341A">
              <w:rPr>
                <w:b/>
                <w:bCs/>
                <w:sz w:val="20"/>
                <w:szCs w:val="20"/>
                <w:lang w:eastAsia="sk-SK"/>
              </w:rPr>
              <w:t>Dopad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10068E4B" w14:textId="77777777" w:rsidR="00244374" w:rsidRPr="0040341A" w:rsidRDefault="00244374" w:rsidP="00244374">
            <w:pPr>
              <w:jc w:val="center"/>
              <w:rPr>
                <w:b/>
                <w:bCs/>
                <w:sz w:val="20"/>
                <w:szCs w:val="20"/>
                <w:lang w:eastAsia="sk-SK"/>
              </w:rPr>
            </w:pPr>
            <w:r w:rsidRPr="0040341A">
              <w:rPr>
                <w:b/>
                <w:bCs/>
                <w:sz w:val="20"/>
                <w:szCs w:val="20"/>
                <w:lang w:eastAsia="sk-SK"/>
              </w:rPr>
              <w:t>1 110 178</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668D7AA8" w14:textId="77777777" w:rsidR="00244374" w:rsidRPr="0040341A" w:rsidRDefault="00244374" w:rsidP="00244374">
            <w:pPr>
              <w:jc w:val="center"/>
              <w:rPr>
                <w:b/>
                <w:bCs/>
                <w:sz w:val="20"/>
                <w:szCs w:val="20"/>
                <w:lang w:eastAsia="sk-SK"/>
              </w:rPr>
            </w:pPr>
            <w:r w:rsidRPr="0040341A">
              <w:rPr>
                <w:b/>
                <w:bCs/>
                <w:sz w:val="20"/>
                <w:szCs w:val="20"/>
                <w:lang w:eastAsia="sk-SK"/>
              </w:rPr>
              <w:t>1 110 178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CA76DB3" w14:textId="77777777" w:rsidR="00244374" w:rsidRPr="0040341A" w:rsidRDefault="00244374" w:rsidP="00244374">
            <w:pPr>
              <w:jc w:val="center"/>
              <w:rPr>
                <w:b/>
                <w:bCs/>
                <w:sz w:val="20"/>
                <w:szCs w:val="20"/>
                <w:lang w:eastAsia="sk-SK"/>
              </w:rPr>
            </w:pPr>
            <w:r w:rsidRPr="0040341A">
              <w:rPr>
                <w:b/>
                <w:bCs/>
                <w:sz w:val="20"/>
                <w:szCs w:val="20"/>
                <w:lang w:eastAsia="sk-SK"/>
              </w:rPr>
              <w:t>1 110 178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1E2850BC" w14:textId="77777777" w:rsidR="00244374" w:rsidRPr="0040341A" w:rsidRDefault="00244374" w:rsidP="00244374">
            <w:pPr>
              <w:jc w:val="center"/>
              <w:rPr>
                <w:b/>
                <w:bCs/>
                <w:lang w:eastAsia="sk-SK"/>
              </w:rPr>
            </w:pPr>
            <w:r w:rsidRPr="0040341A">
              <w:rPr>
                <w:b/>
                <w:bCs/>
                <w:sz w:val="20"/>
                <w:szCs w:val="20"/>
                <w:lang w:eastAsia="sk-SK"/>
              </w:rPr>
              <w:t>1 110 178</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BADF492" w14:textId="77777777" w:rsidR="00244374" w:rsidRPr="0040341A" w:rsidRDefault="00244374" w:rsidP="00244374">
            <w:pPr>
              <w:rPr>
                <w:lang w:eastAsia="sk-SK"/>
              </w:rPr>
            </w:pPr>
            <w:r w:rsidRPr="0040341A">
              <w:rPr>
                <w:lang w:eastAsia="sk-SK"/>
              </w:rPr>
              <w:t> </w:t>
            </w:r>
          </w:p>
        </w:tc>
      </w:tr>
    </w:tbl>
    <w:p w14:paraId="3FBF7656" w14:textId="77777777" w:rsidR="00244374" w:rsidRPr="0040341A" w:rsidRDefault="00244374" w:rsidP="00244374">
      <w:pPr>
        <w:tabs>
          <w:tab w:val="num" w:pos="1080"/>
        </w:tabs>
        <w:ind w:left="-900"/>
        <w:jc w:val="both"/>
        <w:rPr>
          <w:bCs/>
          <w:sz w:val="20"/>
          <w:szCs w:val="20"/>
          <w:lang w:eastAsia="sk-SK"/>
        </w:rPr>
      </w:pPr>
      <w:r w:rsidRPr="0040341A">
        <w:rPr>
          <w:bCs/>
          <w:sz w:val="20"/>
          <w:szCs w:val="20"/>
          <w:lang w:eastAsia="sk-SK"/>
        </w:rPr>
        <w:t xml:space="preserve">2 </w:t>
      </w:r>
      <w:proofErr w:type="gramStart"/>
      <w:r w:rsidRPr="0040341A">
        <w:rPr>
          <w:bCs/>
          <w:sz w:val="20"/>
          <w:szCs w:val="20"/>
          <w:lang w:eastAsia="sk-SK"/>
        </w:rPr>
        <w:t>–  výdavky</w:t>
      </w:r>
      <w:proofErr w:type="gramEnd"/>
      <w:r w:rsidRPr="0040341A">
        <w:rPr>
          <w:bCs/>
          <w:sz w:val="20"/>
          <w:szCs w:val="20"/>
          <w:lang w:eastAsia="sk-SK"/>
        </w:rPr>
        <w:t xml:space="preserve"> rozpísať až do položiek platnej ekonomickej klasifikácie</w:t>
      </w:r>
    </w:p>
    <w:p w14:paraId="2F2BA772" w14:textId="77777777" w:rsidR="00244374" w:rsidRPr="0040341A" w:rsidRDefault="00244374" w:rsidP="00244374">
      <w:pPr>
        <w:tabs>
          <w:tab w:val="num" w:pos="1080"/>
        </w:tabs>
        <w:ind w:left="-900"/>
        <w:jc w:val="both"/>
        <w:rPr>
          <w:bCs/>
          <w:szCs w:val="20"/>
          <w:lang w:eastAsia="sk-SK"/>
        </w:rPr>
      </w:pPr>
    </w:p>
    <w:p w14:paraId="38C390F6" w14:textId="77777777" w:rsidR="00244374" w:rsidRPr="0040341A" w:rsidRDefault="00244374" w:rsidP="00244374">
      <w:pPr>
        <w:tabs>
          <w:tab w:val="num" w:pos="1080"/>
        </w:tabs>
        <w:ind w:left="-900"/>
        <w:jc w:val="both"/>
        <w:rPr>
          <w:b/>
          <w:bCs/>
          <w:sz w:val="20"/>
          <w:szCs w:val="20"/>
          <w:lang w:eastAsia="sk-SK"/>
        </w:rPr>
      </w:pPr>
      <w:r w:rsidRPr="0040341A">
        <w:rPr>
          <w:b/>
          <w:bCs/>
          <w:szCs w:val="20"/>
          <w:lang w:eastAsia="sk-SK"/>
        </w:rPr>
        <w:t>Poznámka:</w:t>
      </w:r>
    </w:p>
    <w:p w14:paraId="419D1152" w14:textId="77777777" w:rsidR="00244374" w:rsidRPr="0040341A" w:rsidRDefault="00244374" w:rsidP="00244374">
      <w:pPr>
        <w:tabs>
          <w:tab w:val="num" w:pos="1080"/>
        </w:tabs>
        <w:ind w:left="-900"/>
        <w:jc w:val="both"/>
        <w:rPr>
          <w:bCs/>
          <w:sz w:val="20"/>
          <w:szCs w:val="20"/>
          <w:lang w:eastAsia="sk-SK"/>
        </w:rPr>
      </w:pPr>
      <w:r w:rsidRPr="0040341A">
        <w:rPr>
          <w:bCs/>
          <w:szCs w:val="20"/>
          <w:lang w:eastAsia="sk-SK"/>
        </w:rPr>
        <w:t xml:space="preserve">Ak </w:t>
      </w:r>
      <w:proofErr w:type="gramStart"/>
      <w:r w:rsidRPr="0040341A">
        <w:rPr>
          <w:bCs/>
          <w:szCs w:val="20"/>
          <w:lang w:eastAsia="sk-SK"/>
        </w:rPr>
        <w:t>sa</w:t>
      </w:r>
      <w:proofErr w:type="gramEnd"/>
      <w:r w:rsidRPr="0040341A">
        <w:rPr>
          <w:bCs/>
          <w:szCs w:val="20"/>
          <w:lang w:eastAsia="sk-SK"/>
        </w:rPr>
        <w:t xml:space="preserve"> vplyv týka viacerých subjektov verejnej správy, vypĺňa sa samostatná tabuľka za každý subjekt.</w:t>
      </w:r>
    </w:p>
    <w:p w14:paraId="41AE5C78" w14:textId="77777777" w:rsidR="00244374" w:rsidRPr="0040341A" w:rsidRDefault="00244374" w:rsidP="00244374">
      <w:pPr>
        <w:tabs>
          <w:tab w:val="num" w:pos="1080"/>
        </w:tabs>
        <w:ind w:left="-900"/>
        <w:jc w:val="both"/>
        <w:rPr>
          <w:bCs/>
          <w:sz w:val="20"/>
          <w:szCs w:val="20"/>
          <w:lang w:eastAsia="sk-SK"/>
        </w:rPr>
      </w:pPr>
    </w:p>
    <w:p w14:paraId="591E2DBA" w14:textId="77777777" w:rsidR="00244374" w:rsidRPr="0040341A" w:rsidRDefault="00244374" w:rsidP="00244374">
      <w:pPr>
        <w:tabs>
          <w:tab w:val="num" w:pos="1080"/>
        </w:tabs>
        <w:ind w:left="-900"/>
        <w:jc w:val="both"/>
        <w:rPr>
          <w:bCs/>
          <w:sz w:val="20"/>
          <w:szCs w:val="20"/>
          <w:lang w:eastAsia="sk-SK"/>
        </w:rPr>
      </w:pPr>
    </w:p>
    <w:p w14:paraId="75CD1301" w14:textId="77777777" w:rsidR="00244374" w:rsidRPr="0040341A" w:rsidRDefault="00244374" w:rsidP="00244374">
      <w:pPr>
        <w:tabs>
          <w:tab w:val="num" w:pos="1080"/>
        </w:tabs>
        <w:ind w:left="-900"/>
        <w:jc w:val="both"/>
        <w:rPr>
          <w:bCs/>
          <w:sz w:val="20"/>
          <w:szCs w:val="20"/>
          <w:lang w:eastAsia="sk-SK"/>
        </w:rPr>
      </w:pPr>
    </w:p>
    <w:p w14:paraId="575F16C8" w14:textId="77777777" w:rsidR="00244374" w:rsidRPr="0040341A" w:rsidRDefault="00244374" w:rsidP="00244374">
      <w:pPr>
        <w:tabs>
          <w:tab w:val="num" w:pos="1080"/>
        </w:tabs>
        <w:ind w:left="-900"/>
        <w:jc w:val="both"/>
        <w:rPr>
          <w:bCs/>
          <w:sz w:val="20"/>
          <w:szCs w:val="20"/>
          <w:lang w:eastAsia="sk-SK"/>
        </w:rPr>
      </w:pPr>
    </w:p>
    <w:p w14:paraId="75F9D596" w14:textId="77777777" w:rsidR="00244374" w:rsidRPr="0040341A" w:rsidRDefault="00244374" w:rsidP="00244374">
      <w:pPr>
        <w:tabs>
          <w:tab w:val="num" w:pos="1080"/>
        </w:tabs>
        <w:ind w:left="-900"/>
        <w:jc w:val="both"/>
        <w:rPr>
          <w:bCs/>
          <w:sz w:val="20"/>
          <w:szCs w:val="20"/>
          <w:lang w:eastAsia="sk-SK"/>
        </w:rPr>
      </w:pPr>
    </w:p>
    <w:p w14:paraId="0C83E105" w14:textId="77777777" w:rsidR="00244374" w:rsidRPr="0040341A" w:rsidRDefault="00244374" w:rsidP="00244374">
      <w:pPr>
        <w:tabs>
          <w:tab w:val="num" w:pos="1080"/>
        </w:tabs>
        <w:ind w:left="-900"/>
        <w:jc w:val="both"/>
        <w:rPr>
          <w:bCs/>
          <w:sz w:val="20"/>
          <w:szCs w:val="20"/>
          <w:lang w:eastAsia="sk-SK"/>
        </w:rPr>
      </w:pPr>
    </w:p>
    <w:p w14:paraId="3A5C244E" w14:textId="77777777" w:rsidR="00244374" w:rsidRPr="0040341A" w:rsidRDefault="00244374" w:rsidP="00244374">
      <w:pPr>
        <w:tabs>
          <w:tab w:val="num" w:pos="1080"/>
        </w:tabs>
        <w:ind w:left="-900"/>
        <w:jc w:val="both"/>
        <w:rPr>
          <w:bCs/>
          <w:sz w:val="20"/>
          <w:szCs w:val="20"/>
          <w:lang w:eastAsia="sk-SK"/>
        </w:rPr>
      </w:pPr>
    </w:p>
    <w:p w14:paraId="7BE9939B" w14:textId="77777777" w:rsidR="00244374" w:rsidRPr="0040341A" w:rsidRDefault="00244374" w:rsidP="00244374">
      <w:pPr>
        <w:tabs>
          <w:tab w:val="num" w:pos="1080"/>
        </w:tabs>
        <w:ind w:left="-900"/>
        <w:jc w:val="both"/>
        <w:rPr>
          <w:bCs/>
          <w:sz w:val="20"/>
          <w:szCs w:val="20"/>
          <w:lang w:eastAsia="sk-SK"/>
        </w:rPr>
      </w:pPr>
    </w:p>
    <w:p w14:paraId="4AD0A841" w14:textId="77777777" w:rsidR="00244374" w:rsidRPr="0040341A" w:rsidRDefault="00244374" w:rsidP="00244374">
      <w:pPr>
        <w:tabs>
          <w:tab w:val="num" w:pos="1080"/>
        </w:tabs>
        <w:ind w:left="-900"/>
        <w:jc w:val="both"/>
        <w:rPr>
          <w:bCs/>
          <w:sz w:val="20"/>
          <w:szCs w:val="20"/>
          <w:lang w:eastAsia="sk-SK"/>
        </w:rPr>
      </w:pPr>
    </w:p>
    <w:p w14:paraId="41D3A4B3" w14:textId="77777777" w:rsidR="00244374" w:rsidRPr="0040341A" w:rsidRDefault="00244374" w:rsidP="00244374">
      <w:pPr>
        <w:tabs>
          <w:tab w:val="num" w:pos="1080"/>
        </w:tabs>
        <w:ind w:left="-900"/>
        <w:jc w:val="both"/>
        <w:rPr>
          <w:bCs/>
          <w:sz w:val="20"/>
          <w:szCs w:val="20"/>
          <w:lang w:eastAsia="sk-SK"/>
        </w:rPr>
      </w:pPr>
    </w:p>
    <w:p w14:paraId="6F622DC2" w14:textId="77777777" w:rsidR="00244374" w:rsidRPr="0040341A" w:rsidRDefault="00244374" w:rsidP="00244374">
      <w:pPr>
        <w:tabs>
          <w:tab w:val="num" w:pos="1080"/>
        </w:tabs>
        <w:ind w:left="-900"/>
        <w:jc w:val="both"/>
        <w:rPr>
          <w:bCs/>
          <w:sz w:val="20"/>
          <w:szCs w:val="20"/>
          <w:lang w:eastAsia="sk-SK"/>
        </w:rPr>
      </w:pPr>
    </w:p>
    <w:p w14:paraId="2482574D" w14:textId="77777777" w:rsidR="00244374" w:rsidRPr="0040341A" w:rsidRDefault="00244374" w:rsidP="00244374">
      <w:pPr>
        <w:tabs>
          <w:tab w:val="num" w:pos="1080"/>
        </w:tabs>
        <w:ind w:left="-900"/>
        <w:jc w:val="both"/>
        <w:rPr>
          <w:bCs/>
          <w:sz w:val="20"/>
          <w:szCs w:val="20"/>
          <w:lang w:eastAsia="sk-SK"/>
        </w:rPr>
      </w:pPr>
    </w:p>
    <w:p w14:paraId="375BE723" w14:textId="77777777" w:rsidR="00244374" w:rsidRPr="0040341A" w:rsidRDefault="00244374" w:rsidP="00244374">
      <w:pPr>
        <w:tabs>
          <w:tab w:val="num" w:pos="1080"/>
        </w:tabs>
        <w:ind w:left="-900"/>
        <w:jc w:val="both"/>
        <w:rPr>
          <w:bCs/>
          <w:sz w:val="20"/>
          <w:szCs w:val="20"/>
          <w:lang w:eastAsia="sk-SK"/>
        </w:rPr>
      </w:pPr>
    </w:p>
    <w:p w14:paraId="5BBEEC1A" w14:textId="77777777" w:rsidR="00244374" w:rsidRPr="0040341A" w:rsidRDefault="00244374" w:rsidP="00244374">
      <w:pPr>
        <w:tabs>
          <w:tab w:val="num" w:pos="1080"/>
        </w:tabs>
        <w:ind w:left="-900"/>
        <w:jc w:val="both"/>
        <w:rPr>
          <w:bCs/>
          <w:sz w:val="20"/>
          <w:szCs w:val="20"/>
          <w:lang w:eastAsia="sk-SK"/>
        </w:rPr>
      </w:pPr>
    </w:p>
    <w:p w14:paraId="467478BD" w14:textId="77777777" w:rsidR="00244374" w:rsidRPr="0040341A" w:rsidRDefault="00244374" w:rsidP="00244374">
      <w:pPr>
        <w:tabs>
          <w:tab w:val="num" w:pos="1080"/>
        </w:tabs>
        <w:ind w:left="-900"/>
        <w:jc w:val="both"/>
        <w:rPr>
          <w:bCs/>
          <w:sz w:val="20"/>
          <w:szCs w:val="20"/>
          <w:lang w:eastAsia="sk-SK"/>
        </w:rPr>
      </w:pPr>
    </w:p>
    <w:p w14:paraId="7D48B596" w14:textId="77777777" w:rsidR="00244374" w:rsidRPr="0040341A" w:rsidRDefault="00244374" w:rsidP="00244374">
      <w:pPr>
        <w:tabs>
          <w:tab w:val="num" w:pos="1080"/>
        </w:tabs>
        <w:ind w:left="-900"/>
        <w:jc w:val="both"/>
        <w:rPr>
          <w:bCs/>
          <w:sz w:val="20"/>
          <w:szCs w:val="20"/>
          <w:lang w:eastAsia="sk-SK"/>
        </w:rPr>
      </w:pPr>
    </w:p>
    <w:p w14:paraId="696B2DE8" w14:textId="77777777" w:rsidR="00244374" w:rsidRPr="0040341A" w:rsidRDefault="00244374" w:rsidP="00244374">
      <w:pPr>
        <w:tabs>
          <w:tab w:val="num" w:pos="1080"/>
        </w:tabs>
        <w:jc w:val="right"/>
        <w:rPr>
          <w:bCs/>
          <w:lang w:eastAsia="sk-SK"/>
        </w:rPr>
      </w:pPr>
      <w:r w:rsidRPr="0040341A">
        <w:rPr>
          <w:bCs/>
          <w:lang w:eastAsia="sk-SK"/>
        </w:rPr>
        <w:t xml:space="preserve">                 Tabuľka č. 5 </w:t>
      </w:r>
    </w:p>
    <w:p w14:paraId="4FCD0535" w14:textId="77777777" w:rsidR="00244374" w:rsidRPr="0040341A" w:rsidRDefault="00244374" w:rsidP="00244374">
      <w:pPr>
        <w:tabs>
          <w:tab w:val="num" w:pos="1080"/>
        </w:tabs>
        <w:jc w:val="both"/>
        <w:rPr>
          <w:bCs/>
          <w:szCs w:val="20"/>
          <w:lang w:eastAsia="sk-SK"/>
        </w:rPr>
      </w:pP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244374" w:rsidRPr="0040341A" w14:paraId="7795B160" w14:textId="77777777" w:rsidTr="0024437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4D99A0" w14:textId="77777777" w:rsidR="00244374" w:rsidRPr="0040341A" w:rsidRDefault="00244374" w:rsidP="00244374">
            <w:pPr>
              <w:jc w:val="center"/>
              <w:rPr>
                <w:b/>
                <w:bCs/>
                <w:lang w:eastAsia="sk-SK"/>
              </w:rPr>
            </w:pPr>
            <w:r w:rsidRPr="0040341A">
              <w:rPr>
                <w:b/>
                <w:bCs/>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470B3AA9" w14:textId="77777777" w:rsidR="00244374" w:rsidRPr="0040341A" w:rsidRDefault="00244374" w:rsidP="00244374">
            <w:pPr>
              <w:jc w:val="center"/>
              <w:rPr>
                <w:b/>
                <w:bCs/>
                <w:lang w:eastAsia="sk-SK"/>
              </w:rPr>
            </w:pPr>
            <w:r w:rsidRPr="0040341A">
              <w:rPr>
                <w:b/>
                <w:bCs/>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D62D54" w14:textId="77777777" w:rsidR="00244374" w:rsidRPr="0040341A" w:rsidRDefault="00244374" w:rsidP="00244374">
            <w:pPr>
              <w:jc w:val="center"/>
              <w:rPr>
                <w:b/>
                <w:bCs/>
                <w:lang w:eastAsia="sk-SK"/>
              </w:rPr>
            </w:pPr>
            <w:r w:rsidRPr="0040341A">
              <w:rPr>
                <w:b/>
                <w:bCs/>
                <w:lang w:eastAsia="sk-SK"/>
              </w:rPr>
              <w:t>poznámka</w:t>
            </w:r>
          </w:p>
        </w:tc>
      </w:tr>
      <w:tr w:rsidR="00244374" w:rsidRPr="0040341A" w14:paraId="66AF856F" w14:textId="77777777" w:rsidTr="0024437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C2A31D" w14:textId="77777777" w:rsidR="00244374" w:rsidRPr="0040341A" w:rsidRDefault="00244374" w:rsidP="00244374">
            <w:pPr>
              <w:rPr>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79F87775" w14:textId="77777777" w:rsidR="00244374" w:rsidRPr="0040341A" w:rsidRDefault="00244374" w:rsidP="00244374">
            <w:pPr>
              <w:jc w:val="center"/>
              <w:rPr>
                <w:b/>
                <w:bCs/>
                <w:lang w:eastAsia="sk-SK"/>
              </w:rPr>
            </w:pPr>
            <w:r w:rsidRPr="0040341A">
              <w:rPr>
                <w:b/>
                <w:bCs/>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14:paraId="4C0BC13C" w14:textId="77777777" w:rsidR="00244374" w:rsidRPr="0040341A" w:rsidRDefault="00244374" w:rsidP="00244374">
            <w:pPr>
              <w:jc w:val="center"/>
              <w:rPr>
                <w:b/>
                <w:bCs/>
                <w:lang w:eastAsia="sk-SK"/>
              </w:rPr>
            </w:pPr>
            <w:r w:rsidRPr="0040341A">
              <w:rPr>
                <w:b/>
                <w:bCs/>
                <w:lang w:eastAsia="sk-SK"/>
              </w:rPr>
              <w:t>2024</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7A00ECD7" w14:textId="77777777" w:rsidR="00244374" w:rsidRPr="0040341A" w:rsidRDefault="00244374" w:rsidP="00244374">
            <w:pPr>
              <w:jc w:val="center"/>
              <w:rPr>
                <w:b/>
                <w:bCs/>
                <w:lang w:eastAsia="sk-SK"/>
              </w:rPr>
            </w:pPr>
            <w:r w:rsidRPr="0040341A">
              <w:rPr>
                <w:b/>
                <w:bCs/>
                <w:lang w:eastAsia="sk-SK"/>
              </w:rPr>
              <w:t>2025</w:t>
            </w:r>
          </w:p>
        </w:tc>
        <w:tc>
          <w:tcPr>
            <w:tcW w:w="1560" w:type="dxa"/>
            <w:tcBorders>
              <w:top w:val="nil"/>
              <w:left w:val="nil"/>
              <w:bottom w:val="single" w:sz="4" w:space="0" w:color="auto"/>
              <w:right w:val="single" w:sz="4" w:space="0" w:color="auto"/>
            </w:tcBorders>
            <w:shd w:val="clear" w:color="auto" w:fill="BFBFBF" w:themeFill="background1" w:themeFillShade="BF"/>
          </w:tcPr>
          <w:p w14:paraId="108AF057" w14:textId="77777777" w:rsidR="00244374" w:rsidRPr="0040341A" w:rsidRDefault="00244374" w:rsidP="00244374">
            <w:pPr>
              <w:jc w:val="center"/>
              <w:rPr>
                <w:b/>
                <w:bCs/>
                <w:lang w:eastAsia="sk-SK"/>
              </w:rPr>
            </w:pPr>
            <w:r w:rsidRPr="0040341A">
              <w:rPr>
                <w:b/>
                <w:bCs/>
                <w:lang w:eastAsia="sk-SK"/>
              </w:rPr>
              <w:t>2026</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32F360" w14:textId="77777777" w:rsidR="00244374" w:rsidRPr="0040341A" w:rsidRDefault="00244374" w:rsidP="00244374">
            <w:pPr>
              <w:rPr>
                <w:b/>
                <w:bCs/>
                <w:lang w:eastAsia="sk-SK"/>
              </w:rPr>
            </w:pPr>
          </w:p>
        </w:tc>
      </w:tr>
      <w:tr w:rsidR="00244374" w:rsidRPr="0040341A" w14:paraId="58E3FDA6" w14:textId="77777777" w:rsidTr="00244374">
        <w:trPr>
          <w:trHeight w:val="255"/>
        </w:trPr>
        <w:tc>
          <w:tcPr>
            <w:tcW w:w="6188" w:type="dxa"/>
            <w:tcBorders>
              <w:top w:val="nil"/>
              <w:left w:val="single" w:sz="4" w:space="0" w:color="auto"/>
              <w:bottom w:val="single" w:sz="4" w:space="0" w:color="auto"/>
              <w:right w:val="single" w:sz="4" w:space="0" w:color="auto"/>
            </w:tcBorders>
          </w:tcPr>
          <w:p w14:paraId="769EF22D" w14:textId="77777777" w:rsidR="00244374" w:rsidRPr="0040341A" w:rsidRDefault="00244374" w:rsidP="00244374">
            <w:pPr>
              <w:rPr>
                <w:b/>
                <w:bCs/>
                <w:lang w:eastAsia="sk-SK"/>
              </w:rPr>
            </w:pPr>
            <w:r w:rsidRPr="0040341A">
              <w:rPr>
                <w:b/>
                <w:bCs/>
                <w:lang w:eastAsia="sk-SK"/>
              </w:rPr>
              <w:t>Počet zamestnancov celkom</w:t>
            </w:r>
          </w:p>
        </w:tc>
        <w:tc>
          <w:tcPr>
            <w:tcW w:w="1698" w:type="dxa"/>
            <w:tcBorders>
              <w:top w:val="nil"/>
              <w:left w:val="nil"/>
              <w:bottom w:val="single" w:sz="4" w:space="0" w:color="auto"/>
              <w:right w:val="single" w:sz="4" w:space="0" w:color="auto"/>
            </w:tcBorders>
          </w:tcPr>
          <w:p w14:paraId="4ABD960B" w14:textId="77777777" w:rsidR="00244374" w:rsidRPr="0040341A" w:rsidRDefault="00244374" w:rsidP="00244374">
            <w:pPr>
              <w:jc w:val="center"/>
              <w:rPr>
                <w:b/>
                <w:bCs/>
                <w:lang w:eastAsia="sk-SK"/>
              </w:rPr>
            </w:pPr>
          </w:p>
        </w:tc>
        <w:tc>
          <w:tcPr>
            <w:tcW w:w="1788" w:type="dxa"/>
            <w:tcBorders>
              <w:top w:val="nil"/>
              <w:left w:val="nil"/>
              <w:bottom w:val="single" w:sz="4" w:space="0" w:color="auto"/>
              <w:right w:val="single" w:sz="4" w:space="0" w:color="auto"/>
            </w:tcBorders>
          </w:tcPr>
          <w:p w14:paraId="6631FAD6" w14:textId="77777777" w:rsidR="00244374" w:rsidRPr="0040341A" w:rsidRDefault="00244374" w:rsidP="00244374">
            <w:pPr>
              <w:jc w:val="center"/>
              <w:rPr>
                <w:b/>
                <w:bCs/>
                <w:lang w:eastAsia="sk-SK"/>
              </w:rPr>
            </w:pPr>
          </w:p>
        </w:tc>
        <w:tc>
          <w:tcPr>
            <w:tcW w:w="1878" w:type="dxa"/>
            <w:gridSpan w:val="2"/>
            <w:tcBorders>
              <w:top w:val="nil"/>
              <w:left w:val="nil"/>
              <w:bottom w:val="single" w:sz="4" w:space="0" w:color="auto"/>
              <w:right w:val="single" w:sz="4" w:space="0" w:color="auto"/>
            </w:tcBorders>
          </w:tcPr>
          <w:p w14:paraId="2670D197" w14:textId="77777777" w:rsidR="00244374" w:rsidRPr="0040341A" w:rsidRDefault="00244374" w:rsidP="00244374">
            <w:pPr>
              <w:jc w:val="center"/>
              <w:rPr>
                <w:b/>
                <w:bCs/>
                <w:lang w:eastAsia="sk-SK"/>
              </w:rPr>
            </w:pPr>
          </w:p>
        </w:tc>
        <w:tc>
          <w:tcPr>
            <w:tcW w:w="1560" w:type="dxa"/>
            <w:tcBorders>
              <w:top w:val="nil"/>
              <w:left w:val="nil"/>
              <w:bottom w:val="single" w:sz="4" w:space="0" w:color="auto"/>
              <w:right w:val="single" w:sz="4" w:space="0" w:color="auto"/>
            </w:tcBorders>
          </w:tcPr>
          <w:p w14:paraId="51254C45" w14:textId="77777777" w:rsidR="00244374" w:rsidRPr="0040341A" w:rsidRDefault="00244374" w:rsidP="00244374">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14:paraId="1EEBD8AC" w14:textId="77777777" w:rsidR="00244374" w:rsidRPr="0040341A" w:rsidRDefault="00244374" w:rsidP="00244374">
            <w:pPr>
              <w:rPr>
                <w:lang w:eastAsia="sk-SK"/>
              </w:rPr>
            </w:pPr>
            <w:r w:rsidRPr="0040341A">
              <w:rPr>
                <w:lang w:eastAsia="sk-SK"/>
              </w:rPr>
              <w:t> </w:t>
            </w:r>
          </w:p>
        </w:tc>
      </w:tr>
      <w:tr w:rsidR="00244374" w:rsidRPr="0040341A" w14:paraId="1ADB5098" w14:textId="77777777" w:rsidTr="00244374">
        <w:trPr>
          <w:trHeight w:val="255"/>
        </w:trPr>
        <w:tc>
          <w:tcPr>
            <w:tcW w:w="6188" w:type="dxa"/>
            <w:tcBorders>
              <w:top w:val="nil"/>
              <w:left w:val="single" w:sz="4" w:space="0" w:color="auto"/>
              <w:bottom w:val="single" w:sz="4" w:space="0" w:color="auto"/>
              <w:right w:val="single" w:sz="4" w:space="0" w:color="auto"/>
            </w:tcBorders>
          </w:tcPr>
          <w:p w14:paraId="3D86A7DD" w14:textId="77777777" w:rsidR="00244374" w:rsidRPr="0040341A" w:rsidRDefault="00244374" w:rsidP="00244374">
            <w:pPr>
              <w:rPr>
                <w:b/>
                <w:bCs/>
                <w:lang w:eastAsia="sk-SK"/>
              </w:rPr>
            </w:pPr>
            <w:r w:rsidRPr="0040341A">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1E2ABF7" w14:textId="77777777" w:rsidR="00244374" w:rsidRPr="0040341A" w:rsidRDefault="00244374" w:rsidP="00244374">
            <w:pPr>
              <w:jc w:val="center"/>
              <w:rPr>
                <w:b/>
                <w:bCs/>
                <w:lang w:eastAsia="sk-SK"/>
              </w:rPr>
            </w:pPr>
          </w:p>
        </w:tc>
        <w:tc>
          <w:tcPr>
            <w:tcW w:w="1788" w:type="dxa"/>
            <w:tcBorders>
              <w:top w:val="single" w:sz="4" w:space="0" w:color="auto"/>
              <w:left w:val="nil"/>
              <w:bottom w:val="single" w:sz="4" w:space="0" w:color="auto"/>
              <w:right w:val="single" w:sz="4" w:space="0" w:color="auto"/>
            </w:tcBorders>
          </w:tcPr>
          <w:p w14:paraId="1FEC050A" w14:textId="77777777" w:rsidR="00244374" w:rsidRPr="0040341A" w:rsidRDefault="00244374" w:rsidP="00244374">
            <w:pPr>
              <w:jc w:val="center"/>
              <w:rPr>
                <w:b/>
                <w:bCs/>
                <w:lang w:eastAsia="sk-SK"/>
              </w:rPr>
            </w:pPr>
          </w:p>
        </w:tc>
        <w:tc>
          <w:tcPr>
            <w:tcW w:w="1878" w:type="dxa"/>
            <w:gridSpan w:val="2"/>
            <w:tcBorders>
              <w:top w:val="single" w:sz="4" w:space="0" w:color="auto"/>
              <w:left w:val="nil"/>
              <w:bottom w:val="single" w:sz="4" w:space="0" w:color="auto"/>
              <w:right w:val="single" w:sz="4" w:space="0" w:color="auto"/>
            </w:tcBorders>
          </w:tcPr>
          <w:p w14:paraId="3C8A1019" w14:textId="77777777" w:rsidR="00244374" w:rsidRPr="0040341A" w:rsidRDefault="00244374" w:rsidP="00244374">
            <w:pPr>
              <w:jc w:val="center"/>
              <w:rPr>
                <w:b/>
                <w:bCs/>
                <w:lang w:eastAsia="sk-SK"/>
              </w:rPr>
            </w:pPr>
          </w:p>
        </w:tc>
        <w:tc>
          <w:tcPr>
            <w:tcW w:w="1560" w:type="dxa"/>
            <w:tcBorders>
              <w:top w:val="single" w:sz="4" w:space="0" w:color="auto"/>
              <w:left w:val="nil"/>
              <w:bottom w:val="single" w:sz="4" w:space="0" w:color="auto"/>
              <w:right w:val="single" w:sz="4" w:space="0" w:color="auto"/>
            </w:tcBorders>
          </w:tcPr>
          <w:p w14:paraId="17986328" w14:textId="77777777" w:rsidR="00244374" w:rsidRPr="0040341A" w:rsidRDefault="00244374" w:rsidP="00244374">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14:paraId="4C20A15D" w14:textId="77777777" w:rsidR="00244374" w:rsidRPr="0040341A" w:rsidRDefault="00244374" w:rsidP="00244374">
            <w:pPr>
              <w:rPr>
                <w:lang w:eastAsia="sk-SK"/>
              </w:rPr>
            </w:pPr>
          </w:p>
        </w:tc>
      </w:tr>
      <w:tr w:rsidR="00244374" w:rsidRPr="0040341A" w14:paraId="2B297F82" w14:textId="77777777" w:rsidTr="00244374">
        <w:trPr>
          <w:trHeight w:val="255"/>
        </w:trPr>
        <w:tc>
          <w:tcPr>
            <w:tcW w:w="6188" w:type="dxa"/>
            <w:tcBorders>
              <w:top w:val="nil"/>
              <w:left w:val="single" w:sz="4" w:space="0" w:color="auto"/>
              <w:bottom w:val="single" w:sz="4" w:space="0" w:color="auto"/>
              <w:right w:val="single" w:sz="4" w:space="0" w:color="auto"/>
            </w:tcBorders>
          </w:tcPr>
          <w:p w14:paraId="6AAF8898" w14:textId="77777777" w:rsidR="00244374" w:rsidRPr="0040341A" w:rsidRDefault="00244374" w:rsidP="00244374">
            <w:pPr>
              <w:rPr>
                <w:b/>
                <w:bCs/>
                <w:lang w:eastAsia="sk-SK"/>
              </w:rPr>
            </w:pPr>
            <w:r w:rsidRPr="0040341A">
              <w:rPr>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6B1823F4" w14:textId="77777777" w:rsidR="00244374" w:rsidRPr="0040341A" w:rsidRDefault="00244374" w:rsidP="00244374">
            <w:pPr>
              <w:jc w:val="center"/>
              <w:rPr>
                <w:b/>
                <w:bCs/>
                <w:lang w:eastAsia="sk-SK"/>
              </w:rPr>
            </w:pPr>
          </w:p>
        </w:tc>
        <w:tc>
          <w:tcPr>
            <w:tcW w:w="1788" w:type="dxa"/>
            <w:tcBorders>
              <w:top w:val="single" w:sz="4" w:space="0" w:color="auto"/>
              <w:left w:val="nil"/>
              <w:bottom w:val="single" w:sz="4" w:space="0" w:color="auto"/>
              <w:right w:val="single" w:sz="4" w:space="0" w:color="auto"/>
            </w:tcBorders>
          </w:tcPr>
          <w:p w14:paraId="182847B2" w14:textId="77777777" w:rsidR="00244374" w:rsidRPr="0040341A" w:rsidRDefault="00244374" w:rsidP="00244374">
            <w:pPr>
              <w:jc w:val="center"/>
              <w:rPr>
                <w:b/>
                <w:bCs/>
                <w:lang w:eastAsia="sk-SK"/>
              </w:rPr>
            </w:pPr>
          </w:p>
        </w:tc>
        <w:tc>
          <w:tcPr>
            <w:tcW w:w="1878" w:type="dxa"/>
            <w:gridSpan w:val="2"/>
            <w:tcBorders>
              <w:top w:val="single" w:sz="4" w:space="0" w:color="auto"/>
              <w:left w:val="nil"/>
              <w:bottom w:val="single" w:sz="4" w:space="0" w:color="auto"/>
              <w:right w:val="single" w:sz="4" w:space="0" w:color="auto"/>
            </w:tcBorders>
          </w:tcPr>
          <w:p w14:paraId="5C533B79" w14:textId="77777777" w:rsidR="00244374" w:rsidRPr="0040341A" w:rsidRDefault="00244374" w:rsidP="00244374">
            <w:pPr>
              <w:jc w:val="center"/>
              <w:rPr>
                <w:b/>
                <w:bCs/>
                <w:lang w:eastAsia="sk-SK"/>
              </w:rPr>
            </w:pPr>
          </w:p>
        </w:tc>
        <w:tc>
          <w:tcPr>
            <w:tcW w:w="1560" w:type="dxa"/>
            <w:tcBorders>
              <w:top w:val="single" w:sz="4" w:space="0" w:color="auto"/>
              <w:left w:val="nil"/>
              <w:bottom w:val="single" w:sz="4" w:space="0" w:color="auto"/>
              <w:right w:val="single" w:sz="4" w:space="0" w:color="auto"/>
            </w:tcBorders>
          </w:tcPr>
          <w:p w14:paraId="001D7990" w14:textId="77777777" w:rsidR="00244374" w:rsidRPr="0040341A" w:rsidRDefault="00244374" w:rsidP="00244374">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14:paraId="05CD2C4F" w14:textId="77777777" w:rsidR="00244374" w:rsidRPr="0040341A" w:rsidRDefault="00244374" w:rsidP="00244374">
            <w:pPr>
              <w:rPr>
                <w:lang w:eastAsia="sk-SK"/>
              </w:rPr>
            </w:pPr>
            <w:r w:rsidRPr="0040341A">
              <w:rPr>
                <w:lang w:eastAsia="sk-SK"/>
              </w:rPr>
              <w:t> </w:t>
            </w:r>
          </w:p>
        </w:tc>
      </w:tr>
      <w:tr w:rsidR="00244374" w:rsidRPr="0040341A" w14:paraId="75B40C70" w14:textId="77777777" w:rsidTr="00244374">
        <w:trPr>
          <w:trHeight w:val="255"/>
        </w:trPr>
        <w:tc>
          <w:tcPr>
            <w:tcW w:w="6188" w:type="dxa"/>
            <w:tcBorders>
              <w:top w:val="nil"/>
              <w:left w:val="single" w:sz="4" w:space="0" w:color="auto"/>
              <w:bottom w:val="single" w:sz="4" w:space="0" w:color="auto"/>
              <w:right w:val="single" w:sz="4" w:space="0" w:color="auto"/>
            </w:tcBorders>
          </w:tcPr>
          <w:p w14:paraId="720D77E6" w14:textId="77777777" w:rsidR="00244374" w:rsidRPr="0040341A" w:rsidRDefault="00244374" w:rsidP="00244374">
            <w:pPr>
              <w:rPr>
                <w:lang w:eastAsia="sk-SK"/>
              </w:rPr>
            </w:pPr>
            <w:r w:rsidRPr="0040341A">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9BDAC21" w14:textId="77777777" w:rsidR="00244374" w:rsidRPr="0040341A" w:rsidRDefault="00244374" w:rsidP="00244374">
            <w:pPr>
              <w:jc w:val="center"/>
              <w:rPr>
                <w:lang w:eastAsia="sk-SK"/>
              </w:rPr>
            </w:pPr>
            <w:r w:rsidRPr="0040341A">
              <w:rPr>
                <w:lang w:eastAsia="sk-SK"/>
              </w:rPr>
              <w:t> </w:t>
            </w:r>
          </w:p>
        </w:tc>
        <w:tc>
          <w:tcPr>
            <w:tcW w:w="1788" w:type="dxa"/>
            <w:tcBorders>
              <w:top w:val="single" w:sz="4" w:space="0" w:color="auto"/>
              <w:left w:val="nil"/>
              <w:bottom w:val="single" w:sz="4" w:space="0" w:color="auto"/>
              <w:right w:val="single" w:sz="4" w:space="0" w:color="auto"/>
            </w:tcBorders>
          </w:tcPr>
          <w:p w14:paraId="4C8129B5" w14:textId="77777777" w:rsidR="00244374" w:rsidRPr="0040341A" w:rsidRDefault="00244374" w:rsidP="00244374">
            <w:pPr>
              <w:jc w:val="center"/>
              <w:rPr>
                <w:lang w:eastAsia="sk-SK"/>
              </w:rPr>
            </w:pPr>
            <w:r w:rsidRPr="0040341A">
              <w:rPr>
                <w:lang w:eastAsia="sk-SK"/>
              </w:rPr>
              <w:t> </w:t>
            </w:r>
          </w:p>
        </w:tc>
        <w:tc>
          <w:tcPr>
            <w:tcW w:w="1878" w:type="dxa"/>
            <w:gridSpan w:val="2"/>
            <w:tcBorders>
              <w:top w:val="single" w:sz="4" w:space="0" w:color="auto"/>
              <w:left w:val="nil"/>
              <w:bottom w:val="single" w:sz="4" w:space="0" w:color="auto"/>
              <w:right w:val="single" w:sz="4" w:space="0" w:color="auto"/>
            </w:tcBorders>
          </w:tcPr>
          <w:p w14:paraId="1229D5AE" w14:textId="77777777" w:rsidR="00244374" w:rsidRPr="0040341A" w:rsidRDefault="00244374" w:rsidP="00244374">
            <w:pPr>
              <w:jc w:val="center"/>
              <w:rPr>
                <w:lang w:eastAsia="sk-SK"/>
              </w:rPr>
            </w:pPr>
            <w:r w:rsidRPr="0040341A">
              <w:rPr>
                <w:lang w:eastAsia="sk-SK"/>
              </w:rPr>
              <w:t> </w:t>
            </w:r>
          </w:p>
        </w:tc>
        <w:tc>
          <w:tcPr>
            <w:tcW w:w="1560" w:type="dxa"/>
            <w:tcBorders>
              <w:top w:val="single" w:sz="4" w:space="0" w:color="auto"/>
              <w:left w:val="nil"/>
              <w:bottom w:val="single" w:sz="4" w:space="0" w:color="auto"/>
              <w:right w:val="single" w:sz="4" w:space="0" w:color="auto"/>
            </w:tcBorders>
          </w:tcPr>
          <w:p w14:paraId="69F72E47" w14:textId="77777777" w:rsidR="00244374" w:rsidRPr="0040341A" w:rsidRDefault="00244374" w:rsidP="00244374">
            <w:pPr>
              <w:jc w:val="center"/>
              <w:rPr>
                <w:lang w:eastAsia="sk-SK"/>
              </w:rPr>
            </w:pPr>
            <w:r w:rsidRPr="0040341A">
              <w:rPr>
                <w:lang w:eastAsia="sk-SK"/>
              </w:rPr>
              <w:t> </w:t>
            </w:r>
          </w:p>
        </w:tc>
        <w:tc>
          <w:tcPr>
            <w:tcW w:w="1842" w:type="dxa"/>
            <w:gridSpan w:val="2"/>
            <w:tcBorders>
              <w:top w:val="nil"/>
              <w:left w:val="nil"/>
              <w:bottom w:val="single" w:sz="4" w:space="0" w:color="auto"/>
              <w:right w:val="single" w:sz="4" w:space="0" w:color="auto"/>
            </w:tcBorders>
            <w:noWrap/>
            <w:vAlign w:val="bottom"/>
          </w:tcPr>
          <w:p w14:paraId="4AB7513A" w14:textId="77777777" w:rsidR="00244374" w:rsidRPr="0040341A" w:rsidRDefault="00244374" w:rsidP="00244374">
            <w:pPr>
              <w:rPr>
                <w:lang w:eastAsia="sk-SK"/>
              </w:rPr>
            </w:pPr>
            <w:r w:rsidRPr="0040341A">
              <w:rPr>
                <w:lang w:eastAsia="sk-SK"/>
              </w:rPr>
              <w:t> </w:t>
            </w:r>
          </w:p>
        </w:tc>
      </w:tr>
      <w:tr w:rsidR="00244374" w:rsidRPr="0040341A" w14:paraId="277B9674" w14:textId="77777777" w:rsidTr="0024437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174E13E2" w14:textId="77777777" w:rsidR="00244374" w:rsidRPr="0040341A" w:rsidRDefault="00244374" w:rsidP="00244374">
            <w:pPr>
              <w:rPr>
                <w:b/>
                <w:bCs/>
                <w:lang w:eastAsia="sk-SK"/>
              </w:rPr>
            </w:pPr>
            <w:r w:rsidRPr="0040341A">
              <w:rPr>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295D8DDC" w14:textId="77777777" w:rsidR="00244374" w:rsidRPr="0040341A" w:rsidRDefault="00244374" w:rsidP="00244374">
            <w:pPr>
              <w:jc w:val="center"/>
              <w:rPr>
                <w:b/>
                <w:bCs/>
                <w:lang w:eastAsia="sk-SK"/>
              </w:rPr>
            </w:pPr>
            <w:r w:rsidRPr="0040341A">
              <w:rPr>
                <w:b/>
                <w:bCs/>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0517F2B6" w14:textId="77777777" w:rsidR="00244374" w:rsidRPr="0040341A" w:rsidRDefault="00244374" w:rsidP="00244374">
            <w:pPr>
              <w:jc w:val="center"/>
              <w:rPr>
                <w:b/>
                <w:bCs/>
                <w:lang w:eastAsia="sk-SK"/>
              </w:rPr>
            </w:pPr>
            <w:r w:rsidRPr="0040341A">
              <w:rPr>
                <w:b/>
                <w:bCs/>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02C6F608" w14:textId="77777777" w:rsidR="00244374" w:rsidRPr="0040341A" w:rsidRDefault="00244374" w:rsidP="00244374">
            <w:pPr>
              <w:jc w:val="center"/>
              <w:rPr>
                <w:b/>
                <w:bCs/>
                <w:lang w:eastAsia="sk-SK"/>
              </w:rPr>
            </w:pPr>
            <w:r w:rsidRPr="0040341A">
              <w:rPr>
                <w:b/>
                <w:bCs/>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25D93014" w14:textId="77777777" w:rsidR="00244374" w:rsidRPr="0040341A" w:rsidRDefault="00244374" w:rsidP="00244374">
            <w:pPr>
              <w:jc w:val="center"/>
              <w:rPr>
                <w:b/>
                <w:bCs/>
                <w:lang w:eastAsia="sk-SK"/>
              </w:rPr>
            </w:pPr>
            <w:r w:rsidRPr="0040341A">
              <w:rPr>
                <w:b/>
                <w:bCs/>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18163853" w14:textId="77777777" w:rsidR="00244374" w:rsidRPr="0040341A" w:rsidRDefault="00244374" w:rsidP="00244374">
            <w:pPr>
              <w:rPr>
                <w:b/>
                <w:bCs/>
                <w:lang w:eastAsia="sk-SK"/>
              </w:rPr>
            </w:pPr>
            <w:r w:rsidRPr="0040341A">
              <w:rPr>
                <w:b/>
                <w:bCs/>
                <w:lang w:eastAsia="sk-SK"/>
              </w:rPr>
              <w:t> </w:t>
            </w:r>
          </w:p>
        </w:tc>
      </w:tr>
      <w:tr w:rsidR="00244374" w:rsidRPr="0040341A" w14:paraId="43A3D315" w14:textId="77777777" w:rsidTr="00244374">
        <w:trPr>
          <w:trHeight w:val="255"/>
        </w:trPr>
        <w:tc>
          <w:tcPr>
            <w:tcW w:w="6188" w:type="dxa"/>
            <w:tcBorders>
              <w:top w:val="nil"/>
              <w:left w:val="single" w:sz="4" w:space="0" w:color="auto"/>
              <w:bottom w:val="single" w:sz="4" w:space="0" w:color="auto"/>
              <w:right w:val="single" w:sz="4" w:space="0" w:color="auto"/>
            </w:tcBorders>
          </w:tcPr>
          <w:p w14:paraId="4B47B2DC" w14:textId="77777777" w:rsidR="00244374" w:rsidRPr="0040341A" w:rsidRDefault="00244374" w:rsidP="00244374">
            <w:pPr>
              <w:rPr>
                <w:b/>
                <w:bCs/>
                <w:lang w:eastAsia="sk-SK"/>
              </w:rPr>
            </w:pPr>
            <w:r w:rsidRPr="0040341A">
              <w:rPr>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18A59025" w14:textId="77777777" w:rsidR="00244374" w:rsidRPr="0040341A" w:rsidRDefault="00244374" w:rsidP="00244374">
            <w:pPr>
              <w:jc w:val="center"/>
              <w:rPr>
                <w:b/>
                <w:bCs/>
                <w:lang w:eastAsia="sk-SK"/>
              </w:rPr>
            </w:pPr>
          </w:p>
        </w:tc>
        <w:tc>
          <w:tcPr>
            <w:tcW w:w="1788" w:type="dxa"/>
            <w:tcBorders>
              <w:top w:val="nil"/>
              <w:left w:val="nil"/>
              <w:bottom w:val="single" w:sz="4" w:space="0" w:color="auto"/>
              <w:right w:val="single" w:sz="4" w:space="0" w:color="auto"/>
            </w:tcBorders>
          </w:tcPr>
          <w:p w14:paraId="22979656" w14:textId="77777777" w:rsidR="00244374" w:rsidRPr="0040341A" w:rsidRDefault="00244374" w:rsidP="00244374">
            <w:pPr>
              <w:jc w:val="center"/>
              <w:rPr>
                <w:b/>
                <w:bCs/>
                <w:lang w:eastAsia="sk-SK"/>
              </w:rPr>
            </w:pPr>
          </w:p>
        </w:tc>
        <w:tc>
          <w:tcPr>
            <w:tcW w:w="1878" w:type="dxa"/>
            <w:gridSpan w:val="2"/>
            <w:tcBorders>
              <w:top w:val="nil"/>
              <w:left w:val="nil"/>
              <w:bottom w:val="single" w:sz="4" w:space="0" w:color="auto"/>
              <w:right w:val="single" w:sz="4" w:space="0" w:color="auto"/>
            </w:tcBorders>
          </w:tcPr>
          <w:p w14:paraId="2C6F323E" w14:textId="77777777" w:rsidR="00244374" w:rsidRPr="0040341A" w:rsidRDefault="00244374" w:rsidP="00244374">
            <w:pPr>
              <w:jc w:val="center"/>
              <w:rPr>
                <w:b/>
                <w:bCs/>
                <w:lang w:eastAsia="sk-SK"/>
              </w:rPr>
            </w:pPr>
          </w:p>
        </w:tc>
        <w:tc>
          <w:tcPr>
            <w:tcW w:w="1560" w:type="dxa"/>
            <w:tcBorders>
              <w:top w:val="nil"/>
              <w:left w:val="nil"/>
              <w:bottom w:val="single" w:sz="4" w:space="0" w:color="auto"/>
              <w:right w:val="single" w:sz="4" w:space="0" w:color="auto"/>
            </w:tcBorders>
          </w:tcPr>
          <w:p w14:paraId="40E73590" w14:textId="77777777" w:rsidR="00244374" w:rsidRPr="0040341A" w:rsidRDefault="00244374" w:rsidP="00244374">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14:paraId="00FEA245" w14:textId="77777777" w:rsidR="00244374" w:rsidRPr="0040341A" w:rsidRDefault="00244374" w:rsidP="00244374">
            <w:pPr>
              <w:rPr>
                <w:b/>
                <w:bCs/>
                <w:lang w:eastAsia="sk-SK"/>
              </w:rPr>
            </w:pPr>
            <w:r w:rsidRPr="0040341A">
              <w:rPr>
                <w:b/>
                <w:bCs/>
                <w:lang w:eastAsia="sk-SK"/>
              </w:rPr>
              <w:t> </w:t>
            </w:r>
          </w:p>
        </w:tc>
      </w:tr>
      <w:tr w:rsidR="00244374" w:rsidRPr="0040341A" w14:paraId="7CE342ED" w14:textId="77777777" w:rsidTr="00244374">
        <w:trPr>
          <w:trHeight w:val="255"/>
        </w:trPr>
        <w:tc>
          <w:tcPr>
            <w:tcW w:w="6188" w:type="dxa"/>
            <w:tcBorders>
              <w:top w:val="nil"/>
              <w:left w:val="single" w:sz="4" w:space="0" w:color="auto"/>
              <w:bottom w:val="single" w:sz="4" w:space="0" w:color="auto"/>
              <w:right w:val="single" w:sz="4" w:space="0" w:color="auto"/>
            </w:tcBorders>
          </w:tcPr>
          <w:p w14:paraId="7EE5B84C" w14:textId="77777777" w:rsidR="00244374" w:rsidRPr="0040341A" w:rsidRDefault="00244374" w:rsidP="00244374">
            <w:pPr>
              <w:rPr>
                <w:lang w:eastAsia="sk-SK"/>
              </w:rPr>
            </w:pPr>
            <w:r w:rsidRPr="0040341A">
              <w:rPr>
                <w:b/>
                <w:bCs/>
                <w:lang w:eastAsia="sk-SK"/>
              </w:rPr>
              <w:t xml:space="preserve">   z toho vplyv na ŠR</w:t>
            </w:r>
          </w:p>
        </w:tc>
        <w:tc>
          <w:tcPr>
            <w:tcW w:w="1698" w:type="dxa"/>
            <w:tcBorders>
              <w:top w:val="nil"/>
              <w:left w:val="nil"/>
              <w:bottom w:val="single" w:sz="4" w:space="0" w:color="auto"/>
              <w:right w:val="single" w:sz="4" w:space="0" w:color="auto"/>
            </w:tcBorders>
          </w:tcPr>
          <w:p w14:paraId="4DDC47F3" w14:textId="77777777" w:rsidR="00244374" w:rsidRPr="0040341A" w:rsidRDefault="00244374" w:rsidP="00244374">
            <w:pPr>
              <w:jc w:val="center"/>
              <w:rPr>
                <w:lang w:eastAsia="sk-SK"/>
              </w:rPr>
            </w:pPr>
          </w:p>
        </w:tc>
        <w:tc>
          <w:tcPr>
            <w:tcW w:w="1788" w:type="dxa"/>
            <w:tcBorders>
              <w:top w:val="nil"/>
              <w:left w:val="nil"/>
              <w:bottom w:val="single" w:sz="4" w:space="0" w:color="auto"/>
              <w:right w:val="single" w:sz="4" w:space="0" w:color="auto"/>
            </w:tcBorders>
          </w:tcPr>
          <w:p w14:paraId="16C1175C" w14:textId="77777777" w:rsidR="00244374" w:rsidRPr="0040341A" w:rsidRDefault="00244374" w:rsidP="00244374">
            <w:pPr>
              <w:jc w:val="center"/>
              <w:rPr>
                <w:lang w:eastAsia="sk-SK"/>
              </w:rPr>
            </w:pPr>
          </w:p>
        </w:tc>
        <w:tc>
          <w:tcPr>
            <w:tcW w:w="1878" w:type="dxa"/>
            <w:gridSpan w:val="2"/>
            <w:tcBorders>
              <w:top w:val="nil"/>
              <w:left w:val="nil"/>
              <w:bottom w:val="single" w:sz="4" w:space="0" w:color="auto"/>
              <w:right w:val="single" w:sz="4" w:space="0" w:color="auto"/>
            </w:tcBorders>
          </w:tcPr>
          <w:p w14:paraId="08A9F559" w14:textId="77777777" w:rsidR="00244374" w:rsidRPr="0040341A" w:rsidRDefault="00244374" w:rsidP="00244374">
            <w:pPr>
              <w:jc w:val="center"/>
              <w:rPr>
                <w:lang w:eastAsia="sk-SK"/>
              </w:rPr>
            </w:pPr>
          </w:p>
        </w:tc>
        <w:tc>
          <w:tcPr>
            <w:tcW w:w="1560" w:type="dxa"/>
            <w:tcBorders>
              <w:top w:val="nil"/>
              <w:left w:val="nil"/>
              <w:bottom w:val="single" w:sz="4" w:space="0" w:color="auto"/>
              <w:right w:val="single" w:sz="4" w:space="0" w:color="auto"/>
            </w:tcBorders>
          </w:tcPr>
          <w:p w14:paraId="7B361166" w14:textId="77777777" w:rsidR="00244374" w:rsidRPr="0040341A" w:rsidRDefault="00244374" w:rsidP="00244374">
            <w:pPr>
              <w:jc w:val="center"/>
              <w:rPr>
                <w:lang w:eastAsia="sk-SK"/>
              </w:rPr>
            </w:pPr>
          </w:p>
        </w:tc>
        <w:tc>
          <w:tcPr>
            <w:tcW w:w="1842" w:type="dxa"/>
            <w:gridSpan w:val="2"/>
            <w:tcBorders>
              <w:top w:val="nil"/>
              <w:left w:val="nil"/>
              <w:bottom w:val="single" w:sz="4" w:space="0" w:color="auto"/>
              <w:right w:val="single" w:sz="4" w:space="0" w:color="auto"/>
            </w:tcBorders>
            <w:noWrap/>
            <w:vAlign w:val="bottom"/>
          </w:tcPr>
          <w:p w14:paraId="64466D7D" w14:textId="77777777" w:rsidR="00244374" w:rsidRPr="0040341A" w:rsidRDefault="00244374" w:rsidP="00244374">
            <w:pPr>
              <w:rPr>
                <w:lang w:eastAsia="sk-SK"/>
              </w:rPr>
            </w:pPr>
            <w:r w:rsidRPr="0040341A">
              <w:rPr>
                <w:lang w:eastAsia="sk-SK"/>
              </w:rPr>
              <w:t> </w:t>
            </w:r>
          </w:p>
        </w:tc>
      </w:tr>
      <w:tr w:rsidR="00244374" w:rsidRPr="0040341A" w14:paraId="7FD21722" w14:textId="77777777" w:rsidTr="00244374">
        <w:trPr>
          <w:trHeight w:val="255"/>
        </w:trPr>
        <w:tc>
          <w:tcPr>
            <w:tcW w:w="6188" w:type="dxa"/>
            <w:tcBorders>
              <w:top w:val="nil"/>
              <w:left w:val="single" w:sz="4" w:space="0" w:color="auto"/>
              <w:bottom w:val="single" w:sz="4" w:space="0" w:color="auto"/>
              <w:right w:val="single" w:sz="4" w:space="0" w:color="auto"/>
            </w:tcBorders>
          </w:tcPr>
          <w:p w14:paraId="358B7B3B" w14:textId="77777777" w:rsidR="00244374" w:rsidRPr="0040341A" w:rsidRDefault="00244374" w:rsidP="00244374">
            <w:pPr>
              <w:rPr>
                <w:b/>
                <w:bCs/>
                <w:lang w:eastAsia="sk-SK"/>
              </w:rPr>
            </w:pPr>
            <w:r w:rsidRPr="0040341A">
              <w:rPr>
                <w:b/>
                <w:bCs/>
                <w:lang w:eastAsia="sk-SK"/>
              </w:rPr>
              <w:t>Poistné a príspevok do poisťovní (620)</w:t>
            </w:r>
          </w:p>
        </w:tc>
        <w:tc>
          <w:tcPr>
            <w:tcW w:w="1698" w:type="dxa"/>
            <w:tcBorders>
              <w:top w:val="nil"/>
              <w:left w:val="nil"/>
              <w:bottom w:val="single" w:sz="4" w:space="0" w:color="auto"/>
              <w:right w:val="single" w:sz="4" w:space="0" w:color="auto"/>
            </w:tcBorders>
          </w:tcPr>
          <w:p w14:paraId="43034719" w14:textId="77777777" w:rsidR="00244374" w:rsidRPr="0040341A" w:rsidRDefault="00244374" w:rsidP="00244374">
            <w:pPr>
              <w:jc w:val="center"/>
              <w:rPr>
                <w:b/>
                <w:bCs/>
                <w:lang w:eastAsia="sk-SK"/>
              </w:rPr>
            </w:pPr>
          </w:p>
        </w:tc>
        <w:tc>
          <w:tcPr>
            <w:tcW w:w="1788" w:type="dxa"/>
            <w:tcBorders>
              <w:top w:val="nil"/>
              <w:left w:val="nil"/>
              <w:bottom w:val="single" w:sz="4" w:space="0" w:color="auto"/>
              <w:right w:val="single" w:sz="4" w:space="0" w:color="auto"/>
            </w:tcBorders>
          </w:tcPr>
          <w:p w14:paraId="6FCB5A8D" w14:textId="77777777" w:rsidR="00244374" w:rsidRPr="0040341A" w:rsidRDefault="00244374" w:rsidP="00244374">
            <w:pPr>
              <w:jc w:val="center"/>
              <w:rPr>
                <w:b/>
                <w:bCs/>
                <w:lang w:eastAsia="sk-SK"/>
              </w:rPr>
            </w:pPr>
          </w:p>
        </w:tc>
        <w:tc>
          <w:tcPr>
            <w:tcW w:w="1878" w:type="dxa"/>
            <w:gridSpan w:val="2"/>
            <w:tcBorders>
              <w:top w:val="nil"/>
              <w:left w:val="nil"/>
              <w:bottom w:val="single" w:sz="4" w:space="0" w:color="auto"/>
              <w:right w:val="single" w:sz="4" w:space="0" w:color="auto"/>
            </w:tcBorders>
          </w:tcPr>
          <w:p w14:paraId="675DD692" w14:textId="77777777" w:rsidR="00244374" w:rsidRPr="0040341A" w:rsidRDefault="00244374" w:rsidP="00244374">
            <w:pPr>
              <w:jc w:val="center"/>
              <w:rPr>
                <w:b/>
                <w:bCs/>
                <w:lang w:eastAsia="sk-SK"/>
              </w:rPr>
            </w:pPr>
          </w:p>
        </w:tc>
        <w:tc>
          <w:tcPr>
            <w:tcW w:w="1560" w:type="dxa"/>
            <w:tcBorders>
              <w:top w:val="nil"/>
              <w:left w:val="nil"/>
              <w:bottom w:val="single" w:sz="4" w:space="0" w:color="auto"/>
              <w:right w:val="single" w:sz="4" w:space="0" w:color="auto"/>
            </w:tcBorders>
          </w:tcPr>
          <w:p w14:paraId="15FD88EA" w14:textId="77777777" w:rsidR="00244374" w:rsidRPr="0040341A" w:rsidRDefault="00244374" w:rsidP="00244374">
            <w:pPr>
              <w:jc w:val="center"/>
              <w:rPr>
                <w:b/>
                <w:bCs/>
                <w:lang w:eastAsia="sk-SK"/>
              </w:rPr>
            </w:pPr>
          </w:p>
        </w:tc>
        <w:tc>
          <w:tcPr>
            <w:tcW w:w="1842" w:type="dxa"/>
            <w:gridSpan w:val="2"/>
            <w:tcBorders>
              <w:top w:val="nil"/>
              <w:left w:val="nil"/>
              <w:bottom w:val="single" w:sz="4" w:space="0" w:color="auto"/>
              <w:right w:val="single" w:sz="4" w:space="0" w:color="auto"/>
            </w:tcBorders>
            <w:noWrap/>
            <w:vAlign w:val="bottom"/>
          </w:tcPr>
          <w:p w14:paraId="3A7A45BC" w14:textId="77777777" w:rsidR="00244374" w:rsidRPr="0040341A" w:rsidRDefault="00244374" w:rsidP="00244374">
            <w:pPr>
              <w:rPr>
                <w:b/>
                <w:bCs/>
                <w:lang w:eastAsia="sk-SK"/>
              </w:rPr>
            </w:pPr>
            <w:r w:rsidRPr="0040341A">
              <w:rPr>
                <w:b/>
                <w:bCs/>
                <w:lang w:eastAsia="sk-SK"/>
              </w:rPr>
              <w:t> </w:t>
            </w:r>
          </w:p>
        </w:tc>
      </w:tr>
      <w:tr w:rsidR="00244374" w:rsidRPr="0040341A" w14:paraId="689C6616" w14:textId="77777777" w:rsidTr="00244374">
        <w:trPr>
          <w:trHeight w:val="255"/>
        </w:trPr>
        <w:tc>
          <w:tcPr>
            <w:tcW w:w="6188" w:type="dxa"/>
            <w:tcBorders>
              <w:top w:val="nil"/>
              <w:left w:val="single" w:sz="4" w:space="0" w:color="auto"/>
              <w:bottom w:val="single" w:sz="4" w:space="0" w:color="auto"/>
              <w:right w:val="single" w:sz="4" w:space="0" w:color="auto"/>
            </w:tcBorders>
          </w:tcPr>
          <w:p w14:paraId="39CE6B63" w14:textId="77777777" w:rsidR="00244374" w:rsidRPr="0040341A" w:rsidRDefault="00244374" w:rsidP="00244374">
            <w:pPr>
              <w:rPr>
                <w:lang w:eastAsia="sk-SK"/>
              </w:rPr>
            </w:pPr>
            <w:r w:rsidRPr="0040341A">
              <w:rPr>
                <w:b/>
                <w:bCs/>
                <w:lang w:eastAsia="sk-SK"/>
              </w:rPr>
              <w:t xml:space="preserve">   z toho vplyv na ŠR</w:t>
            </w:r>
          </w:p>
        </w:tc>
        <w:tc>
          <w:tcPr>
            <w:tcW w:w="1698" w:type="dxa"/>
            <w:tcBorders>
              <w:top w:val="nil"/>
              <w:left w:val="nil"/>
              <w:bottom w:val="single" w:sz="4" w:space="0" w:color="auto"/>
              <w:right w:val="single" w:sz="4" w:space="0" w:color="auto"/>
            </w:tcBorders>
          </w:tcPr>
          <w:p w14:paraId="3EFA8E81" w14:textId="77777777" w:rsidR="00244374" w:rsidRPr="0040341A" w:rsidRDefault="00244374" w:rsidP="00244374">
            <w:pPr>
              <w:jc w:val="center"/>
              <w:rPr>
                <w:lang w:eastAsia="sk-SK"/>
              </w:rPr>
            </w:pPr>
          </w:p>
        </w:tc>
        <w:tc>
          <w:tcPr>
            <w:tcW w:w="1788" w:type="dxa"/>
            <w:tcBorders>
              <w:top w:val="nil"/>
              <w:left w:val="nil"/>
              <w:bottom w:val="single" w:sz="4" w:space="0" w:color="auto"/>
              <w:right w:val="single" w:sz="4" w:space="0" w:color="auto"/>
            </w:tcBorders>
          </w:tcPr>
          <w:p w14:paraId="2D39C707" w14:textId="77777777" w:rsidR="00244374" w:rsidRPr="0040341A" w:rsidRDefault="00244374" w:rsidP="00244374">
            <w:pPr>
              <w:jc w:val="center"/>
              <w:rPr>
                <w:lang w:eastAsia="sk-SK"/>
              </w:rPr>
            </w:pPr>
          </w:p>
        </w:tc>
        <w:tc>
          <w:tcPr>
            <w:tcW w:w="1878" w:type="dxa"/>
            <w:gridSpan w:val="2"/>
            <w:tcBorders>
              <w:top w:val="nil"/>
              <w:left w:val="nil"/>
              <w:bottom w:val="single" w:sz="4" w:space="0" w:color="auto"/>
              <w:right w:val="single" w:sz="4" w:space="0" w:color="auto"/>
            </w:tcBorders>
          </w:tcPr>
          <w:p w14:paraId="1C951B0E" w14:textId="77777777" w:rsidR="00244374" w:rsidRPr="0040341A" w:rsidRDefault="00244374" w:rsidP="00244374">
            <w:pPr>
              <w:jc w:val="center"/>
              <w:rPr>
                <w:lang w:eastAsia="sk-SK"/>
              </w:rPr>
            </w:pPr>
          </w:p>
        </w:tc>
        <w:tc>
          <w:tcPr>
            <w:tcW w:w="1560" w:type="dxa"/>
            <w:tcBorders>
              <w:top w:val="nil"/>
              <w:left w:val="nil"/>
              <w:bottom w:val="single" w:sz="4" w:space="0" w:color="auto"/>
              <w:right w:val="single" w:sz="4" w:space="0" w:color="auto"/>
            </w:tcBorders>
          </w:tcPr>
          <w:p w14:paraId="1F3BB4D1" w14:textId="77777777" w:rsidR="00244374" w:rsidRPr="0040341A" w:rsidRDefault="00244374" w:rsidP="00244374">
            <w:pPr>
              <w:jc w:val="center"/>
              <w:rPr>
                <w:lang w:eastAsia="sk-SK"/>
              </w:rPr>
            </w:pPr>
          </w:p>
        </w:tc>
        <w:tc>
          <w:tcPr>
            <w:tcW w:w="1842" w:type="dxa"/>
            <w:gridSpan w:val="2"/>
            <w:tcBorders>
              <w:top w:val="nil"/>
              <w:left w:val="nil"/>
              <w:bottom w:val="single" w:sz="4" w:space="0" w:color="auto"/>
              <w:right w:val="single" w:sz="4" w:space="0" w:color="auto"/>
            </w:tcBorders>
            <w:noWrap/>
            <w:vAlign w:val="bottom"/>
          </w:tcPr>
          <w:p w14:paraId="50946967" w14:textId="77777777" w:rsidR="00244374" w:rsidRPr="0040341A" w:rsidRDefault="00244374" w:rsidP="00244374">
            <w:pPr>
              <w:rPr>
                <w:lang w:eastAsia="sk-SK"/>
              </w:rPr>
            </w:pPr>
            <w:r w:rsidRPr="0040341A">
              <w:rPr>
                <w:lang w:eastAsia="sk-SK"/>
              </w:rPr>
              <w:t> </w:t>
            </w:r>
          </w:p>
        </w:tc>
      </w:tr>
      <w:tr w:rsidR="00244374" w:rsidRPr="0040341A" w14:paraId="721EF633" w14:textId="77777777" w:rsidTr="00244374">
        <w:trPr>
          <w:trHeight w:val="255"/>
        </w:trPr>
        <w:tc>
          <w:tcPr>
            <w:tcW w:w="6188" w:type="dxa"/>
            <w:tcBorders>
              <w:top w:val="nil"/>
              <w:left w:val="nil"/>
              <w:bottom w:val="nil"/>
              <w:right w:val="nil"/>
            </w:tcBorders>
            <w:noWrap/>
            <w:vAlign w:val="bottom"/>
          </w:tcPr>
          <w:p w14:paraId="530559BE" w14:textId="77777777" w:rsidR="00244374" w:rsidRPr="0040341A" w:rsidRDefault="00244374" w:rsidP="00244374">
            <w:pPr>
              <w:rPr>
                <w:lang w:eastAsia="sk-SK"/>
              </w:rPr>
            </w:pPr>
          </w:p>
        </w:tc>
        <w:tc>
          <w:tcPr>
            <w:tcW w:w="1698" w:type="dxa"/>
            <w:tcBorders>
              <w:top w:val="nil"/>
              <w:left w:val="nil"/>
              <w:bottom w:val="nil"/>
              <w:right w:val="nil"/>
            </w:tcBorders>
            <w:noWrap/>
            <w:vAlign w:val="bottom"/>
          </w:tcPr>
          <w:p w14:paraId="0F50C29D" w14:textId="77777777" w:rsidR="00244374" w:rsidRPr="0040341A" w:rsidRDefault="00244374" w:rsidP="00244374">
            <w:pPr>
              <w:rPr>
                <w:lang w:eastAsia="sk-SK"/>
              </w:rPr>
            </w:pPr>
          </w:p>
        </w:tc>
        <w:tc>
          <w:tcPr>
            <w:tcW w:w="1788" w:type="dxa"/>
            <w:tcBorders>
              <w:top w:val="nil"/>
              <w:left w:val="nil"/>
              <w:bottom w:val="nil"/>
              <w:right w:val="nil"/>
            </w:tcBorders>
            <w:noWrap/>
            <w:vAlign w:val="bottom"/>
          </w:tcPr>
          <w:p w14:paraId="2846CCCA" w14:textId="77777777" w:rsidR="00244374" w:rsidRPr="0040341A" w:rsidRDefault="00244374" w:rsidP="00244374">
            <w:pPr>
              <w:rPr>
                <w:lang w:eastAsia="sk-SK"/>
              </w:rPr>
            </w:pPr>
          </w:p>
        </w:tc>
        <w:tc>
          <w:tcPr>
            <w:tcW w:w="1878" w:type="dxa"/>
            <w:gridSpan w:val="2"/>
            <w:tcBorders>
              <w:top w:val="nil"/>
              <w:left w:val="nil"/>
              <w:bottom w:val="nil"/>
              <w:right w:val="nil"/>
            </w:tcBorders>
            <w:noWrap/>
            <w:vAlign w:val="bottom"/>
          </w:tcPr>
          <w:p w14:paraId="3F2B2D5C" w14:textId="77777777" w:rsidR="00244374" w:rsidRPr="0040341A" w:rsidRDefault="00244374" w:rsidP="00244374">
            <w:pPr>
              <w:rPr>
                <w:lang w:eastAsia="sk-SK"/>
              </w:rPr>
            </w:pPr>
          </w:p>
        </w:tc>
        <w:tc>
          <w:tcPr>
            <w:tcW w:w="1560" w:type="dxa"/>
            <w:tcBorders>
              <w:top w:val="nil"/>
              <w:left w:val="nil"/>
              <w:bottom w:val="nil"/>
              <w:right w:val="nil"/>
            </w:tcBorders>
            <w:noWrap/>
            <w:vAlign w:val="bottom"/>
          </w:tcPr>
          <w:p w14:paraId="7678034D" w14:textId="77777777" w:rsidR="00244374" w:rsidRPr="0040341A" w:rsidRDefault="00244374" w:rsidP="00244374">
            <w:pPr>
              <w:rPr>
                <w:lang w:eastAsia="sk-SK"/>
              </w:rPr>
            </w:pPr>
          </w:p>
        </w:tc>
        <w:tc>
          <w:tcPr>
            <w:tcW w:w="1842" w:type="dxa"/>
            <w:gridSpan w:val="2"/>
            <w:tcBorders>
              <w:top w:val="nil"/>
              <w:left w:val="nil"/>
              <w:bottom w:val="nil"/>
              <w:right w:val="nil"/>
            </w:tcBorders>
            <w:noWrap/>
            <w:vAlign w:val="bottom"/>
          </w:tcPr>
          <w:p w14:paraId="75239BDA" w14:textId="77777777" w:rsidR="00244374" w:rsidRPr="0040341A" w:rsidRDefault="00244374" w:rsidP="00244374">
            <w:pPr>
              <w:rPr>
                <w:lang w:eastAsia="sk-SK"/>
              </w:rPr>
            </w:pPr>
          </w:p>
        </w:tc>
      </w:tr>
      <w:tr w:rsidR="00244374" w:rsidRPr="0040341A" w14:paraId="2D66018C" w14:textId="77777777" w:rsidTr="00244374">
        <w:trPr>
          <w:trHeight w:val="255"/>
        </w:trPr>
        <w:tc>
          <w:tcPr>
            <w:tcW w:w="6188" w:type="dxa"/>
            <w:tcBorders>
              <w:top w:val="nil"/>
              <w:left w:val="nil"/>
              <w:bottom w:val="nil"/>
              <w:right w:val="nil"/>
            </w:tcBorders>
          </w:tcPr>
          <w:p w14:paraId="28D7F40C" w14:textId="77777777" w:rsidR="00244374" w:rsidRPr="0040341A" w:rsidRDefault="00244374" w:rsidP="00244374">
            <w:pPr>
              <w:rPr>
                <w:b/>
                <w:bCs/>
                <w:lang w:eastAsia="sk-SK"/>
              </w:rPr>
            </w:pPr>
            <w:r w:rsidRPr="0040341A">
              <w:rPr>
                <w:b/>
                <w:bCs/>
                <w:lang w:eastAsia="sk-SK"/>
              </w:rPr>
              <w:t>Poznámka:</w:t>
            </w:r>
          </w:p>
        </w:tc>
        <w:tc>
          <w:tcPr>
            <w:tcW w:w="1698" w:type="dxa"/>
            <w:tcBorders>
              <w:top w:val="nil"/>
              <w:left w:val="nil"/>
              <w:bottom w:val="nil"/>
              <w:right w:val="nil"/>
            </w:tcBorders>
            <w:noWrap/>
            <w:vAlign w:val="bottom"/>
          </w:tcPr>
          <w:p w14:paraId="7FBA2B06" w14:textId="77777777" w:rsidR="00244374" w:rsidRPr="0040341A" w:rsidRDefault="00244374" w:rsidP="00244374">
            <w:pPr>
              <w:rPr>
                <w:lang w:eastAsia="sk-SK"/>
              </w:rPr>
            </w:pPr>
          </w:p>
        </w:tc>
        <w:tc>
          <w:tcPr>
            <w:tcW w:w="1788" w:type="dxa"/>
            <w:tcBorders>
              <w:top w:val="nil"/>
              <w:left w:val="nil"/>
              <w:bottom w:val="nil"/>
              <w:right w:val="nil"/>
            </w:tcBorders>
            <w:noWrap/>
            <w:vAlign w:val="bottom"/>
          </w:tcPr>
          <w:p w14:paraId="24118E00" w14:textId="77777777" w:rsidR="00244374" w:rsidRPr="0040341A" w:rsidRDefault="00244374" w:rsidP="00244374">
            <w:pPr>
              <w:rPr>
                <w:lang w:eastAsia="sk-SK"/>
              </w:rPr>
            </w:pPr>
          </w:p>
        </w:tc>
        <w:tc>
          <w:tcPr>
            <w:tcW w:w="1878" w:type="dxa"/>
            <w:gridSpan w:val="2"/>
            <w:tcBorders>
              <w:top w:val="nil"/>
              <w:left w:val="nil"/>
              <w:bottom w:val="nil"/>
              <w:right w:val="nil"/>
            </w:tcBorders>
            <w:noWrap/>
            <w:vAlign w:val="bottom"/>
          </w:tcPr>
          <w:p w14:paraId="5081638D" w14:textId="77777777" w:rsidR="00244374" w:rsidRPr="0040341A" w:rsidRDefault="00244374" w:rsidP="00244374">
            <w:pPr>
              <w:rPr>
                <w:lang w:eastAsia="sk-SK"/>
              </w:rPr>
            </w:pPr>
          </w:p>
        </w:tc>
        <w:tc>
          <w:tcPr>
            <w:tcW w:w="1560" w:type="dxa"/>
            <w:tcBorders>
              <w:top w:val="nil"/>
              <w:left w:val="nil"/>
              <w:bottom w:val="nil"/>
              <w:right w:val="nil"/>
            </w:tcBorders>
            <w:noWrap/>
            <w:vAlign w:val="bottom"/>
          </w:tcPr>
          <w:p w14:paraId="0ED4F1FD" w14:textId="77777777" w:rsidR="00244374" w:rsidRPr="0040341A" w:rsidRDefault="00244374" w:rsidP="00244374">
            <w:pPr>
              <w:rPr>
                <w:lang w:eastAsia="sk-SK"/>
              </w:rPr>
            </w:pPr>
          </w:p>
        </w:tc>
        <w:tc>
          <w:tcPr>
            <w:tcW w:w="1842" w:type="dxa"/>
            <w:gridSpan w:val="2"/>
            <w:tcBorders>
              <w:top w:val="nil"/>
              <w:left w:val="nil"/>
              <w:bottom w:val="nil"/>
              <w:right w:val="nil"/>
            </w:tcBorders>
            <w:noWrap/>
            <w:vAlign w:val="bottom"/>
          </w:tcPr>
          <w:p w14:paraId="1A54419E" w14:textId="77777777" w:rsidR="00244374" w:rsidRPr="0040341A" w:rsidRDefault="00244374" w:rsidP="00244374">
            <w:pPr>
              <w:rPr>
                <w:lang w:eastAsia="sk-SK"/>
              </w:rPr>
            </w:pPr>
          </w:p>
        </w:tc>
      </w:tr>
      <w:tr w:rsidR="00244374" w:rsidRPr="0040341A" w14:paraId="2A86EBA8" w14:textId="77777777" w:rsidTr="00244374">
        <w:trPr>
          <w:trHeight w:val="255"/>
        </w:trPr>
        <w:tc>
          <w:tcPr>
            <w:tcW w:w="13112" w:type="dxa"/>
            <w:gridSpan w:val="6"/>
            <w:tcBorders>
              <w:top w:val="nil"/>
              <w:left w:val="nil"/>
              <w:bottom w:val="nil"/>
              <w:right w:val="nil"/>
            </w:tcBorders>
            <w:noWrap/>
          </w:tcPr>
          <w:p w14:paraId="3D5625B6" w14:textId="77777777" w:rsidR="00244374" w:rsidRPr="0040341A" w:rsidRDefault="00244374" w:rsidP="00244374">
            <w:pPr>
              <w:tabs>
                <w:tab w:val="num" w:pos="1080"/>
              </w:tabs>
              <w:jc w:val="both"/>
              <w:rPr>
                <w:bCs/>
                <w:szCs w:val="20"/>
                <w:lang w:eastAsia="sk-SK"/>
              </w:rPr>
            </w:pPr>
            <w:r w:rsidRPr="0040341A">
              <w:rPr>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2CF18665" w14:textId="77777777" w:rsidR="00244374" w:rsidRPr="0040341A" w:rsidRDefault="00244374" w:rsidP="00244374">
            <w:pPr>
              <w:rPr>
                <w:lang w:eastAsia="sk-SK"/>
              </w:rPr>
            </w:pPr>
            <w:r w:rsidRPr="0040341A">
              <w:rPr>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48BD8AE9" w14:textId="77777777" w:rsidR="00244374" w:rsidRPr="0040341A" w:rsidRDefault="00244374" w:rsidP="00244374">
            <w:pPr>
              <w:rPr>
                <w:lang w:eastAsia="sk-SK"/>
              </w:rPr>
            </w:pPr>
          </w:p>
        </w:tc>
      </w:tr>
      <w:tr w:rsidR="00244374" w:rsidRPr="0040341A" w14:paraId="755D4E37" w14:textId="77777777" w:rsidTr="00244374">
        <w:trPr>
          <w:trHeight w:val="255"/>
        </w:trPr>
        <w:tc>
          <w:tcPr>
            <w:tcW w:w="10394" w:type="dxa"/>
            <w:gridSpan w:val="4"/>
            <w:tcBorders>
              <w:top w:val="nil"/>
              <w:left w:val="nil"/>
              <w:bottom w:val="nil"/>
              <w:right w:val="nil"/>
            </w:tcBorders>
            <w:noWrap/>
            <w:vAlign w:val="bottom"/>
          </w:tcPr>
          <w:p w14:paraId="150B4BCC" w14:textId="77777777" w:rsidR="00244374" w:rsidRPr="0040341A" w:rsidRDefault="00244374" w:rsidP="00244374">
            <w:pPr>
              <w:rPr>
                <w:lang w:eastAsia="sk-SK"/>
              </w:rPr>
            </w:pPr>
            <w:r w:rsidRPr="0040341A">
              <w:rPr>
                <w:lang w:eastAsia="sk-SK"/>
              </w:rPr>
              <w:t>Kategórie 610 a </w:t>
            </w:r>
            <w:proofErr w:type="gramStart"/>
            <w:r w:rsidRPr="0040341A">
              <w:rPr>
                <w:lang w:eastAsia="sk-SK"/>
              </w:rPr>
              <w:t>620 sú</w:t>
            </w:r>
            <w:proofErr w:type="gramEnd"/>
            <w:r w:rsidRPr="0040341A">
              <w:rPr>
                <w:lang w:eastAsia="sk-SK"/>
              </w:rPr>
              <w:t xml:space="preserve"> z tejto prílohy prenášané do príslušných kategórií prílohy „výdavky“.</w:t>
            </w:r>
          </w:p>
        </w:tc>
        <w:tc>
          <w:tcPr>
            <w:tcW w:w="1158" w:type="dxa"/>
            <w:tcBorders>
              <w:top w:val="nil"/>
              <w:left w:val="nil"/>
              <w:bottom w:val="nil"/>
              <w:right w:val="nil"/>
            </w:tcBorders>
            <w:noWrap/>
            <w:vAlign w:val="bottom"/>
          </w:tcPr>
          <w:p w14:paraId="6D679AB0" w14:textId="77777777" w:rsidR="00244374" w:rsidRPr="0040341A" w:rsidRDefault="00244374" w:rsidP="00244374">
            <w:pPr>
              <w:rPr>
                <w:lang w:eastAsia="sk-SK"/>
              </w:rPr>
            </w:pPr>
          </w:p>
        </w:tc>
        <w:tc>
          <w:tcPr>
            <w:tcW w:w="2892" w:type="dxa"/>
            <w:gridSpan w:val="2"/>
            <w:tcBorders>
              <w:top w:val="nil"/>
              <w:left w:val="nil"/>
              <w:bottom w:val="nil"/>
              <w:right w:val="nil"/>
            </w:tcBorders>
            <w:noWrap/>
            <w:vAlign w:val="bottom"/>
          </w:tcPr>
          <w:p w14:paraId="3AA63A03" w14:textId="77777777" w:rsidR="00244374" w:rsidRPr="0040341A" w:rsidRDefault="00244374" w:rsidP="00244374">
            <w:pPr>
              <w:rPr>
                <w:lang w:eastAsia="sk-SK"/>
              </w:rPr>
            </w:pPr>
          </w:p>
        </w:tc>
        <w:tc>
          <w:tcPr>
            <w:tcW w:w="510" w:type="dxa"/>
            <w:tcBorders>
              <w:top w:val="nil"/>
              <w:left w:val="nil"/>
              <w:bottom w:val="nil"/>
              <w:right w:val="nil"/>
            </w:tcBorders>
            <w:noWrap/>
            <w:vAlign w:val="bottom"/>
          </w:tcPr>
          <w:p w14:paraId="160C6A79" w14:textId="77777777" w:rsidR="00244374" w:rsidRPr="0040341A" w:rsidRDefault="00244374" w:rsidP="00244374">
            <w:pPr>
              <w:rPr>
                <w:lang w:eastAsia="sk-SK"/>
              </w:rPr>
            </w:pPr>
          </w:p>
        </w:tc>
      </w:tr>
    </w:tbl>
    <w:p w14:paraId="178E7EE8" w14:textId="77777777" w:rsidR="00244374" w:rsidRPr="0040341A" w:rsidRDefault="00244374" w:rsidP="00244374">
      <w:pPr>
        <w:rPr>
          <w:b/>
          <w:bCs/>
          <w:lang w:eastAsia="sk-SK"/>
        </w:rPr>
      </w:pPr>
    </w:p>
    <w:p w14:paraId="50A7458D" w14:textId="77777777" w:rsidR="00244374" w:rsidRPr="0040341A" w:rsidRDefault="00244374" w:rsidP="00244374">
      <w:pPr>
        <w:rPr>
          <w:b/>
          <w:bCs/>
          <w:lang w:eastAsia="sk-SK"/>
        </w:rPr>
      </w:pPr>
    </w:p>
    <w:p w14:paraId="7EE3A340" w14:textId="77777777" w:rsidR="00244374" w:rsidRPr="0040341A" w:rsidRDefault="00244374" w:rsidP="00244374">
      <w:pPr>
        <w:rPr>
          <w:b/>
          <w:bCs/>
          <w:lang w:eastAsia="sk-SK"/>
        </w:rPr>
        <w:sectPr w:rsidR="00244374" w:rsidRPr="0040341A" w:rsidSect="00244374">
          <w:footnotePr>
            <w:numFmt w:val="chicago"/>
          </w:footnotePr>
          <w:pgSz w:w="16838" w:h="11906" w:orient="landscape"/>
          <w:pgMar w:top="1418" w:right="1134" w:bottom="1418" w:left="1134" w:header="510" w:footer="567" w:gutter="0"/>
          <w:pgNumType w:start="1"/>
          <w:cols w:space="708"/>
          <w:formProt w:val="0"/>
          <w:docGrid w:linePitch="360"/>
        </w:sectPr>
      </w:pPr>
    </w:p>
    <w:p w14:paraId="3C23FFB3" w14:textId="3ACA531F" w:rsidR="00244374" w:rsidRPr="0040341A" w:rsidRDefault="00244374" w:rsidP="00244374">
      <w:pPr>
        <w:rPr>
          <w:b/>
          <w:bCs/>
          <w:lang w:eastAsia="sk-SK"/>
        </w:rPr>
      </w:pPr>
    </w:p>
    <w:p w14:paraId="4C1548D3" w14:textId="77777777" w:rsidR="00244374" w:rsidRPr="0040341A" w:rsidRDefault="00244374" w:rsidP="00244374">
      <w:pPr>
        <w:rPr>
          <w:b/>
          <w:bCs/>
          <w:lang w:eastAsia="sk-SK"/>
        </w:rPr>
      </w:pPr>
    </w:p>
    <w:p w14:paraId="6797957A" w14:textId="77777777" w:rsidR="00244374" w:rsidRPr="0040341A" w:rsidRDefault="00244374" w:rsidP="00244374">
      <w:pPr>
        <w:rPr>
          <w:b/>
          <w:bCs/>
          <w:lang w:eastAsia="sk-SK"/>
        </w:rPr>
      </w:pPr>
    </w:p>
    <w:p w14:paraId="3D4E4675" w14:textId="77777777" w:rsidR="00244374" w:rsidRPr="0040341A" w:rsidRDefault="00244374" w:rsidP="00244374">
      <w:pPr>
        <w:rPr>
          <w:b/>
          <w:bCs/>
          <w:lang w:eastAsia="sk-SK"/>
        </w:rPr>
      </w:pPr>
    </w:p>
    <w:p w14:paraId="7EF1C7DF" w14:textId="77777777" w:rsidR="00244374" w:rsidRPr="0040341A" w:rsidRDefault="00244374" w:rsidP="00244374">
      <w:pPr>
        <w:rPr>
          <w:b/>
          <w:bCs/>
          <w:lang w:eastAsia="sk-SK"/>
        </w:rPr>
      </w:pPr>
    </w:p>
    <w:p w14:paraId="1C8DC042" w14:textId="77777777" w:rsidR="00244374" w:rsidRPr="0040341A" w:rsidRDefault="00244374" w:rsidP="00244374">
      <w:pPr>
        <w:rPr>
          <w:b/>
          <w:bCs/>
          <w:lang w:eastAsia="sk-SK"/>
        </w:rPr>
      </w:pPr>
    </w:p>
    <w:p w14:paraId="05155C67" w14:textId="77777777" w:rsidR="00244374" w:rsidRPr="0040341A" w:rsidRDefault="00244374" w:rsidP="00244374">
      <w:pPr>
        <w:rPr>
          <w:b/>
          <w:bCs/>
          <w:lang w:eastAsia="sk-SK"/>
        </w:rPr>
      </w:pPr>
    </w:p>
    <w:p w14:paraId="7941C3E2" w14:textId="77777777" w:rsidR="00805B44" w:rsidRPr="0040341A" w:rsidRDefault="00805B44" w:rsidP="00244374">
      <w:pPr>
        <w:rPr>
          <w:b/>
          <w:bCs/>
          <w:lang w:eastAsia="sk-SK"/>
        </w:rPr>
        <w:sectPr w:rsidR="00805B44" w:rsidRPr="0040341A" w:rsidSect="00244374">
          <w:footnotePr>
            <w:numFmt w:val="chicago"/>
          </w:footnotePr>
          <w:pgSz w:w="11906" w:h="16838"/>
          <w:pgMar w:top="1134" w:right="1418" w:bottom="1134" w:left="1418" w:header="510" w:footer="567" w:gutter="0"/>
          <w:pgNumType w:start="1"/>
          <w:cols w:space="708"/>
          <w:formProt w:val="0"/>
          <w:docGrid w:linePitch="360"/>
        </w:sectPr>
      </w:pPr>
    </w:p>
    <w:p w14:paraId="1F868647" w14:textId="4648FDEA" w:rsidR="00244374" w:rsidRPr="0040341A" w:rsidRDefault="00244374" w:rsidP="00244374">
      <w:pPr>
        <w:rPr>
          <w:b/>
          <w:bCs/>
          <w:lang w:eastAsia="sk-SK"/>
        </w:rPr>
      </w:pPr>
    </w:p>
    <w:p w14:paraId="06DA27BD" w14:textId="77777777" w:rsidR="00244374" w:rsidRPr="0040341A" w:rsidRDefault="00244374" w:rsidP="00244374">
      <w:pPr>
        <w:rPr>
          <w:b/>
          <w:bCs/>
          <w:lang w:eastAsia="sk-SK"/>
        </w:rPr>
      </w:pPr>
    </w:p>
    <w:p w14:paraId="7A333E3F" w14:textId="77777777" w:rsidR="00244374" w:rsidRPr="0040341A" w:rsidRDefault="00244374" w:rsidP="00244374">
      <w:pPr>
        <w:rPr>
          <w:b/>
          <w:bCs/>
          <w:lang w:eastAsia="sk-SK"/>
        </w:rPr>
      </w:pPr>
      <w:r w:rsidRPr="0040341A">
        <w:rPr>
          <w:b/>
          <w:bCs/>
          <w:lang w:eastAsia="sk-SK"/>
        </w:rPr>
        <w:t xml:space="preserve">                                                                 </w:t>
      </w:r>
    </w:p>
    <w:p w14:paraId="1AE7E6C2" w14:textId="77777777" w:rsidR="00244374" w:rsidRPr="0040341A" w:rsidRDefault="00244374" w:rsidP="00244374">
      <w:pPr>
        <w:jc w:val="both"/>
        <w:rPr>
          <w:b/>
          <w:lang w:eastAsia="sk-SK"/>
        </w:rPr>
      </w:pPr>
      <w:r w:rsidRPr="0040341A">
        <w:rPr>
          <w:b/>
          <w:lang w:eastAsia="sk-SK"/>
        </w:rPr>
        <w:t xml:space="preserve">2.2.5. Výpočet vplyvov </w:t>
      </w:r>
      <w:proofErr w:type="gramStart"/>
      <w:r w:rsidRPr="0040341A">
        <w:rPr>
          <w:b/>
          <w:lang w:eastAsia="sk-SK"/>
        </w:rPr>
        <w:t>na</w:t>
      </w:r>
      <w:proofErr w:type="gramEnd"/>
      <w:r w:rsidRPr="0040341A">
        <w:rPr>
          <w:b/>
          <w:lang w:eastAsia="sk-SK"/>
        </w:rPr>
        <w:t xml:space="preserve"> dlhodobú udržateľnosť verejných financií </w:t>
      </w:r>
    </w:p>
    <w:p w14:paraId="4D8C5B4B" w14:textId="77777777" w:rsidR="00244374" w:rsidRPr="0040341A" w:rsidRDefault="00244374" w:rsidP="00244374">
      <w:pPr>
        <w:jc w:val="both"/>
        <w:rPr>
          <w:lang w:eastAsia="sk-SK"/>
        </w:rPr>
      </w:pPr>
    </w:p>
    <w:p w14:paraId="1C973CA4" w14:textId="77777777" w:rsidR="00244374" w:rsidRPr="0040341A" w:rsidRDefault="00244374" w:rsidP="00244374">
      <w:pPr>
        <w:ind w:firstLine="708"/>
        <w:jc w:val="both"/>
        <w:rPr>
          <w:lang w:eastAsia="sk-SK"/>
        </w:rPr>
      </w:pPr>
      <w:r w:rsidRPr="0040341A">
        <w:rPr>
          <w:lang w:eastAsia="sk-SK"/>
        </w:rPr>
        <w:t xml:space="preserve">Uveďte model, ktorý bol použitý </w:t>
      </w:r>
      <w:proofErr w:type="gramStart"/>
      <w:r w:rsidRPr="0040341A">
        <w:rPr>
          <w:lang w:eastAsia="sk-SK"/>
        </w:rPr>
        <w:t>na</w:t>
      </w:r>
      <w:proofErr w:type="gramEnd"/>
      <w:r w:rsidRPr="0040341A">
        <w:rPr>
          <w:lang w:eastAsia="sk-SK"/>
        </w:rPr>
        <w:t xml:space="preserve"> stanovenie vplyvov na príjmy a výdavky v dlhodobom horizonte, ako aj predpoklady, z ktorých ste vychádzali a boli v modeli zahrnuté. Popíšte použitý model spolu s jeho modifikáciami, </w:t>
      </w:r>
      <w:proofErr w:type="gramStart"/>
      <w:r w:rsidRPr="0040341A">
        <w:rPr>
          <w:lang w:eastAsia="sk-SK"/>
        </w:rPr>
        <w:t>ak</w:t>
      </w:r>
      <w:proofErr w:type="gramEnd"/>
      <w:r w:rsidRPr="0040341A">
        <w:rPr>
          <w:lang w:eastAsia="sk-SK"/>
        </w:rPr>
        <w:t xml:space="preserve"> boli pri výpočte vykonané. </w:t>
      </w:r>
    </w:p>
    <w:p w14:paraId="70FE24BC" w14:textId="77777777" w:rsidR="00244374" w:rsidRPr="0040341A" w:rsidRDefault="00244374" w:rsidP="00244374">
      <w:pPr>
        <w:jc w:val="both"/>
        <w:rPr>
          <w:lang w:eastAsia="sk-SK"/>
        </w:rPr>
      </w:pPr>
    </w:p>
    <w:p w14:paraId="60D4333C" w14:textId="77777777" w:rsidR="00244374" w:rsidRPr="0040341A" w:rsidRDefault="00244374" w:rsidP="00244374">
      <w:pPr>
        <w:jc w:val="both"/>
        <w:rPr>
          <w:lang w:eastAsia="sk-SK"/>
        </w:rPr>
      </w:pPr>
      <w:r w:rsidRPr="0040341A">
        <w:rPr>
          <w:lang w:eastAsia="sk-SK"/>
        </w:rPr>
        <w:t xml:space="preserve">                                                                                                                                </w:t>
      </w:r>
      <w:r w:rsidRPr="0040341A">
        <w:rPr>
          <w:lang w:eastAsia="sk-SK"/>
        </w:rPr>
        <w:tab/>
      </w:r>
      <w:r w:rsidRPr="0040341A">
        <w:rPr>
          <w:lang w:eastAsia="sk-SK"/>
        </w:rPr>
        <w:tab/>
      </w:r>
      <w:r w:rsidRPr="0040341A">
        <w:rPr>
          <w:lang w:eastAsia="sk-SK"/>
        </w:rPr>
        <w:tab/>
      </w:r>
      <w:r w:rsidRPr="0040341A">
        <w:rPr>
          <w:lang w:eastAsia="sk-SK"/>
        </w:rPr>
        <w:tab/>
      </w:r>
      <w:r w:rsidRPr="0040341A">
        <w:rPr>
          <w:lang w:eastAsia="sk-SK"/>
        </w:rPr>
        <w:tab/>
      </w:r>
      <w:r w:rsidRPr="0040341A">
        <w:rPr>
          <w:lang w:eastAsia="sk-SK"/>
        </w:rPr>
        <w:tab/>
      </w:r>
      <w:r w:rsidRPr="0040341A">
        <w:rPr>
          <w:lang w:eastAsia="sk-SK"/>
        </w:rPr>
        <w:tab/>
      </w:r>
      <w:r w:rsidRPr="0040341A">
        <w:rPr>
          <w:lang w:eastAsia="sk-SK"/>
        </w:rPr>
        <w:tab/>
        <w:t>Tabuľka č. 6</w:t>
      </w:r>
    </w:p>
    <w:p w14:paraId="47BE7736" w14:textId="77777777" w:rsidR="00244374" w:rsidRPr="0040341A" w:rsidRDefault="00244374" w:rsidP="00244374">
      <w:pPr>
        <w:jc w:val="both"/>
        <w:rPr>
          <w:lang w:eastAsia="sk-SK"/>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44374" w:rsidRPr="0040341A" w14:paraId="36C9F7AD" w14:textId="77777777" w:rsidTr="00244374">
        <w:trPr>
          <w:trHeight w:val="284"/>
        </w:trPr>
        <w:tc>
          <w:tcPr>
            <w:tcW w:w="2943" w:type="dxa"/>
            <w:vMerge w:val="restart"/>
            <w:shd w:val="clear" w:color="auto" w:fill="BFBFBF" w:themeFill="background1" w:themeFillShade="BF"/>
            <w:vAlign w:val="center"/>
          </w:tcPr>
          <w:p w14:paraId="70F03A77" w14:textId="77777777" w:rsidR="00244374" w:rsidRPr="0040341A" w:rsidRDefault="00244374" w:rsidP="00244374">
            <w:pPr>
              <w:widowControl w:val="0"/>
              <w:overflowPunct w:val="0"/>
              <w:autoSpaceDE w:val="0"/>
              <w:autoSpaceDN w:val="0"/>
              <w:adjustRightInd w:val="0"/>
              <w:jc w:val="center"/>
              <w:textAlignment w:val="baseline"/>
              <w:rPr>
                <w:b/>
                <w:lang w:eastAsia="sk-SK"/>
              </w:rPr>
            </w:pPr>
            <w:r w:rsidRPr="0040341A">
              <w:rPr>
                <w:b/>
                <w:lang w:eastAsia="sk-SK"/>
              </w:rPr>
              <w:t>Dlhodobá udržateľnosť</w:t>
            </w:r>
          </w:p>
        </w:tc>
        <w:tc>
          <w:tcPr>
            <w:tcW w:w="7967" w:type="dxa"/>
            <w:gridSpan w:val="5"/>
            <w:shd w:val="clear" w:color="auto" w:fill="BFBFBF" w:themeFill="background1" w:themeFillShade="BF"/>
          </w:tcPr>
          <w:p w14:paraId="4AFFDDFE" w14:textId="77777777" w:rsidR="00244374" w:rsidRPr="0040341A" w:rsidRDefault="00244374" w:rsidP="00244374">
            <w:pPr>
              <w:widowControl w:val="0"/>
              <w:overflowPunct w:val="0"/>
              <w:autoSpaceDE w:val="0"/>
              <w:autoSpaceDN w:val="0"/>
              <w:adjustRightInd w:val="0"/>
              <w:jc w:val="center"/>
              <w:textAlignment w:val="baseline"/>
              <w:rPr>
                <w:b/>
                <w:lang w:eastAsia="sk-SK"/>
              </w:rPr>
            </w:pPr>
            <w:r w:rsidRPr="0040341A">
              <w:rPr>
                <w:b/>
                <w:lang w:eastAsia="sk-SK"/>
              </w:rPr>
              <w:t>Vplyv na verejné financie</w:t>
            </w:r>
          </w:p>
        </w:tc>
        <w:tc>
          <w:tcPr>
            <w:tcW w:w="3119" w:type="dxa"/>
            <w:vMerge w:val="restart"/>
            <w:shd w:val="clear" w:color="auto" w:fill="BFBFBF" w:themeFill="background1" w:themeFillShade="BF"/>
            <w:vAlign w:val="center"/>
          </w:tcPr>
          <w:p w14:paraId="54F42F5D" w14:textId="77777777" w:rsidR="00244374" w:rsidRPr="0040341A" w:rsidRDefault="00244374" w:rsidP="00244374">
            <w:pPr>
              <w:widowControl w:val="0"/>
              <w:overflowPunct w:val="0"/>
              <w:autoSpaceDE w:val="0"/>
              <w:autoSpaceDN w:val="0"/>
              <w:adjustRightInd w:val="0"/>
              <w:jc w:val="center"/>
              <w:textAlignment w:val="baseline"/>
              <w:rPr>
                <w:b/>
                <w:lang w:eastAsia="sk-SK"/>
              </w:rPr>
            </w:pPr>
            <w:r w:rsidRPr="0040341A">
              <w:rPr>
                <w:b/>
                <w:lang w:eastAsia="sk-SK"/>
              </w:rPr>
              <w:t>Poznámka</w:t>
            </w:r>
          </w:p>
        </w:tc>
      </w:tr>
      <w:tr w:rsidR="00244374" w:rsidRPr="0040341A" w14:paraId="349217E1" w14:textId="77777777" w:rsidTr="00244374">
        <w:trPr>
          <w:trHeight w:val="284"/>
        </w:trPr>
        <w:tc>
          <w:tcPr>
            <w:tcW w:w="2943" w:type="dxa"/>
            <w:vMerge/>
            <w:shd w:val="clear" w:color="auto" w:fill="BFBFBF" w:themeFill="background1" w:themeFillShade="BF"/>
          </w:tcPr>
          <w:p w14:paraId="7D2F691B"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447" w:type="dxa"/>
            <w:shd w:val="clear" w:color="auto" w:fill="BFBFBF" w:themeFill="background1" w:themeFillShade="BF"/>
          </w:tcPr>
          <w:p w14:paraId="1EE03908" w14:textId="77777777" w:rsidR="00244374" w:rsidRPr="0040341A" w:rsidRDefault="00244374" w:rsidP="00244374">
            <w:pPr>
              <w:widowControl w:val="0"/>
              <w:overflowPunct w:val="0"/>
              <w:autoSpaceDE w:val="0"/>
              <w:autoSpaceDN w:val="0"/>
              <w:adjustRightInd w:val="0"/>
              <w:jc w:val="center"/>
              <w:textAlignment w:val="baseline"/>
              <w:rPr>
                <w:lang w:eastAsia="sk-SK"/>
              </w:rPr>
            </w:pPr>
            <w:r w:rsidRPr="0040341A">
              <w:rPr>
                <w:lang w:eastAsia="sk-SK"/>
              </w:rPr>
              <w:t>d</w:t>
            </w:r>
          </w:p>
        </w:tc>
        <w:tc>
          <w:tcPr>
            <w:tcW w:w="1559" w:type="dxa"/>
            <w:shd w:val="clear" w:color="auto" w:fill="BFBFBF" w:themeFill="background1" w:themeFillShade="BF"/>
          </w:tcPr>
          <w:p w14:paraId="1AF8A414" w14:textId="77777777" w:rsidR="00244374" w:rsidRPr="0040341A" w:rsidRDefault="00244374" w:rsidP="00244374">
            <w:pPr>
              <w:widowControl w:val="0"/>
              <w:overflowPunct w:val="0"/>
              <w:autoSpaceDE w:val="0"/>
              <w:autoSpaceDN w:val="0"/>
              <w:adjustRightInd w:val="0"/>
              <w:jc w:val="center"/>
              <w:textAlignment w:val="baseline"/>
              <w:rPr>
                <w:lang w:eastAsia="sk-SK"/>
              </w:rPr>
            </w:pPr>
            <w:r w:rsidRPr="0040341A">
              <w:rPr>
                <w:lang w:eastAsia="sk-SK"/>
              </w:rPr>
              <w:t>d+10</w:t>
            </w:r>
          </w:p>
        </w:tc>
        <w:tc>
          <w:tcPr>
            <w:tcW w:w="1559" w:type="dxa"/>
            <w:shd w:val="clear" w:color="auto" w:fill="BFBFBF" w:themeFill="background1" w:themeFillShade="BF"/>
          </w:tcPr>
          <w:p w14:paraId="4FBB4145" w14:textId="77777777" w:rsidR="00244374" w:rsidRPr="0040341A" w:rsidRDefault="00244374" w:rsidP="00244374">
            <w:pPr>
              <w:widowControl w:val="0"/>
              <w:overflowPunct w:val="0"/>
              <w:autoSpaceDE w:val="0"/>
              <w:autoSpaceDN w:val="0"/>
              <w:adjustRightInd w:val="0"/>
              <w:jc w:val="center"/>
              <w:textAlignment w:val="baseline"/>
              <w:rPr>
                <w:lang w:eastAsia="sk-SK"/>
              </w:rPr>
            </w:pPr>
            <w:r w:rsidRPr="0040341A">
              <w:rPr>
                <w:lang w:eastAsia="sk-SK"/>
              </w:rPr>
              <w:t>d+20</w:t>
            </w:r>
          </w:p>
        </w:tc>
        <w:tc>
          <w:tcPr>
            <w:tcW w:w="1418" w:type="dxa"/>
            <w:shd w:val="clear" w:color="auto" w:fill="BFBFBF" w:themeFill="background1" w:themeFillShade="BF"/>
          </w:tcPr>
          <w:p w14:paraId="5DC3E222" w14:textId="77777777" w:rsidR="00244374" w:rsidRPr="0040341A" w:rsidRDefault="00244374" w:rsidP="00244374">
            <w:pPr>
              <w:widowControl w:val="0"/>
              <w:overflowPunct w:val="0"/>
              <w:autoSpaceDE w:val="0"/>
              <w:autoSpaceDN w:val="0"/>
              <w:adjustRightInd w:val="0"/>
              <w:jc w:val="center"/>
              <w:textAlignment w:val="baseline"/>
              <w:rPr>
                <w:lang w:eastAsia="sk-SK"/>
              </w:rPr>
            </w:pPr>
            <w:r w:rsidRPr="0040341A">
              <w:rPr>
                <w:lang w:eastAsia="sk-SK"/>
              </w:rPr>
              <w:t>d+30</w:t>
            </w:r>
          </w:p>
        </w:tc>
        <w:tc>
          <w:tcPr>
            <w:tcW w:w="1984" w:type="dxa"/>
            <w:shd w:val="clear" w:color="auto" w:fill="BFBFBF" w:themeFill="background1" w:themeFillShade="BF"/>
          </w:tcPr>
          <w:p w14:paraId="3EC72C09" w14:textId="77777777" w:rsidR="00244374" w:rsidRPr="0040341A" w:rsidRDefault="00244374" w:rsidP="00244374">
            <w:pPr>
              <w:widowControl w:val="0"/>
              <w:overflowPunct w:val="0"/>
              <w:autoSpaceDE w:val="0"/>
              <w:autoSpaceDN w:val="0"/>
              <w:adjustRightInd w:val="0"/>
              <w:jc w:val="center"/>
              <w:textAlignment w:val="baseline"/>
              <w:rPr>
                <w:lang w:eastAsia="sk-SK"/>
              </w:rPr>
            </w:pPr>
            <w:r w:rsidRPr="0040341A">
              <w:rPr>
                <w:lang w:eastAsia="sk-SK"/>
              </w:rPr>
              <w:t>d+40</w:t>
            </w:r>
          </w:p>
        </w:tc>
        <w:tc>
          <w:tcPr>
            <w:tcW w:w="3119" w:type="dxa"/>
            <w:vMerge/>
            <w:shd w:val="clear" w:color="auto" w:fill="BFBFBF" w:themeFill="background1" w:themeFillShade="BF"/>
          </w:tcPr>
          <w:p w14:paraId="79F12E82" w14:textId="77777777" w:rsidR="00244374" w:rsidRPr="0040341A" w:rsidRDefault="00244374" w:rsidP="00244374">
            <w:pPr>
              <w:widowControl w:val="0"/>
              <w:overflowPunct w:val="0"/>
              <w:autoSpaceDE w:val="0"/>
              <w:autoSpaceDN w:val="0"/>
              <w:adjustRightInd w:val="0"/>
              <w:jc w:val="both"/>
              <w:textAlignment w:val="baseline"/>
              <w:rPr>
                <w:lang w:eastAsia="sk-SK"/>
              </w:rPr>
            </w:pPr>
          </w:p>
        </w:tc>
      </w:tr>
      <w:tr w:rsidR="00244374" w:rsidRPr="0040341A" w14:paraId="7B4FEB63" w14:textId="77777777" w:rsidTr="00244374">
        <w:trPr>
          <w:trHeight w:val="284"/>
        </w:trPr>
        <w:tc>
          <w:tcPr>
            <w:tcW w:w="2943" w:type="dxa"/>
            <w:shd w:val="clear" w:color="auto" w:fill="auto"/>
            <w:vAlign w:val="bottom"/>
          </w:tcPr>
          <w:p w14:paraId="63AAE6E2" w14:textId="77777777" w:rsidR="00244374" w:rsidRPr="0040341A" w:rsidRDefault="00244374" w:rsidP="00244374">
            <w:pPr>
              <w:widowControl w:val="0"/>
              <w:overflowPunct w:val="0"/>
              <w:autoSpaceDE w:val="0"/>
              <w:autoSpaceDN w:val="0"/>
              <w:adjustRightInd w:val="0"/>
              <w:textAlignment w:val="baseline"/>
              <w:rPr>
                <w:lang w:eastAsia="sk-SK"/>
              </w:rPr>
            </w:pPr>
            <w:r w:rsidRPr="0040341A">
              <w:rPr>
                <w:lang w:eastAsia="sk-SK"/>
              </w:rPr>
              <w:t>Vplyv na výdavky v p. b. HDP</w:t>
            </w:r>
          </w:p>
        </w:tc>
        <w:tc>
          <w:tcPr>
            <w:tcW w:w="1447" w:type="dxa"/>
            <w:shd w:val="clear" w:color="auto" w:fill="auto"/>
          </w:tcPr>
          <w:p w14:paraId="2E684545"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559" w:type="dxa"/>
            <w:shd w:val="clear" w:color="auto" w:fill="auto"/>
          </w:tcPr>
          <w:p w14:paraId="71362162"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559" w:type="dxa"/>
            <w:shd w:val="clear" w:color="auto" w:fill="auto"/>
          </w:tcPr>
          <w:p w14:paraId="44ABAB15"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418" w:type="dxa"/>
            <w:shd w:val="clear" w:color="auto" w:fill="auto"/>
          </w:tcPr>
          <w:p w14:paraId="08CF0F7C"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984" w:type="dxa"/>
            <w:shd w:val="clear" w:color="auto" w:fill="auto"/>
          </w:tcPr>
          <w:p w14:paraId="0A91CD22"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3119" w:type="dxa"/>
            <w:shd w:val="clear" w:color="auto" w:fill="auto"/>
          </w:tcPr>
          <w:p w14:paraId="167756F6" w14:textId="77777777" w:rsidR="00244374" w:rsidRPr="0040341A" w:rsidRDefault="00244374" w:rsidP="00244374">
            <w:pPr>
              <w:widowControl w:val="0"/>
              <w:overflowPunct w:val="0"/>
              <w:autoSpaceDE w:val="0"/>
              <w:autoSpaceDN w:val="0"/>
              <w:adjustRightInd w:val="0"/>
              <w:jc w:val="both"/>
              <w:textAlignment w:val="baseline"/>
              <w:rPr>
                <w:lang w:eastAsia="sk-SK"/>
              </w:rPr>
            </w:pPr>
          </w:p>
        </w:tc>
      </w:tr>
      <w:tr w:rsidR="00244374" w:rsidRPr="0040341A" w14:paraId="2030DB66" w14:textId="77777777" w:rsidTr="00244374">
        <w:trPr>
          <w:trHeight w:val="284"/>
        </w:trPr>
        <w:tc>
          <w:tcPr>
            <w:tcW w:w="2943" w:type="dxa"/>
            <w:shd w:val="clear" w:color="auto" w:fill="auto"/>
          </w:tcPr>
          <w:p w14:paraId="440634DE" w14:textId="77777777" w:rsidR="00244374" w:rsidRPr="0040341A" w:rsidRDefault="00244374" w:rsidP="00244374">
            <w:pPr>
              <w:widowControl w:val="0"/>
              <w:overflowPunct w:val="0"/>
              <w:autoSpaceDE w:val="0"/>
              <w:autoSpaceDN w:val="0"/>
              <w:adjustRightInd w:val="0"/>
              <w:textAlignment w:val="baseline"/>
              <w:rPr>
                <w:lang w:eastAsia="sk-SK"/>
              </w:rPr>
            </w:pPr>
            <w:r w:rsidRPr="0040341A">
              <w:rPr>
                <w:lang w:eastAsia="sk-SK"/>
              </w:rPr>
              <w:t>Vplyv na príjmy v p. b. HDP</w:t>
            </w:r>
          </w:p>
        </w:tc>
        <w:tc>
          <w:tcPr>
            <w:tcW w:w="1447" w:type="dxa"/>
            <w:shd w:val="clear" w:color="auto" w:fill="auto"/>
          </w:tcPr>
          <w:p w14:paraId="3D2704E3"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559" w:type="dxa"/>
            <w:shd w:val="clear" w:color="auto" w:fill="auto"/>
          </w:tcPr>
          <w:p w14:paraId="1CF342F2"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559" w:type="dxa"/>
            <w:shd w:val="clear" w:color="auto" w:fill="auto"/>
          </w:tcPr>
          <w:p w14:paraId="3B5C0685"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418" w:type="dxa"/>
            <w:shd w:val="clear" w:color="auto" w:fill="auto"/>
          </w:tcPr>
          <w:p w14:paraId="5472F687"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984" w:type="dxa"/>
            <w:shd w:val="clear" w:color="auto" w:fill="auto"/>
          </w:tcPr>
          <w:p w14:paraId="59688D8E"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3119" w:type="dxa"/>
            <w:shd w:val="clear" w:color="auto" w:fill="auto"/>
          </w:tcPr>
          <w:p w14:paraId="1B0B6BBC" w14:textId="77777777" w:rsidR="00244374" w:rsidRPr="0040341A" w:rsidRDefault="00244374" w:rsidP="00244374">
            <w:pPr>
              <w:widowControl w:val="0"/>
              <w:overflowPunct w:val="0"/>
              <w:autoSpaceDE w:val="0"/>
              <w:autoSpaceDN w:val="0"/>
              <w:adjustRightInd w:val="0"/>
              <w:jc w:val="both"/>
              <w:textAlignment w:val="baseline"/>
              <w:rPr>
                <w:lang w:eastAsia="sk-SK"/>
              </w:rPr>
            </w:pPr>
          </w:p>
        </w:tc>
      </w:tr>
      <w:tr w:rsidR="00244374" w:rsidRPr="0040341A" w14:paraId="786B05FE" w14:textId="77777777" w:rsidTr="00244374">
        <w:trPr>
          <w:trHeight w:val="284"/>
        </w:trPr>
        <w:tc>
          <w:tcPr>
            <w:tcW w:w="2943" w:type="dxa"/>
            <w:shd w:val="clear" w:color="auto" w:fill="auto"/>
          </w:tcPr>
          <w:p w14:paraId="0D5D9234" w14:textId="77777777" w:rsidR="00244374" w:rsidRPr="0040341A" w:rsidRDefault="00244374" w:rsidP="00244374">
            <w:pPr>
              <w:widowControl w:val="0"/>
              <w:overflowPunct w:val="0"/>
              <w:autoSpaceDE w:val="0"/>
              <w:autoSpaceDN w:val="0"/>
              <w:adjustRightInd w:val="0"/>
              <w:textAlignment w:val="baseline"/>
              <w:rPr>
                <w:lang w:eastAsia="sk-SK"/>
              </w:rPr>
            </w:pPr>
            <w:r w:rsidRPr="0040341A">
              <w:rPr>
                <w:lang w:eastAsia="sk-SK"/>
              </w:rPr>
              <w:t>Vplyv na bilanciu  v p. b. HDP</w:t>
            </w:r>
          </w:p>
        </w:tc>
        <w:tc>
          <w:tcPr>
            <w:tcW w:w="1447" w:type="dxa"/>
            <w:shd w:val="clear" w:color="auto" w:fill="auto"/>
          </w:tcPr>
          <w:p w14:paraId="59BE8691"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559" w:type="dxa"/>
            <w:shd w:val="clear" w:color="auto" w:fill="auto"/>
          </w:tcPr>
          <w:p w14:paraId="7D3D52EC"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559" w:type="dxa"/>
            <w:shd w:val="clear" w:color="auto" w:fill="auto"/>
          </w:tcPr>
          <w:p w14:paraId="34A3174E"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418" w:type="dxa"/>
            <w:shd w:val="clear" w:color="auto" w:fill="auto"/>
          </w:tcPr>
          <w:p w14:paraId="6FC1D0A4"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1984" w:type="dxa"/>
            <w:shd w:val="clear" w:color="auto" w:fill="auto"/>
          </w:tcPr>
          <w:p w14:paraId="796E2474" w14:textId="77777777" w:rsidR="00244374" w:rsidRPr="0040341A" w:rsidRDefault="00244374" w:rsidP="00244374">
            <w:pPr>
              <w:widowControl w:val="0"/>
              <w:overflowPunct w:val="0"/>
              <w:autoSpaceDE w:val="0"/>
              <w:autoSpaceDN w:val="0"/>
              <w:adjustRightInd w:val="0"/>
              <w:jc w:val="both"/>
              <w:textAlignment w:val="baseline"/>
              <w:rPr>
                <w:lang w:eastAsia="sk-SK"/>
              </w:rPr>
            </w:pPr>
          </w:p>
        </w:tc>
        <w:tc>
          <w:tcPr>
            <w:tcW w:w="3119" w:type="dxa"/>
            <w:shd w:val="clear" w:color="auto" w:fill="auto"/>
          </w:tcPr>
          <w:p w14:paraId="1179602B" w14:textId="77777777" w:rsidR="00244374" w:rsidRPr="0040341A" w:rsidRDefault="00244374" w:rsidP="00244374">
            <w:pPr>
              <w:widowControl w:val="0"/>
              <w:overflowPunct w:val="0"/>
              <w:autoSpaceDE w:val="0"/>
              <w:autoSpaceDN w:val="0"/>
              <w:adjustRightInd w:val="0"/>
              <w:jc w:val="both"/>
              <w:textAlignment w:val="baseline"/>
              <w:rPr>
                <w:lang w:eastAsia="sk-SK"/>
              </w:rPr>
            </w:pPr>
          </w:p>
        </w:tc>
      </w:tr>
    </w:tbl>
    <w:p w14:paraId="3CD1E034" w14:textId="77777777" w:rsidR="00244374" w:rsidRPr="0040341A" w:rsidRDefault="00244374" w:rsidP="00244374">
      <w:pPr>
        <w:jc w:val="both"/>
        <w:rPr>
          <w:lang w:eastAsia="sk-SK"/>
        </w:rPr>
      </w:pPr>
    </w:p>
    <w:p w14:paraId="5A92F957" w14:textId="77777777" w:rsidR="00244374" w:rsidRPr="0040341A" w:rsidRDefault="00244374" w:rsidP="00244374">
      <w:pPr>
        <w:jc w:val="both"/>
        <w:rPr>
          <w:b/>
          <w:lang w:eastAsia="sk-SK"/>
        </w:rPr>
      </w:pPr>
      <w:r w:rsidRPr="0040341A">
        <w:rPr>
          <w:b/>
          <w:lang w:eastAsia="sk-SK"/>
        </w:rPr>
        <w:t xml:space="preserve">Poznámka: </w:t>
      </w:r>
    </w:p>
    <w:p w14:paraId="53745F43" w14:textId="77777777" w:rsidR="00244374" w:rsidRPr="0040341A" w:rsidRDefault="00244374" w:rsidP="00244374">
      <w:pPr>
        <w:jc w:val="both"/>
        <w:rPr>
          <w:lang w:eastAsia="sk-SK"/>
        </w:rPr>
      </w:pPr>
      <w:r w:rsidRPr="0040341A">
        <w:rPr>
          <w:lang w:eastAsia="sk-SK"/>
        </w:rPr>
        <w:t>Písmeno „d</w:t>
      </w:r>
      <w:proofErr w:type="gramStart"/>
      <w:r w:rsidRPr="0040341A">
        <w:rPr>
          <w:lang w:eastAsia="sk-SK"/>
        </w:rPr>
        <w:t>“ označuje</w:t>
      </w:r>
      <w:proofErr w:type="gramEnd"/>
      <w:r w:rsidRPr="0040341A">
        <w:rPr>
          <w:lang w:eastAsia="sk-SK"/>
        </w:rPr>
        <w:t xml:space="preserve"> prvý rok nasledujúcej dekády. </w:t>
      </w:r>
    </w:p>
    <w:p w14:paraId="32777352" w14:textId="77777777" w:rsidR="00244374" w:rsidRPr="0040341A" w:rsidRDefault="00244374" w:rsidP="00244374">
      <w:pPr>
        <w:jc w:val="both"/>
        <w:rPr>
          <w:lang w:eastAsia="sk-SK"/>
        </w:rPr>
      </w:pPr>
      <w:r w:rsidRPr="0040341A">
        <w:rPr>
          <w:lang w:eastAsia="sk-SK"/>
        </w:rPr>
        <w:t xml:space="preserve">Tabuľka </w:t>
      </w:r>
      <w:proofErr w:type="gramStart"/>
      <w:r w:rsidRPr="0040341A">
        <w:rPr>
          <w:lang w:eastAsia="sk-SK"/>
        </w:rPr>
        <w:t>sa</w:t>
      </w:r>
      <w:proofErr w:type="gramEnd"/>
      <w:r w:rsidRPr="0040341A">
        <w:rPr>
          <w:lang w:eastAsia="sk-SK"/>
        </w:rPr>
        <w:t xml:space="preserve"> vypĺňa pre každé opatrenie samostatne. V prípade zavádzania viacerých opatrení </w:t>
      </w:r>
      <w:proofErr w:type="gramStart"/>
      <w:r w:rsidRPr="0040341A">
        <w:rPr>
          <w:lang w:eastAsia="sk-SK"/>
        </w:rPr>
        <w:t>sa</w:t>
      </w:r>
      <w:proofErr w:type="gramEnd"/>
      <w:r w:rsidRPr="0040341A">
        <w:rPr>
          <w:lang w:eastAsia="sk-SK"/>
        </w:rPr>
        <w:t xml:space="preserve"> vyplní aj tabuľka obsahujúca aj kumulatívny efekt zavedenia všetkých opatrení súčasne.</w:t>
      </w:r>
    </w:p>
    <w:p w14:paraId="2F3BFC9E" w14:textId="1BA7796A" w:rsidR="00805B44" w:rsidRPr="0040341A" w:rsidRDefault="00805B44" w:rsidP="00805B44">
      <w:pPr>
        <w:rPr>
          <w:b/>
          <w:sz w:val="28"/>
          <w:szCs w:val="28"/>
          <w:highlight w:val="yellow"/>
          <w:lang w:eastAsia="sk-SK"/>
        </w:rPr>
        <w:sectPr w:rsidR="00805B44" w:rsidRPr="0040341A" w:rsidSect="00805B44">
          <w:footnotePr>
            <w:numFmt w:val="chicago"/>
          </w:footnotePr>
          <w:pgSz w:w="16838" w:h="11906" w:orient="landscape"/>
          <w:pgMar w:top="1418" w:right="1134" w:bottom="1418" w:left="1134" w:header="510" w:footer="567" w:gutter="0"/>
          <w:pgNumType w:start="1"/>
          <w:cols w:space="708"/>
          <w:formProt w:val="0"/>
          <w:docGrid w:linePitch="360"/>
        </w:sectPr>
      </w:pPr>
    </w:p>
    <w:p w14:paraId="0A4B015D" w14:textId="6783D5D8" w:rsidR="00805B44" w:rsidRPr="0040341A" w:rsidRDefault="00805B44" w:rsidP="00805B44">
      <w:pPr>
        <w:rPr>
          <w:b/>
          <w:sz w:val="28"/>
          <w:szCs w:val="28"/>
          <w:highlight w:val="yellow"/>
          <w:lang w:eastAsia="sk-SK"/>
        </w:rPr>
      </w:pPr>
    </w:p>
    <w:p w14:paraId="286FEF42" w14:textId="2876383F" w:rsidR="00805B44" w:rsidRPr="0040341A" w:rsidRDefault="00805B44" w:rsidP="00B32768">
      <w:pPr>
        <w:jc w:val="center"/>
        <w:rPr>
          <w:b/>
          <w:sz w:val="28"/>
          <w:szCs w:val="28"/>
          <w:highlight w:val="yellow"/>
          <w:lang w:eastAsia="sk-SK"/>
        </w:rPr>
      </w:pPr>
    </w:p>
    <w:p w14:paraId="5A58A067" w14:textId="77777777" w:rsidR="00805B44" w:rsidRPr="0040341A" w:rsidRDefault="00805B44" w:rsidP="00B32768">
      <w:pPr>
        <w:jc w:val="center"/>
        <w:rPr>
          <w:b/>
          <w:sz w:val="28"/>
          <w:szCs w:val="28"/>
          <w:highlight w:val="yellow"/>
          <w:lang w:eastAsia="sk-SK"/>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44374" w:rsidRPr="0040341A" w14:paraId="1DC6DD07" w14:textId="77777777" w:rsidTr="00244374">
        <w:trPr>
          <w:trHeight w:val="534"/>
          <w:jc w:val="center"/>
        </w:trPr>
        <w:tc>
          <w:tcPr>
            <w:tcW w:w="5000" w:type="pct"/>
            <w:gridSpan w:val="3"/>
            <w:tcBorders>
              <w:bottom w:val="single" w:sz="4" w:space="0" w:color="auto"/>
            </w:tcBorders>
            <w:shd w:val="clear" w:color="auto" w:fill="808080" w:themeFill="background1" w:themeFillShade="80"/>
          </w:tcPr>
          <w:p w14:paraId="459E477B" w14:textId="77777777" w:rsidR="00244374" w:rsidRPr="0040341A" w:rsidRDefault="00244374" w:rsidP="00244374">
            <w:pPr>
              <w:ind w:left="-284" w:firstLine="284"/>
              <w:jc w:val="center"/>
              <w:rPr>
                <w:rFonts w:eastAsia="Calibri"/>
                <w:b/>
                <w:bCs/>
                <w:sz w:val="28"/>
                <w:szCs w:val="28"/>
                <w:lang w:eastAsia="sk-SK"/>
              </w:rPr>
            </w:pPr>
            <w:r w:rsidRPr="0040341A">
              <w:rPr>
                <w:rFonts w:eastAsia="Calibri"/>
                <w:b/>
                <w:bCs/>
                <w:sz w:val="28"/>
                <w:szCs w:val="28"/>
                <w:lang w:eastAsia="sk-SK"/>
              </w:rPr>
              <w:t>Analýza sociálnych vplyvov</w:t>
            </w:r>
          </w:p>
          <w:p w14:paraId="64291A6A" w14:textId="77777777" w:rsidR="00244374" w:rsidRPr="0040341A" w:rsidRDefault="00244374" w:rsidP="00244374">
            <w:pPr>
              <w:jc w:val="center"/>
              <w:rPr>
                <w:rFonts w:eastAsia="Calibri"/>
                <w:b/>
                <w:lang w:eastAsia="sk-SK"/>
              </w:rPr>
            </w:pPr>
            <w:r w:rsidRPr="0040341A">
              <w:rPr>
                <w:rFonts w:eastAsia="Calibri"/>
                <w:b/>
                <w:lang w:eastAsia="sk-SK"/>
              </w:rPr>
              <w:t>Vplyvy na hospodárenie domácností, prístup k zdrojom, právam, tovarom a službám, sociálnu inklúziu, rovnosť príležitostí a rovnosť žien a mužov a vplyvy na zamestnanosť</w:t>
            </w:r>
          </w:p>
          <w:p w14:paraId="17E74175" w14:textId="77777777" w:rsidR="00244374" w:rsidRPr="0040341A" w:rsidRDefault="00244374" w:rsidP="00244374">
            <w:pPr>
              <w:jc w:val="both"/>
              <w:rPr>
                <w:rFonts w:eastAsia="Calibri"/>
                <w:b/>
                <w:lang w:eastAsia="sk-SK"/>
              </w:rPr>
            </w:pPr>
            <w:r w:rsidRPr="0040341A">
              <w:rPr>
                <w:rFonts w:eastAsia="Calibri"/>
                <w:b/>
                <w:sz w:val="18"/>
                <w:lang w:eastAsia="sk-SK"/>
              </w:rPr>
              <w:t>(</w:t>
            </w:r>
            <w:r w:rsidRPr="0040341A">
              <w:rPr>
                <w:rFonts w:eastAsia="Calibri"/>
                <w:sz w:val="18"/>
                <w:lang w:eastAsia="sk-SK"/>
              </w:rPr>
              <w:t>Ak v niektorej z hodnotených oblastí sociálnych vplyvov (bodov 4.1 až 4.4) nebol identifikovaný vplyv, uveďte v príslušnom riadku analýzy poznámku „Bez vplyvu</w:t>
            </w:r>
            <w:proofErr w:type="gramStart"/>
            <w:r w:rsidRPr="0040341A">
              <w:rPr>
                <w:rFonts w:eastAsia="Calibri"/>
                <w:sz w:val="18"/>
                <w:lang w:eastAsia="sk-SK"/>
              </w:rPr>
              <w:t>.“</w:t>
            </w:r>
            <w:proofErr w:type="gramEnd"/>
            <w:r w:rsidRPr="0040341A">
              <w:rPr>
                <w:rFonts w:eastAsia="Calibri"/>
                <w:sz w:val="18"/>
                <w:lang w:eastAsia="sk-SK"/>
              </w:rPr>
              <w:t>.)</w:t>
            </w:r>
          </w:p>
        </w:tc>
      </w:tr>
      <w:tr w:rsidR="00244374" w:rsidRPr="0040341A" w14:paraId="12458F0C" w14:textId="77777777" w:rsidTr="00244374">
        <w:trPr>
          <w:jc w:val="center"/>
        </w:trPr>
        <w:tc>
          <w:tcPr>
            <w:tcW w:w="5000" w:type="pct"/>
            <w:gridSpan w:val="3"/>
            <w:tcBorders>
              <w:bottom w:val="single" w:sz="4" w:space="0" w:color="auto"/>
            </w:tcBorders>
            <w:shd w:val="clear" w:color="auto" w:fill="A6A6A6" w:themeFill="background1" w:themeFillShade="A6"/>
          </w:tcPr>
          <w:p w14:paraId="711A1FDF" w14:textId="77777777" w:rsidR="00244374" w:rsidRPr="0040341A" w:rsidRDefault="00244374" w:rsidP="00244374">
            <w:pPr>
              <w:rPr>
                <w:rFonts w:eastAsia="Calibri"/>
                <w:b/>
                <w:lang w:eastAsia="sk-SK"/>
              </w:rPr>
            </w:pPr>
            <w:r w:rsidRPr="0040341A">
              <w:rPr>
                <w:rFonts w:eastAsia="Calibri"/>
                <w:b/>
                <w:lang w:eastAsia="sk-SK"/>
              </w:rPr>
              <w:t>4.1 Identifikujte, popíšte a kvantifikujte vplyv na hospodárenie domácností a špecifikujte ovplyvnené skupiny domácností, ktoré budú pozitívne/negatívne ovplyvnené.</w:t>
            </w:r>
          </w:p>
        </w:tc>
      </w:tr>
      <w:tr w:rsidR="00244374" w:rsidRPr="0040341A" w14:paraId="34A7A015" w14:textId="77777777" w:rsidTr="00244374">
        <w:trPr>
          <w:jc w:val="center"/>
        </w:trPr>
        <w:tc>
          <w:tcPr>
            <w:tcW w:w="5000" w:type="pct"/>
            <w:gridSpan w:val="3"/>
            <w:tcBorders>
              <w:bottom w:val="single" w:sz="4" w:space="0" w:color="auto"/>
            </w:tcBorders>
            <w:shd w:val="clear" w:color="auto" w:fill="F2F2F2" w:themeFill="background1" w:themeFillShade="F2"/>
          </w:tcPr>
          <w:p w14:paraId="118D7B88" w14:textId="77777777" w:rsidR="00244374" w:rsidRPr="0040341A" w:rsidRDefault="00244374" w:rsidP="00244374">
            <w:pPr>
              <w:rPr>
                <w:rFonts w:eastAsia="Calibri"/>
                <w:i/>
                <w:sz w:val="20"/>
                <w:lang w:eastAsia="sk-SK"/>
              </w:rPr>
            </w:pPr>
            <w:r w:rsidRPr="0040341A">
              <w:rPr>
                <w:rFonts w:eastAsia="Calibri"/>
                <w:i/>
                <w:sz w:val="20"/>
                <w:lang w:eastAsia="sk-SK"/>
              </w:rPr>
              <w:t xml:space="preserve">Vedie návrh k zvýšeniu alebo zníženiu príjmov alebo výdavkov domácností? </w:t>
            </w:r>
          </w:p>
          <w:p w14:paraId="7BC8BE69" w14:textId="77777777" w:rsidR="00244374" w:rsidRPr="0040341A" w:rsidRDefault="00244374" w:rsidP="00244374">
            <w:pPr>
              <w:rPr>
                <w:rFonts w:eastAsia="Calibri"/>
                <w:i/>
                <w:sz w:val="20"/>
                <w:lang w:eastAsia="sk-SK"/>
              </w:rPr>
            </w:pPr>
            <w:r w:rsidRPr="0040341A">
              <w:rPr>
                <w:rFonts w:eastAsia="Calibri"/>
                <w:i/>
                <w:sz w:val="20"/>
                <w:lang w:eastAsia="sk-SK"/>
              </w:rPr>
              <w:t xml:space="preserve">Ktoré skupiny domácností/obyvateľstva sú takto ovplyvnené </w:t>
            </w:r>
            <w:proofErr w:type="gramStart"/>
            <w:r w:rsidRPr="0040341A">
              <w:rPr>
                <w:rFonts w:eastAsia="Calibri"/>
                <w:i/>
                <w:sz w:val="20"/>
                <w:lang w:eastAsia="sk-SK"/>
              </w:rPr>
              <w:t>a</w:t>
            </w:r>
            <w:proofErr w:type="gramEnd"/>
            <w:r w:rsidRPr="0040341A">
              <w:rPr>
                <w:rFonts w:eastAsia="Calibri"/>
                <w:i/>
                <w:sz w:val="20"/>
                <w:lang w:eastAsia="sk-SK"/>
              </w:rPr>
              <w:t xml:space="preserve"> akým spôsobom? </w:t>
            </w:r>
          </w:p>
          <w:p w14:paraId="5F3DB036" w14:textId="77777777" w:rsidR="00244374" w:rsidRPr="0040341A" w:rsidRDefault="00244374" w:rsidP="00244374">
            <w:pPr>
              <w:rPr>
                <w:rFonts w:eastAsia="Calibri"/>
                <w:i/>
                <w:sz w:val="20"/>
                <w:lang w:eastAsia="sk-SK"/>
              </w:rPr>
            </w:pPr>
            <w:r w:rsidRPr="0040341A">
              <w:rPr>
                <w:rFonts w:eastAsia="Calibri"/>
                <w:i/>
                <w:sz w:val="20"/>
                <w:lang w:eastAsia="sk-SK"/>
              </w:rPr>
              <w:t>Sú medzi potenciálne ovplyvnenými skupinami skupiny v riziku chudoby alebo sociálneho vylúčenia?</w:t>
            </w:r>
          </w:p>
          <w:p w14:paraId="5C9E0160" w14:textId="77777777" w:rsidR="00244374" w:rsidRPr="0040341A" w:rsidRDefault="00244374" w:rsidP="00244374">
            <w:pPr>
              <w:rPr>
                <w:rFonts w:eastAsia="Calibri"/>
                <w:b/>
                <w:sz w:val="18"/>
                <w:lang w:eastAsia="sk-SK"/>
              </w:rPr>
            </w:pPr>
            <w:r w:rsidRPr="0040341A">
              <w:rPr>
                <w:rFonts w:eastAsia="Calibri"/>
                <w:b/>
                <w:sz w:val="18"/>
                <w:lang w:eastAsia="sk-SK"/>
              </w:rPr>
              <w:t xml:space="preserve">(V prípade vyššieho počtu hodnotených opatrení doplňte podľa potreby do tabuľky pred bod </w:t>
            </w:r>
            <w:proofErr w:type="gramStart"/>
            <w:r w:rsidRPr="0040341A">
              <w:rPr>
                <w:rFonts w:eastAsia="Calibri"/>
                <w:b/>
                <w:sz w:val="18"/>
                <w:lang w:eastAsia="sk-SK"/>
              </w:rPr>
              <w:t>4.2 ďalšie</w:t>
            </w:r>
            <w:proofErr w:type="gramEnd"/>
            <w:r w:rsidRPr="0040341A">
              <w:rPr>
                <w:rFonts w:eastAsia="Calibri"/>
                <w:b/>
                <w:sz w:val="18"/>
                <w:lang w:eastAsia="sk-SK"/>
              </w:rPr>
              <w:t xml:space="preserve"> sekcie - 4.1.1 Pozitívny vplyv/4.1.2 Negatívny vplyv).</w:t>
            </w:r>
          </w:p>
        </w:tc>
      </w:tr>
      <w:tr w:rsidR="00244374" w:rsidRPr="0040341A" w14:paraId="2BB5D569" w14:textId="77777777" w:rsidTr="00244374">
        <w:trPr>
          <w:trHeight w:val="170"/>
          <w:jc w:val="center"/>
        </w:trPr>
        <w:tc>
          <w:tcPr>
            <w:tcW w:w="129" w:type="pct"/>
            <w:tcBorders>
              <w:top w:val="single" w:sz="4" w:space="0" w:color="auto"/>
              <w:bottom w:val="single" w:sz="4" w:space="0" w:color="auto"/>
            </w:tcBorders>
            <w:shd w:val="clear" w:color="auto" w:fill="DDDDDD"/>
            <w:vAlign w:val="center"/>
          </w:tcPr>
          <w:p w14:paraId="1DB52829"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9D28143" w14:textId="77777777" w:rsidR="00244374" w:rsidRPr="0040341A" w:rsidRDefault="00244374" w:rsidP="00244374">
            <w:pPr>
              <w:jc w:val="center"/>
              <w:rPr>
                <w:rFonts w:eastAsia="Calibri"/>
                <w:b/>
                <w:sz w:val="20"/>
                <w:szCs w:val="20"/>
                <w:lang w:eastAsia="sk-SK"/>
              </w:rPr>
            </w:pPr>
            <w:r w:rsidRPr="0040341A">
              <w:rPr>
                <w:rFonts w:eastAsia="Calibri"/>
                <w:b/>
                <w:i/>
                <w:sz w:val="20"/>
                <w:szCs w:val="20"/>
                <w:lang w:eastAsia="sk-SK"/>
              </w:rPr>
              <w:t>4.1.1 Pozitívny vplyv</w:t>
            </w:r>
          </w:p>
        </w:tc>
      </w:tr>
      <w:tr w:rsidR="00244374" w:rsidRPr="0040341A" w14:paraId="7AD68CC0" w14:textId="77777777" w:rsidTr="00244374">
        <w:trPr>
          <w:trHeight w:val="759"/>
          <w:jc w:val="center"/>
        </w:trPr>
        <w:tc>
          <w:tcPr>
            <w:tcW w:w="129" w:type="pct"/>
            <w:tcBorders>
              <w:top w:val="single" w:sz="4" w:space="0" w:color="auto"/>
              <w:bottom w:val="single" w:sz="4" w:space="0" w:color="auto"/>
            </w:tcBorders>
            <w:shd w:val="clear" w:color="auto" w:fill="auto"/>
            <w:vAlign w:val="center"/>
          </w:tcPr>
          <w:p w14:paraId="79C8F076" w14:textId="77777777" w:rsidR="00244374" w:rsidRPr="0040341A" w:rsidRDefault="00244374" w:rsidP="00244374">
            <w:pPr>
              <w:contextualSpacing/>
              <w:jc w:val="center"/>
              <w:rPr>
                <w:rFonts w:eastAsia="Calibri"/>
                <w:i/>
                <w:sz w:val="18"/>
                <w:szCs w:val="18"/>
                <w:lang w:eastAsia="sk-SK"/>
              </w:rPr>
            </w:pPr>
            <w:r w:rsidRPr="0040341A">
              <w:rPr>
                <w:rFonts w:eastAsia="Calibri"/>
                <w:i/>
                <w:sz w:val="18"/>
                <w:szCs w:val="18"/>
                <w:lang w:eastAsia="sk-SK"/>
              </w:rPr>
              <w:t>b)</w:t>
            </w:r>
          </w:p>
        </w:tc>
        <w:tc>
          <w:tcPr>
            <w:tcW w:w="1642" w:type="pct"/>
            <w:tcBorders>
              <w:top w:val="single" w:sz="4" w:space="0" w:color="auto"/>
              <w:bottom w:val="single" w:sz="4" w:space="0" w:color="auto"/>
            </w:tcBorders>
            <w:shd w:val="clear" w:color="auto" w:fill="auto"/>
            <w:vAlign w:val="center"/>
          </w:tcPr>
          <w:p w14:paraId="2CBDDE79" w14:textId="77777777" w:rsidR="00244374" w:rsidRPr="0040341A" w:rsidRDefault="00244374" w:rsidP="00244374">
            <w:pPr>
              <w:jc w:val="both"/>
              <w:rPr>
                <w:rFonts w:eastAsia="Calibri"/>
                <w:i/>
                <w:sz w:val="20"/>
                <w:szCs w:val="20"/>
                <w:lang w:eastAsia="sk-SK"/>
              </w:rPr>
            </w:pPr>
            <w:r w:rsidRPr="0040341A">
              <w:rPr>
                <w:rFonts w:eastAsia="Calibri"/>
                <w:b/>
                <w:i/>
                <w:sz w:val="20"/>
                <w:szCs w:val="20"/>
                <w:lang w:eastAsia="sk-SK"/>
              </w:rPr>
              <w:t xml:space="preserve">Popíšte </w:t>
            </w:r>
            <w:r w:rsidRPr="0040341A">
              <w:rPr>
                <w:rFonts w:eastAsia="Calibri"/>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B0C8853" w14:textId="77777777" w:rsidR="00244374" w:rsidRPr="0040341A" w:rsidRDefault="00244374" w:rsidP="00244374">
            <w:pPr>
              <w:ind w:left="13" w:right="80"/>
              <w:contextualSpacing/>
              <w:jc w:val="both"/>
              <w:rPr>
                <w:rFonts w:eastAsia="Calibri"/>
                <w:sz w:val="20"/>
                <w:szCs w:val="20"/>
                <w:lang w:eastAsia="sk-SK"/>
              </w:rPr>
            </w:pPr>
            <w:r w:rsidRPr="0040341A">
              <w:rPr>
                <w:rFonts w:eastAsia="Calibri"/>
                <w:lang w:eastAsia="sk-SK"/>
              </w:rPr>
              <w:t>Domácnosti budú nepriamo pozitívne ovplyvnené tým, že sa rozšíria možnosti vytvorenia pracovných miest, čím sa prispeje k zvýšeniu príjmov domácností a životnej úrovne obyvateľstva.</w:t>
            </w:r>
          </w:p>
        </w:tc>
      </w:tr>
      <w:tr w:rsidR="00244374" w:rsidRPr="0040341A" w14:paraId="69FD1C90" w14:textId="77777777" w:rsidTr="00244374">
        <w:trPr>
          <w:trHeight w:val="397"/>
          <w:jc w:val="center"/>
        </w:trPr>
        <w:tc>
          <w:tcPr>
            <w:tcW w:w="129" w:type="pct"/>
            <w:vMerge w:val="restart"/>
            <w:tcBorders>
              <w:top w:val="single" w:sz="4" w:space="0" w:color="auto"/>
            </w:tcBorders>
            <w:shd w:val="clear" w:color="auto" w:fill="auto"/>
            <w:vAlign w:val="center"/>
          </w:tcPr>
          <w:p w14:paraId="13E28F39"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c)</w:t>
            </w:r>
          </w:p>
        </w:tc>
        <w:tc>
          <w:tcPr>
            <w:tcW w:w="1642" w:type="pct"/>
            <w:tcBorders>
              <w:top w:val="single" w:sz="4" w:space="0" w:color="auto"/>
            </w:tcBorders>
            <w:shd w:val="clear" w:color="auto" w:fill="auto"/>
          </w:tcPr>
          <w:p w14:paraId="759D3FB7" w14:textId="77777777" w:rsidR="00244374" w:rsidRPr="0040341A" w:rsidRDefault="00244374" w:rsidP="00244374">
            <w:pPr>
              <w:rPr>
                <w:rFonts w:eastAsia="Calibri"/>
                <w:i/>
                <w:sz w:val="20"/>
                <w:szCs w:val="20"/>
                <w:lang w:eastAsia="sk-SK"/>
              </w:rPr>
            </w:pPr>
            <w:r w:rsidRPr="0040341A">
              <w:rPr>
                <w:rFonts w:eastAsia="Calibri"/>
                <w:b/>
                <w:i/>
                <w:sz w:val="20"/>
                <w:szCs w:val="20"/>
                <w:lang w:eastAsia="sk-SK"/>
              </w:rPr>
              <w:t xml:space="preserve">Špecifikujte </w:t>
            </w:r>
            <w:r w:rsidRPr="0040341A">
              <w:rPr>
                <w:rFonts w:eastAsia="Calibri"/>
                <w:i/>
                <w:sz w:val="20"/>
                <w:szCs w:val="20"/>
                <w:lang w:eastAsia="sk-SK"/>
              </w:rPr>
              <w:t>ovplyvnené skupiny:</w:t>
            </w:r>
          </w:p>
        </w:tc>
        <w:tc>
          <w:tcPr>
            <w:tcW w:w="3229" w:type="pct"/>
            <w:tcBorders>
              <w:top w:val="single" w:sz="4" w:space="0" w:color="auto"/>
            </w:tcBorders>
            <w:shd w:val="clear" w:color="auto" w:fill="auto"/>
          </w:tcPr>
          <w:p w14:paraId="2CA250A9" w14:textId="77777777" w:rsidR="00244374" w:rsidRPr="0040341A" w:rsidRDefault="00244374" w:rsidP="00244374">
            <w:pPr>
              <w:rPr>
                <w:rFonts w:eastAsia="Calibri"/>
                <w:lang w:eastAsia="sk-SK"/>
              </w:rPr>
            </w:pPr>
            <w:r w:rsidRPr="0040341A">
              <w:rPr>
                <w:rFonts w:eastAsia="Calibri"/>
                <w:i/>
                <w:iCs/>
                <w:sz w:val="18"/>
                <w:szCs w:val="18"/>
                <w:lang w:eastAsia="sk-SK"/>
              </w:rPr>
              <w:t>Ovplyvnená skupina č. 1</w:t>
            </w:r>
            <w:r w:rsidRPr="0040341A">
              <w:rPr>
                <w:rFonts w:eastAsia="Calibri"/>
                <w:lang w:eastAsia="sk-SK"/>
              </w:rPr>
              <w:t xml:space="preserve">  </w:t>
            </w:r>
            <w:r w:rsidRPr="0040341A">
              <w:rPr>
                <w:rFonts w:eastAsia="Calibri"/>
                <w:iCs/>
                <w:lang w:eastAsia="sk-SK"/>
              </w:rPr>
              <w:t>obyvatelia SR</w:t>
            </w:r>
            <w:r w:rsidRPr="0040341A">
              <w:rPr>
                <w:rFonts w:eastAsia="Calibri"/>
                <w:lang w:eastAsia="sk-SK"/>
              </w:rPr>
              <w:t xml:space="preserve"> </w:t>
            </w:r>
          </w:p>
        </w:tc>
      </w:tr>
      <w:tr w:rsidR="00244374" w:rsidRPr="0040341A" w14:paraId="2747A3CD" w14:textId="77777777" w:rsidTr="00244374">
        <w:trPr>
          <w:trHeight w:val="397"/>
          <w:jc w:val="center"/>
        </w:trPr>
        <w:tc>
          <w:tcPr>
            <w:tcW w:w="129" w:type="pct"/>
            <w:vMerge/>
            <w:vAlign w:val="center"/>
          </w:tcPr>
          <w:p w14:paraId="2E3DB0DB" w14:textId="77777777" w:rsidR="00244374" w:rsidRPr="0040341A" w:rsidRDefault="00244374" w:rsidP="00244374">
            <w:pPr>
              <w:jc w:val="center"/>
              <w:rPr>
                <w:rFonts w:eastAsia="Calibri"/>
                <w:i/>
                <w:sz w:val="18"/>
                <w:szCs w:val="18"/>
                <w:lang w:eastAsia="sk-SK"/>
              </w:rPr>
            </w:pPr>
          </w:p>
        </w:tc>
        <w:tc>
          <w:tcPr>
            <w:tcW w:w="1642" w:type="pct"/>
            <w:shd w:val="clear" w:color="auto" w:fill="auto"/>
          </w:tcPr>
          <w:p w14:paraId="0FB694A8" w14:textId="77777777" w:rsidR="00244374" w:rsidRPr="0040341A" w:rsidRDefault="00244374" w:rsidP="00244374">
            <w:pPr>
              <w:rPr>
                <w:rFonts w:eastAsia="Calibri"/>
                <w:i/>
                <w:iCs/>
                <w:sz w:val="18"/>
                <w:szCs w:val="18"/>
                <w:lang w:eastAsia="sk-SK"/>
              </w:rPr>
            </w:pPr>
            <w:r w:rsidRPr="0040341A">
              <w:rPr>
                <w:rFonts w:eastAsia="Calibri"/>
                <w:i/>
                <w:iCs/>
                <w:sz w:val="18"/>
                <w:szCs w:val="18"/>
                <w:lang w:eastAsia="sk-SK"/>
              </w:rPr>
              <w:t>Ovplyvnená skupina č. 3</w:t>
            </w:r>
          </w:p>
        </w:tc>
        <w:tc>
          <w:tcPr>
            <w:tcW w:w="3229" w:type="pct"/>
            <w:tcBorders>
              <w:top w:val="dotted" w:sz="4" w:space="0" w:color="auto"/>
            </w:tcBorders>
            <w:shd w:val="clear" w:color="auto" w:fill="auto"/>
          </w:tcPr>
          <w:p w14:paraId="6A71B55D" w14:textId="77777777" w:rsidR="00244374" w:rsidRPr="0040341A" w:rsidRDefault="00244374" w:rsidP="00244374">
            <w:pPr>
              <w:rPr>
                <w:rFonts w:eastAsia="Calibri"/>
                <w:lang w:eastAsia="sk-SK"/>
              </w:rPr>
            </w:pPr>
            <w:r w:rsidRPr="0040341A">
              <w:rPr>
                <w:rFonts w:eastAsia="Calibri"/>
                <w:i/>
                <w:iCs/>
                <w:sz w:val="18"/>
                <w:szCs w:val="18"/>
                <w:lang w:eastAsia="sk-SK"/>
              </w:rPr>
              <w:t>Ovplyvnená skupina č. 2</w:t>
            </w:r>
          </w:p>
        </w:tc>
      </w:tr>
      <w:tr w:rsidR="00244374" w:rsidRPr="0040341A" w14:paraId="14E934DC" w14:textId="77777777" w:rsidTr="00244374">
        <w:trPr>
          <w:trHeight w:val="454"/>
          <w:jc w:val="center"/>
        </w:trPr>
        <w:tc>
          <w:tcPr>
            <w:tcW w:w="129" w:type="pct"/>
            <w:tcBorders>
              <w:top w:val="dotted" w:sz="4" w:space="0" w:color="auto"/>
            </w:tcBorders>
            <w:shd w:val="clear" w:color="auto" w:fill="F2F2F2" w:themeFill="background1" w:themeFillShade="F2"/>
            <w:vAlign w:val="center"/>
          </w:tcPr>
          <w:p w14:paraId="0263C259"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d)</w:t>
            </w:r>
          </w:p>
        </w:tc>
        <w:tc>
          <w:tcPr>
            <w:tcW w:w="4871" w:type="pct"/>
            <w:gridSpan w:val="2"/>
            <w:tcBorders>
              <w:top w:val="dotted" w:sz="4" w:space="0" w:color="auto"/>
            </w:tcBorders>
            <w:shd w:val="clear" w:color="auto" w:fill="F2F2F2" w:themeFill="background1" w:themeFillShade="F2"/>
            <w:vAlign w:val="center"/>
          </w:tcPr>
          <w:p w14:paraId="48237FC3" w14:textId="77777777" w:rsidR="00244374" w:rsidRPr="0040341A" w:rsidRDefault="00244374" w:rsidP="00244374">
            <w:pPr>
              <w:rPr>
                <w:rFonts w:eastAsia="Calibri"/>
                <w:sz w:val="20"/>
                <w:szCs w:val="20"/>
                <w:lang w:eastAsia="sk-SK"/>
              </w:rPr>
            </w:pPr>
            <w:r w:rsidRPr="0040341A">
              <w:rPr>
                <w:rFonts w:eastAsia="Calibri"/>
                <w:b/>
                <w:i/>
                <w:sz w:val="20"/>
                <w:szCs w:val="20"/>
                <w:lang w:eastAsia="sk-SK"/>
              </w:rPr>
              <w:t>Kvantifikujte</w:t>
            </w:r>
            <w:r w:rsidRPr="0040341A">
              <w:rPr>
                <w:rFonts w:eastAsia="Calibri"/>
                <w:i/>
                <w:sz w:val="20"/>
                <w:szCs w:val="20"/>
                <w:lang w:eastAsia="sk-SK"/>
              </w:rPr>
              <w:t xml:space="preserve"> rast príjmov alebo pokles výdavkov </w:t>
            </w:r>
            <w:r w:rsidRPr="0040341A">
              <w:rPr>
                <w:rFonts w:eastAsia="Calibri"/>
                <w:b/>
                <w:i/>
                <w:sz w:val="20"/>
                <w:szCs w:val="20"/>
                <w:lang w:eastAsia="sk-SK"/>
              </w:rPr>
              <w:t>za jednotlivé</w:t>
            </w:r>
            <w:r w:rsidRPr="0040341A">
              <w:rPr>
                <w:rFonts w:eastAsia="Calibri"/>
                <w:i/>
                <w:sz w:val="20"/>
                <w:szCs w:val="20"/>
                <w:lang w:eastAsia="sk-SK"/>
              </w:rPr>
              <w:t xml:space="preserve"> </w:t>
            </w:r>
            <w:r w:rsidRPr="0040341A">
              <w:rPr>
                <w:rFonts w:eastAsia="Calibri"/>
                <w:b/>
                <w:i/>
                <w:sz w:val="20"/>
                <w:szCs w:val="20"/>
                <w:lang w:eastAsia="sk-SK"/>
              </w:rPr>
              <w:t>ovplyvnené</w:t>
            </w:r>
            <w:r w:rsidRPr="0040341A">
              <w:rPr>
                <w:rFonts w:eastAsia="Calibri"/>
                <w:i/>
                <w:sz w:val="20"/>
                <w:szCs w:val="20"/>
                <w:lang w:eastAsia="sk-SK"/>
              </w:rPr>
              <w:t xml:space="preserve"> </w:t>
            </w:r>
            <w:r w:rsidRPr="0040341A">
              <w:rPr>
                <w:rFonts w:eastAsia="Calibri"/>
                <w:b/>
                <w:i/>
                <w:sz w:val="20"/>
                <w:szCs w:val="20"/>
                <w:lang w:eastAsia="sk-SK"/>
              </w:rPr>
              <w:t>skupiny</w:t>
            </w:r>
            <w:r w:rsidRPr="0040341A">
              <w:rPr>
                <w:rFonts w:eastAsia="Calibri"/>
                <w:i/>
                <w:sz w:val="20"/>
                <w:szCs w:val="20"/>
                <w:lang w:eastAsia="sk-SK"/>
              </w:rPr>
              <w:t xml:space="preserve"> domácností / skupiny jednotlivcov a počet obyvateľstva/domácností ovplyvnených predkladaným návrhom.</w:t>
            </w:r>
          </w:p>
        </w:tc>
      </w:tr>
      <w:tr w:rsidR="00244374" w:rsidRPr="0040341A" w14:paraId="7D6FD579" w14:textId="77777777" w:rsidTr="00244374">
        <w:trPr>
          <w:trHeight w:val="680"/>
          <w:jc w:val="center"/>
        </w:trPr>
        <w:tc>
          <w:tcPr>
            <w:tcW w:w="129" w:type="pct"/>
            <w:vMerge w:val="restart"/>
            <w:tcBorders>
              <w:top w:val="dotted" w:sz="4" w:space="0" w:color="auto"/>
            </w:tcBorders>
            <w:shd w:val="clear" w:color="auto" w:fill="auto"/>
            <w:vAlign w:val="center"/>
          </w:tcPr>
          <w:p w14:paraId="519D9E4F"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e)</w:t>
            </w:r>
          </w:p>
        </w:tc>
        <w:tc>
          <w:tcPr>
            <w:tcW w:w="1642" w:type="pct"/>
            <w:tcBorders>
              <w:top w:val="dotted" w:sz="4" w:space="0" w:color="auto"/>
            </w:tcBorders>
            <w:shd w:val="clear" w:color="auto" w:fill="auto"/>
          </w:tcPr>
          <w:p w14:paraId="26CF13FE" w14:textId="77777777" w:rsidR="00244374" w:rsidRPr="0040341A" w:rsidRDefault="00244374" w:rsidP="00244374">
            <w:pPr>
              <w:numPr>
                <w:ilvl w:val="0"/>
                <w:numId w:val="16"/>
              </w:numPr>
              <w:contextualSpacing/>
              <w:jc w:val="both"/>
              <w:rPr>
                <w:rFonts w:eastAsia="Calibri"/>
                <w:i/>
                <w:sz w:val="18"/>
                <w:szCs w:val="20"/>
                <w:lang w:eastAsia="sk-SK"/>
              </w:rPr>
            </w:pPr>
            <w:r w:rsidRPr="0040341A">
              <w:rPr>
                <w:rFonts w:eastAsia="Calibri"/>
                <w:i/>
                <w:sz w:val="18"/>
                <w:szCs w:val="20"/>
                <w:lang w:eastAsia="sk-SK"/>
              </w:rPr>
              <w:t>priemerný rast príjmov/ pokles výdavkov v skupine v eurách a/alebo v % / obdobie:</w:t>
            </w:r>
          </w:p>
          <w:p w14:paraId="713EC233" w14:textId="77777777" w:rsidR="00244374" w:rsidRPr="0040341A" w:rsidRDefault="00244374" w:rsidP="00244374">
            <w:pPr>
              <w:numPr>
                <w:ilvl w:val="0"/>
                <w:numId w:val="16"/>
              </w:numPr>
              <w:contextualSpacing/>
              <w:jc w:val="both"/>
              <w:rPr>
                <w:rFonts w:eastAsia="Calibri"/>
                <w:i/>
                <w:sz w:val="20"/>
                <w:szCs w:val="20"/>
                <w:lang w:eastAsia="sk-SK"/>
              </w:rPr>
            </w:pPr>
            <w:r w:rsidRPr="0040341A">
              <w:rPr>
                <w:rFonts w:eastAsia="Calibri"/>
                <w:i/>
                <w:sz w:val="18"/>
                <w:szCs w:val="20"/>
                <w:lang w:eastAsia="sk-SK"/>
              </w:rPr>
              <w:t>veľkosť skupiny (počet obyvateľov):</w:t>
            </w:r>
          </w:p>
        </w:tc>
        <w:tc>
          <w:tcPr>
            <w:tcW w:w="3229" w:type="pct"/>
            <w:tcBorders>
              <w:top w:val="dotted" w:sz="4" w:space="0" w:color="auto"/>
            </w:tcBorders>
            <w:shd w:val="clear" w:color="auto" w:fill="auto"/>
          </w:tcPr>
          <w:p w14:paraId="0FAD10F2"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1</w:t>
            </w:r>
          </w:p>
        </w:tc>
      </w:tr>
      <w:tr w:rsidR="00244374" w:rsidRPr="0040341A" w14:paraId="3AFA507E" w14:textId="77777777" w:rsidTr="00244374">
        <w:trPr>
          <w:trHeight w:val="680"/>
          <w:jc w:val="center"/>
        </w:trPr>
        <w:tc>
          <w:tcPr>
            <w:tcW w:w="129" w:type="pct"/>
            <w:vMerge/>
            <w:vAlign w:val="center"/>
          </w:tcPr>
          <w:p w14:paraId="465D80B0" w14:textId="77777777" w:rsidR="00244374" w:rsidRPr="0040341A" w:rsidRDefault="00244374" w:rsidP="00244374">
            <w:pPr>
              <w:jc w:val="center"/>
              <w:rPr>
                <w:rFonts w:eastAsia="Calibri"/>
                <w:i/>
                <w:sz w:val="18"/>
                <w:szCs w:val="18"/>
                <w:lang w:eastAsia="sk-SK"/>
              </w:rPr>
            </w:pPr>
          </w:p>
        </w:tc>
        <w:tc>
          <w:tcPr>
            <w:tcW w:w="1642" w:type="pct"/>
            <w:shd w:val="clear" w:color="auto" w:fill="auto"/>
          </w:tcPr>
          <w:p w14:paraId="0C1EB1FD" w14:textId="77777777" w:rsidR="00244374" w:rsidRPr="0040341A" w:rsidRDefault="00244374" w:rsidP="00244374">
            <w:pPr>
              <w:rPr>
                <w:rFonts w:eastAsia="Calibri"/>
                <w:i/>
                <w:sz w:val="20"/>
                <w:szCs w:val="20"/>
                <w:lang w:eastAsia="sk-SK"/>
              </w:rPr>
            </w:pPr>
            <w:r w:rsidRPr="0040341A">
              <w:rPr>
                <w:rFonts w:eastAsia="Calibri"/>
                <w:i/>
                <w:sz w:val="18"/>
                <w:szCs w:val="20"/>
                <w:lang w:eastAsia="sk-SK"/>
              </w:rPr>
              <w:t>Ovplyvnená skupina č. 3</w:t>
            </w:r>
          </w:p>
        </w:tc>
        <w:tc>
          <w:tcPr>
            <w:tcW w:w="3229" w:type="pct"/>
            <w:tcBorders>
              <w:top w:val="dotted" w:sz="4" w:space="0" w:color="auto"/>
            </w:tcBorders>
            <w:shd w:val="clear" w:color="auto" w:fill="auto"/>
          </w:tcPr>
          <w:p w14:paraId="109EE66B"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2</w:t>
            </w:r>
          </w:p>
        </w:tc>
      </w:tr>
      <w:tr w:rsidR="00244374" w:rsidRPr="0040341A" w14:paraId="69B9CCC3" w14:textId="77777777" w:rsidTr="00244374">
        <w:trPr>
          <w:trHeight w:val="397"/>
          <w:jc w:val="center"/>
        </w:trPr>
        <w:tc>
          <w:tcPr>
            <w:tcW w:w="129" w:type="pct"/>
            <w:tcBorders>
              <w:top w:val="dotted" w:sz="4" w:space="0" w:color="auto"/>
            </w:tcBorders>
            <w:shd w:val="clear" w:color="auto" w:fill="auto"/>
            <w:vAlign w:val="center"/>
          </w:tcPr>
          <w:p w14:paraId="2FEEBF67"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f)</w:t>
            </w:r>
          </w:p>
        </w:tc>
        <w:tc>
          <w:tcPr>
            <w:tcW w:w="1642" w:type="pct"/>
            <w:tcBorders>
              <w:top w:val="dotted" w:sz="4" w:space="0" w:color="auto"/>
            </w:tcBorders>
            <w:shd w:val="clear" w:color="auto" w:fill="auto"/>
          </w:tcPr>
          <w:p w14:paraId="75318CC9" w14:textId="77777777" w:rsidR="00244374" w:rsidRPr="0040341A" w:rsidRDefault="00244374" w:rsidP="00244374">
            <w:pPr>
              <w:rPr>
                <w:rFonts w:eastAsia="Calibri"/>
                <w:i/>
                <w:sz w:val="20"/>
                <w:szCs w:val="20"/>
                <w:lang w:eastAsia="sk-SK"/>
              </w:rPr>
            </w:pPr>
            <w:r w:rsidRPr="0040341A">
              <w:rPr>
                <w:rFonts w:eastAsia="Calibri"/>
                <w:i/>
                <w:sz w:val="20"/>
                <w:szCs w:val="20"/>
                <w:lang w:eastAsia="sk-SK"/>
              </w:rPr>
              <w:t>Dôvod chýbajúcej kvantifikácie:</w:t>
            </w:r>
          </w:p>
        </w:tc>
        <w:tc>
          <w:tcPr>
            <w:tcW w:w="3229" w:type="pct"/>
            <w:tcBorders>
              <w:top w:val="dotted" w:sz="4" w:space="0" w:color="auto"/>
            </w:tcBorders>
            <w:shd w:val="clear" w:color="auto" w:fill="auto"/>
          </w:tcPr>
          <w:p w14:paraId="08F2E7F8" w14:textId="77777777" w:rsidR="00244374" w:rsidRPr="0040341A" w:rsidRDefault="00244374" w:rsidP="00244374">
            <w:pPr>
              <w:ind w:right="80"/>
              <w:jc w:val="both"/>
              <w:rPr>
                <w:rFonts w:eastAsia="Calibri"/>
                <w:sz w:val="20"/>
                <w:szCs w:val="20"/>
                <w:lang w:eastAsia="sk-SK"/>
              </w:rPr>
            </w:pPr>
            <w:r w:rsidRPr="0040341A">
              <w:rPr>
                <w:rFonts w:eastAsia="Calibri"/>
                <w:lang w:eastAsia="sk-SK"/>
              </w:rPr>
              <w:t>Vzhľadom na to, že pracovné miesta vzniknú ako dôsledok poskytnutia dotácie na realizáciu projektov, v súčasnosti nie je možná kvantifikácia priemerného rastu príjmov/pokles výdavkov v skupine.</w:t>
            </w:r>
          </w:p>
        </w:tc>
      </w:tr>
      <w:tr w:rsidR="00244374" w:rsidRPr="0040341A" w14:paraId="2F22E88F" w14:textId="77777777" w:rsidTr="00244374">
        <w:trPr>
          <w:trHeight w:val="170"/>
          <w:jc w:val="center"/>
        </w:trPr>
        <w:tc>
          <w:tcPr>
            <w:tcW w:w="129" w:type="pct"/>
            <w:tcBorders>
              <w:top w:val="nil"/>
              <w:bottom w:val="single" w:sz="4" w:space="0" w:color="auto"/>
            </w:tcBorders>
            <w:shd w:val="clear" w:color="auto" w:fill="F2F2F2" w:themeFill="background1" w:themeFillShade="F2"/>
            <w:vAlign w:val="center"/>
          </w:tcPr>
          <w:p w14:paraId="17F15379"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g)</w:t>
            </w:r>
          </w:p>
        </w:tc>
        <w:tc>
          <w:tcPr>
            <w:tcW w:w="4871" w:type="pct"/>
            <w:gridSpan w:val="2"/>
            <w:tcBorders>
              <w:top w:val="nil"/>
              <w:bottom w:val="single" w:sz="4" w:space="0" w:color="auto"/>
            </w:tcBorders>
            <w:shd w:val="clear" w:color="auto" w:fill="F2F2F2" w:themeFill="background1" w:themeFillShade="F2"/>
            <w:vAlign w:val="center"/>
          </w:tcPr>
          <w:p w14:paraId="201BFB63" w14:textId="77777777" w:rsidR="00244374" w:rsidRPr="0040341A" w:rsidRDefault="00244374" w:rsidP="00244374">
            <w:pPr>
              <w:rPr>
                <w:rFonts w:eastAsia="Calibri"/>
                <w:b/>
                <w:i/>
                <w:sz w:val="20"/>
                <w:szCs w:val="20"/>
                <w:lang w:eastAsia="sk-SK"/>
              </w:rPr>
            </w:pPr>
            <w:r w:rsidRPr="0040341A">
              <w:rPr>
                <w:rFonts w:eastAsia="Calibri"/>
                <w:b/>
                <w:i/>
                <w:sz w:val="20"/>
                <w:szCs w:val="20"/>
                <w:lang w:eastAsia="sk-SK"/>
              </w:rPr>
              <w:t>4.1.1.1</w:t>
            </w:r>
            <w:r w:rsidRPr="0040341A">
              <w:rPr>
                <w:rFonts w:eastAsia="Calibri"/>
                <w:i/>
                <w:sz w:val="20"/>
                <w:szCs w:val="20"/>
                <w:lang w:eastAsia="sk-SK"/>
              </w:rPr>
              <w:t xml:space="preserve"> </w:t>
            </w:r>
            <w:r w:rsidRPr="0040341A">
              <w:rPr>
                <w:rFonts w:eastAsia="Calibri"/>
                <w:b/>
                <w:i/>
                <w:sz w:val="20"/>
                <w:szCs w:val="20"/>
                <w:lang w:eastAsia="sk-SK"/>
              </w:rPr>
              <w:t>Z toho pozitívny vplyv na skupiny v riziku chudoby alebo sociálneho vylúčenia</w:t>
            </w:r>
          </w:p>
          <w:p w14:paraId="6C87C1CE" w14:textId="77777777" w:rsidR="00244374" w:rsidRPr="0040341A" w:rsidRDefault="00244374" w:rsidP="00244374">
            <w:pPr>
              <w:rPr>
                <w:rFonts w:eastAsia="Calibri"/>
                <w:b/>
                <w:sz w:val="20"/>
                <w:szCs w:val="20"/>
                <w:lang w:eastAsia="sk-SK"/>
              </w:rPr>
            </w:pPr>
            <w:r w:rsidRPr="0040341A">
              <w:rPr>
                <w:rFonts w:eastAsia="Calibri"/>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44374" w:rsidRPr="0040341A" w14:paraId="6D7DAD20" w14:textId="77777777" w:rsidTr="00244374">
        <w:trPr>
          <w:trHeight w:val="759"/>
          <w:jc w:val="center"/>
        </w:trPr>
        <w:tc>
          <w:tcPr>
            <w:tcW w:w="129" w:type="pct"/>
            <w:tcBorders>
              <w:top w:val="single" w:sz="4" w:space="0" w:color="auto"/>
              <w:bottom w:val="single" w:sz="4" w:space="0" w:color="auto"/>
            </w:tcBorders>
            <w:shd w:val="clear" w:color="auto" w:fill="auto"/>
            <w:vAlign w:val="center"/>
          </w:tcPr>
          <w:p w14:paraId="69407F01"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h)</w:t>
            </w:r>
          </w:p>
        </w:tc>
        <w:tc>
          <w:tcPr>
            <w:tcW w:w="1642" w:type="pct"/>
            <w:tcBorders>
              <w:top w:val="single" w:sz="4" w:space="0" w:color="auto"/>
              <w:bottom w:val="single" w:sz="4" w:space="0" w:color="auto"/>
            </w:tcBorders>
            <w:shd w:val="clear" w:color="auto" w:fill="auto"/>
          </w:tcPr>
          <w:p w14:paraId="6A552705" w14:textId="77777777" w:rsidR="00244374" w:rsidRPr="0040341A" w:rsidRDefault="00244374" w:rsidP="00244374">
            <w:pPr>
              <w:jc w:val="both"/>
              <w:rPr>
                <w:rFonts w:eastAsia="Calibri"/>
                <w:i/>
                <w:sz w:val="20"/>
                <w:szCs w:val="20"/>
                <w:lang w:eastAsia="sk-SK"/>
              </w:rPr>
            </w:pPr>
            <w:r w:rsidRPr="0040341A">
              <w:rPr>
                <w:rFonts w:eastAsia="Calibri"/>
                <w:b/>
                <w:i/>
                <w:sz w:val="20"/>
                <w:szCs w:val="20"/>
                <w:lang w:eastAsia="sk-SK"/>
              </w:rPr>
              <w:t xml:space="preserve">Popíšte </w:t>
            </w:r>
            <w:r w:rsidRPr="0040341A">
              <w:rPr>
                <w:rFonts w:eastAsia="Calibri"/>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FC6ECF7" w14:textId="77777777" w:rsidR="00244374" w:rsidRPr="0040341A" w:rsidRDefault="00244374" w:rsidP="00244374">
            <w:pPr>
              <w:jc w:val="both"/>
              <w:rPr>
                <w:rFonts w:eastAsia="Calibri"/>
                <w:lang w:eastAsia="sk-SK"/>
              </w:rPr>
            </w:pPr>
            <w:r w:rsidRPr="0040341A">
              <w:rPr>
                <w:rFonts w:eastAsia="Calibri"/>
                <w:lang w:eastAsia="sk-SK"/>
              </w:rPr>
              <w:t xml:space="preserve">Predložený materiál umožňuje navýšenie disponibilných finančných prostriedkov vyčlenených na jednotlivé výzvy </w:t>
            </w:r>
            <w:proofErr w:type="gramStart"/>
            <w:r w:rsidRPr="0040341A">
              <w:rPr>
                <w:rFonts w:eastAsia="Calibri"/>
                <w:lang w:eastAsia="sk-SK"/>
              </w:rPr>
              <w:t>a</w:t>
            </w:r>
            <w:proofErr w:type="gramEnd"/>
            <w:r w:rsidRPr="0040341A">
              <w:rPr>
                <w:rFonts w:eastAsia="Calibri"/>
                <w:lang w:eastAsia="sk-SK"/>
              </w:rPr>
              <w:t xml:space="preserve"> umožňuje poskytnúť dodatočnú dotáciu. Vzhľadom na to, že finančné prostriedky budú použité na predchádzanie sociálneho vylúčenia a zmierňovanie jeho negatívnych dôsledkov, na podporu rovnosti príležitostí na trhu práce a na podporu znevýhodnených komunít, znamená to, že dodatočné finančné prostriedky môžu pozitívne ovplyvniť hospodárenie domácnosti v riziku chudoby alebo sociálneho vylúčenia. Domácnosti osôb v riziku chudoby budú pozitívne ovplyvnené tým, že sa rozšíria možnosti vytvorenia pracovných miest pre osoby v riziku chudoby, čím sa prispeje k zvýšeniu príjmov nízkopríjmových domácností a zlepšeniu ich životnej úrovne. </w:t>
            </w:r>
          </w:p>
        </w:tc>
      </w:tr>
      <w:tr w:rsidR="00244374" w:rsidRPr="0040341A" w14:paraId="682A6A17" w14:textId="77777777" w:rsidTr="00244374">
        <w:trPr>
          <w:trHeight w:val="397"/>
          <w:jc w:val="center"/>
        </w:trPr>
        <w:tc>
          <w:tcPr>
            <w:tcW w:w="129" w:type="pct"/>
            <w:vMerge w:val="restart"/>
            <w:tcBorders>
              <w:top w:val="single" w:sz="4" w:space="0" w:color="auto"/>
            </w:tcBorders>
            <w:shd w:val="clear" w:color="auto" w:fill="auto"/>
            <w:vAlign w:val="center"/>
          </w:tcPr>
          <w:p w14:paraId="096785F6"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i)</w:t>
            </w:r>
          </w:p>
        </w:tc>
        <w:tc>
          <w:tcPr>
            <w:tcW w:w="1642" w:type="pct"/>
            <w:tcBorders>
              <w:top w:val="single" w:sz="4" w:space="0" w:color="auto"/>
            </w:tcBorders>
            <w:shd w:val="clear" w:color="auto" w:fill="auto"/>
          </w:tcPr>
          <w:p w14:paraId="638AE00B" w14:textId="77777777" w:rsidR="00244374" w:rsidRPr="0040341A" w:rsidRDefault="00244374" w:rsidP="00244374">
            <w:pPr>
              <w:rPr>
                <w:rFonts w:eastAsia="Calibri"/>
                <w:i/>
                <w:sz w:val="20"/>
                <w:szCs w:val="20"/>
                <w:lang w:eastAsia="sk-SK"/>
              </w:rPr>
            </w:pPr>
            <w:r w:rsidRPr="0040341A">
              <w:rPr>
                <w:rFonts w:eastAsia="Calibri"/>
                <w:b/>
                <w:i/>
                <w:sz w:val="20"/>
                <w:szCs w:val="20"/>
                <w:lang w:eastAsia="sk-SK"/>
              </w:rPr>
              <w:t xml:space="preserve">Špecifikujte </w:t>
            </w:r>
            <w:r w:rsidRPr="0040341A">
              <w:rPr>
                <w:rFonts w:eastAsia="Calibri"/>
                <w:i/>
                <w:sz w:val="20"/>
                <w:szCs w:val="20"/>
                <w:lang w:eastAsia="sk-SK"/>
              </w:rPr>
              <w:t>ovplyvnené skupiny:</w:t>
            </w:r>
          </w:p>
        </w:tc>
        <w:tc>
          <w:tcPr>
            <w:tcW w:w="3229" w:type="pct"/>
            <w:tcBorders>
              <w:top w:val="single" w:sz="4" w:space="0" w:color="auto"/>
            </w:tcBorders>
            <w:shd w:val="clear" w:color="auto" w:fill="auto"/>
          </w:tcPr>
          <w:p w14:paraId="61C1F03E" w14:textId="77777777" w:rsidR="00244374" w:rsidRPr="0040341A" w:rsidRDefault="00244374" w:rsidP="00244374">
            <w:pPr>
              <w:rPr>
                <w:rFonts w:eastAsia="Calibri"/>
                <w:i/>
                <w:sz w:val="18"/>
                <w:szCs w:val="20"/>
                <w:lang w:eastAsia="sk-SK"/>
              </w:rPr>
            </w:pPr>
            <w:r w:rsidRPr="0040341A">
              <w:rPr>
                <w:rFonts w:eastAsia="Calibri"/>
                <w:i/>
                <w:sz w:val="18"/>
                <w:szCs w:val="20"/>
                <w:lang w:eastAsia="sk-SK"/>
              </w:rPr>
              <w:t xml:space="preserve">Ovplyvnená skupina č. 1 </w:t>
            </w:r>
            <w:r w:rsidRPr="0040341A">
              <w:rPr>
                <w:rFonts w:eastAsia="Calibri"/>
                <w:lang w:eastAsia="sk-SK"/>
              </w:rPr>
              <w:t>obyvatelia SR v riziku chudoby alebo sociálneho vylúčenia</w:t>
            </w:r>
          </w:p>
        </w:tc>
      </w:tr>
      <w:tr w:rsidR="00244374" w:rsidRPr="0040341A" w14:paraId="272892A2" w14:textId="77777777" w:rsidTr="00244374">
        <w:trPr>
          <w:trHeight w:val="397"/>
          <w:jc w:val="center"/>
        </w:trPr>
        <w:tc>
          <w:tcPr>
            <w:tcW w:w="129" w:type="pct"/>
            <w:vMerge/>
            <w:vAlign w:val="center"/>
          </w:tcPr>
          <w:p w14:paraId="3E34DFF4" w14:textId="77777777" w:rsidR="00244374" w:rsidRPr="0040341A" w:rsidRDefault="00244374" w:rsidP="00244374">
            <w:pPr>
              <w:jc w:val="center"/>
              <w:rPr>
                <w:rFonts w:eastAsia="Calibri"/>
                <w:i/>
                <w:sz w:val="18"/>
                <w:szCs w:val="18"/>
                <w:lang w:eastAsia="sk-SK"/>
              </w:rPr>
            </w:pPr>
          </w:p>
        </w:tc>
        <w:tc>
          <w:tcPr>
            <w:tcW w:w="1642" w:type="pct"/>
            <w:shd w:val="clear" w:color="auto" w:fill="auto"/>
          </w:tcPr>
          <w:p w14:paraId="0D806730" w14:textId="77777777" w:rsidR="00244374" w:rsidRPr="0040341A" w:rsidRDefault="00244374" w:rsidP="00244374">
            <w:pPr>
              <w:rPr>
                <w:rFonts w:eastAsia="Calibri"/>
                <w:i/>
                <w:sz w:val="20"/>
                <w:szCs w:val="20"/>
                <w:lang w:eastAsia="sk-SK"/>
              </w:rPr>
            </w:pPr>
            <w:r w:rsidRPr="0040341A">
              <w:rPr>
                <w:rFonts w:eastAsia="Calibri"/>
                <w:i/>
                <w:sz w:val="18"/>
                <w:szCs w:val="20"/>
                <w:lang w:eastAsia="sk-SK"/>
              </w:rPr>
              <w:t>Ovplyvnená skupina č. 3</w:t>
            </w:r>
          </w:p>
        </w:tc>
        <w:tc>
          <w:tcPr>
            <w:tcW w:w="3229" w:type="pct"/>
            <w:tcBorders>
              <w:top w:val="dotted" w:sz="4" w:space="0" w:color="auto"/>
            </w:tcBorders>
            <w:shd w:val="clear" w:color="auto" w:fill="auto"/>
          </w:tcPr>
          <w:p w14:paraId="12036439"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2</w:t>
            </w:r>
          </w:p>
        </w:tc>
      </w:tr>
      <w:tr w:rsidR="00244374" w:rsidRPr="0040341A" w14:paraId="10B3AFBD" w14:textId="77777777" w:rsidTr="00244374">
        <w:trPr>
          <w:trHeight w:val="397"/>
          <w:jc w:val="center"/>
        </w:trPr>
        <w:tc>
          <w:tcPr>
            <w:tcW w:w="129" w:type="pct"/>
            <w:tcBorders>
              <w:top w:val="dotted" w:sz="4" w:space="0" w:color="auto"/>
            </w:tcBorders>
            <w:shd w:val="clear" w:color="auto" w:fill="F2F2F2" w:themeFill="background1" w:themeFillShade="F2"/>
            <w:vAlign w:val="center"/>
          </w:tcPr>
          <w:p w14:paraId="5A8E25F8" w14:textId="77777777" w:rsidR="00244374" w:rsidRPr="0040341A" w:rsidRDefault="00244374" w:rsidP="00244374">
            <w:pPr>
              <w:jc w:val="center"/>
              <w:rPr>
                <w:rFonts w:eastAsia="Calibri"/>
                <w:sz w:val="18"/>
                <w:szCs w:val="18"/>
                <w:lang w:eastAsia="sk-SK"/>
              </w:rPr>
            </w:pPr>
            <w:r w:rsidRPr="0040341A">
              <w:rPr>
                <w:rFonts w:eastAsia="Calibri"/>
                <w:i/>
                <w:sz w:val="18"/>
                <w:szCs w:val="18"/>
                <w:lang w:eastAsia="sk-SK"/>
              </w:rPr>
              <w:t>j</w:t>
            </w:r>
            <w:r w:rsidRPr="0040341A">
              <w:rPr>
                <w:rFonts w:eastAsia="Calibri"/>
                <w:sz w:val="18"/>
                <w:szCs w:val="18"/>
                <w:lang w:eastAsia="sk-SK"/>
              </w:rPr>
              <w:t>)</w:t>
            </w:r>
          </w:p>
        </w:tc>
        <w:tc>
          <w:tcPr>
            <w:tcW w:w="4871" w:type="pct"/>
            <w:gridSpan w:val="2"/>
            <w:tcBorders>
              <w:top w:val="dotted" w:sz="4" w:space="0" w:color="auto"/>
            </w:tcBorders>
            <w:shd w:val="clear" w:color="auto" w:fill="F2F2F2" w:themeFill="background1" w:themeFillShade="F2"/>
          </w:tcPr>
          <w:p w14:paraId="1A53821F" w14:textId="77777777" w:rsidR="00244374" w:rsidRPr="0040341A" w:rsidRDefault="00244374" w:rsidP="00244374">
            <w:pPr>
              <w:rPr>
                <w:rFonts w:eastAsia="Calibri"/>
                <w:i/>
                <w:sz w:val="20"/>
                <w:szCs w:val="20"/>
                <w:lang w:eastAsia="sk-SK"/>
              </w:rPr>
            </w:pPr>
            <w:r w:rsidRPr="0040341A">
              <w:rPr>
                <w:rFonts w:eastAsia="Calibri"/>
                <w:b/>
                <w:i/>
                <w:sz w:val="20"/>
                <w:szCs w:val="20"/>
                <w:lang w:eastAsia="sk-SK"/>
              </w:rPr>
              <w:t xml:space="preserve">Kvantifikujte </w:t>
            </w:r>
            <w:r w:rsidRPr="0040341A">
              <w:rPr>
                <w:rFonts w:eastAsia="Calibri"/>
                <w:i/>
                <w:sz w:val="20"/>
                <w:szCs w:val="20"/>
                <w:lang w:eastAsia="sk-SK"/>
              </w:rPr>
              <w:t xml:space="preserve">rast príjmov alebo pokles výdavkov </w:t>
            </w:r>
            <w:r w:rsidRPr="0040341A">
              <w:rPr>
                <w:rFonts w:eastAsia="Calibri"/>
                <w:b/>
                <w:i/>
                <w:sz w:val="20"/>
                <w:szCs w:val="20"/>
                <w:lang w:eastAsia="sk-SK"/>
              </w:rPr>
              <w:t>za jednotlivé ovplyvnené skupiny</w:t>
            </w:r>
            <w:r w:rsidRPr="0040341A">
              <w:rPr>
                <w:rFonts w:eastAsia="Calibri"/>
                <w:i/>
                <w:sz w:val="20"/>
                <w:szCs w:val="20"/>
                <w:lang w:eastAsia="sk-SK"/>
              </w:rPr>
              <w:t xml:space="preserve"> domácností / skupiny jednotlivcov a počet obyvateľstva/domácností ovplyvnených predkladaným návrhom.</w:t>
            </w:r>
          </w:p>
        </w:tc>
      </w:tr>
      <w:tr w:rsidR="00244374" w:rsidRPr="0040341A" w14:paraId="5F6ABEC5" w14:textId="77777777" w:rsidTr="00244374">
        <w:trPr>
          <w:trHeight w:val="680"/>
          <w:jc w:val="center"/>
        </w:trPr>
        <w:tc>
          <w:tcPr>
            <w:tcW w:w="129" w:type="pct"/>
            <w:vMerge w:val="restart"/>
            <w:tcBorders>
              <w:top w:val="dotted" w:sz="4" w:space="0" w:color="auto"/>
            </w:tcBorders>
            <w:shd w:val="clear" w:color="auto" w:fill="auto"/>
            <w:vAlign w:val="center"/>
          </w:tcPr>
          <w:p w14:paraId="58699C48"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k)</w:t>
            </w:r>
          </w:p>
        </w:tc>
        <w:tc>
          <w:tcPr>
            <w:tcW w:w="1642" w:type="pct"/>
            <w:tcBorders>
              <w:top w:val="dotted" w:sz="4" w:space="0" w:color="auto"/>
            </w:tcBorders>
            <w:shd w:val="clear" w:color="auto" w:fill="auto"/>
          </w:tcPr>
          <w:p w14:paraId="669D5FF4" w14:textId="77777777" w:rsidR="00244374" w:rsidRPr="0040341A" w:rsidRDefault="00244374" w:rsidP="00244374">
            <w:pPr>
              <w:numPr>
                <w:ilvl w:val="0"/>
                <w:numId w:val="16"/>
              </w:numPr>
              <w:contextualSpacing/>
              <w:rPr>
                <w:rFonts w:eastAsia="Calibri"/>
                <w:i/>
                <w:sz w:val="18"/>
                <w:szCs w:val="20"/>
                <w:lang w:eastAsia="sk-SK"/>
              </w:rPr>
            </w:pPr>
            <w:r w:rsidRPr="0040341A">
              <w:rPr>
                <w:rFonts w:eastAsia="Calibri"/>
                <w:i/>
                <w:sz w:val="18"/>
                <w:szCs w:val="20"/>
                <w:lang w:eastAsia="sk-SK"/>
              </w:rPr>
              <w:t>priemerný rast príjmov/ pokles výdavkov v skupine v eurách a/alebo v % / obdobie:</w:t>
            </w:r>
          </w:p>
          <w:p w14:paraId="3E76FFC3" w14:textId="77777777" w:rsidR="00244374" w:rsidRPr="0040341A" w:rsidRDefault="00244374" w:rsidP="00244374">
            <w:pPr>
              <w:numPr>
                <w:ilvl w:val="0"/>
                <w:numId w:val="16"/>
              </w:numPr>
              <w:contextualSpacing/>
              <w:rPr>
                <w:rFonts w:eastAsia="Calibri"/>
                <w:i/>
                <w:sz w:val="20"/>
                <w:szCs w:val="20"/>
                <w:lang w:eastAsia="sk-SK"/>
              </w:rPr>
            </w:pPr>
            <w:r w:rsidRPr="0040341A">
              <w:rPr>
                <w:rFonts w:eastAsia="Calibri"/>
                <w:i/>
                <w:sz w:val="18"/>
                <w:szCs w:val="20"/>
                <w:lang w:eastAsia="sk-SK"/>
              </w:rPr>
              <w:t>veľkosť skupiny (počet obyvateľov):</w:t>
            </w:r>
          </w:p>
        </w:tc>
        <w:tc>
          <w:tcPr>
            <w:tcW w:w="3229" w:type="pct"/>
            <w:tcBorders>
              <w:top w:val="dotted" w:sz="4" w:space="0" w:color="auto"/>
            </w:tcBorders>
            <w:shd w:val="clear" w:color="auto" w:fill="auto"/>
          </w:tcPr>
          <w:p w14:paraId="763EB9CC"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1</w:t>
            </w:r>
          </w:p>
        </w:tc>
      </w:tr>
      <w:tr w:rsidR="00244374" w:rsidRPr="0040341A" w14:paraId="1E5E9F26" w14:textId="77777777" w:rsidTr="00244374">
        <w:trPr>
          <w:trHeight w:val="680"/>
          <w:jc w:val="center"/>
        </w:trPr>
        <w:tc>
          <w:tcPr>
            <w:tcW w:w="129" w:type="pct"/>
            <w:vMerge/>
            <w:vAlign w:val="center"/>
          </w:tcPr>
          <w:p w14:paraId="1D25688E" w14:textId="77777777" w:rsidR="00244374" w:rsidRPr="0040341A" w:rsidRDefault="00244374" w:rsidP="00244374">
            <w:pPr>
              <w:jc w:val="center"/>
              <w:rPr>
                <w:rFonts w:eastAsia="Calibri"/>
                <w:i/>
                <w:sz w:val="18"/>
                <w:szCs w:val="18"/>
                <w:lang w:eastAsia="sk-SK"/>
              </w:rPr>
            </w:pPr>
          </w:p>
        </w:tc>
        <w:tc>
          <w:tcPr>
            <w:tcW w:w="1642" w:type="pct"/>
            <w:shd w:val="clear" w:color="auto" w:fill="auto"/>
          </w:tcPr>
          <w:p w14:paraId="3F28D306" w14:textId="77777777" w:rsidR="00244374" w:rsidRPr="0040341A" w:rsidRDefault="00244374" w:rsidP="00244374">
            <w:pPr>
              <w:rPr>
                <w:rFonts w:eastAsia="Calibri"/>
                <w:i/>
                <w:sz w:val="20"/>
                <w:szCs w:val="20"/>
                <w:lang w:eastAsia="sk-SK"/>
              </w:rPr>
            </w:pPr>
            <w:r w:rsidRPr="0040341A">
              <w:rPr>
                <w:rFonts w:eastAsia="Calibri"/>
                <w:i/>
                <w:sz w:val="18"/>
                <w:szCs w:val="20"/>
                <w:lang w:eastAsia="sk-SK"/>
              </w:rPr>
              <w:t>Ovplyvnená skupina č. 3</w:t>
            </w:r>
          </w:p>
        </w:tc>
        <w:tc>
          <w:tcPr>
            <w:tcW w:w="3229" w:type="pct"/>
            <w:tcBorders>
              <w:top w:val="dotted" w:sz="4" w:space="0" w:color="auto"/>
            </w:tcBorders>
            <w:shd w:val="clear" w:color="auto" w:fill="auto"/>
          </w:tcPr>
          <w:p w14:paraId="1C3452F1"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2</w:t>
            </w:r>
          </w:p>
        </w:tc>
      </w:tr>
      <w:tr w:rsidR="00244374" w:rsidRPr="0040341A" w14:paraId="74DEF5B4" w14:textId="77777777" w:rsidTr="00244374">
        <w:trPr>
          <w:trHeight w:val="350"/>
          <w:jc w:val="center"/>
        </w:trPr>
        <w:tc>
          <w:tcPr>
            <w:tcW w:w="129" w:type="pct"/>
            <w:tcBorders>
              <w:top w:val="dotted" w:sz="4" w:space="0" w:color="auto"/>
              <w:bottom w:val="single" w:sz="4" w:space="0" w:color="auto"/>
            </w:tcBorders>
            <w:shd w:val="clear" w:color="auto" w:fill="auto"/>
            <w:vAlign w:val="center"/>
          </w:tcPr>
          <w:p w14:paraId="2F0C461A"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l)</w:t>
            </w:r>
          </w:p>
        </w:tc>
        <w:tc>
          <w:tcPr>
            <w:tcW w:w="1642" w:type="pct"/>
            <w:tcBorders>
              <w:top w:val="dotted" w:sz="4" w:space="0" w:color="auto"/>
              <w:bottom w:val="single" w:sz="4" w:space="0" w:color="auto"/>
            </w:tcBorders>
            <w:shd w:val="clear" w:color="auto" w:fill="auto"/>
          </w:tcPr>
          <w:p w14:paraId="04EA305C" w14:textId="77777777" w:rsidR="00244374" w:rsidRPr="0040341A" w:rsidRDefault="00244374" w:rsidP="00244374">
            <w:pPr>
              <w:rPr>
                <w:rFonts w:eastAsia="Calibri"/>
                <w:i/>
                <w:sz w:val="20"/>
                <w:szCs w:val="20"/>
                <w:lang w:eastAsia="sk-SK"/>
              </w:rPr>
            </w:pPr>
            <w:r w:rsidRPr="0040341A">
              <w:rPr>
                <w:rFonts w:eastAsia="Calibri"/>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274DF5E4" w14:textId="77777777" w:rsidR="00244374" w:rsidRPr="0040341A" w:rsidRDefault="00244374" w:rsidP="00244374">
            <w:pPr>
              <w:pStyle w:val="Normlnywebov"/>
              <w:spacing w:before="0" w:beforeAutospacing="0" w:after="0" w:afterAutospacing="0"/>
              <w:ind w:right="80"/>
              <w:jc w:val="both"/>
              <w:rPr>
                <w:rFonts w:eastAsia="Calibri"/>
                <w:sz w:val="20"/>
                <w:szCs w:val="20"/>
              </w:rPr>
            </w:pPr>
            <w:r w:rsidRPr="0040341A">
              <w:rPr>
                <w:sz w:val="22"/>
                <w:szCs w:val="22"/>
              </w:rPr>
              <w:t xml:space="preserve">Nie je možné určiť počet obyvateľstva/domácností, u ktorých dôjde k zvýšeniu príjmov alebo k poklesu výdavkov. Uvedený faktor závisí od počtu vytvorených pracovných miest. </w:t>
            </w:r>
          </w:p>
        </w:tc>
      </w:tr>
      <w:tr w:rsidR="00244374" w:rsidRPr="0040341A" w14:paraId="4C6B149F" w14:textId="77777777" w:rsidTr="00244374">
        <w:trPr>
          <w:trHeight w:val="170"/>
          <w:jc w:val="center"/>
        </w:trPr>
        <w:tc>
          <w:tcPr>
            <w:tcW w:w="129" w:type="pct"/>
            <w:tcBorders>
              <w:top w:val="single" w:sz="4" w:space="0" w:color="auto"/>
              <w:bottom w:val="single" w:sz="4" w:space="0" w:color="auto"/>
            </w:tcBorders>
            <w:shd w:val="clear" w:color="auto" w:fill="DDDDDD"/>
            <w:vAlign w:val="center"/>
          </w:tcPr>
          <w:p w14:paraId="2884FE57"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11E2481" w14:textId="77777777" w:rsidR="00244374" w:rsidRPr="0040341A" w:rsidRDefault="00244374" w:rsidP="00244374">
            <w:pPr>
              <w:jc w:val="center"/>
              <w:rPr>
                <w:rFonts w:eastAsia="Calibri"/>
                <w:b/>
                <w:color w:val="0070C0"/>
                <w:sz w:val="20"/>
                <w:szCs w:val="20"/>
                <w:lang w:eastAsia="sk-SK"/>
              </w:rPr>
            </w:pPr>
            <w:r w:rsidRPr="0040341A">
              <w:rPr>
                <w:rFonts w:eastAsia="Calibri"/>
                <w:b/>
                <w:i/>
                <w:sz w:val="20"/>
                <w:szCs w:val="20"/>
                <w:lang w:eastAsia="sk-SK"/>
              </w:rPr>
              <w:t>4.1.2 Negatívny vplyv</w:t>
            </w:r>
          </w:p>
        </w:tc>
      </w:tr>
      <w:tr w:rsidR="00244374" w:rsidRPr="0040341A" w14:paraId="7E522A2E" w14:textId="77777777" w:rsidTr="00244374">
        <w:trPr>
          <w:trHeight w:val="759"/>
          <w:jc w:val="center"/>
        </w:trPr>
        <w:tc>
          <w:tcPr>
            <w:tcW w:w="129" w:type="pct"/>
            <w:tcBorders>
              <w:top w:val="single" w:sz="4" w:space="0" w:color="auto"/>
              <w:bottom w:val="single" w:sz="4" w:space="0" w:color="auto"/>
            </w:tcBorders>
            <w:shd w:val="clear" w:color="auto" w:fill="auto"/>
            <w:vAlign w:val="center"/>
          </w:tcPr>
          <w:p w14:paraId="4302F499" w14:textId="77777777" w:rsidR="00244374" w:rsidRPr="0040341A" w:rsidRDefault="00244374" w:rsidP="00244374">
            <w:pPr>
              <w:contextualSpacing/>
              <w:jc w:val="center"/>
              <w:rPr>
                <w:rFonts w:eastAsia="Calibri"/>
                <w:i/>
                <w:sz w:val="18"/>
                <w:szCs w:val="18"/>
                <w:lang w:eastAsia="sk-SK"/>
              </w:rPr>
            </w:pPr>
            <w:r w:rsidRPr="0040341A">
              <w:rPr>
                <w:rFonts w:eastAsia="Calibri"/>
                <w:i/>
                <w:sz w:val="18"/>
                <w:szCs w:val="18"/>
                <w:lang w:eastAsia="sk-SK"/>
              </w:rPr>
              <w:t>b)</w:t>
            </w:r>
          </w:p>
          <w:p w14:paraId="636E6D71" w14:textId="77777777" w:rsidR="00244374" w:rsidRPr="0040341A" w:rsidRDefault="00244374" w:rsidP="00244374">
            <w:pPr>
              <w:ind w:left="360"/>
              <w:contextualSpacing/>
              <w:jc w:val="center"/>
              <w:rPr>
                <w:rFonts w:eastAsia="Calibri"/>
                <w:i/>
                <w:sz w:val="18"/>
                <w:szCs w:val="18"/>
                <w:lang w:eastAsia="sk-SK"/>
              </w:rPr>
            </w:pPr>
          </w:p>
        </w:tc>
        <w:tc>
          <w:tcPr>
            <w:tcW w:w="1642" w:type="pct"/>
            <w:tcBorders>
              <w:top w:val="single" w:sz="4" w:space="0" w:color="auto"/>
              <w:bottom w:val="single" w:sz="4" w:space="0" w:color="auto"/>
            </w:tcBorders>
            <w:shd w:val="clear" w:color="auto" w:fill="auto"/>
            <w:vAlign w:val="center"/>
          </w:tcPr>
          <w:p w14:paraId="1E697C6B" w14:textId="77777777" w:rsidR="00244374" w:rsidRPr="0040341A" w:rsidRDefault="00244374" w:rsidP="00244374">
            <w:pPr>
              <w:jc w:val="both"/>
              <w:rPr>
                <w:rFonts w:eastAsia="Calibri"/>
                <w:i/>
                <w:sz w:val="20"/>
                <w:szCs w:val="20"/>
                <w:lang w:eastAsia="sk-SK"/>
              </w:rPr>
            </w:pPr>
            <w:r w:rsidRPr="0040341A">
              <w:rPr>
                <w:rFonts w:eastAsia="Calibri"/>
                <w:b/>
                <w:i/>
                <w:sz w:val="20"/>
                <w:szCs w:val="20"/>
                <w:lang w:eastAsia="sk-SK"/>
              </w:rPr>
              <w:t xml:space="preserve">Popíšte </w:t>
            </w:r>
            <w:r w:rsidRPr="0040341A">
              <w:rPr>
                <w:rFonts w:eastAsia="Calibri"/>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4FD6CBB8" w14:textId="77777777" w:rsidR="00244374" w:rsidRPr="0040341A" w:rsidRDefault="00244374" w:rsidP="00244374">
            <w:pPr>
              <w:ind w:left="720"/>
              <w:contextualSpacing/>
              <w:rPr>
                <w:rFonts w:eastAsia="Calibri"/>
                <w:sz w:val="20"/>
                <w:szCs w:val="20"/>
                <w:lang w:eastAsia="sk-SK"/>
              </w:rPr>
            </w:pPr>
          </w:p>
        </w:tc>
      </w:tr>
      <w:tr w:rsidR="00244374" w:rsidRPr="0040341A" w14:paraId="5E5961F8" w14:textId="77777777" w:rsidTr="00244374">
        <w:trPr>
          <w:trHeight w:val="397"/>
          <w:jc w:val="center"/>
        </w:trPr>
        <w:tc>
          <w:tcPr>
            <w:tcW w:w="129" w:type="pct"/>
            <w:vMerge w:val="restart"/>
            <w:tcBorders>
              <w:top w:val="single" w:sz="4" w:space="0" w:color="auto"/>
            </w:tcBorders>
            <w:shd w:val="clear" w:color="auto" w:fill="auto"/>
            <w:vAlign w:val="center"/>
          </w:tcPr>
          <w:p w14:paraId="31292CD5"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c)</w:t>
            </w:r>
          </w:p>
        </w:tc>
        <w:tc>
          <w:tcPr>
            <w:tcW w:w="1642" w:type="pct"/>
            <w:tcBorders>
              <w:top w:val="single" w:sz="4" w:space="0" w:color="auto"/>
            </w:tcBorders>
            <w:shd w:val="clear" w:color="auto" w:fill="auto"/>
          </w:tcPr>
          <w:p w14:paraId="13A9C69E" w14:textId="77777777" w:rsidR="00244374" w:rsidRPr="0040341A" w:rsidRDefault="00244374" w:rsidP="00244374">
            <w:pPr>
              <w:rPr>
                <w:rFonts w:eastAsia="Calibri"/>
                <w:i/>
                <w:sz w:val="20"/>
                <w:szCs w:val="20"/>
                <w:lang w:eastAsia="sk-SK"/>
              </w:rPr>
            </w:pPr>
            <w:r w:rsidRPr="0040341A">
              <w:rPr>
                <w:rFonts w:eastAsia="Calibri"/>
                <w:b/>
                <w:i/>
                <w:sz w:val="20"/>
                <w:szCs w:val="20"/>
                <w:lang w:eastAsia="sk-SK"/>
              </w:rPr>
              <w:t>Špecifikujte</w:t>
            </w:r>
            <w:r w:rsidRPr="0040341A">
              <w:rPr>
                <w:rFonts w:eastAsia="Calibri"/>
                <w:i/>
                <w:sz w:val="20"/>
                <w:szCs w:val="20"/>
                <w:lang w:eastAsia="sk-SK"/>
              </w:rPr>
              <w:t xml:space="preserve"> ovplyvnené skupiny:</w:t>
            </w:r>
          </w:p>
        </w:tc>
        <w:tc>
          <w:tcPr>
            <w:tcW w:w="3229" w:type="pct"/>
            <w:tcBorders>
              <w:top w:val="single" w:sz="4" w:space="0" w:color="auto"/>
            </w:tcBorders>
            <w:shd w:val="clear" w:color="auto" w:fill="auto"/>
          </w:tcPr>
          <w:p w14:paraId="733549B4" w14:textId="77777777" w:rsidR="00244374" w:rsidRPr="0040341A" w:rsidRDefault="00244374" w:rsidP="00244374">
            <w:pPr>
              <w:rPr>
                <w:rFonts w:eastAsia="Calibri"/>
                <w:i/>
                <w:sz w:val="20"/>
                <w:szCs w:val="20"/>
                <w:lang w:eastAsia="sk-SK"/>
              </w:rPr>
            </w:pPr>
            <w:r w:rsidRPr="0040341A">
              <w:rPr>
                <w:rFonts w:eastAsia="Calibri"/>
                <w:i/>
                <w:sz w:val="18"/>
                <w:szCs w:val="20"/>
                <w:lang w:eastAsia="sk-SK"/>
              </w:rPr>
              <w:t>Ovplyvnená skupina č. 1</w:t>
            </w:r>
          </w:p>
        </w:tc>
      </w:tr>
      <w:tr w:rsidR="00244374" w:rsidRPr="0040341A" w14:paraId="279EC20A" w14:textId="77777777" w:rsidTr="00244374">
        <w:trPr>
          <w:trHeight w:val="397"/>
          <w:jc w:val="center"/>
        </w:trPr>
        <w:tc>
          <w:tcPr>
            <w:tcW w:w="129" w:type="pct"/>
            <w:vMerge/>
            <w:vAlign w:val="center"/>
          </w:tcPr>
          <w:p w14:paraId="2610505F" w14:textId="77777777" w:rsidR="00244374" w:rsidRPr="0040341A" w:rsidRDefault="00244374" w:rsidP="00244374">
            <w:pPr>
              <w:jc w:val="center"/>
              <w:rPr>
                <w:rFonts w:eastAsia="Calibri"/>
                <w:i/>
                <w:sz w:val="18"/>
                <w:szCs w:val="18"/>
                <w:lang w:eastAsia="sk-SK"/>
              </w:rPr>
            </w:pPr>
          </w:p>
        </w:tc>
        <w:tc>
          <w:tcPr>
            <w:tcW w:w="1642" w:type="pct"/>
            <w:tcBorders>
              <w:bottom w:val="single" w:sz="4" w:space="0" w:color="auto"/>
            </w:tcBorders>
            <w:shd w:val="clear" w:color="auto" w:fill="auto"/>
          </w:tcPr>
          <w:p w14:paraId="5AE807DB" w14:textId="77777777" w:rsidR="00244374" w:rsidRPr="0040341A" w:rsidRDefault="00244374" w:rsidP="00244374">
            <w:pPr>
              <w:rPr>
                <w:rFonts w:eastAsia="Calibri"/>
                <w:i/>
                <w:sz w:val="20"/>
                <w:szCs w:val="20"/>
                <w:lang w:eastAsia="sk-SK"/>
              </w:rPr>
            </w:pPr>
            <w:r w:rsidRPr="0040341A">
              <w:rPr>
                <w:rFonts w:eastAsia="Calibri"/>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12823102"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2</w:t>
            </w:r>
          </w:p>
        </w:tc>
      </w:tr>
      <w:tr w:rsidR="00244374" w:rsidRPr="0040341A" w14:paraId="53092F67" w14:textId="77777777" w:rsidTr="00244374">
        <w:trPr>
          <w:trHeight w:val="397"/>
          <w:jc w:val="center"/>
        </w:trPr>
        <w:tc>
          <w:tcPr>
            <w:tcW w:w="129" w:type="pct"/>
            <w:tcBorders>
              <w:top w:val="single" w:sz="4" w:space="0" w:color="auto"/>
            </w:tcBorders>
            <w:shd w:val="clear" w:color="auto" w:fill="F2F2F2" w:themeFill="background1" w:themeFillShade="F2"/>
            <w:vAlign w:val="center"/>
          </w:tcPr>
          <w:p w14:paraId="1086C8D6"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d)</w:t>
            </w:r>
          </w:p>
        </w:tc>
        <w:tc>
          <w:tcPr>
            <w:tcW w:w="4871" w:type="pct"/>
            <w:gridSpan w:val="2"/>
            <w:tcBorders>
              <w:top w:val="single" w:sz="4" w:space="0" w:color="auto"/>
            </w:tcBorders>
            <w:shd w:val="clear" w:color="auto" w:fill="F2F2F2" w:themeFill="background1" w:themeFillShade="F2"/>
            <w:vAlign w:val="center"/>
          </w:tcPr>
          <w:p w14:paraId="1DD36CFF" w14:textId="77777777" w:rsidR="00244374" w:rsidRPr="0040341A" w:rsidRDefault="00244374" w:rsidP="00244374">
            <w:pPr>
              <w:rPr>
                <w:rFonts w:eastAsia="Calibri"/>
                <w:sz w:val="20"/>
                <w:szCs w:val="20"/>
                <w:lang w:eastAsia="sk-SK"/>
              </w:rPr>
            </w:pPr>
            <w:r w:rsidRPr="0040341A">
              <w:rPr>
                <w:rFonts w:eastAsia="Calibri"/>
                <w:b/>
                <w:i/>
                <w:sz w:val="20"/>
                <w:szCs w:val="20"/>
                <w:lang w:eastAsia="sk-SK"/>
              </w:rPr>
              <w:t>Kvantifikujte</w:t>
            </w:r>
            <w:r w:rsidRPr="0040341A">
              <w:rPr>
                <w:rFonts w:eastAsia="Calibri"/>
                <w:i/>
                <w:sz w:val="20"/>
                <w:szCs w:val="20"/>
                <w:lang w:eastAsia="sk-SK"/>
              </w:rPr>
              <w:t xml:space="preserve"> pokles príjmov alebo rast výdavkov </w:t>
            </w:r>
            <w:r w:rsidRPr="0040341A">
              <w:rPr>
                <w:rFonts w:eastAsia="Calibri"/>
                <w:b/>
                <w:i/>
                <w:sz w:val="20"/>
                <w:szCs w:val="20"/>
                <w:lang w:eastAsia="sk-SK"/>
              </w:rPr>
              <w:t>za jednotlivé</w:t>
            </w:r>
            <w:r w:rsidRPr="0040341A">
              <w:rPr>
                <w:rFonts w:eastAsia="Calibri"/>
                <w:i/>
                <w:sz w:val="20"/>
                <w:szCs w:val="20"/>
                <w:lang w:eastAsia="sk-SK"/>
              </w:rPr>
              <w:t xml:space="preserve"> </w:t>
            </w:r>
            <w:r w:rsidRPr="0040341A">
              <w:rPr>
                <w:rFonts w:eastAsia="Calibri"/>
                <w:b/>
                <w:i/>
                <w:sz w:val="20"/>
                <w:szCs w:val="20"/>
                <w:lang w:eastAsia="sk-SK"/>
              </w:rPr>
              <w:t>ovplyvnené</w:t>
            </w:r>
            <w:r w:rsidRPr="0040341A">
              <w:rPr>
                <w:rFonts w:eastAsia="Calibri"/>
                <w:i/>
                <w:sz w:val="20"/>
                <w:szCs w:val="20"/>
                <w:lang w:eastAsia="sk-SK"/>
              </w:rPr>
              <w:t xml:space="preserve"> </w:t>
            </w:r>
            <w:r w:rsidRPr="0040341A">
              <w:rPr>
                <w:rFonts w:eastAsia="Calibri"/>
                <w:b/>
                <w:i/>
                <w:sz w:val="20"/>
                <w:szCs w:val="20"/>
                <w:lang w:eastAsia="sk-SK"/>
              </w:rPr>
              <w:t>skupiny</w:t>
            </w:r>
            <w:r w:rsidRPr="0040341A">
              <w:rPr>
                <w:rFonts w:eastAsia="Calibri"/>
                <w:i/>
                <w:sz w:val="20"/>
                <w:szCs w:val="20"/>
                <w:lang w:eastAsia="sk-SK"/>
              </w:rPr>
              <w:t xml:space="preserve"> domácností / skupiny jednotlivcov a počet obyvateľstva/domácností ovplyvnených predkladaným návrhom.</w:t>
            </w:r>
          </w:p>
        </w:tc>
      </w:tr>
      <w:tr w:rsidR="00244374" w:rsidRPr="0040341A" w14:paraId="4B0FF253" w14:textId="77777777" w:rsidTr="00244374">
        <w:trPr>
          <w:trHeight w:val="680"/>
          <w:jc w:val="center"/>
        </w:trPr>
        <w:tc>
          <w:tcPr>
            <w:tcW w:w="129" w:type="pct"/>
            <w:vMerge w:val="restart"/>
            <w:tcBorders>
              <w:top w:val="dotted" w:sz="4" w:space="0" w:color="auto"/>
            </w:tcBorders>
            <w:shd w:val="clear" w:color="auto" w:fill="auto"/>
            <w:vAlign w:val="center"/>
          </w:tcPr>
          <w:p w14:paraId="226C682C"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e)</w:t>
            </w:r>
          </w:p>
        </w:tc>
        <w:tc>
          <w:tcPr>
            <w:tcW w:w="1642" w:type="pct"/>
            <w:tcBorders>
              <w:top w:val="dotted" w:sz="4" w:space="0" w:color="auto"/>
            </w:tcBorders>
            <w:shd w:val="clear" w:color="auto" w:fill="auto"/>
          </w:tcPr>
          <w:p w14:paraId="33E52D16" w14:textId="77777777" w:rsidR="00244374" w:rsidRPr="0040341A" w:rsidRDefault="00244374" w:rsidP="00244374">
            <w:pPr>
              <w:numPr>
                <w:ilvl w:val="0"/>
                <w:numId w:val="16"/>
              </w:numPr>
              <w:contextualSpacing/>
              <w:jc w:val="both"/>
              <w:rPr>
                <w:rFonts w:eastAsia="Calibri"/>
                <w:i/>
                <w:sz w:val="18"/>
                <w:szCs w:val="20"/>
                <w:lang w:eastAsia="sk-SK"/>
              </w:rPr>
            </w:pPr>
            <w:r w:rsidRPr="0040341A">
              <w:rPr>
                <w:rFonts w:eastAsia="Calibri"/>
                <w:i/>
                <w:sz w:val="18"/>
                <w:szCs w:val="20"/>
                <w:lang w:eastAsia="sk-SK"/>
              </w:rPr>
              <w:t>priemerný pokles príjmov/ rast výdavkov v skupine v eurách a/alebo v % / obdobie:</w:t>
            </w:r>
          </w:p>
          <w:p w14:paraId="79FF7B4E" w14:textId="77777777" w:rsidR="00244374" w:rsidRPr="0040341A" w:rsidRDefault="00244374" w:rsidP="00244374">
            <w:pPr>
              <w:numPr>
                <w:ilvl w:val="0"/>
                <w:numId w:val="16"/>
              </w:numPr>
              <w:contextualSpacing/>
              <w:jc w:val="both"/>
              <w:rPr>
                <w:rFonts w:eastAsia="Calibri"/>
                <w:i/>
                <w:sz w:val="18"/>
                <w:szCs w:val="20"/>
                <w:lang w:eastAsia="sk-SK"/>
              </w:rPr>
            </w:pPr>
            <w:r w:rsidRPr="0040341A">
              <w:rPr>
                <w:rFonts w:eastAsia="Calibri"/>
                <w:i/>
                <w:sz w:val="18"/>
                <w:szCs w:val="20"/>
                <w:lang w:eastAsia="sk-SK"/>
              </w:rPr>
              <w:t>veľkosť skupiny (počet obyvateľov):</w:t>
            </w:r>
          </w:p>
        </w:tc>
        <w:tc>
          <w:tcPr>
            <w:tcW w:w="3229" w:type="pct"/>
            <w:tcBorders>
              <w:top w:val="dotted" w:sz="4" w:space="0" w:color="auto"/>
            </w:tcBorders>
            <w:shd w:val="clear" w:color="auto" w:fill="auto"/>
          </w:tcPr>
          <w:p w14:paraId="592A6921"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1</w:t>
            </w:r>
          </w:p>
        </w:tc>
      </w:tr>
      <w:tr w:rsidR="00244374" w:rsidRPr="0040341A" w14:paraId="3B4E0B28" w14:textId="77777777" w:rsidTr="00244374">
        <w:trPr>
          <w:trHeight w:val="680"/>
          <w:jc w:val="center"/>
        </w:trPr>
        <w:tc>
          <w:tcPr>
            <w:tcW w:w="129" w:type="pct"/>
            <w:vMerge/>
            <w:vAlign w:val="center"/>
          </w:tcPr>
          <w:p w14:paraId="3DD0441A" w14:textId="77777777" w:rsidR="00244374" w:rsidRPr="0040341A" w:rsidRDefault="00244374" w:rsidP="00244374">
            <w:pPr>
              <w:jc w:val="center"/>
              <w:rPr>
                <w:rFonts w:eastAsia="Calibri"/>
                <w:i/>
                <w:sz w:val="18"/>
                <w:szCs w:val="18"/>
                <w:lang w:eastAsia="sk-SK"/>
              </w:rPr>
            </w:pPr>
          </w:p>
        </w:tc>
        <w:tc>
          <w:tcPr>
            <w:tcW w:w="1642" w:type="pct"/>
            <w:shd w:val="clear" w:color="auto" w:fill="auto"/>
          </w:tcPr>
          <w:p w14:paraId="79D16D23" w14:textId="77777777" w:rsidR="00244374" w:rsidRPr="0040341A" w:rsidRDefault="00244374" w:rsidP="00244374">
            <w:pPr>
              <w:rPr>
                <w:rFonts w:eastAsia="Calibri"/>
                <w:i/>
                <w:sz w:val="20"/>
                <w:szCs w:val="20"/>
                <w:lang w:eastAsia="sk-SK"/>
              </w:rPr>
            </w:pPr>
            <w:r w:rsidRPr="0040341A">
              <w:rPr>
                <w:rFonts w:eastAsia="Calibri"/>
                <w:i/>
                <w:sz w:val="18"/>
                <w:szCs w:val="20"/>
                <w:lang w:eastAsia="sk-SK"/>
              </w:rPr>
              <w:t>Ovplyvnená skupina č. 3</w:t>
            </w:r>
          </w:p>
        </w:tc>
        <w:tc>
          <w:tcPr>
            <w:tcW w:w="3229" w:type="pct"/>
            <w:tcBorders>
              <w:top w:val="dotted" w:sz="4" w:space="0" w:color="auto"/>
            </w:tcBorders>
            <w:shd w:val="clear" w:color="auto" w:fill="auto"/>
          </w:tcPr>
          <w:p w14:paraId="7254D3CB"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2</w:t>
            </w:r>
          </w:p>
        </w:tc>
      </w:tr>
      <w:tr w:rsidR="00244374" w:rsidRPr="0040341A" w14:paraId="66865DE9" w14:textId="77777777" w:rsidTr="00244374">
        <w:trPr>
          <w:trHeight w:val="397"/>
          <w:jc w:val="center"/>
        </w:trPr>
        <w:tc>
          <w:tcPr>
            <w:tcW w:w="129" w:type="pct"/>
            <w:tcBorders>
              <w:top w:val="dotted" w:sz="4" w:space="0" w:color="auto"/>
            </w:tcBorders>
            <w:shd w:val="clear" w:color="auto" w:fill="auto"/>
            <w:vAlign w:val="center"/>
          </w:tcPr>
          <w:p w14:paraId="3C0ED379"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f)</w:t>
            </w:r>
          </w:p>
        </w:tc>
        <w:tc>
          <w:tcPr>
            <w:tcW w:w="1642" w:type="pct"/>
            <w:tcBorders>
              <w:top w:val="dotted" w:sz="4" w:space="0" w:color="auto"/>
            </w:tcBorders>
            <w:shd w:val="clear" w:color="auto" w:fill="auto"/>
          </w:tcPr>
          <w:p w14:paraId="1FD3AFE9" w14:textId="77777777" w:rsidR="00244374" w:rsidRPr="0040341A" w:rsidRDefault="00244374" w:rsidP="00244374">
            <w:pPr>
              <w:rPr>
                <w:rFonts w:eastAsia="Calibri"/>
                <w:i/>
                <w:sz w:val="20"/>
                <w:szCs w:val="20"/>
                <w:lang w:eastAsia="sk-SK"/>
              </w:rPr>
            </w:pPr>
            <w:r w:rsidRPr="0040341A">
              <w:rPr>
                <w:rFonts w:eastAsia="Calibri"/>
                <w:i/>
                <w:sz w:val="20"/>
                <w:szCs w:val="20"/>
                <w:lang w:eastAsia="sk-SK"/>
              </w:rPr>
              <w:t>Dôvod chýbajúcej kvantifikácie:</w:t>
            </w:r>
          </w:p>
        </w:tc>
        <w:tc>
          <w:tcPr>
            <w:tcW w:w="3229" w:type="pct"/>
            <w:tcBorders>
              <w:top w:val="dotted" w:sz="4" w:space="0" w:color="auto"/>
            </w:tcBorders>
            <w:shd w:val="clear" w:color="auto" w:fill="auto"/>
          </w:tcPr>
          <w:p w14:paraId="17104727" w14:textId="77777777" w:rsidR="00244374" w:rsidRPr="0040341A" w:rsidRDefault="00244374" w:rsidP="00244374">
            <w:pPr>
              <w:rPr>
                <w:rFonts w:eastAsia="Calibri"/>
                <w:sz w:val="20"/>
                <w:szCs w:val="20"/>
                <w:lang w:eastAsia="sk-SK"/>
              </w:rPr>
            </w:pPr>
          </w:p>
        </w:tc>
      </w:tr>
      <w:tr w:rsidR="00244374" w:rsidRPr="0040341A" w14:paraId="02EF0934" w14:textId="77777777" w:rsidTr="00244374">
        <w:trPr>
          <w:trHeight w:val="227"/>
          <w:jc w:val="center"/>
        </w:trPr>
        <w:tc>
          <w:tcPr>
            <w:tcW w:w="129" w:type="pct"/>
            <w:tcBorders>
              <w:top w:val="nil"/>
              <w:bottom w:val="single" w:sz="4" w:space="0" w:color="auto"/>
            </w:tcBorders>
            <w:shd w:val="clear" w:color="auto" w:fill="F2F2F2" w:themeFill="background1" w:themeFillShade="F2"/>
            <w:vAlign w:val="center"/>
          </w:tcPr>
          <w:p w14:paraId="4BCD9D11"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g)</w:t>
            </w:r>
          </w:p>
        </w:tc>
        <w:tc>
          <w:tcPr>
            <w:tcW w:w="4871" w:type="pct"/>
            <w:gridSpan w:val="2"/>
            <w:tcBorders>
              <w:top w:val="nil"/>
              <w:bottom w:val="single" w:sz="4" w:space="0" w:color="auto"/>
            </w:tcBorders>
            <w:shd w:val="clear" w:color="auto" w:fill="F2F2F2" w:themeFill="background1" w:themeFillShade="F2"/>
          </w:tcPr>
          <w:p w14:paraId="2A0F84D2" w14:textId="77777777" w:rsidR="00244374" w:rsidRPr="0040341A" w:rsidRDefault="00244374" w:rsidP="00244374">
            <w:pPr>
              <w:rPr>
                <w:rFonts w:eastAsia="Calibri"/>
                <w:i/>
                <w:sz w:val="20"/>
                <w:szCs w:val="20"/>
                <w:lang w:eastAsia="sk-SK"/>
              </w:rPr>
            </w:pPr>
            <w:r w:rsidRPr="0040341A">
              <w:rPr>
                <w:rFonts w:eastAsia="Calibri"/>
                <w:b/>
                <w:i/>
                <w:sz w:val="20"/>
                <w:szCs w:val="20"/>
                <w:lang w:eastAsia="sk-SK"/>
              </w:rPr>
              <w:t>4.1.2.1</w:t>
            </w:r>
            <w:r w:rsidRPr="0040341A">
              <w:rPr>
                <w:rFonts w:eastAsia="Calibri"/>
                <w:i/>
                <w:sz w:val="20"/>
                <w:szCs w:val="20"/>
                <w:lang w:eastAsia="sk-SK"/>
              </w:rPr>
              <w:t xml:space="preserve"> </w:t>
            </w:r>
            <w:r w:rsidRPr="0040341A">
              <w:rPr>
                <w:rFonts w:eastAsia="Calibri"/>
                <w:b/>
                <w:i/>
                <w:sz w:val="20"/>
                <w:szCs w:val="20"/>
                <w:lang w:eastAsia="sk-SK"/>
              </w:rPr>
              <w:t>Z toho negatívny vplyv na skupiny v riziku chudoby alebo sociálneho vylúčenia</w:t>
            </w:r>
          </w:p>
          <w:p w14:paraId="3067387E" w14:textId="77777777" w:rsidR="00244374" w:rsidRPr="0040341A" w:rsidRDefault="00244374" w:rsidP="00244374">
            <w:pPr>
              <w:rPr>
                <w:rFonts w:eastAsia="Calibri"/>
                <w:b/>
                <w:sz w:val="20"/>
                <w:szCs w:val="20"/>
                <w:lang w:eastAsia="sk-SK"/>
              </w:rPr>
            </w:pPr>
            <w:r w:rsidRPr="0040341A">
              <w:rPr>
                <w:rFonts w:eastAsia="Calibri"/>
                <w:i/>
                <w:sz w:val="20"/>
                <w:szCs w:val="20"/>
                <w:lang w:eastAsia="sk-SK"/>
              </w:rPr>
              <w:t>(</w:t>
            </w:r>
            <w:r w:rsidRPr="0040341A">
              <w:rPr>
                <w:rFonts w:eastAsia="Calibri"/>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40341A">
              <w:rPr>
                <w:rFonts w:eastAsia="Calibri"/>
                <w:i/>
                <w:sz w:val="20"/>
                <w:szCs w:val="20"/>
                <w:lang w:eastAsia="sk-SK"/>
              </w:rPr>
              <w:t>)</w:t>
            </w:r>
          </w:p>
        </w:tc>
      </w:tr>
      <w:tr w:rsidR="00244374" w:rsidRPr="0040341A" w14:paraId="1AA504E2" w14:textId="77777777" w:rsidTr="00244374">
        <w:trPr>
          <w:trHeight w:val="759"/>
          <w:jc w:val="center"/>
        </w:trPr>
        <w:tc>
          <w:tcPr>
            <w:tcW w:w="129" w:type="pct"/>
            <w:tcBorders>
              <w:top w:val="single" w:sz="4" w:space="0" w:color="auto"/>
              <w:bottom w:val="single" w:sz="4" w:space="0" w:color="auto"/>
            </w:tcBorders>
            <w:shd w:val="clear" w:color="auto" w:fill="auto"/>
            <w:vAlign w:val="center"/>
          </w:tcPr>
          <w:p w14:paraId="2740B1AF"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h)</w:t>
            </w:r>
          </w:p>
        </w:tc>
        <w:tc>
          <w:tcPr>
            <w:tcW w:w="1642" w:type="pct"/>
            <w:tcBorders>
              <w:top w:val="single" w:sz="4" w:space="0" w:color="auto"/>
              <w:bottom w:val="single" w:sz="4" w:space="0" w:color="auto"/>
            </w:tcBorders>
            <w:shd w:val="clear" w:color="auto" w:fill="auto"/>
          </w:tcPr>
          <w:p w14:paraId="77ED5D57" w14:textId="77777777" w:rsidR="00244374" w:rsidRPr="0040341A" w:rsidRDefault="00244374" w:rsidP="00244374">
            <w:pPr>
              <w:jc w:val="both"/>
              <w:rPr>
                <w:rFonts w:eastAsia="Calibri"/>
                <w:i/>
                <w:sz w:val="20"/>
                <w:szCs w:val="20"/>
                <w:lang w:eastAsia="sk-SK"/>
              </w:rPr>
            </w:pPr>
            <w:r w:rsidRPr="0040341A">
              <w:rPr>
                <w:rFonts w:eastAsia="Calibri"/>
                <w:b/>
                <w:i/>
                <w:sz w:val="20"/>
                <w:szCs w:val="20"/>
                <w:lang w:eastAsia="sk-SK"/>
              </w:rPr>
              <w:t>Popíšte</w:t>
            </w:r>
            <w:r w:rsidRPr="0040341A">
              <w:rPr>
                <w:rFonts w:eastAsia="Calibri"/>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6822D07C" w14:textId="77777777" w:rsidR="00244374" w:rsidRPr="0040341A" w:rsidRDefault="00244374" w:rsidP="00244374">
            <w:pPr>
              <w:rPr>
                <w:rFonts w:eastAsia="Calibri"/>
                <w:sz w:val="20"/>
                <w:szCs w:val="20"/>
                <w:lang w:eastAsia="sk-SK"/>
              </w:rPr>
            </w:pPr>
          </w:p>
        </w:tc>
      </w:tr>
      <w:tr w:rsidR="00244374" w:rsidRPr="0040341A" w14:paraId="6BB9088A" w14:textId="77777777" w:rsidTr="00244374">
        <w:trPr>
          <w:trHeight w:val="397"/>
          <w:jc w:val="center"/>
        </w:trPr>
        <w:tc>
          <w:tcPr>
            <w:tcW w:w="129" w:type="pct"/>
            <w:vMerge w:val="restart"/>
            <w:tcBorders>
              <w:top w:val="single" w:sz="4" w:space="0" w:color="auto"/>
            </w:tcBorders>
            <w:shd w:val="clear" w:color="auto" w:fill="auto"/>
            <w:vAlign w:val="center"/>
          </w:tcPr>
          <w:p w14:paraId="47B911CA"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i)</w:t>
            </w:r>
          </w:p>
        </w:tc>
        <w:tc>
          <w:tcPr>
            <w:tcW w:w="1642" w:type="pct"/>
            <w:tcBorders>
              <w:top w:val="single" w:sz="4" w:space="0" w:color="auto"/>
            </w:tcBorders>
            <w:shd w:val="clear" w:color="auto" w:fill="auto"/>
          </w:tcPr>
          <w:p w14:paraId="21EC5B5C" w14:textId="77777777" w:rsidR="00244374" w:rsidRPr="0040341A" w:rsidRDefault="00244374" w:rsidP="00244374">
            <w:pPr>
              <w:rPr>
                <w:rFonts w:eastAsia="Calibri"/>
                <w:i/>
                <w:sz w:val="20"/>
                <w:szCs w:val="20"/>
                <w:lang w:eastAsia="sk-SK"/>
              </w:rPr>
            </w:pPr>
            <w:r w:rsidRPr="0040341A">
              <w:rPr>
                <w:rFonts w:eastAsia="Calibri"/>
                <w:b/>
                <w:i/>
                <w:sz w:val="20"/>
                <w:szCs w:val="20"/>
                <w:lang w:eastAsia="sk-SK"/>
              </w:rPr>
              <w:t xml:space="preserve">Špecifikujte </w:t>
            </w:r>
            <w:r w:rsidRPr="0040341A">
              <w:rPr>
                <w:rFonts w:eastAsia="Calibri"/>
                <w:i/>
                <w:sz w:val="20"/>
                <w:szCs w:val="20"/>
                <w:lang w:eastAsia="sk-SK"/>
              </w:rPr>
              <w:t>ovplyvnené skupiny:</w:t>
            </w:r>
          </w:p>
        </w:tc>
        <w:tc>
          <w:tcPr>
            <w:tcW w:w="3229" w:type="pct"/>
            <w:tcBorders>
              <w:top w:val="single" w:sz="4" w:space="0" w:color="auto"/>
            </w:tcBorders>
            <w:shd w:val="clear" w:color="auto" w:fill="auto"/>
          </w:tcPr>
          <w:p w14:paraId="03799E42" w14:textId="77777777" w:rsidR="00244374" w:rsidRPr="0040341A" w:rsidRDefault="00244374" w:rsidP="00244374">
            <w:pPr>
              <w:rPr>
                <w:rFonts w:eastAsia="Calibri"/>
                <w:i/>
                <w:sz w:val="18"/>
                <w:szCs w:val="20"/>
                <w:lang w:eastAsia="sk-SK"/>
              </w:rPr>
            </w:pPr>
            <w:r w:rsidRPr="0040341A">
              <w:rPr>
                <w:rFonts w:eastAsia="Calibri"/>
                <w:i/>
                <w:sz w:val="18"/>
                <w:szCs w:val="20"/>
                <w:lang w:eastAsia="sk-SK"/>
              </w:rPr>
              <w:t>Ovplyvnená skupina č. 1</w:t>
            </w:r>
          </w:p>
        </w:tc>
      </w:tr>
      <w:tr w:rsidR="00244374" w:rsidRPr="0040341A" w14:paraId="7A5E3CCA" w14:textId="77777777" w:rsidTr="00244374">
        <w:trPr>
          <w:trHeight w:val="397"/>
          <w:jc w:val="center"/>
        </w:trPr>
        <w:tc>
          <w:tcPr>
            <w:tcW w:w="129" w:type="pct"/>
            <w:vMerge/>
            <w:vAlign w:val="center"/>
          </w:tcPr>
          <w:p w14:paraId="348989AC" w14:textId="77777777" w:rsidR="00244374" w:rsidRPr="0040341A" w:rsidRDefault="00244374" w:rsidP="00244374">
            <w:pPr>
              <w:jc w:val="center"/>
              <w:rPr>
                <w:rFonts w:eastAsia="Calibri"/>
                <w:i/>
                <w:sz w:val="18"/>
                <w:szCs w:val="18"/>
                <w:lang w:eastAsia="sk-SK"/>
              </w:rPr>
            </w:pPr>
          </w:p>
        </w:tc>
        <w:tc>
          <w:tcPr>
            <w:tcW w:w="1642" w:type="pct"/>
            <w:shd w:val="clear" w:color="auto" w:fill="auto"/>
          </w:tcPr>
          <w:p w14:paraId="1B7368EC" w14:textId="77777777" w:rsidR="00244374" w:rsidRPr="0040341A" w:rsidRDefault="00244374" w:rsidP="00244374">
            <w:pPr>
              <w:rPr>
                <w:rFonts w:eastAsia="Calibri"/>
                <w:i/>
                <w:sz w:val="20"/>
                <w:szCs w:val="20"/>
                <w:lang w:eastAsia="sk-SK"/>
              </w:rPr>
            </w:pPr>
            <w:r w:rsidRPr="0040341A">
              <w:rPr>
                <w:rFonts w:eastAsia="Calibri"/>
                <w:i/>
                <w:sz w:val="18"/>
                <w:szCs w:val="20"/>
                <w:lang w:eastAsia="sk-SK"/>
              </w:rPr>
              <w:t>Ovplyvnená skupina č. 3</w:t>
            </w:r>
          </w:p>
        </w:tc>
        <w:tc>
          <w:tcPr>
            <w:tcW w:w="3229" w:type="pct"/>
            <w:tcBorders>
              <w:top w:val="dotted" w:sz="4" w:space="0" w:color="auto"/>
            </w:tcBorders>
            <w:shd w:val="clear" w:color="auto" w:fill="auto"/>
          </w:tcPr>
          <w:p w14:paraId="358CEC9E"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2</w:t>
            </w:r>
          </w:p>
        </w:tc>
      </w:tr>
      <w:tr w:rsidR="00244374" w:rsidRPr="0040341A" w14:paraId="0A30425B" w14:textId="77777777" w:rsidTr="00244374">
        <w:trPr>
          <w:trHeight w:val="454"/>
          <w:jc w:val="center"/>
        </w:trPr>
        <w:tc>
          <w:tcPr>
            <w:tcW w:w="129" w:type="pct"/>
            <w:tcBorders>
              <w:top w:val="dotted" w:sz="4" w:space="0" w:color="auto"/>
            </w:tcBorders>
            <w:shd w:val="clear" w:color="auto" w:fill="F2F2F2" w:themeFill="background1" w:themeFillShade="F2"/>
            <w:vAlign w:val="center"/>
          </w:tcPr>
          <w:p w14:paraId="0C4F17F5" w14:textId="77777777" w:rsidR="00244374" w:rsidRPr="0040341A" w:rsidRDefault="00244374" w:rsidP="00244374">
            <w:pPr>
              <w:jc w:val="center"/>
              <w:rPr>
                <w:rFonts w:eastAsia="Calibri"/>
                <w:sz w:val="18"/>
                <w:szCs w:val="18"/>
                <w:lang w:eastAsia="sk-SK"/>
              </w:rPr>
            </w:pPr>
            <w:r w:rsidRPr="0040341A">
              <w:rPr>
                <w:rFonts w:eastAsia="Calibri"/>
                <w:i/>
                <w:sz w:val="18"/>
                <w:szCs w:val="18"/>
                <w:lang w:eastAsia="sk-SK"/>
              </w:rPr>
              <w:t>j</w:t>
            </w:r>
            <w:r w:rsidRPr="0040341A">
              <w:rPr>
                <w:rFonts w:eastAsia="Calibri"/>
                <w:sz w:val="18"/>
                <w:szCs w:val="18"/>
                <w:lang w:eastAsia="sk-SK"/>
              </w:rPr>
              <w:t>)</w:t>
            </w:r>
          </w:p>
        </w:tc>
        <w:tc>
          <w:tcPr>
            <w:tcW w:w="4871" w:type="pct"/>
            <w:gridSpan w:val="2"/>
            <w:tcBorders>
              <w:top w:val="dotted" w:sz="4" w:space="0" w:color="auto"/>
            </w:tcBorders>
            <w:shd w:val="clear" w:color="auto" w:fill="F2F2F2" w:themeFill="background1" w:themeFillShade="F2"/>
            <w:vAlign w:val="center"/>
          </w:tcPr>
          <w:p w14:paraId="5156CE2C" w14:textId="77777777" w:rsidR="00244374" w:rsidRPr="0040341A" w:rsidRDefault="00244374" w:rsidP="00244374">
            <w:pPr>
              <w:rPr>
                <w:rFonts w:eastAsia="Calibri"/>
                <w:i/>
                <w:sz w:val="20"/>
                <w:szCs w:val="20"/>
                <w:lang w:eastAsia="sk-SK"/>
              </w:rPr>
            </w:pPr>
            <w:r w:rsidRPr="0040341A">
              <w:rPr>
                <w:rFonts w:eastAsia="Calibri"/>
                <w:b/>
                <w:i/>
                <w:sz w:val="20"/>
                <w:szCs w:val="20"/>
                <w:lang w:eastAsia="sk-SK"/>
              </w:rPr>
              <w:t>Kvantifikujte</w:t>
            </w:r>
            <w:r w:rsidRPr="0040341A">
              <w:rPr>
                <w:rFonts w:eastAsia="Calibri"/>
                <w:i/>
                <w:sz w:val="20"/>
                <w:szCs w:val="20"/>
                <w:lang w:eastAsia="sk-SK"/>
              </w:rPr>
              <w:t xml:space="preserve"> pokles príjmov alebo rast výdavkov </w:t>
            </w:r>
            <w:r w:rsidRPr="0040341A">
              <w:rPr>
                <w:rFonts w:eastAsia="Calibri"/>
                <w:b/>
                <w:i/>
                <w:sz w:val="20"/>
                <w:szCs w:val="20"/>
                <w:lang w:eastAsia="sk-SK"/>
              </w:rPr>
              <w:t>za jednotlivé ovplyvnené skupiny</w:t>
            </w:r>
            <w:r w:rsidRPr="0040341A">
              <w:rPr>
                <w:rFonts w:eastAsia="Calibri"/>
                <w:i/>
                <w:sz w:val="20"/>
                <w:szCs w:val="20"/>
                <w:lang w:eastAsia="sk-SK"/>
              </w:rPr>
              <w:t xml:space="preserve"> domácností / skupiny jednotlivcov a počet obyvateľstva/domácností ovplyvnených predkladaným návrhom.</w:t>
            </w:r>
          </w:p>
        </w:tc>
      </w:tr>
      <w:tr w:rsidR="00244374" w:rsidRPr="0040341A" w14:paraId="000E532E" w14:textId="77777777" w:rsidTr="00244374">
        <w:trPr>
          <w:trHeight w:val="680"/>
          <w:jc w:val="center"/>
        </w:trPr>
        <w:tc>
          <w:tcPr>
            <w:tcW w:w="129" w:type="pct"/>
            <w:vMerge w:val="restart"/>
            <w:tcBorders>
              <w:top w:val="dotted" w:sz="4" w:space="0" w:color="auto"/>
            </w:tcBorders>
            <w:shd w:val="clear" w:color="auto" w:fill="auto"/>
            <w:vAlign w:val="center"/>
          </w:tcPr>
          <w:p w14:paraId="786E64C3"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k)</w:t>
            </w:r>
          </w:p>
        </w:tc>
        <w:tc>
          <w:tcPr>
            <w:tcW w:w="1642" w:type="pct"/>
            <w:tcBorders>
              <w:top w:val="dotted" w:sz="4" w:space="0" w:color="auto"/>
            </w:tcBorders>
            <w:shd w:val="clear" w:color="auto" w:fill="auto"/>
          </w:tcPr>
          <w:p w14:paraId="3E1C8686" w14:textId="77777777" w:rsidR="00244374" w:rsidRPr="0040341A" w:rsidRDefault="00244374" w:rsidP="00244374">
            <w:pPr>
              <w:numPr>
                <w:ilvl w:val="0"/>
                <w:numId w:val="16"/>
              </w:numPr>
              <w:contextualSpacing/>
              <w:rPr>
                <w:rFonts w:eastAsia="Calibri"/>
                <w:i/>
                <w:sz w:val="18"/>
                <w:szCs w:val="20"/>
                <w:lang w:eastAsia="sk-SK"/>
              </w:rPr>
            </w:pPr>
            <w:r w:rsidRPr="0040341A">
              <w:rPr>
                <w:rFonts w:eastAsia="Calibri"/>
                <w:i/>
                <w:sz w:val="18"/>
                <w:szCs w:val="20"/>
                <w:lang w:eastAsia="sk-SK"/>
              </w:rPr>
              <w:t>priemerný pokles príjmov/ rast výdavkov v skupine v eurách a/alebo v % / obdobie:</w:t>
            </w:r>
          </w:p>
          <w:p w14:paraId="67619BEB" w14:textId="77777777" w:rsidR="00244374" w:rsidRPr="0040341A" w:rsidRDefault="00244374" w:rsidP="00244374">
            <w:pPr>
              <w:numPr>
                <w:ilvl w:val="0"/>
                <w:numId w:val="16"/>
              </w:numPr>
              <w:contextualSpacing/>
              <w:rPr>
                <w:rFonts w:eastAsia="Calibri"/>
                <w:i/>
                <w:sz w:val="20"/>
                <w:szCs w:val="20"/>
                <w:lang w:eastAsia="sk-SK"/>
              </w:rPr>
            </w:pPr>
            <w:r w:rsidRPr="0040341A">
              <w:rPr>
                <w:rFonts w:eastAsia="Calibri"/>
                <w:i/>
                <w:sz w:val="18"/>
                <w:szCs w:val="20"/>
                <w:lang w:eastAsia="sk-SK"/>
              </w:rPr>
              <w:t>veľkosť skupiny (počet obyvateľov):</w:t>
            </w:r>
          </w:p>
        </w:tc>
        <w:tc>
          <w:tcPr>
            <w:tcW w:w="3229" w:type="pct"/>
            <w:tcBorders>
              <w:top w:val="dotted" w:sz="4" w:space="0" w:color="auto"/>
            </w:tcBorders>
            <w:shd w:val="clear" w:color="auto" w:fill="auto"/>
          </w:tcPr>
          <w:p w14:paraId="26A76D06"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1</w:t>
            </w:r>
          </w:p>
        </w:tc>
      </w:tr>
      <w:tr w:rsidR="00244374" w:rsidRPr="0040341A" w14:paraId="0A058877" w14:textId="77777777" w:rsidTr="00244374">
        <w:trPr>
          <w:trHeight w:val="680"/>
          <w:jc w:val="center"/>
        </w:trPr>
        <w:tc>
          <w:tcPr>
            <w:tcW w:w="129" w:type="pct"/>
            <w:vMerge/>
            <w:vAlign w:val="center"/>
          </w:tcPr>
          <w:p w14:paraId="4099B093" w14:textId="77777777" w:rsidR="00244374" w:rsidRPr="0040341A" w:rsidRDefault="00244374" w:rsidP="00244374">
            <w:pPr>
              <w:jc w:val="center"/>
              <w:rPr>
                <w:rFonts w:eastAsia="Calibri"/>
                <w:i/>
                <w:sz w:val="18"/>
                <w:szCs w:val="18"/>
                <w:lang w:eastAsia="sk-SK"/>
              </w:rPr>
            </w:pPr>
          </w:p>
        </w:tc>
        <w:tc>
          <w:tcPr>
            <w:tcW w:w="1642" w:type="pct"/>
            <w:shd w:val="clear" w:color="auto" w:fill="auto"/>
          </w:tcPr>
          <w:p w14:paraId="6317DF54" w14:textId="77777777" w:rsidR="00244374" w:rsidRPr="0040341A" w:rsidRDefault="00244374" w:rsidP="00244374">
            <w:pPr>
              <w:rPr>
                <w:rFonts w:eastAsia="Calibri"/>
                <w:i/>
                <w:sz w:val="20"/>
                <w:szCs w:val="20"/>
                <w:lang w:eastAsia="sk-SK"/>
              </w:rPr>
            </w:pPr>
            <w:r w:rsidRPr="0040341A">
              <w:rPr>
                <w:rFonts w:eastAsia="Calibri"/>
                <w:i/>
                <w:sz w:val="18"/>
                <w:szCs w:val="20"/>
                <w:lang w:eastAsia="sk-SK"/>
              </w:rPr>
              <w:t>Ovplyvnená skupina č. 3</w:t>
            </w:r>
          </w:p>
        </w:tc>
        <w:tc>
          <w:tcPr>
            <w:tcW w:w="3229" w:type="pct"/>
            <w:tcBorders>
              <w:top w:val="dotted" w:sz="4" w:space="0" w:color="auto"/>
            </w:tcBorders>
            <w:shd w:val="clear" w:color="auto" w:fill="auto"/>
          </w:tcPr>
          <w:p w14:paraId="25DF7E85" w14:textId="77777777" w:rsidR="00244374" w:rsidRPr="0040341A" w:rsidRDefault="00244374" w:rsidP="00244374">
            <w:pPr>
              <w:rPr>
                <w:rFonts w:eastAsia="Calibri"/>
                <w:sz w:val="20"/>
                <w:szCs w:val="20"/>
                <w:lang w:eastAsia="sk-SK"/>
              </w:rPr>
            </w:pPr>
            <w:r w:rsidRPr="0040341A">
              <w:rPr>
                <w:rFonts w:eastAsia="Calibri"/>
                <w:i/>
                <w:sz w:val="18"/>
                <w:szCs w:val="20"/>
                <w:lang w:eastAsia="sk-SK"/>
              </w:rPr>
              <w:t>Ovplyvnená skupina č. 2</w:t>
            </w:r>
          </w:p>
        </w:tc>
      </w:tr>
      <w:tr w:rsidR="00244374" w:rsidRPr="0040341A" w14:paraId="2C4F8550" w14:textId="77777777" w:rsidTr="00244374">
        <w:trPr>
          <w:trHeight w:val="454"/>
          <w:jc w:val="center"/>
        </w:trPr>
        <w:tc>
          <w:tcPr>
            <w:tcW w:w="129" w:type="pct"/>
            <w:tcBorders>
              <w:top w:val="dotted" w:sz="4" w:space="0" w:color="auto"/>
              <w:bottom w:val="single" w:sz="4" w:space="0" w:color="auto"/>
            </w:tcBorders>
            <w:shd w:val="clear" w:color="auto" w:fill="auto"/>
            <w:vAlign w:val="center"/>
          </w:tcPr>
          <w:p w14:paraId="1150F009"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l)</w:t>
            </w:r>
          </w:p>
        </w:tc>
        <w:tc>
          <w:tcPr>
            <w:tcW w:w="1642" w:type="pct"/>
            <w:tcBorders>
              <w:top w:val="dotted" w:sz="4" w:space="0" w:color="auto"/>
              <w:bottom w:val="single" w:sz="4" w:space="0" w:color="auto"/>
            </w:tcBorders>
            <w:shd w:val="clear" w:color="auto" w:fill="auto"/>
          </w:tcPr>
          <w:p w14:paraId="69154296" w14:textId="77777777" w:rsidR="00244374" w:rsidRPr="0040341A" w:rsidRDefault="00244374" w:rsidP="00244374">
            <w:pPr>
              <w:rPr>
                <w:rFonts w:eastAsia="Calibri"/>
                <w:i/>
                <w:sz w:val="20"/>
                <w:szCs w:val="20"/>
                <w:lang w:eastAsia="sk-SK"/>
              </w:rPr>
            </w:pPr>
            <w:r w:rsidRPr="0040341A">
              <w:rPr>
                <w:rFonts w:eastAsia="Calibri"/>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6FA872F8" w14:textId="77777777" w:rsidR="00244374" w:rsidRPr="0040341A" w:rsidRDefault="00244374" w:rsidP="00244374">
            <w:pPr>
              <w:rPr>
                <w:rFonts w:eastAsia="Calibri"/>
                <w:sz w:val="20"/>
                <w:szCs w:val="20"/>
                <w:lang w:eastAsia="sk-SK"/>
              </w:rPr>
            </w:pPr>
          </w:p>
        </w:tc>
      </w:tr>
    </w:tbl>
    <w:p w14:paraId="01BA133A" w14:textId="77777777" w:rsidR="00244374" w:rsidRPr="0040341A" w:rsidRDefault="00244374" w:rsidP="00244374">
      <w:r w:rsidRPr="0040341A">
        <w:br w:type="page"/>
      </w:r>
    </w:p>
    <w:p w14:paraId="5A803E48" w14:textId="77777777" w:rsidR="00244374" w:rsidRPr="0040341A" w:rsidRDefault="00244374" w:rsidP="00244374">
      <w:pPr>
        <w:sectPr w:rsidR="00244374" w:rsidRPr="0040341A" w:rsidSect="00244374">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44374" w:rsidRPr="0040341A" w14:paraId="771B1A26" w14:textId="77777777" w:rsidTr="00244374">
        <w:trPr>
          <w:trHeight w:val="339"/>
          <w:jc w:val="center"/>
        </w:trPr>
        <w:tc>
          <w:tcPr>
            <w:tcW w:w="4998" w:type="pct"/>
            <w:gridSpan w:val="4"/>
            <w:tcBorders>
              <w:bottom w:val="single" w:sz="4" w:space="0" w:color="auto"/>
            </w:tcBorders>
            <w:shd w:val="clear" w:color="auto" w:fill="D9D9D9" w:themeFill="background1" w:themeFillShade="D9"/>
          </w:tcPr>
          <w:p w14:paraId="04E2426E" w14:textId="77777777" w:rsidR="00244374" w:rsidRPr="0040341A" w:rsidRDefault="00244374" w:rsidP="00244374">
            <w:pPr>
              <w:rPr>
                <w:rFonts w:eastAsia="Calibri"/>
                <w:b/>
                <w:lang w:eastAsia="sk-SK"/>
              </w:rPr>
            </w:pPr>
            <w:r w:rsidRPr="0040341A">
              <w:rPr>
                <w:rFonts w:eastAsia="Calibri"/>
                <w:b/>
                <w:lang w:eastAsia="sk-SK"/>
              </w:rPr>
              <w:t>4.2 Identifikujte, popíšte a kvantifikujte vplyvy na prístup k zdrojom, právam, tovarom a službám u jednotlivých ovplyvnených skupín obyvateľstva a vplyv na sociálnu inklúziu.</w:t>
            </w:r>
          </w:p>
        </w:tc>
      </w:tr>
      <w:tr w:rsidR="00244374" w:rsidRPr="0040341A" w14:paraId="289A612B" w14:textId="77777777" w:rsidTr="00244374">
        <w:trPr>
          <w:trHeight w:val="290"/>
          <w:jc w:val="center"/>
        </w:trPr>
        <w:tc>
          <w:tcPr>
            <w:tcW w:w="4998" w:type="pct"/>
            <w:gridSpan w:val="4"/>
            <w:tcBorders>
              <w:bottom w:val="single" w:sz="4" w:space="0" w:color="auto"/>
            </w:tcBorders>
            <w:shd w:val="clear" w:color="auto" w:fill="F2F2F2" w:themeFill="background1" w:themeFillShade="F2"/>
            <w:vAlign w:val="center"/>
          </w:tcPr>
          <w:p w14:paraId="65C719BD" w14:textId="77777777" w:rsidR="00244374" w:rsidRPr="0040341A" w:rsidRDefault="00244374" w:rsidP="00244374">
            <w:pPr>
              <w:jc w:val="both"/>
              <w:rPr>
                <w:rFonts w:eastAsia="Calibri"/>
                <w:i/>
                <w:sz w:val="20"/>
                <w:lang w:eastAsia="sk-SK"/>
              </w:rPr>
            </w:pPr>
            <w:r w:rsidRPr="0040341A">
              <w:rPr>
                <w:rFonts w:eastAsia="Calibri"/>
                <w:i/>
                <w:sz w:val="20"/>
                <w:lang w:eastAsia="sk-SK"/>
              </w:rPr>
              <w:t xml:space="preserve">Má návrh vplyv na prístup k zdrojom, právam, tovarom a službám? </w:t>
            </w:r>
          </w:p>
          <w:p w14:paraId="22336445" w14:textId="77777777" w:rsidR="00244374" w:rsidRPr="0040341A" w:rsidRDefault="00244374" w:rsidP="00244374">
            <w:pPr>
              <w:jc w:val="both"/>
              <w:rPr>
                <w:rFonts w:eastAsia="Calibri"/>
                <w:i/>
                <w:lang w:eastAsia="sk-SK"/>
              </w:rPr>
            </w:pPr>
            <w:r w:rsidRPr="0040341A">
              <w:rPr>
                <w:rFonts w:eastAsia="Calibri"/>
                <w:i/>
                <w:sz w:val="20"/>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44374" w:rsidRPr="0040341A" w14:paraId="69B71462" w14:textId="77777777" w:rsidTr="00244374">
        <w:tblPrEx>
          <w:tblBorders>
            <w:top w:val="none" w:sz="0" w:space="0" w:color="auto"/>
            <w:bottom w:val="none" w:sz="0" w:space="0" w:color="auto"/>
          </w:tblBorders>
        </w:tblPrEx>
        <w:trPr>
          <w:trHeight w:val="557"/>
          <w:jc w:val="center"/>
        </w:trPr>
        <w:tc>
          <w:tcPr>
            <w:tcW w:w="180" w:type="pct"/>
            <w:tcBorders>
              <w:top w:val="single" w:sz="0" w:space="0" w:color="000000" w:themeColor="text1"/>
              <w:bottom w:val="single" w:sz="0" w:space="0" w:color="000000" w:themeColor="text1"/>
            </w:tcBorders>
            <w:shd w:val="clear" w:color="auto" w:fill="auto"/>
            <w:vAlign w:val="center"/>
          </w:tcPr>
          <w:p w14:paraId="458E67A4" w14:textId="77777777" w:rsidR="00244374" w:rsidRPr="0040341A" w:rsidRDefault="00244374" w:rsidP="00244374">
            <w:pPr>
              <w:jc w:val="center"/>
              <w:rPr>
                <w:rFonts w:eastAsia="Calibri"/>
                <w:i/>
                <w:sz w:val="18"/>
                <w:szCs w:val="18"/>
                <w:lang w:eastAsia="sk-SK"/>
              </w:rPr>
            </w:pPr>
            <w:r w:rsidRPr="0040341A">
              <w:rPr>
                <w:rFonts w:eastAsia="Calibri"/>
                <w:i/>
                <w:sz w:val="18"/>
                <w:szCs w:val="18"/>
                <w:lang w:eastAsia="sk-SK"/>
              </w:rPr>
              <w:t>a)</w:t>
            </w:r>
          </w:p>
        </w:tc>
        <w:tc>
          <w:tcPr>
            <w:tcW w:w="1893" w:type="pct"/>
            <w:gridSpan w:val="2"/>
            <w:tcBorders>
              <w:top w:val="single" w:sz="0" w:space="0" w:color="000000" w:themeColor="text1"/>
              <w:bottom w:val="single" w:sz="0" w:space="0" w:color="000000" w:themeColor="text1"/>
            </w:tcBorders>
            <w:shd w:val="clear" w:color="auto" w:fill="auto"/>
          </w:tcPr>
          <w:p w14:paraId="032AE130" w14:textId="77777777" w:rsidR="00244374" w:rsidRPr="0040341A" w:rsidRDefault="00244374" w:rsidP="00244374">
            <w:pPr>
              <w:jc w:val="both"/>
              <w:rPr>
                <w:rFonts w:eastAsia="Calibri"/>
                <w:i/>
                <w:sz w:val="18"/>
                <w:szCs w:val="18"/>
                <w:lang w:eastAsia="sk-SK"/>
              </w:rPr>
            </w:pPr>
            <w:r w:rsidRPr="0040341A">
              <w:rPr>
                <w:rFonts w:eastAsia="Calibri"/>
                <w:i/>
                <w:sz w:val="18"/>
                <w:szCs w:val="18"/>
                <w:lang w:eastAsia="sk-SK"/>
              </w:rPr>
              <w:t>Rozumie sa najmä na prístup k:</w:t>
            </w:r>
          </w:p>
          <w:p w14:paraId="1F0DA36A"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 xml:space="preserve">sociálnej ochrane, sociálno-právnej ochrane, sociálnym službám (vrátane služieb starostlivosti o deti, starších ľudí a ľudí so    zdravotným postihnutím), </w:t>
            </w:r>
          </w:p>
          <w:p w14:paraId="6942DD18"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kvalitnej práci, ochrane zdravia, dôstojnosti a bezpečnosti pri práci pre zamestnancov a existujúcim zamestnaneckým právam,</w:t>
            </w:r>
          </w:p>
          <w:p w14:paraId="4528CC6B"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 xml:space="preserve">pomoci pri úhrade výdavkov súvisiacich so zdravotným postihnutím, </w:t>
            </w:r>
          </w:p>
          <w:p w14:paraId="4936F186"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zamestnaniu, na trh práce (napr. uľahčenie zosúladenia rodinných a pracovných povinností, služby zamestnanosti), k školeniam, odbornému vzdelávaniu a príprave na trh práce,</w:t>
            </w:r>
          </w:p>
          <w:p w14:paraId="5BDC748D"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 xml:space="preserve">zdravotnej starostlivosti vrátane cenovo dostupných pomôcok pre občanov so zdravotným postihnutím, </w:t>
            </w:r>
          </w:p>
          <w:p w14:paraId="33701B04"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k formálnemu i neformálnemu vzdelávaniu a celo</w:t>
            </w:r>
            <w:r w:rsidRPr="0040341A">
              <w:rPr>
                <w:rFonts w:eastAsia="Calibri"/>
                <w:i/>
                <w:sz w:val="18"/>
                <w:szCs w:val="18"/>
                <w:lang w:eastAsia="sk-SK"/>
              </w:rPr>
              <w:softHyphen/>
              <w:t xml:space="preserve">životnému vzdelávaniu, </w:t>
            </w:r>
          </w:p>
          <w:p w14:paraId="6EC94177"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bývaniu a súvisiacim základným komunálnym službám,</w:t>
            </w:r>
          </w:p>
          <w:p w14:paraId="39E16A57"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doprave,</w:t>
            </w:r>
          </w:p>
          <w:p w14:paraId="17B96C0A"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ďalším službám najmä službám všeobecného záujmu a tovarom,</w:t>
            </w:r>
          </w:p>
          <w:p w14:paraId="3F728CB5"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spravodlivosti, právnej ochrane, právnym službám,</w:t>
            </w:r>
          </w:p>
          <w:p w14:paraId="288CC3C3"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sz w:val="18"/>
                <w:szCs w:val="18"/>
                <w:lang w:eastAsia="sk-SK"/>
              </w:rPr>
              <w:t>informáciám,</w:t>
            </w:r>
          </w:p>
          <w:p w14:paraId="3B3ED8AC" w14:textId="77777777" w:rsidR="00244374" w:rsidRPr="0040341A" w:rsidRDefault="00244374" w:rsidP="00244374">
            <w:pPr>
              <w:numPr>
                <w:ilvl w:val="0"/>
                <w:numId w:val="14"/>
              </w:numPr>
              <w:ind w:left="170" w:hanging="170"/>
              <w:jc w:val="both"/>
              <w:rPr>
                <w:rFonts w:eastAsia="Calibri"/>
                <w:i/>
                <w:sz w:val="20"/>
                <w:szCs w:val="20"/>
                <w:lang w:eastAsia="sk-SK"/>
              </w:rPr>
            </w:pPr>
            <w:proofErr w:type="gramStart"/>
            <w:r w:rsidRPr="0040341A">
              <w:rPr>
                <w:rFonts w:eastAsia="Calibri"/>
                <w:i/>
                <w:sz w:val="18"/>
                <w:szCs w:val="18"/>
                <w:lang w:eastAsia="sk-SK"/>
              </w:rPr>
              <w:t>k</w:t>
            </w:r>
            <w:proofErr w:type="gramEnd"/>
            <w:r w:rsidRPr="0040341A">
              <w:rPr>
                <w:rFonts w:eastAsia="Calibri"/>
                <w:i/>
                <w:sz w:val="18"/>
                <w:szCs w:val="18"/>
                <w:lang w:eastAsia="sk-SK"/>
              </w:rPr>
              <w:t> iným právam (napr. politickým).</w:t>
            </w:r>
          </w:p>
        </w:tc>
        <w:tc>
          <w:tcPr>
            <w:tcW w:w="2926" w:type="pct"/>
            <w:tcBorders>
              <w:top w:val="single" w:sz="0" w:space="0" w:color="000000" w:themeColor="text1"/>
              <w:bottom w:val="single" w:sz="0" w:space="0" w:color="000000" w:themeColor="text1"/>
            </w:tcBorders>
            <w:shd w:val="clear" w:color="auto" w:fill="auto"/>
          </w:tcPr>
          <w:p w14:paraId="750B073D" w14:textId="77777777" w:rsidR="00244374" w:rsidRPr="0040341A" w:rsidRDefault="00244374" w:rsidP="00244374">
            <w:pPr>
              <w:rPr>
                <w:rFonts w:eastAsia="Calibri"/>
                <w:sz w:val="20"/>
                <w:szCs w:val="20"/>
                <w:lang w:eastAsia="sk-SK"/>
              </w:rPr>
            </w:pPr>
          </w:p>
          <w:p w14:paraId="43219750" w14:textId="77777777" w:rsidR="00244374" w:rsidRPr="0040341A" w:rsidRDefault="00244374" w:rsidP="00244374">
            <w:pPr>
              <w:ind w:right="50"/>
              <w:jc w:val="both"/>
              <w:rPr>
                <w:lang w:eastAsia="sk-SK"/>
              </w:rPr>
            </w:pPr>
            <w:r w:rsidRPr="0040341A">
              <w:rPr>
                <w:lang w:eastAsia="sk-SK"/>
              </w:rPr>
              <w:t xml:space="preserve">Pozitívne vplyvy očakávame v nasledujúcich oblastiach: </w:t>
            </w:r>
          </w:p>
          <w:p w14:paraId="7AB69E1E" w14:textId="77777777" w:rsidR="00244374" w:rsidRPr="0040341A" w:rsidRDefault="00244374" w:rsidP="00244374">
            <w:pPr>
              <w:pStyle w:val="Odsekzoznamu"/>
              <w:numPr>
                <w:ilvl w:val="0"/>
                <w:numId w:val="17"/>
              </w:numPr>
              <w:spacing w:after="0" w:line="240" w:lineRule="auto"/>
              <w:ind w:right="50"/>
              <w:jc w:val="both"/>
              <w:rPr>
                <w:rFonts w:ascii="Times New Roman" w:eastAsia="Times New Roman" w:hAnsi="Times New Roman"/>
                <w:lang w:eastAsia="sk-SK"/>
              </w:rPr>
            </w:pPr>
            <w:r w:rsidRPr="0040341A">
              <w:rPr>
                <w:rFonts w:ascii="Times New Roman" w:eastAsia="Times New Roman" w:hAnsi="Times New Roman"/>
                <w:lang w:eastAsia="sk-SK"/>
              </w:rPr>
              <w:t>sociálne služby (vrátane starostlivosti o deti, starších ľudí a ľudí so zdravotným postihnutím),</w:t>
            </w:r>
          </w:p>
          <w:p w14:paraId="4ADCDEBB" w14:textId="77777777" w:rsidR="00244374" w:rsidRPr="0040341A" w:rsidRDefault="00244374" w:rsidP="00244374">
            <w:pPr>
              <w:pStyle w:val="Odsekzoznamu"/>
              <w:numPr>
                <w:ilvl w:val="0"/>
                <w:numId w:val="17"/>
              </w:numPr>
              <w:spacing w:after="0" w:line="240" w:lineRule="auto"/>
              <w:ind w:right="50"/>
              <w:jc w:val="both"/>
              <w:rPr>
                <w:rFonts w:ascii="Times New Roman" w:eastAsia="Times New Roman" w:hAnsi="Times New Roman"/>
                <w:lang w:eastAsia="sk-SK"/>
              </w:rPr>
            </w:pPr>
            <w:r w:rsidRPr="0040341A">
              <w:rPr>
                <w:rFonts w:ascii="Times New Roman" w:eastAsia="Times New Roman" w:hAnsi="Times New Roman"/>
                <w:lang w:eastAsia="sk-SK"/>
              </w:rPr>
              <w:t>prístup k zamestnaniu, na trh práce (napr. uľahčenie zosúladenia rodinných a pracovných povinností, služby zamestnanosti), k školeniam, odbornému vzdelávaniu a príprave na trh práce,</w:t>
            </w:r>
          </w:p>
          <w:p w14:paraId="16599343" w14:textId="77777777" w:rsidR="00244374" w:rsidRPr="0040341A" w:rsidRDefault="00244374" w:rsidP="00244374">
            <w:pPr>
              <w:pStyle w:val="Odsekzoznamu"/>
              <w:numPr>
                <w:ilvl w:val="0"/>
                <w:numId w:val="17"/>
              </w:numPr>
              <w:spacing w:after="0" w:line="240" w:lineRule="auto"/>
              <w:ind w:right="50"/>
              <w:jc w:val="both"/>
              <w:rPr>
                <w:rFonts w:ascii="Times New Roman" w:eastAsia="Times New Roman" w:hAnsi="Times New Roman"/>
                <w:lang w:eastAsia="sk-SK"/>
              </w:rPr>
            </w:pPr>
            <w:r w:rsidRPr="0040341A">
              <w:rPr>
                <w:rFonts w:ascii="Times New Roman" w:eastAsia="Times New Roman" w:hAnsi="Times New Roman"/>
                <w:lang w:eastAsia="sk-SK"/>
              </w:rPr>
              <w:t xml:space="preserve">prístup k formálnemu i neformálnemu vzdelávaniu a celoživotnému vzdelávaniu (napr. zriadenie tréningových centier, regionálnych centier vzdelávania, rekonštrukcie a rozširovanie kapacít školských a predškolských zariadení), </w:t>
            </w:r>
          </w:p>
          <w:p w14:paraId="05733754" w14:textId="77777777" w:rsidR="00244374" w:rsidRPr="0040341A" w:rsidRDefault="00244374" w:rsidP="00244374">
            <w:pPr>
              <w:pStyle w:val="Odsekzoznamu"/>
              <w:numPr>
                <w:ilvl w:val="0"/>
                <w:numId w:val="17"/>
              </w:numPr>
              <w:spacing w:after="0" w:line="240" w:lineRule="auto"/>
              <w:ind w:right="50"/>
              <w:jc w:val="both"/>
              <w:rPr>
                <w:rFonts w:ascii="Times New Roman" w:eastAsia="Times New Roman" w:hAnsi="Times New Roman"/>
                <w:lang w:eastAsia="sk-SK"/>
              </w:rPr>
            </w:pPr>
            <w:r w:rsidRPr="0040341A">
              <w:rPr>
                <w:rFonts w:ascii="Times New Roman" w:eastAsia="Times New Roman" w:hAnsi="Times New Roman"/>
                <w:lang w:eastAsia="sk-SK"/>
              </w:rPr>
              <w:t>prístup k doprave (napr. budovanie cestnej a cyklistickej infraštruktúry),</w:t>
            </w:r>
          </w:p>
          <w:p w14:paraId="301E37A8" w14:textId="77777777" w:rsidR="00244374" w:rsidRPr="0040341A" w:rsidRDefault="00244374" w:rsidP="00244374">
            <w:pPr>
              <w:pStyle w:val="Odsekzoznamu"/>
              <w:numPr>
                <w:ilvl w:val="0"/>
                <w:numId w:val="17"/>
              </w:numPr>
              <w:spacing w:after="0" w:line="240" w:lineRule="auto"/>
              <w:ind w:right="50"/>
              <w:jc w:val="both"/>
              <w:rPr>
                <w:rFonts w:ascii="Times New Roman" w:eastAsia="Times New Roman" w:hAnsi="Times New Roman"/>
                <w:lang w:eastAsia="sk-SK"/>
              </w:rPr>
            </w:pPr>
            <w:r w:rsidRPr="0040341A">
              <w:rPr>
                <w:rFonts w:ascii="Times New Roman" w:eastAsia="Times New Roman" w:hAnsi="Times New Roman"/>
                <w:lang w:eastAsia="sk-SK"/>
              </w:rPr>
              <w:t xml:space="preserve">prístup k ďalším službám, najmä službám všeobecného záujmu a tovarom (napr. odvádzanie a čistenie odpadových vôd). </w:t>
            </w:r>
          </w:p>
          <w:p w14:paraId="1249ECF8" w14:textId="77777777" w:rsidR="00244374" w:rsidRPr="0040341A" w:rsidRDefault="00244374" w:rsidP="00244374">
            <w:pPr>
              <w:ind w:right="50"/>
              <w:jc w:val="both"/>
              <w:rPr>
                <w:lang w:eastAsia="sk-SK"/>
              </w:rPr>
            </w:pPr>
          </w:p>
          <w:p w14:paraId="39149DC4" w14:textId="77777777" w:rsidR="00244374" w:rsidRPr="0040341A" w:rsidRDefault="00244374" w:rsidP="00244374">
            <w:pPr>
              <w:ind w:right="50"/>
              <w:jc w:val="both"/>
              <w:rPr>
                <w:lang w:eastAsia="sk-SK"/>
              </w:rPr>
            </w:pPr>
            <w:r w:rsidRPr="0040341A">
              <w:rPr>
                <w:lang w:eastAsia="sk-SK"/>
              </w:rPr>
              <w:t>Konkrétne aktivity budú predmetom zverejnených výziev na predkladanie žiadostí o poskytnutie dotácie.</w:t>
            </w:r>
          </w:p>
          <w:p w14:paraId="66F54077" w14:textId="77777777" w:rsidR="00244374" w:rsidRPr="0040341A" w:rsidRDefault="00244374" w:rsidP="00244374">
            <w:pPr>
              <w:rPr>
                <w:lang w:eastAsia="sk-SK"/>
              </w:rPr>
            </w:pPr>
          </w:p>
        </w:tc>
      </w:tr>
      <w:tr w:rsidR="00244374" w:rsidRPr="0040341A" w14:paraId="0900B028" w14:textId="77777777" w:rsidTr="00244374">
        <w:trPr>
          <w:jc w:val="center"/>
        </w:trPr>
        <w:tc>
          <w:tcPr>
            <w:tcW w:w="180" w:type="pct"/>
            <w:tcBorders>
              <w:bottom w:val="single" w:sz="4" w:space="0" w:color="auto"/>
            </w:tcBorders>
            <w:shd w:val="clear" w:color="auto" w:fill="F2F2F2" w:themeFill="background1" w:themeFillShade="F2"/>
            <w:vAlign w:val="center"/>
          </w:tcPr>
          <w:p w14:paraId="2F95D6CF" w14:textId="77777777" w:rsidR="00244374" w:rsidRPr="0040341A" w:rsidRDefault="00244374" w:rsidP="00244374">
            <w:pPr>
              <w:rPr>
                <w:rFonts w:eastAsia="Calibri"/>
                <w:i/>
                <w:sz w:val="18"/>
                <w:lang w:eastAsia="sk-SK"/>
              </w:rPr>
            </w:pPr>
            <w:r w:rsidRPr="0040341A">
              <w:rPr>
                <w:rFonts w:eastAsia="Calibri"/>
                <w:i/>
                <w:sz w:val="18"/>
                <w:lang w:eastAsia="sk-SK"/>
              </w:rPr>
              <w:t>b)</w:t>
            </w:r>
          </w:p>
        </w:tc>
        <w:tc>
          <w:tcPr>
            <w:tcW w:w="4819" w:type="pct"/>
            <w:gridSpan w:val="3"/>
            <w:tcBorders>
              <w:bottom w:val="single" w:sz="4" w:space="0" w:color="auto"/>
            </w:tcBorders>
            <w:shd w:val="clear" w:color="auto" w:fill="F2F2F2" w:themeFill="background1" w:themeFillShade="F2"/>
          </w:tcPr>
          <w:p w14:paraId="225E898F" w14:textId="77777777" w:rsidR="00244374" w:rsidRPr="0040341A" w:rsidRDefault="00244374" w:rsidP="00244374">
            <w:pPr>
              <w:jc w:val="both"/>
              <w:rPr>
                <w:rFonts w:eastAsia="Calibri"/>
                <w:i/>
                <w:sz w:val="20"/>
                <w:szCs w:val="20"/>
                <w:lang w:eastAsia="sk-SK"/>
              </w:rPr>
            </w:pPr>
            <w:r w:rsidRPr="0040341A">
              <w:rPr>
                <w:rFonts w:eastAsia="Calibri"/>
                <w:i/>
                <w:sz w:val="20"/>
                <w:szCs w:val="20"/>
                <w:lang w:eastAsia="sk-SK"/>
              </w:rPr>
              <w:t xml:space="preserve">Má návrh významný vplyv na niektorú zo zraniteľných skupín obyvateľstva alebo skupín v riziku chudoby alebo sociálneho vylúčenia? </w:t>
            </w:r>
          </w:p>
          <w:p w14:paraId="1FCFFBEF" w14:textId="77777777" w:rsidR="00244374" w:rsidRPr="0040341A" w:rsidRDefault="00244374" w:rsidP="00244374">
            <w:pPr>
              <w:jc w:val="both"/>
              <w:rPr>
                <w:rFonts w:eastAsia="Calibri"/>
                <w:i/>
                <w:lang w:eastAsia="sk-SK"/>
              </w:rPr>
            </w:pPr>
            <w:r w:rsidRPr="0040341A">
              <w:rPr>
                <w:rFonts w:eastAsia="Calibri"/>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44374" w:rsidRPr="0040341A" w14:paraId="4684CF92" w14:textId="77777777" w:rsidTr="00244374">
        <w:tblPrEx>
          <w:tblBorders>
            <w:top w:val="none" w:sz="0" w:space="0" w:color="auto"/>
          </w:tblBorders>
        </w:tblPrEx>
        <w:trPr>
          <w:trHeight w:val="677"/>
          <w:jc w:val="center"/>
        </w:trPr>
        <w:tc>
          <w:tcPr>
            <w:tcW w:w="179" w:type="pct"/>
            <w:tcBorders>
              <w:top w:val="single" w:sz="0" w:space="0" w:color="000000" w:themeColor="text1"/>
            </w:tcBorders>
            <w:shd w:val="clear" w:color="auto" w:fill="auto"/>
            <w:vAlign w:val="center"/>
          </w:tcPr>
          <w:p w14:paraId="7A72A813" w14:textId="77777777" w:rsidR="00244374" w:rsidRPr="0040341A" w:rsidRDefault="00244374" w:rsidP="00244374">
            <w:pPr>
              <w:rPr>
                <w:rFonts w:eastAsia="Calibri"/>
                <w:i/>
                <w:sz w:val="18"/>
                <w:szCs w:val="18"/>
                <w:lang w:eastAsia="sk-SK"/>
              </w:rPr>
            </w:pPr>
            <w:r w:rsidRPr="0040341A">
              <w:rPr>
                <w:rFonts w:eastAsia="Calibri"/>
                <w:i/>
                <w:sz w:val="18"/>
                <w:szCs w:val="18"/>
                <w:lang w:eastAsia="sk-SK"/>
              </w:rPr>
              <w:t>c)</w:t>
            </w:r>
          </w:p>
        </w:tc>
        <w:tc>
          <w:tcPr>
            <w:tcW w:w="1849" w:type="pct"/>
            <w:tcBorders>
              <w:top w:val="single" w:sz="0" w:space="0" w:color="000000" w:themeColor="text1"/>
            </w:tcBorders>
            <w:shd w:val="clear" w:color="auto" w:fill="auto"/>
          </w:tcPr>
          <w:p w14:paraId="1BA6CDED" w14:textId="77777777" w:rsidR="00244374" w:rsidRPr="0040341A" w:rsidRDefault="00244374" w:rsidP="00244374">
            <w:pPr>
              <w:jc w:val="both"/>
              <w:rPr>
                <w:rFonts w:eastAsia="Calibri"/>
                <w:i/>
                <w:sz w:val="18"/>
                <w:szCs w:val="18"/>
                <w:lang w:eastAsia="sk-SK"/>
              </w:rPr>
            </w:pPr>
            <w:r w:rsidRPr="0040341A">
              <w:rPr>
                <w:rFonts w:eastAsia="Calibri"/>
                <w:i/>
                <w:sz w:val="18"/>
                <w:szCs w:val="18"/>
                <w:lang w:eastAsia="sk-SK"/>
              </w:rPr>
              <w:t xml:space="preserve">Zraniteľné skupiny alebo skupiny v riziku chudoby alebo sociálneho vylúčenia sú </w:t>
            </w:r>
            <w:proofErr w:type="gramStart"/>
            <w:r w:rsidRPr="0040341A">
              <w:rPr>
                <w:rFonts w:eastAsia="Calibri"/>
                <w:i/>
                <w:sz w:val="18"/>
                <w:szCs w:val="18"/>
                <w:lang w:eastAsia="sk-SK"/>
              </w:rPr>
              <w:t>napr.:</w:t>
            </w:r>
            <w:proofErr w:type="gramEnd"/>
          </w:p>
          <w:p w14:paraId="6936BBA9"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iCs/>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3CA35EE"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iCs/>
                <w:sz w:val="18"/>
                <w:szCs w:val="18"/>
                <w:lang w:eastAsia="sk-SK"/>
              </w:rPr>
              <w:t>nezamestnaní, najmä dlhodobo nezamestnaní, mladí nezamestnaní a nezamestnaní nad 50 rokov,</w:t>
            </w:r>
          </w:p>
          <w:p w14:paraId="2F83EF1C"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iCs/>
                <w:sz w:val="18"/>
                <w:szCs w:val="18"/>
                <w:lang w:eastAsia="sk-SK"/>
              </w:rPr>
              <w:t>deti (0 – 17),</w:t>
            </w:r>
          </w:p>
          <w:p w14:paraId="7378E48E"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iCs/>
                <w:sz w:val="18"/>
                <w:szCs w:val="18"/>
                <w:lang w:eastAsia="sk-SK"/>
              </w:rPr>
              <w:t>mladí ľudia (18 – 25 rokov),</w:t>
            </w:r>
          </w:p>
          <w:p w14:paraId="7FE4FE30" w14:textId="77777777" w:rsidR="00244374" w:rsidRPr="0040341A" w:rsidRDefault="00244374" w:rsidP="00244374">
            <w:pPr>
              <w:numPr>
                <w:ilvl w:val="0"/>
                <w:numId w:val="14"/>
              </w:numPr>
              <w:ind w:left="170" w:hanging="170"/>
              <w:jc w:val="both"/>
              <w:rPr>
                <w:rFonts w:eastAsia="Calibri"/>
                <w:i/>
                <w:sz w:val="18"/>
                <w:szCs w:val="18"/>
                <w:lang w:eastAsia="sk-SK"/>
              </w:rPr>
            </w:pPr>
            <w:proofErr w:type="gramStart"/>
            <w:r w:rsidRPr="0040341A">
              <w:rPr>
                <w:rFonts w:eastAsia="Calibri"/>
                <w:i/>
                <w:iCs/>
                <w:sz w:val="18"/>
                <w:szCs w:val="18"/>
                <w:lang w:eastAsia="sk-SK"/>
              </w:rPr>
              <w:t>starší</w:t>
            </w:r>
            <w:proofErr w:type="gramEnd"/>
            <w:r w:rsidRPr="0040341A">
              <w:rPr>
                <w:rFonts w:eastAsia="Calibri"/>
                <w:i/>
                <w:iCs/>
                <w:sz w:val="18"/>
                <w:szCs w:val="18"/>
                <w:lang w:eastAsia="sk-SK"/>
              </w:rPr>
              <w:t xml:space="preserve"> ľudia, napr. ľudia vo veku nad 65 rokov alebo dôchodcovia,</w:t>
            </w:r>
          </w:p>
          <w:p w14:paraId="0EF87924"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iCs/>
                <w:sz w:val="18"/>
                <w:szCs w:val="18"/>
                <w:lang w:eastAsia="sk-SK"/>
              </w:rPr>
              <w:t>ľudia so zdravotným postihnutím,</w:t>
            </w:r>
          </w:p>
          <w:p w14:paraId="6D4C1DBC"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iCs/>
                <w:sz w:val="18"/>
                <w:szCs w:val="18"/>
                <w:lang w:eastAsia="sk-SK"/>
              </w:rPr>
              <w:t xml:space="preserve">marginalizované rómske komunity </w:t>
            </w:r>
          </w:p>
          <w:p w14:paraId="1C1DB653"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iCs/>
                <w:sz w:val="18"/>
                <w:szCs w:val="18"/>
                <w:lang w:eastAsia="sk-SK"/>
              </w:rPr>
              <w:t>domácnosti s 3 a viac deťmi,</w:t>
            </w:r>
          </w:p>
          <w:p w14:paraId="3AE85FE6"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iCs/>
                <w:sz w:val="18"/>
                <w:szCs w:val="18"/>
                <w:lang w:eastAsia="sk-SK"/>
              </w:rPr>
              <w:t>jednorodičovské domácnosti s deťmi (neúplné rodiny, ktoré tvoria najmä osamelé matky s deťmi),</w:t>
            </w:r>
          </w:p>
          <w:p w14:paraId="7FB3DAE9" w14:textId="77777777" w:rsidR="00244374" w:rsidRPr="0040341A" w:rsidRDefault="00244374" w:rsidP="00244374">
            <w:pPr>
              <w:numPr>
                <w:ilvl w:val="0"/>
                <w:numId w:val="14"/>
              </w:numPr>
              <w:ind w:left="170" w:hanging="170"/>
              <w:jc w:val="both"/>
              <w:rPr>
                <w:rFonts w:eastAsia="Calibri"/>
                <w:i/>
                <w:sz w:val="18"/>
                <w:szCs w:val="18"/>
                <w:lang w:eastAsia="sk-SK"/>
              </w:rPr>
            </w:pPr>
            <w:r w:rsidRPr="0040341A">
              <w:rPr>
                <w:rFonts w:eastAsia="Calibri"/>
                <w:i/>
                <w:iCs/>
                <w:sz w:val="18"/>
                <w:szCs w:val="18"/>
                <w:lang w:eastAsia="sk-SK"/>
              </w:rPr>
              <w:t>príslušníci tretích krajín, azylanti, žiadatelia o azyl,</w:t>
            </w:r>
          </w:p>
          <w:p w14:paraId="31E20D1D" w14:textId="77777777" w:rsidR="00244374" w:rsidRPr="0040341A" w:rsidRDefault="00244374" w:rsidP="00244374">
            <w:pPr>
              <w:numPr>
                <w:ilvl w:val="0"/>
                <w:numId w:val="14"/>
              </w:numPr>
              <w:ind w:left="170" w:hanging="170"/>
              <w:jc w:val="both"/>
              <w:rPr>
                <w:rFonts w:eastAsia="Calibri"/>
                <w:sz w:val="20"/>
                <w:lang w:eastAsia="sk-SK"/>
              </w:rPr>
            </w:pPr>
            <w:proofErr w:type="gramStart"/>
            <w:r w:rsidRPr="0040341A">
              <w:rPr>
                <w:rFonts w:eastAsia="Calibri"/>
                <w:i/>
                <w:iCs/>
                <w:sz w:val="18"/>
                <w:szCs w:val="18"/>
                <w:lang w:eastAsia="sk-SK"/>
              </w:rPr>
              <w:t>iné</w:t>
            </w:r>
            <w:proofErr w:type="gramEnd"/>
            <w:r w:rsidRPr="0040341A">
              <w:rPr>
                <w:rFonts w:eastAsia="Calibri"/>
                <w:i/>
                <w:iCs/>
                <w:sz w:val="18"/>
                <w:szCs w:val="18"/>
                <w:lang w:eastAsia="sk-SK"/>
              </w:rPr>
              <w:t xml:space="preserve"> zraniteľné skupiny, ako sú napr. bezdomovci, ľudia opúšťajúci detské domovy alebo iné inštitucionálne zariadenia</w:t>
            </w:r>
          </w:p>
        </w:tc>
        <w:tc>
          <w:tcPr>
            <w:tcW w:w="2972" w:type="pct"/>
            <w:gridSpan w:val="2"/>
            <w:tcBorders>
              <w:top w:val="single" w:sz="0" w:space="0" w:color="000000" w:themeColor="text1"/>
            </w:tcBorders>
            <w:shd w:val="clear" w:color="auto" w:fill="auto"/>
          </w:tcPr>
          <w:p w14:paraId="481DDDBD" w14:textId="77777777" w:rsidR="00244374" w:rsidRPr="0040341A" w:rsidRDefault="00244374" w:rsidP="00244374">
            <w:pPr>
              <w:ind w:right="50"/>
              <w:jc w:val="both"/>
              <w:rPr>
                <w:lang w:eastAsia="sk-SK"/>
              </w:rPr>
            </w:pPr>
            <w:r w:rsidRPr="0040341A">
              <w:rPr>
                <w:rFonts w:eastAsia="Calibri"/>
                <w:lang w:eastAsia="sk-SK"/>
              </w:rPr>
              <w:t>Niektoré projekty, ktoré budú predmetom dodatočnej dotácie zazmluvnených projektov v zmysle zachovania plynulosti čerpania finančných prostriedkov, sú zamerané na predchádzanie sociálneho vylúčenia a zmierňovanie jeho negatívnych dôsledkov, rovnosti príležitostí na trhu práce a podporu znevýhodnených komunít.</w:t>
            </w:r>
          </w:p>
          <w:p w14:paraId="3CD06B16" w14:textId="77777777" w:rsidR="00244374" w:rsidRPr="0040341A" w:rsidRDefault="00244374" w:rsidP="00244374">
            <w:pPr>
              <w:ind w:right="50"/>
              <w:jc w:val="both"/>
              <w:rPr>
                <w:rFonts w:eastAsia="Calibri"/>
                <w:lang w:eastAsia="sk-SK"/>
              </w:rPr>
            </w:pPr>
            <w:r w:rsidRPr="0040341A">
              <w:rPr>
                <w:lang w:eastAsia="sk-SK"/>
              </w:rPr>
              <w:t>Konkrétne cieľové skupiny obyvateľstva budú predmetom zverejnených výziev na predkladanie žiadostí o poskytnutie dotácie.</w:t>
            </w:r>
          </w:p>
          <w:p w14:paraId="22A8F326" w14:textId="77777777" w:rsidR="00244374" w:rsidRPr="0040341A" w:rsidRDefault="00244374" w:rsidP="00244374">
            <w:pPr>
              <w:rPr>
                <w:rFonts w:eastAsia="Calibri"/>
                <w:sz w:val="20"/>
                <w:szCs w:val="20"/>
                <w:lang w:eastAsia="sk-SK"/>
              </w:rPr>
            </w:pPr>
          </w:p>
        </w:tc>
      </w:tr>
    </w:tbl>
    <w:p w14:paraId="701BFAEA" w14:textId="77777777" w:rsidR="00244374" w:rsidRPr="0040341A" w:rsidRDefault="00244374" w:rsidP="00244374">
      <w:pPr>
        <w:sectPr w:rsidR="00244374" w:rsidRPr="0040341A" w:rsidSect="00244374">
          <w:headerReference w:type="default" r:id="rId20"/>
          <w:footerReference w:type="default" r:id="rId2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44374" w:rsidRPr="0040341A" w14:paraId="32E22C5A" w14:textId="77777777" w:rsidTr="00244374">
        <w:trPr>
          <w:jc w:val="center"/>
        </w:trPr>
        <w:tc>
          <w:tcPr>
            <w:tcW w:w="5000" w:type="pct"/>
            <w:gridSpan w:val="3"/>
            <w:shd w:val="clear" w:color="auto" w:fill="D9D9D9"/>
          </w:tcPr>
          <w:p w14:paraId="7C75CBE7" w14:textId="77777777" w:rsidR="00244374" w:rsidRPr="0040341A" w:rsidRDefault="00244374" w:rsidP="00244374">
            <w:pPr>
              <w:rPr>
                <w:rFonts w:eastAsia="Calibri"/>
                <w:b/>
              </w:rPr>
            </w:pPr>
            <w:r w:rsidRPr="0040341A">
              <w:rPr>
                <w:rFonts w:eastAsia="Calibri"/>
                <w:b/>
              </w:rPr>
              <w:t>4.3 Identifikujte a popíšte vplyv na rovnosť príležitostí.</w:t>
            </w:r>
          </w:p>
          <w:p w14:paraId="4E1C6882" w14:textId="77777777" w:rsidR="00244374" w:rsidRPr="0040341A" w:rsidRDefault="00244374" w:rsidP="00244374">
            <w:pPr>
              <w:ind w:left="340"/>
              <w:jc w:val="both"/>
              <w:rPr>
                <w:rFonts w:eastAsia="Calibri"/>
              </w:rPr>
            </w:pPr>
            <w:r w:rsidRPr="0040341A">
              <w:rPr>
                <w:rFonts w:eastAsia="Calibri"/>
                <w:b/>
              </w:rPr>
              <w:t>Identifikujte, popíšte a kvantifikujte vplyv na rovnosť žien a mužov.</w:t>
            </w:r>
          </w:p>
        </w:tc>
      </w:tr>
      <w:tr w:rsidR="00244374" w:rsidRPr="0040341A" w14:paraId="5D1FFE4C" w14:textId="77777777" w:rsidTr="00244374">
        <w:trPr>
          <w:jc w:val="center"/>
        </w:trPr>
        <w:tc>
          <w:tcPr>
            <w:tcW w:w="132" w:type="pct"/>
            <w:tcBorders>
              <w:bottom w:val="single" w:sz="4" w:space="0" w:color="auto"/>
            </w:tcBorders>
            <w:shd w:val="clear" w:color="auto" w:fill="F2F2F2"/>
            <w:vAlign w:val="center"/>
          </w:tcPr>
          <w:p w14:paraId="29CC4C78" w14:textId="77777777" w:rsidR="00244374" w:rsidRPr="0040341A" w:rsidRDefault="00244374" w:rsidP="00244374">
            <w:pPr>
              <w:rPr>
                <w:rFonts w:eastAsia="Calibri"/>
                <w:i/>
              </w:rPr>
            </w:pPr>
            <w:r w:rsidRPr="0040341A">
              <w:rPr>
                <w:rFonts w:eastAsia="Calibri"/>
                <w:i/>
                <w:sz w:val="18"/>
              </w:rPr>
              <w:t>a)</w:t>
            </w:r>
          </w:p>
        </w:tc>
        <w:tc>
          <w:tcPr>
            <w:tcW w:w="4868" w:type="pct"/>
            <w:gridSpan w:val="2"/>
            <w:tcBorders>
              <w:bottom w:val="single" w:sz="4" w:space="0" w:color="auto"/>
            </w:tcBorders>
            <w:shd w:val="clear" w:color="auto" w:fill="F2F2F2"/>
          </w:tcPr>
          <w:p w14:paraId="1D9E4DEB" w14:textId="77777777" w:rsidR="00244374" w:rsidRPr="0040341A" w:rsidRDefault="00244374" w:rsidP="00244374">
            <w:pPr>
              <w:jc w:val="both"/>
              <w:rPr>
                <w:rFonts w:eastAsia="Calibri"/>
                <w:i/>
              </w:rPr>
            </w:pPr>
            <w:r w:rsidRPr="0040341A">
              <w:rPr>
                <w:rFonts w:eastAsia="Calibri"/>
                <w:i/>
                <w:sz w:val="20"/>
              </w:rPr>
              <w:t xml:space="preserve">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w:t>
            </w:r>
            <w:proofErr w:type="gramStart"/>
            <w:r w:rsidRPr="0040341A">
              <w:rPr>
                <w:rFonts w:eastAsia="Calibri"/>
                <w:i/>
                <w:sz w:val="20"/>
              </w:rPr>
              <w:t>a</w:t>
            </w:r>
            <w:proofErr w:type="gramEnd"/>
            <w:r w:rsidRPr="0040341A">
              <w:rPr>
                <w:rFonts w:eastAsia="Calibri"/>
                <w:i/>
                <w:sz w:val="20"/>
              </w:rPr>
              <w:t> akým spôsobom?</w:t>
            </w:r>
          </w:p>
        </w:tc>
      </w:tr>
      <w:tr w:rsidR="00244374" w:rsidRPr="0040341A" w14:paraId="06216175" w14:textId="77777777" w:rsidTr="00244374">
        <w:trPr>
          <w:trHeight w:val="928"/>
          <w:jc w:val="center"/>
        </w:trPr>
        <w:tc>
          <w:tcPr>
            <w:tcW w:w="132" w:type="pct"/>
            <w:tcBorders>
              <w:top w:val="nil"/>
              <w:bottom w:val="nil"/>
            </w:tcBorders>
            <w:shd w:val="clear" w:color="auto" w:fill="auto"/>
          </w:tcPr>
          <w:p w14:paraId="2F6B7FDA" w14:textId="77777777" w:rsidR="00244374" w:rsidRPr="0040341A" w:rsidRDefault="00244374" w:rsidP="00244374">
            <w:pPr>
              <w:rPr>
                <w:rFonts w:eastAsia="Calibri"/>
                <w:sz w:val="20"/>
              </w:rPr>
            </w:pPr>
          </w:p>
          <w:p w14:paraId="4A14AAA8" w14:textId="77777777" w:rsidR="00244374" w:rsidRPr="0040341A" w:rsidRDefault="00244374" w:rsidP="00244374">
            <w:pPr>
              <w:rPr>
                <w:rFonts w:eastAsia="Calibri"/>
                <w:i/>
                <w:sz w:val="20"/>
              </w:rPr>
            </w:pPr>
          </w:p>
          <w:p w14:paraId="15E3CE6B" w14:textId="77777777" w:rsidR="00244374" w:rsidRPr="0040341A" w:rsidRDefault="00244374" w:rsidP="00244374">
            <w:pPr>
              <w:rPr>
                <w:rFonts w:eastAsia="Calibri"/>
                <w:i/>
                <w:sz w:val="20"/>
              </w:rPr>
            </w:pPr>
          </w:p>
          <w:p w14:paraId="5F729B1D" w14:textId="77777777" w:rsidR="00244374" w:rsidRPr="0040341A" w:rsidRDefault="00244374" w:rsidP="00244374">
            <w:pPr>
              <w:rPr>
                <w:rFonts w:eastAsia="Calibri"/>
                <w:i/>
                <w:sz w:val="18"/>
              </w:rPr>
            </w:pPr>
            <w:r w:rsidRPr="0040341A">
              <w:rPr>
                <w:rFonts w:eastAsia="Calibri"/>
                <w:i/>
                <w:sz w:val="18"/>
              </w:rPr>
              <w:t>b)</w:t>
            </w:r>
          </w:p>
          <w:p w14:paraId="4AB582DF" w14:textId="77777777" w:rsidR="00244374" w:rsidRPr="0040341A" w:rsidRDefault="00244374" w:rsidP="00244374">
            <w:pPr>
              <w:rPr>
                <w:rFonts w:eastAsia="Calibri"/>
                <w:i/>
                <w:sz w:val="20"/>
              </w:rPr>
            </w:pPr>
          </w:p>
          <w:p w14:paraId="306A8EF6" w14:textId="77777777" w:rsidR="00244374" w:rsidRPr="0040341A" w:rsidRDefault="00244374" w:rsidP="00244374">
            <w:pPr>
              <w:rPr>
                <w:rFonts w:eastAsia="Calibri"/>
                <w:i/>
                <w:sz w:val="20"/>
              </w:rPr>
            </w:pPr>
          </w:p>
          <w:p w14:paraId="02FB4711" w14:textId="77777777" w:rsidR="00244374" w:rsidRPr="0040341A" w:rsidRDefault="00244374" w:rsidP="00244374">
            <w:pPr>
              <w:rPr>
                <w:rFonts w:eastAsia="Calibri"/>
                <w:i/>
                <w:sz w:val="20"/>
              </w:rPr>
            </w:pPr>
          </w:p>
        </w:tc>
        <w:tc>
          <w:tcPr>
            <w:tcW w:w="4868" w:type="pct"/>
            <w:gridSpan w:val="2"/>
            <w:tcBorders>
              <w:top w:val="nil"/>
              <w:bottom w:val="nil"/>
            </w:tcBorders>
            <w:shd w:val="clear" w:color="auto" w:fill="auto"/>
          </w:tcPr>
          <w:p w14:paraId="7CE20687" w14:textId="77777777" w:rsidR="00244374" w:rsidRPr="0040341A" w:rsidRDefault="00244374" w:rsidP="00244374">
            <w:pPr>
              <w:ind w:right="124"/>
              <w:jc w:val="both"/>
              <w:rPr>
                <w:rFonts w:eastAsia="Calibri"/>
                <w:i/>
                <w:sz w:val="20"/>
              </w:rPr>
            </w:pPr>
            <w:r w:rsidRPr="0040341A">
              <w:rPr>
                <w:rFonts w:eastAsia="Calibri"/>
                <w:lang w:eastAsia="sk-SK"/>
              </w:rPr>
              <w:t xml:space="preserve">Návrhom zákona nedochádza ku diskriminácií niektorých skupín obyvateľstva. Návrh zákona zabezpečuje rovnaké zaobchádzanie so skupinami alebo jednotlivcami v rôznorodých oblastiach, preto sa </w:t>
            </w:r>
            <w:proofErr w:type="gramStart"/>
            <w:r w:rsidRPr="0040341A">
              <w:rPr>
                <w:rFonts w:eastAsia="Calibri"/>
                <w:lang w:eastAsia="sk-SK"/>
              </w:rPr>
              <w:t>očakáva  rovnaký</w:t>
            </w:r>
            <w:proofErr w:type="gramEnd"/>
            <w:r w:rsidRPr="0040341A">
              <w:rPr>
                <w:rFonts w:eastAsia="Calibri"/>
                <w:lang w:eastAsia="sk-SK"/>
              </w:rPr>
              <w:t xml:space="preserve"> pozitívny prínos pre všetky skupiny alebo jednotlivcov, nehľadiac na pohlavie, rasu, etnicitu, náboženstvo alebo vieru, zdravotné postihnutie, vek, sexuálnu orientácie alebo iný status.</w:t>
            </w:r>
          </w:p>
        </w:tc>
      </w:tr>
      <w:tr w:rsidR="00244374" w:rsidRPr="0040341A" w14:paraId="05804402" w14:textId="77777777" w:rsidTr="00244374">
        <w:trPr>
          <w:trHeight w:val="345"/>
          <w:jc w:val="center"/>
        </w:trPr>
        <w:tc>
          <w:tcPr>
            <w:tcW w:w="132" w:type="pct"/>
            <w:tcBorders>
              <w:bottom w:val="single" w:sz="4" w:space="0" w:color="auto"/>
            </w:tcBorders>
            <w:shd w:val="clear" w:color="auto" w:fill="F2F2F2"/>
            <w:vAlign w:val="center"/>
          </w:tcPr>
          <w:p w14:paraId="49A48C03" w14:textId="77777777" w:rsidR="00244374" w:rsidRPr="0040341A" w:rsidRDefault="00244374" w:rsidP="00244374">
            <w:pPr>
              <w:rPr>
                <w:rFonts w:eastAsia="Calibri"/>
                <w:i/>
                <w:sz w:val="18"/>
                <w:szCs w:val="18"/>
              </w:rPr>
            </w:pPr>
            <w:r w:rsidRPr="0040341A">
              <w:rPr>
                <w:rFonts w:eastAsia="Calibri"/>
                <w:i/>
                <w:sz w:val="18"/>
                <w:szCs w:val="18"/>
              </w:rPr>
              <w:t>c)</w:t>
            </w:r>
          </w:p>
        </w:tc>
        <w:tc>
          <w:tcPr>
            <w:tcW w:w="4868" w:type="pct"/>
            <w:gridSpan w:val="2"/>
            <w:tcBorders>
              <w:bottom w:val="single" w:sz="4" w:space="0" w:color="auto"/>
            </w:tcBorders>
            <w:shd w:val="clear" w:color="auto" w:fill="F2F2F2"/>
            <w:vAlign w:val="center"/>
          </w:tcPr>
          <w:p w14:paraId="489C2602" w14:textId="77777777" w:rsidR="00244374" w:rsidRPr="0040341A" w:rsidRDefault="00244374" w:rsidP="00244374">
            <w:pPr>
              <w:rPr>
                <w:rFonts w:eastAsia="Calibri"/>
                <w:i/>
                <w:sz w:val="20"/>
                <w:szCs w:val="20"/>
              </w:rPr>
            </w:pPr>
            <w:r w:rsidRPr="0040341A">
              <w:rPr>
                <w:rFonts w:eastAsia="Calibri"/>
                <w:i/>
                <w:sz w:val="20"/>
                <w:szCs w:val="20"/>
              </w:rPr>
              <w:t xml:space="preserve">4.3.2 Môže návrh viesť k zväčšovaniu nerovností medzi ženami a mužmi? </w:t>
            </w:r>
            <w:r w:rsidRPr="0040341A">
              <w:rPr>
                <w:rFonts w:eastAsia="Calibri"/>
                <w:i/>
                <w:sz w:val="20"/>
              </w:rPr>
              <w:t xml:space="preserve">Podporuje návrh rovnosť príležitostí? </w:t>
            </w:r>
            <w:r w:rsidRPr="0040341A">
              <w:rPr>
                <w:rFonts w:eastAsia="Calibri"/>
                <w:i/>
                <w:sz w:val="20"/>
                <w:szCs w:val="20"/>
              </w:rPr>
              <w:t>Má návrh odlišný vplyv na ženy a mužov? Popíšte vplyvy.</w:t>
            </w:r>
          </w:p>
          <w:p w14:paraId="296AE92E" w14:textId="77777777" w:rsidR="00244374" w:rsidRPr="0040341A" w:rsidRDefault="00244374" w:rsidP="00244374">
            <w:pPr>
              <w:rPr>
                <w:rFonts w:eastAsia="Calibri"/>
              </w:rPr>
            </w:pPr>
            <w:r w:rsidRPr="0040341A">
              <w:rPr>
                <w:rFonts w:eastAsia="Calibri"/>
              </w:rPr>
              <w:t>Návrhom zákona nedochádza k zväčšovaniu nerovnosti medzi ženami a mužmi.</w:t>
            </w:r>
          </w:p>
        </w:tc>
      </w:tr>
      <w:tr w:rsidR="00244374" w:rsidRPr="0040341A" w14:paraId="4FD12177" w14:textId="77777777" w:rsidTr="00244374">
        <w:tblPrEx>
          <w:tblBorders>
            <w:top w:val="none" w:sz="0" w:space="0" w:color="auto"/>
            <w:bottom w:val="none" w:sz="0" w:space="0" w:color="auto"/>
          </w:tblBorders>
        </w:tblPrEx>
        <w:trPr>
          <w:trHeight w:val="372"/>
          <w:jc w:val="center"/>
        </w:trPr>
        <w:tc>
          <w:tcPr>
            <w:tcW w:w="132" w:type="pct"/>
            <w:shd w:val="clear" w:color="auto" w:fill="auto"/>
            <w:vAlign w:val="center"/>
          </w:tcPr>
          <w:p w14:paraId="24BDC058" w14:textId="77777777" w:rsidR="00244374" w:rsidRPr="0040341A" w:rsidRDefault="00244374" w:rsidP="00244374">
            <w:pPr>
              <w:rPr>
                <w:rFonts w:eastAsia="Calibri"/>
                <w:i/>
                <w:sz w:val="18"/>
                <w:szCs w:val="18"/>
                <w:lang w:eastAsia="sk-SK"/>
              </w:rPr>
            </w:pPr>
            <w:r w:rsidRPr="0040341A">
              <w:rPr>
                <w:rFonts w:eastAsia="Calibri"/>
                <w:i/>
                <w:sz w:val="18"/>
                <w:szCs w:val="18"/>
                <w:lang w:eastAsia="sk-SK"/>
              </w:rPr>
              <w:t>d)</w:t>
            </w:r>
          </w:p>
        </w:tc>
        <w:tc>
          <w:tcPr>
            <w:tcW w:w="1880" w:type="pct"/>
            <w:shd w:val="clear" w:color="auto" w:fill="auto"/>
          </w:tcPr>
          <w:p w14:paraId="1E88AB9D" w14:textId="77777777" w:rsidR="00244374" w:rsidRPr="0040341A" w:rsidRDefault="00244374" w:rsidP="00244374">
            <w:pPr>
              <w:jc w:val="both"/>
              <w:rPr>
                <w:rFonts w:eastAsia="Calibri"/>
                <w:i/>
                <w:sz w:val="18"/>
                <w:szCs w:val="18"/>
              </w:rPr>
            </w:pPr>
            <w:r w:rsidRPr="0040341A">
              <w:rPr>
                <w:rFonts w:eastAsia="Calibri"/>
                <w:i/>
                <w:sz w:val="18"/>
                <w:szCs w:val="18"/>
              </w:rPr>
              <w:t>Popíšte riziká návrhu, ktoré môžu viesť k zväčšovaniu nerovností:</w:t>
            </w:r>
          </w:p>
        </w:tc>
        <w:tc>
          <w:tcPr>
            <w:tcW w:w="2988" w:type="pct"/>
            <w:shd w:val="clear" w:color="auto" w:fill="auto"/>
          </w:tcPr>
          <w:p w14:paraId="7C2C6FFC" w14:textId="77777777" w:rsidR="00244374" w:rsidRPr="0040341A" w:rsidRDefault="00244374" w:rsidP="00244374">
            <w:pPr>
              <w:jc w:val="both"/>
              <w:rPr>
                <w:rFonts w:eastAsia="Calibri"/>
                <w:sz w:val="20"/>
              </w:rPr>
            </w:pPr>
          </w:p>
        </w:tc>
      </w:tr>
      <w:tr w:rsidR="00244374" w:rsidRPr="0040341A" w14:paraId="5CA00F9E" w14:textId="77777777" w:rsidTr="00244374">
        <w:tblPrEx>
          <w:tblBorders>
            <w:top w:val="none" w:sz="0" w:space="0" w:color="auto"/>
            <w:bottom w:val="none" w:sz="0" w:space="0" w:color="auto"/>
          </w:tblBorders>
        </w:tblPrEx>
        <w:trPr>
          <w:trHeight w:val="371"/>
          <w:jc w:val="center"/>
        </w:trPr>
        <w:tc>
          <w:tcPr>
            <w:tcW w:w="132" w:type="pct"/>
            <w:shd w:val="clear" w:color="auto" w:fill="auto"/>
            <w:vAlign w:val="center"/>
          </w:tcPr>
          <w:p w14:paraId="24FDA314" w14:textId="77777777" w:rsidR="00244374" w:rsidRPr="0040341A" w:rsidRDefault="00244374" w:rsidP="00244374">
            <w:pPr>
              <w:rPr>
                <w:rFonts w:eastAsia="Calibri"/>
                <w:i/>
                <w:sz w:val="18"/>
                <w:szCs w:val="18"/>
              </w:rPr>
            </w:pPr>
            <w:r w:rsidRPr="0040341A">
              <w:rPr>
                <w:rFonts w:eastAsia="Calibri"/>
                <w:i/>
                <w:sz w:val="18"/>
                <w:szCs w:val="18"/>
              </w:rPr>
              <w:t>e)</w:t>
            </w:r>
          </w:p>
        </w:tc>
        <w:tc>
          <w:tcPr>
            <w:tcW w:w="1880" w:type="pct"/>
            <w:shd w:val="clear" w:color="auto" w:fill="auto"/>
          </w:tcPr>
          <w:p w14:paraId="31660FBB" w14:textId="77777777" w:rsidR="00244374" w:rsidRPr="0040341A" w:rsidRDefault="00244374" w:rsidP="00244374">
            <w:pPr>
              <w:jc w:val="both"/>
              <w:rPr>
                <w:rFonts w:eastAsia="Calibri"/>
                <w:i/>
                <w:sz w:val="18"/>
                <w:szCs w:val="18"/>
              </w:rPr>
            </w:pPr>
            <w:r w:rsidRPr="0040341A">
              <w:rPr>
                <w:rFonts w:eastAsia="Calibri"/>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33764E21" w14:textId="77777777" w:rsidR="00244374" w:rsidRPr="0040341A" w:rsidRDefault="00244374" w:rsidP="00244374">
            <w:pPr>
              <w:jc w:val="both"/>
              <w:rPr>
                <w:rFonts w:eastAsia="Calibri"/>
                <w:i/>
                <w:sz w:val="18"/>
                <w:szCs w:val="18"/>
              </w:rPr>
            </w:pPr>
          </w:p>
        </w:tc>
      </w:tr>
      <w:tr w:rsidR="00244374" w:rsidRPr="0040341A" w14:paraId="667FCA2F" w14:textId="77777777" w:rsidTr="00244374">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0384131E" w14:textId="77777777" w:rsidR="00244374" w:rsidRPr="0040341A" w:rsidRDefault="00244374" w:rsidP="00244374">
            <w:pPr>
              <w:rPr>
                <w:rFonts w:eastAsia="Calibri"/>
                <w:i/>
                <w:sz w:val="18"/>
                <w:szCs w:val="18"/>
              </w:rPr>
            </w:pPr>
            <w:r w:rsidRPr="0040341A">
              <w:rPr>
                <w:rFonts w:eastAsia="Calibri"/>
                <w:i/>
                <w:sz w:val="18"/>
                <w:szCs w:val="18"/>
              </w:rPr>
              <w:t>f)</w:t>
            </w:r>
          </w:p>
        </w:tc>
        <w:tc>
          <w:tcPr>
            <w:tcW w:w="1880" w:type="pct"/>
            <w:tcBorders>
              <w:bottom w:val="single" w:sz="4" w:space="0" w:color="auto"/>
            </w:tcBorders>
            <w:shd w:val="clear" w:color="auto" w:fill="auto"/>
          </w:tcPr>
          <w:p w14:paraId="7CDE1CE4" w14:textId="77777777" w:rsidR="00244374" w:rsidRPr="0040341A" w:rsidRDefault="00244374" w:rsidP="00244374">
            <w:pPr>
              <w:jc w:val="both"/>
              <w:rPr>
                <w:rFonts w:eastAsia="Calibri"/>
                <w:i/>
                <w:sz w:val="18"/>
                <w:szCs w:val="18"/>
              </w:rPr>
            </w:pPr>
            <w:r w:rsidRPr="0040341A">
              <w:rPr>
                <w:rFonts w:eastAsia="Calibri"/>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70076377" w14:textId="77777777" w:rsidR="00244374" w:rsidRPr="0040341A" w:rsidRDefault="00244374" w:rsidP="00244374">
            <w:pPr>
              <w:jc w:val="both"/>
              <w:rPr>
                <w:rFonts w:eastAsia="Calibri"/>
                <w:i/>
                <w:sz w:val="18"/>
                <w:szCs w:val="18"/>
              </w:rPr>
            </w:pPr>
          </w:p>
        </w:tc>
      </w:tr>
      <w:tr w:rsidR="00244374" w:rsidRPr="0040341A" w14:paraId="04A00078" w14:textId="77777777" w:rsidTr="00244374">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4F7C53F3" w14:textId="77777777" w:rsidR="00244374" w:rsidRPr="0040341A" w:rsidRDefault="00244374" w:rsidP="00244374">
            <w:pPr>
              <w:rPr>
                <w:rFonts w:eastAsia="Calibri"/>
                <w:i/>
                <w:sz w:val="18"/>
                <w:szCs w:val="18"/>
              </w:rPr>
            </w:pPr>
            <w:r w:rsidRPr="0040341A">
              <w:rPr>
                <w:rFonts w:eastAsia="Calibri"/>
                <w:i/>
                <w:sz w:val="18"/>
                <w:szCs w:val="18"/>
              </w:rPr>
              <w:t>g)</w:t>
            </w:r>
          </w:p>
        </w:tc>
        <w:tc>
          <w:tcPr>
            <w:tcW w:w="1880" w:type="pct"/>
            <w:tcBorders>
              <w:top w:val="single" w:sz="4" w:space="0" w:color="auto"/>
              <w:bottom w:val="single" w:sz="4" w:space="0" w:color="auto"/>
            </w:tcBorders>
            <w:shd w:val="clear" w:color="auto" w:fill="auto"/>
          </w:tcPr>
          <w:p w14:paraId="6FAD7A2D" w14:textId="77777777" w:rsidR="00244374" w:rsidRPr="0040341A" w:rsidRDefault="00244374" w:rsidP="00244374">
            <w:pPr>
              <w:jc w:val="both"/>
              <w:rPr>
                <w:rFonts w:eastAsia="Calibri"/>
                <w:i/>
                <w:sz w:val="18"/>
                <w:szCs w:val="18"/>
              </w:rPr>
            </w:pPr>
            <w:r w:rsidRPr="0040341A">
              <w:rPr>
                <w:rFonts w:eastAsia="Calibri"/>
                <w:i/>
                <w:sz w:val="18"/>
                <w:szCs w:val="18"/>
              </w:rPr>
              <w:t xml:space="preserve">Pri identifikovaní vplyvov na rovnosť žien a mužov treba vziať do úvahy existujúce rozdiely medzi ženami a mužmi, ktoré sú relevantné k danej politike. Podpora </w:t>
            </w:r>
            <w:proofErr w:type="gramStart"/>
            <w:r w:rsidRPr="0040341A">
              <w:rPr>
                <w:rFonts w:eastAsia="Calibri"/>
                <w:i/>
                <w:sz w:val="18"/>
                <w:szCs w:val="18"/>
              </w:rPr>
              <w:t>rovnosti  žien</w:t>
            </w:r>
            <w:proofErr w:type="gramEnd"/>
            <w:r w:rsidRPr="0040341A">
              <w:rPr>
                <w:rFonts w:eastAsia="Calibri"/>
                <w:i/>
                <w:sz w:val="18"/>
                <w:szCs w:val="18"/>
              </w:rPr>
              <w:t xml:space="preserve"> a mužov nespočíva len v odstraňovaní obmedzení a bariér pre plnohodnotnú účasť na ekonomickom, politickom a sociálnom živote spoločnosti ako aj rodinnom živote, ale taktiež  v podpore rovnosti medzi nimi. </w:t>
            </w:r>
          </w:p>
          <w:p w14:paraId="6D34F593" w14:textId="77777777" w:rsidR="00244374" w:rsidRPr="0040341A" w:rsidRDefault="00244374" w:rsidP="00244374">
            <w:pPr>
              <w:jc w:val="both"/>
              <w:rPr>
                <w:color w:val="000000"/>
                <w:sz w:val="27"/>
                <w:szCs w:val="27"/>
              </w:rPr>
            </w:pPr>
            <w:r w:rsidRPr="0040341A">
              <w:rPr>
                <w:rFonts w:eastAsia="Calibri"/>
                <w:i/>
                <w:sz w:val="18"/>
                <w:szCs w:val="18"/>
              </w:rPr>
              <w:t xml:space="preserve">V ktorých oblastiach podpory rovnosti žien a mužov návrh odstraňuje prekážky a/alebo podporuje rovnosť žien a mužov? </w:t>
            </w:r>
            <w:r w:rsidRPr="0040341A">
              <w:rPr>
                <w:i/>
                <w:iCs/>
                <w:color w:val="000000"/>
                <w:sz w:val="18"/>
                <w:szCs w:val="18"/>
              </w:rPr>
              <w:t>Medzi oblasti podpory rovnosti žien a mužov okrem iného patria:</w:t>
            </w:r>
          </w:p>
          <w:p w14:paraId="23BDF187" w14:textId="77777777" w:rsidR="00244374" w:rsidRPr="0040341A" w:rsidRDefault="00244374" w:rsidP="00244374">
            <w:pPr>
              <w:numPr>
                <w:ilvl w:val="0"/>
                <w:numId w:val="15"/>
              </w:numPr>
              <w:ind w:left="170" w:hanging="170"/>
              <w:jc w:val="both"/>
              <w:rPr>
                <w:rFonts w:eastAsia="Calibri"/>
                <w:i/>
                <w:sz w:val="18"/>
                <w:szCs w:val="18"/>
                <w:lang w:eastAsia="sk-SK"/>
              </w:rPr>
            </w:pPr>
            <w:r w:rsidRPr="0040341A">
              <w:rPr>
                <w:rFonts w:eastAsia="Calibri"/>
                <w:i/>
                <w:sz w:val="18"/>
                <w:szCs w:val="18"/>
                <w:lang w:eastAsia="sk-SK"/>
              </w:rPr>
              <w:t>podpora slobodného výberu povolania a ekonomickej činnosti</w:t>
            </w:r>
          </w:p>
          <w:p w14:paraId="48E79BE3" w14:textId="77777777" w:rsidR="00244374" w:rsidRPr="0040341A" w:rsidRDefault="00244374" w:rsidP="00244374">
            <w:pPr>
              <w:numPr>
                <w:ilvl w:val="0"/>
                <w:numId w:val="15"/>
              </w:numPr>
              <w:ind w:left="170" w:hanging="170"/>
              <w:jc w:val="both"/>
              <w:rPr>
                <w:rFonts w:eastAsia="Calibri"/>
                <w:i/>
                <w:sz w:val="18"/>
                <w:szCs w:val="18"/>
                <w:lang w:eastAsia="sk-SK"/>
              </w:rPr>
            </w:pPr>
            <w:r w:rsidRPr="0040341A">
              <w:rPr>
                <w:rFonts w:eastAsia="Calibri"/>
                <w:i/>
                <w:sz w:val="18"/>
                <w:szCs w:val="18"/>
                <w:lang w:eastAsia="sk-SK"/>
              </w:rPr>
              <w:t xml:space="preserve">podpora vyrovnávania ekonomickej nezávislosti, </w:t>
            </w:r>
          </w:p>
          <w:p w14:paraId="7854371E" w14:textId="77777777" w:rsidR="00244374" w:rsidRPr="0040341A" w:rsidRDefault="00244374" w:rsidP="00244374">
            <w:pPr>
              <w:numPr>
                <w:ilvl w:val="0"/>
                <w:numId w:val="15"/>
              </w:numPr>
              <w:ind w:left="170" w:hanging="170"/>
              <w:jc w:val="both"/>
              <w:rPr>
                <w:rFonts w:eastAsia="Calibri"/>
                <w:i/>
                <w:sz w:val="18"/>
                <w:szCs w:val="18"/>
                <w:lang w:eastAsia="sk-SK"/>
              </w:rPr>
            </w:pPr>
            <w:r w:rsidRPr="0040341A">
              <w:rPr>
                <w:rFonts w:eastAsia="Calibri"/>
                <w:i/>
                <w:sz w:val="18"/>
                <w:szCs w:val="18"/>
                <w:lang w:eastAsia="sk-SK"/>
              </w:rPr>
              <w:t xml:space="preserve">zosúladenie pracovného, súkromného a rodinného života, </w:t>
            </w:r>
          </w:p>
          <w:p w14:paraId="51D36A11" w14:textId="77777777" w:rsidR="00244374" w:rsidRPr="0040341A" w:rsidRDefault="00244374" w:rsidP="00244374">
            <w:pPr>
              <w:numPr>
                <w:ilvl w:val="0"/>
                <w:numId w:val="15"/>
              </w:numPr>
              <w:ind w:left="170" w:hanging="170"/>
              <w:jc w:val="both"/>
              <w:rPr>
                <w:rFonts w:eastAsia="Calibri"/>
                <w:i/>
                <w:sz w:val="18"/>
                <w:szCs w:val="18"/>
                <w:lang w:eastAsia="sk-SK"/>
              </w:rPr>
            </w:pPr>
            <w:r w:rsidRPr="0040341A">
              <w:rPr>
                <w:rFonts w:eastAsia="Calibri"/>
                <w:i/>
                <w:sz w:val="18"/>
                <w:szCs w:val="18"/>
                <w:lang w:eastAsia="sk-SK"/>
              </w:rPr>
              <w:t xml:space="preserve">podpora rovnosti príležitostí pri participácii na rozhodovaní, </w:t>
            </w:r>
          </w:p>
          <w:p w14:paraId="3698E4DE" w14:textId="77777777" w:rsidR="00244374" w:rsidRPr="0040341A" w:rsidRDefault="00244374" w:rsidP="00244374">
            <w:pPr>
              <w:numPr>
                <w:ilvl w:val="0"/>
                <w:numId w:val="15"/>
              </w:numPr>
              <w:ind w:left="170" w:hanging="170"/>
              <w:jc w:val="both"/>
              <w:rPr>
                <w:rFonts w:eastAsia="Calibri"/>
                <w:i/>
                <w:sz w:val="18"/>
                <w:szCs w:val="18"/>
                <w:lang w:eastAsia="sk-SK"/>
              </w:rPr>
            </w:pPr>
            <w:r w:rsidRPr="0040341A">
              <w:rPr>
                <w:rFonts w:eastAsia="Calibri"/>
                <w:i/>
                <w:sz w:val="18"/>
                <w:szCs w:val="18"/>
                <w:lang w:eastAsia="sk-SK"/>
              </w:rPr>
              <w:t xml:space="preserve">boj proti domácemu násiliu,  násiliu na ženách  a obchodovaniu s ľuďmi, </w:t>
            </w:r>
          </w:p>
          <w:p w14:paraId="2290F88F" w14:textId="77777777" w:rsidR="00244374" w:rsidRPr="0040341A" w:rsidRDefault="00244374" w:rsidP="00244374">
            <w:pPr>
              <w:numPr>
                <w:ilvl w:val="0"/>
                <w:numId w:val="15"/>
              </w:numPr>
              <w:ind w:left="170" w:hanging="170"/>
              <w:jc w:val="both"/>
              <w:rPr>
                <w:rFonts w:eastAsia="Calibri"/>
                <w:i/>
                <w:sz w:val="18"/>
                <w:szCs w:val="18"/>
                <w:lang w:eastAsia="sk-SK"/>
              </w:rPr>
            </w:pPr>
            <w:r w:rsidRPr="0040341A">
              <w:rPr>
                <w:rFonts w:eastAsia="Calibri"/>
                <w:i/>
                <w:sz w:val="18"/>
                <w:szCs w:val="18"/>
                <w:lang w:eastAsia="sk-SK"/>
              </w:rPr>
              <w:t>podpora vnímania osobnej starostlivosti o dieťa za rovnocennú s ekonomickou činnosťou a podpora neviditeľnej práce v domácnosti ako takej,</w:t>
            </w:r>
          </w:p>
          <w:p w14:paraId="2E9C4C9C" w14:textId="77777777" w:rsidR="00244374" w:rsidRPr="0040341A" w:rsidRDefault="00244374" w:rsidP="00244374">
            <w:pPr>
              <w:numPr>
                <w:ilvl w:val="0"/>
                <w:numId w:val="15"/>
              </w:numPr>
              <w:ind w:left="170" w:hanging="170"/>
              <w:jc w:val="both"/>
              <w:rPr>
                <w:rFonts w:eastAsia="Calibri"/>
                <w:i/>
                <w:sz w:val="18"/>
                <w:szCs w:val="18"/>
              </w:rPr>
            </w:pPr>
            <w:proofErr w:type="gramStart"/>
            <w:r w:rsidRPr="0040341A">
              <w:rPr>
                <w:rFonts w:eastAsia="Calibri"/>
                <w:i/>
                <w:sz w:val="18"/>
                <w:szCs w:val="18"/>
                <w:lang w:eastAsia="sk-SK"/>
              </w:rPr>
              <w:t>rešpektovanie</w:t>
            </w:r>
            <w:proofErr w:type="gramEnd"/>
            <w:r w:rsidRPr="0040341A">
              <w:rPr>
                <w:rFonts w:eastAsia="Calibri"/>
                <w:i/>
                <w:sz w:val="18"/>
                <w:szCs w:val="18"/>
                <w:lang w:eastAsia="sk-SK"/>
              </w:rPr>
              <w:t xml:space="preserv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3D33BB2A" w14:textId="77777777" w:rsidR="00244374" w:rsidRPr="0040341A" w:rsidRDefault="00244374" w:rsidP="00244374">
            <w:pPr>
              <w:rPr>
                <w:rFonts w:eastAsia="Calibri"/>
                <w:sz w:val="20"/>
              </w:rPr>
            </w:pPr>
          </w:p>
        </w:tc>
      </w:tr>
    </w:tbl>
    <w:p w14:paraId="093EB6A4" w14:textId="77777777" w:rsidR="00244374" w:rsidRPr="0040341A" w:rsidRDefault="00244374" w:rsidP="00244374">
      <w:pPr>
        <w:rPr>
          <w:rFonts w:eastAsia="Calibri"/>
          <w:b/>
          <w:lang w:eastAsia="sk-SK"/>
        </w:rPr>
        <w:sectPr w:rsidR="00244374" w:rsidRPr="0040341A" w:rsidSect="0024437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44374" w:rsidRPr="0040341A" w14:paraId="6E1E5B6E" w14:textId="77777777" w:rsidTr="00244374">
        <w:trPr>
          <w:jc w:val="center"/>
        </w:trPr>
        <w:tc>
          <w:tcPr>
            <w:tcW w:w="5000" w:type="pct"/>
            <w:gridSpan w:val="3"/>
            <w:shd w:val="clear" w:color="auto" w:fill="D9D9D9" w:themeFill="background1" w:themeFillShade="D9"/>
          </w:tcPr>
          <w:p w14:paraId="45F16A26" w14:textId="77777777" w:rsidR="00244374" w:rsidRPr="0040341A" w:rsidRDefault="00244374" w:rsidP="00244374">
            <w:pPr>
              <w:rPr>
                <w:rFonts w:eastAsia="Calibri"/>
                <w:b/>
                <w:lang w:eastAsia="sk-SK"/>
              </w:rPr>
            </w:pPr>
            <w:r w:rsidRPr="0040341A">
              <w:rPr>
                <w:rFonts w:eastAsia="Calibri"/>
                <w:b/>
                <w:lang w:eastAsia="sk-SK"/>
              </w:rPr>
              <w:t>4.4 Identifikujte, popíšte a kvantifikujte vplyvy na zamestnanosť a na trh práce.</w:t>
            </w:r>
          </w:p>
          <w:p w14:paraId="598212F6" w14:textId="77777777" w:rsidR="00244374" w:rsidRPr="0040341A" w:rsidRDefault="00244374" w:rsidP="00244374">
            <w:pPr>
              <w:jc w:val="both"/>
              <w:rPr>
                <w:rFonts w:eastAsia="Calibri"/>
                <w:i/>
                <w:lang w:eastAsia="sk-SK"/>
              </w:rPr>
            </w:pPr>
            <w:r w:rsidRPr="0040341A">
              <w:rPr>
                <w:rFonts w:eastAsia="Calibri"/>
                <w:i/>
                <w:lang w:eastAsia="sk-SK"/>
              </w:rPr>
              <w:t xml:space="preserve">V prípade kladnej odpovede pripojte </w:t>
            </w:r>
            <w:r w:rsidRPr="0040341A">
              <w:rPr>
                <w:rFonts w:eastAsia="Calibri"/>
                <w:b/>
                <w:i/>
                <w:lang w:eastAsia="sk-SK"/>
              </w:rPr>
              <w:t>odôvodnenie</w:t>
            </w:r>
            <w:r w:rsidRPr="0040341A">
              <w:rPr>
                <w:rFonts w:eastAsia="Calibri"/>
                <w:i/>
                <w:lang w:eastAsia="sk-SK"/>
              </w:rPr>
              <w:t xml:space="preserve"> v súlade s Metodickým postupom pre analýzu sociálnych vplyvov.</w:t>
            </w:r>
          </w:p>
        </w:tc>
      </w:tr>
      <w:tr w:rsidR="00244374" w:rsidRPr="0040341A" w14:paraId="5CBA909A" w14:textId="77777777" w:rsidTr="00244374">
        <w:trPr>
          <w:trHeight w:val="287"/>
          <w:jc w:val="center"/>
        </w:trPr>
        <w:tc>
          <w:tcPr>
            <w:tcW w:w="129" w:type="pct"/>
            <w:tcBorders>
              <w:top w:val="nil"/>
              <w:bottom w:val="single" w:sz="4" w:space="0" w:color="auto"/>
            </w:tcBorders>
            <w:shd w:val="clear" w:color="auto" w:fill="F2F2F2" w:themeFill="background1" w:themeFillShade="F2"/>
            <w:vAlign w:val="center"/>
          </w:tcPr>
          <w:p w14:paraId="1DA672AA" w14:textId="77777777" w:rsidR="00244374" w:rsidRPr="0040341A" w:rsidRDefault="00244374" w:rsidP="00244374">
            <w:pPr>
              <w:rPr>
                <w:rFonts w:eastAsia="Calibri"/>
                <w:i/>
                <w:sz w:val="18"/>
                <w:szCs w:val="18"/>
              </w:rPr>
            </w:pPr>
            <w:r w:rsidRPr="0040341A">
              <w:rPr>
                <w:rFonts w:eastAsia="Calibri"/>
                <w:i/>
                <w:sz w:val="18"/>
                <w:szCs w:val="18"/>
              </w:rPr>
              <w:t>a)</w:t>
            </w:r>
          </w:p>
        </w:tc>
        <w:tc>
          <w:tcPr>
            <w:tcW w:w="4871" w:type="pct"/>
            <w:gridSpan w:val="2"/>
            <w:tcBorders>
              <w:top w:val="nil"/>
              <w:bottom w:val="single" w:sz="4" w:space="0" w:color="auto"/>
            </w:tcBorders>
            <w:shd w:val="clear" w:color="auto" w:fill="F2F2F2" w:themeFill="background1" w:themeFillShade="F2"/>
            <w:vAlign w:val="center"/>
          </w:tcPr>
          <w:p w14:paraId="1589A639" w14:textId="77777777" w:rsidR="00244374" w:rsidRPr="0040341A" w:rsidRDefault="00244374" w:rsidP="00244374">
            <w:pPr>
              <w:rPr>
                <w:rFonts w:eastAsia="Calibri"/>
                <w:i/>
                <w:sz w:val="20"/>
                <w:szCs w:val="20"/>
              </w:rPr>
            </w:pPr>
            <w:r w:rsidRPr="0040341A">
              <w:rPr>
                <w:rFonts w:eastAsia="Calibri"/>
                <w:i/>
                <w:sz w:val="20"/>
                <w:szCs w:val="20"/>
              </w:rPr>
              <w:t>Uľahčuje návrh vznik nových pracovných miest? Ak áno, ako? Ak je to možné, doplňte kvantifikáciu.</w:t>
            </w:r>
          </w:p>
        </w:tc>
      </w:tr>
      <w:tr w:rsidR="00244374" w:rsidRPr="0040341A" w14:paraId="6F794CD6" w14:textId="77777777" w:rsidTr="00244374">
        <w:trPr>
          <w:trHeight w:val="567"/>
          <w:jc w:val="center"/>
        </w:trPr>
        <w:tc>
          <w:tcPr>
            <w:tcW w:w="129" w:type="pct"/>
            <w:tcBorders>
              <w:top w:val="nil"/>
              <w:bottom w:val="single" w:sz="4" w:space="0" w:color="auto"/>
            </w:tcBorders>
            <w:shd w:val="clear" w:color="auto" w:fill="FFFFFF" w:themeFill="background1"/>
            <w:vAlign w:val="center"/>
          </w:tcPr>
          <w:p w14:paraId="7C4A511D" w14:textId="77777777" w:rsidR="00244374" w:rsidRPr="0040341A" w:rsidRDefault="00244374" w:rsidP="00244374">
            <w:pPr>
              <w:rPr>
                <w:rFonts w:eastAsia="Calibri"/>
                <w:i/>
                <w:sz w:val="18"/>
                <w:szCs w:val="18"/>
              </w:rPr>
            </w:pPr>
            <w:r w:rsidRPr="0040341A">
              <w:rPr>
                <w:rFonts w:eastAsia="Calibri"/>
                <w:i/>
                <w:sz w:val="18"/>
                <w:szCs w:val="18"/>
              </w:rPr>
              <w:t>b)</w:t>
            </w:r>
          </w:p>
        </w:tc>
        <w:tc>
          <w:tcPr>
            <w:tcW w:w="1838" w:type="pct"/>
            <w:tcBorders>
              <w:top w:val="nil"/>
              <w:bottom w:val="single" w:sz="4" w:space="0" w:color="auto"/>
            </w:tcBorders>
            <w:shd w:val="clear" w:color="auto" w:fill="FFFFFF" w:themeFill="background1"/>
          </w:tcPr>
          <w:p w14:paraId="4A16B853" w14:textId="77777777" w:rsidR="00244374" w:rsidRPr="0040341A" w:rsidRDefault="00244374" w:rsidP="00244374">
            <w:pPr>
              <w:jc w:val="both"/>
              <w:rPr>
                <w:rFonts w:eastAsia="Calibri"/>
                <w:i/>
                <w:sz w:val="18"/>
                <w:szCs w:val="18"/>
              </w:rPr>
            </w:pPr>
            <w:r w:rsidRPr="0040341A">
              <w:rPr>
                <w:rFonts w:eastAsia="Calibri"/>
                <w:i/>
                <w:sz w:val="18"/>
                <w:szCs w:val="18"/>
              </w:rPr>
              <w:t xml:space="preserve">Identifikujte, v ktorých sektoroch </w:t>
            </w:r>
            <w:proofErr w:type="gramStart"/>
            <w:r w:rsidRPr="0040341A">
              <w:rPr>
                <w:rFonts w:eastAsia="Calibri"/>
                <w:i/>
                <w:sz w:val="18"/>
                <w:szCs w:val="18"/>
              </w:rPr>
              <w:t>a</w:t>
            </w:r>
            <w:proofErr w:type="gramEnd"/>
            <w:r w:rsidRPr="0040341A">
              <w:rPr>
                <w:rFonts w:eastAsia="Calibri"/>
                <w:i/>
                <w:sz w:val="18"/>
                <w:szCs w:val="18"/>
              </w:rPr>
              <w:t xml:space="preserve"> odvetviach ekonomiky, v ktorých regiónoch, pre aké skupiny zamestnancov, o aké typy zamestnania /pracovných úväzkov pôjde a pod.</w:t>
            </w:r>
          </w:p>
        </w:tc>
        <w:tc>
          <w:tcPr>
            <w:tcW w:w="3033" w:type="pct"/>
            <w:tcBorders>
              <w:top w:val="nil"/>
              <w:bottom w:val="single" w:sz="4" w:space="0" w:color="auto"/>
            </w:tcBorders>
            <w:shd w:val="clear" w:color="auto" w:fill="FFFFFF" w:themeFill="background1"/>
          </w:tcPr>
          <w:p w14:paraId="64AA2C7B" w14:textId="77777777" w:rsidR="00244374" w:rsidRPr="0040341A" w:rsidRDefault="00244374" w:rsidP="00244374">
            <w:pPr>
              <w:ind w:right="117"/>
              <w:jc w:val="both"/>
              <w:rPr>
                <w:rFonts w:eastAsia="Calibri"/>
                <w:sz w:val="20"/>
                <w:szCs w:val="20"/>
              </w:rPr>
            </w:pPr>
            <w:r w:rsidRPr="0040341A">
              <w:rPr>
                <w:rFonts w:eastAsia="Calibri"/>
                <w:lang w:eastAsia="sk-SK"/>
              </w:rPr>
              <w:t xml:space="preserve">Návrh nepriamo uľahčí vznik pracovných miest pre rôzne skupiny obyvateľov (nezamestnaní, nízkokvalifikované osoby, marginalizované rómske komunity, osoby nad 50 rokov </w:t>
            </w:r>
            <w:proofErr w:type="gramStart"/>
            <w:r w:rsidRPr="0040341A">
              <w:rPr>
                <w:rFonts w:eastAsia="Calibri"/>
                <w:lang w:eastAsia="sk-SK"/>
              </w:rPr>
              <w:t>a</w:t>
            </w:r>
            <w:proofErr w:type="gramEnd"/>
            <w:r w:rsidRPr="0040341A">
              <w:rPr>
                <w:rFonts w:eastAsia="Calibri"/>
                <w:lang w:eastAsia="sk-SK"/>
              </w:rPr>
              <w:t xml:space="preserve"> iné) v rôznych sektoroch a odvetviach ekonomiky (napr. verejný sektor, mimovládne organizácie, občianske združenia, sociálne podniky, sociálne služby, poľnohospodárstvo, školstvo, šport). </w:t>
            </w:r>
          </w:p>
        </w:tc>
      </w:tr>
      <w:tr w:rsidR="00244374" w:rsidRPr="0040341A" w14:paraId="719FE898" w14:textId="77777777" w:rsidTr="00244374">
        <w:trPr>
          <w:trHeight w:val="270"/>
          <w:jc w:val="center"/>
        </w:trPr>
        <w:tc>
          <w:tcPr>
            <w:tcW w:w="129" w:type="pct"/>
            <w:tcBorders>
              <w:bottom w:val="single" w:sz="4" w:space="0" w:color="auto"/>
            </w:tcBorders>
            <w:shd w:val="clear" w:color="auto" w:fill="F2F2F2" w:themeFill="background1" w:themeFillShade="F2"/>
            <w:vAlign w:val="center"/>
          </w:tcPr>
          <w:p w14:paraId="1B85AC00" w14:textId="77777777" w:rsidR="00244374" w:rsidRPr="0040341A" w:rsidRDefault="00244374" w:rsidP="00244374">
            <w:pPr>
              <w:rPr>
                <w:rFonts w:eastAsia="Calibri"/>
                <w:i/>
                <w:sz w:val="18"/>
                <w:szCs w:val="18"/>
              </w:rPr>
            </w:pPr>
            <w:r w:rsidRPr="0040341A">
              <w:rPr>
                <w:rFonts w:eastAsia="Calibri"/>
                <w:i/>
                <w:sz w:val="18"/>
                <w:szCs w:val="18"/>
              </w:rPr>
              <w:t>c)</w:t>
            </w:r>
          </w:p>
        </w:tc>
        <w:tc>
          <w:tcPr>
            <w:tcW w:w="4871" w:type="pct"/>
            <w:gridSpan w:val="2"/>
            <w:tcBorders>
              <w:bottom w:val="single" w:sz="4" w:space="0" w:color="auto"/>
            </w:tcBorders>
            <w:shd w:val="clear" w:color="auto" w:fill="F2F2F2" w:themeFill="background1" w:themeFillShade="F2"/>
            <w:vAlign w:val="center"/>
          </w:tcPr>
          <w:p w14:paraId="72243205" w14:textId="77777777" w:rsidR="00244374" w:rsidRPr="0040341A" w:rsidRDefault="00244374" w:rsidP="00244374">
            <w:pPr>
              <w:rPr>
                <w:rFonts w:eastAsia="Calibri"/>
                <w:i/>
                <w:sz w:val="20"/>
                <w:szCs w:val="20"/>
              </w:rPr>
            </w:pPr>
            <w:r w:rsidRPr="0040341A">
              <w:rPr>
                <w:rFonts w:eastAsia="Calibri"/>
                <w:i/>
                <w:sz w:val="20"/>
                <w:szCs w:val="20"/>
              </w:rPr>
              <w:t>Vedie návrh k zániku pracovných miest?</w:t>
            </w:r>
            <w:r w:rsidRPr="0040341A">
              <w:rPr>
                <w:rFonts w:eastAsia="Calibri"/>
                <w:sz w:val="20"/>
                <w:szCs w:val="20"/>
              </w:rPr>
              <w:t xml:space="preserve"> </w:t>
            </w:r>
            <w:r w:rsidRPr="0040341A">
              <w:rPr>
                <w:rFonts w:eastAsia="Calibri"/>
                <w:i/>
                <w:sz w:val="20"/>
                <w:szCs w:val="20"/>
              </w:rPr>
              <w:t xml:space="preserve">Ak áno, ako </w:t>
            </w:r>
            <w:proofErr w:type="gramStart"/>
            <w:r w:rsidRPr="0040341A">
              <w:rPr>
                <w:rFonts w:eastAsia="Calibri"/>
                <w:i/>
                <w:sz w:val="20"/>
                <w:szCs w:val="20"/>
              </w:rPr>
              <w:t>a</w:t>
            </w:r>
            <w:proofErr w:type="gramEnd"/>
            <w:r w:rsidRPr="0040341A">
              <w:rPr>
                <w:rFonts w:eastAsia="Calibri"/>
                <w:i/>
                <w:sz w:val="20"/>
                <w:szCs w:val="20"/>
              </w:rPr>
              <w:t> akých? Ak je to možné, doplňte kvantifikáciu</w:t>
            </w:r>
          </w:p>
        </w:tc>
      </w:tr>
      <w:tr w:rsidR="00244374" w:rsidRPr="0040341A" w14:paraId="765EA09C" w14:textId="77777777" w:rsidTr="00244374">
        <w:trPr>
          <w:trHeight w:val="454"/>
          <w:jc w:val="center"/>
        </w:trPr>
        <w:tc>
          <w:tcPr>
            <w:tcW w:w="129" w:type="pct"/>
            <w:tcBorders>
              <w:bottom w:val="single" w:sz="4" w:space="0" w:color="auto"/>
            </w:tcBorders>
            <w:shd w:val="clear" w:color="auto" w:fill="FFFFFF" w:themeFill="background1"/>
            <w:vAlign w:val="center"/>
          </w:tcPr>
          <w:p w14:paraId="1EAAF5F3" w14:textId="77777777" w:rsidR="00244374" w:rsidRPr="0040341A" w:rsidRDefault="00244374" w:rsidP="00244374">
            <w:pPr>
              <w:rPr>
                <w:rFonts w:eastAsia="Calibri"/>
                <w:i/>
                <w:sz w:val="18"/>
                <w:szCs w:val="18"/>
              </w:rPr>
            </w:pPr>
            <w:r w:rsidRPr="0040341A">
              <w:rPr>
                <w:rFonts w:eastAsia="Calibri"/>
                <w:i/>
                <w:sz w:val="18"/>
                <w:szCs w:val="18"/>
              </w:rPr>
              <w:t>d)</w:t>
            </w:r>
          </w:p>
        </w:tc>
        <w:tc>
          <w:tcPr>
            <w:tcW w:w="1838" w:type="pct"/>
            <w:tcBorders>
              <w:bottom w:val="single" w:sz="4" w:space="0" w:color="auto"/>
            </w:tcBorders>
            <w:shd w:val="clear" w:color="auto" w:fill="FFFFFF" w:themeFill="background1"/>
          </w:tcPr>
          <w:p w14:paraId="1FAA1FF4" w14:textId="77777777" w:rsidR="00244374" w:rsidRPr="0040341A" w:rsidRDefault="00244374" w:rsidP="00244374">
            <w:pPr>
              <w:jc w:val="both"/>
              <w:rPr>
                <w:rFonts w:eastAsia="Calibri"/>
                <w:i/>
                <w:sz w:val="18"/>
                <w:szCs w:val="18"/>
              </w:rPr>
            </w:pPr>
            <w:r w:rsidRPr="0040341A">
              <w:rPr>
                <w:rFonts w:eastAsia="Calibri"/>
                <w:i/>
                <w:sz w:val="18"/>
                <w:szCs w:val="18"/>
              </w:rPr>
              <w:t xml:space="preserve">Identifikujte, v ktorých sektoroch </w:t>
            </w:r>
            <w:proofErr w:type="gramStart"/>
            <w:r w:rsidRPr="0040341A">
              <w:rPr>
                <w:rFonts w:eastAsia="Calibri"/>
                <w:i/>
                <w:sz w:val="18"/>
                <w:szCs w:val="18"/>
              </w:rPr>
              <w:t>a</w:t>
            </w:r>
            <w:proofErr w:type="gramEnd"/>
            <w:r w:rsidRPr="0040341A">
              <w:rPr>
                <w:rFonts w:eastAsia="Calibri"/>
                <w:i/>
                <w:sz w:val="18"/>
                <w:szCs w:val="18"/>
              </w:rPr>
              <w:t xml:space="preserve"> odvetviach ekonomiky, v ktorých regiónoch, o aké typy zamestnania /pracovných úväzkov pôjde a pod. Identifikujte možné dôsledky, skupiny zamestnancov, ktoré budú viac ovplyvnené a rozsah vplyvu.</w:t>
            </w:r>
          </w:p>
        </w:tc>
        <w:tc>
          <w:tcPr>
            <w:tcW w:w="3033" w:type="pct"/>
            <w:tcBorders>
              <w:bottom w:val="single" w:sz="4" w:space="0" w:color="auto"/>
            </w:tcBorders>
            <w:shd w:val="clear" w:color="auto" w:fill="FFFFFF" w:themeFill="background1"/>
          </w:tcPr>
          <w:p w14:paraId="5C98A1B7" w14:textId="77777777" w:rsidR="00244374" w:rsidRPr="0040341A" w:rsidRDefault="00244374" w:rsidP="00244374">
            <w:pPr>
              <w:jc w:val="both"/>
              <w:rPr>
                <w:rFonts w:eastAsia="Calibri"/>
                <w:szCs w:val="20"/>
                <w:lang w:eastAsia="sk-SK"/>
              </w:rPr>
            </w:pPr>
            <w:r w:rsidRPr="0040341A">
              <w:rPr>
                <w:rFonts w:eastAsia="Calibri"/>
                <w:szCs w:val="20"/>
                <w:lang w:eastAsia="sk-SK"/>
              </w:rPr>
              <w:t xml:space="preserve">Návrh zákona nevedie k zániku pracovných miest, ale k ich vytváraniu. </w:t>
            </w:r>
          </w:p>
          <w:p w14:paraId="6680CDA8" w14:textId="77777777" w:rsidR="00244374" w:rsidRPr="0040341A" w:rsidRDefault="00244374" w:rsidP="00244374">
            <w:pPr>
              <w:rPr>
                <w:rFonts w:eastAsia="Calibri"/>
                <w:sz w:val="20"/>
                <w:szCs w:val="18"/>
              </w:rPr>
            </w:pPr>
          </w:p>
        </w:tc>
      </w:tr>
      <w:tr w:rsidR="00244374" w:rsidRPr="0040341A" w14:paraId="7400BB6F" w14:textId="77777777" w:rsidTr="00244374">
        <w:trPr>
          <w:trHeight w:val="248"/>
          <w:jc w:val="center"/>
        </w:trPr>
        <w:tc>
          <w:tcPr>
            <w:tcW w:w="129" w:type="pct"/>
            <w:tcBorders>
              <w:bottom w:val="single" w:sz="4" w:space="0" w:color="auto"/>
            </w:tcBorders>
            <w:shd w:val="clear" w:color="auto" w:fill="F2F2F2" w:themeFill="background1" w:themeFillShade="F2"/>
            <w:vAlign w:val="center"/>
          </w:tcPr>
          <w:p w14:paraId="2744872C" w14:textId="77777777" w:rsidR="00244374" w:rsidRPr="0040341A" w:rsidRDefault="00244374" w:rsidP="00244374">
            <w:pPr>
              <w:rPr>
                <w:rFonts w:eastAsia="Calibri"/>
                <w:i/>
                <w:sz w:val="18"/>
                <w:szCs w:val="18"/>
              </w:rPr>
            </w:pPr>
            <w:r w:rsidRPr="0040341A">
              <w:rPr>
                <w:rFonts w:eastAsia="Calibri"/>
                <w:i/>
                <w:sz w:val="18"/>
                <w:szCs w:val="18"/>
              </w:rPr>
              <w:t>e)</w:t>
            </w:r>
          </w:p>
        </w:tc>
        <w:tc>
          <w:tcPr>
            <w:tcW w:w="4871" w:type="pct"/>
            <w:gridSpan w:val="2"/>
            <w:tcBorders>
              <w:bottom w:val="single" w:sz="4" w:space="0" w:color="auto"/>
            </w:tcBorders>
            <w:shd w:val="clear" w:color="auto" w:fill="F2F2F2" w:themeFill="background1" w:themeFillShade="F2"/>
            <w:vAlign w:val="center"/>
          </w:tcPr>
          <w:p w14:paraId="0B025843" w14:textId="77777777" w:rsidR="00244374" w:rsidRPr="0040341A" w:rsidRDefault="00244374" w:rsidP="00244374">
            <w:pPr>
              <w:rPr>
                <w:rFonts w:eastAsia="Calibri"/>
                <w:sz w:val="20"/>
                <w:szCs w:val="20"/>
              </w:rPr>
            </w:pPr>
            <w:r w:rsidRPr="0040341A">
              <w:rPr>
                <w:rFonts w:eastAsia="Calibri"/>
                <w:i/>
                <w:sz w:val="20"/>
                <w:szCs w:val="20"/>
              </w:rPr>
              <w:t>Ovplyvňuje návrh dopyt po práci? Ak áno, ako?</w:t>
            </w:r>
          </w:p>
        </w:tc>
      </w:tr>
      <w:tr w:rsidR="00244374" w:rsidRPr="0040341A" w14:paraId="25D9ADAE" w14:textId="77777777" w:rsidTr="00244374">
        <w:trPr>
          <w:trHeight w:val="209"/>
          <w:jc w:val="center"/>
        </w:trPr>
        <w:tc>
          <w:tcPr>
            <w:tcW w:w="129" w:type="pct"/>
            <w:tcBorders>
              <w:bottom w:val="single" w:sz="4" w:space="0" w:color="auto"/>
            </w:tcBorders>
            <w:shd w:val="clear" w:color="auto" w:fill="FFFFFF" w:themeFill="background1"/>
            <w:vAlign w:val="center"/>
          </w:tcPr>
          <w:p w14:paraId="5B237AE6" w14:textId="77777777" w:rsidR="00244374" w:rsidRPr="0040341A" w:rsidRDefault="00244374" w:rsidP="00244374">
            <w:pPr>
              <w:rPr>
                <w:rFonts w:eastAsia="Calibri"/>
                <w:i/>
                <w:sz w:val="18"/>
                <w:szCs w:val="18"/>
              </w:rPr>
            </w:pPr>
            <w:r w:rsidRPr="0040341A">
              <w:rPr>
                <w:rFonts w:eastAsia="Calibri"/>
                <w:i/>
                <w:sz w:val="18"/>
                <w:szCs w:val="18"/>
              </w:rPr>
              <w:t>f)</w:t>
            </w:r>
          </w:p>
        </w:tc>
        <w:tc>
          <w:tcPr>
            <w:tcW w:w="1838" w:type="pct"/>
            <w:tcBorders>
              <w:bottom w:val="single" w:sz="4" w:space="0" w:color="auto"/>
            </w:tcBorders>
            <w:shd w:val="clear" w:color="auto" w:fill="FFFFFF" w:themeFill="background1"/>
          </w:tcPr>
          <w:p w14:paraId="7B2EA0D8" w14:textId="77777777" w:rsidR="00244374" w:rsidRPr="0040341A" w:rsidRDefault="00244374" w:rsidP="00244374">
            <w:pPr>
              <w:jc w:val="both"/>
              <w:rPr>
                <w:rFonts w:eastAsia="Calibri"/>
                <w:i/>
                <w:sz w:val="18"/>
                <w:szCs w:val="18"/>
              </w:rPr>
            </w:pPr>
            <w:r w:rsidRPr="0040341A">
              <w:rPr>
                <w:rFonts w:eastAsia="Calibri"/>
                <w:i/>
                <w:sz w:val="18"/>
                <w:szCs w:val="18"/>
              </w:rPr>
              <w:t>Dopyt po práci závisí na jednej strane na produkcii tovarov a služieb v ekonomike a na druhej strane na cene práce.</w:t>
            </w:r>
          </w:p>
        </w:tc>
        <w:tc>
          <w:tcPr>
            <w:tcW w:w="3033" w:type="pct"/>
            <w:tcBorders>
              <w:bottom w:val="single" w:sz="4" w:space="0" w:color="auto"/>
            </w:tcBorders>
            <w:shd w:val="clear" w:color="auto" w:fill="FFFFFF" w:themeFill="background1"/>
          </w:tcPr>
          <w:p w14:paraId="46DD6FC3" w14:textId="77777777" w:rsidR="00244374" w:rsidRPr="0040341A" w:rsidRDefault="00244374" w:rsidP="00244374">
            <w:pPr>
              <w:ind w:right="117"/>
              <w:jc w:val="both"/>
              <w:rPr>
                <w:lang w:eastAsia="sk-SK"/>
              </w:rPr>
            </w:pPr>
            <w:r w:rsidRPr="0040341A">
              <w:rPr>
                <w:rFonts w:eastAsia="Calibri"/>
                <w:lang w:eastAsia="sk-SK"/>
              </w:rPr>
              <w:t xml:space="preserve">Návrh nepriamo ovplyvňuje dopyt po práci, najmä vo forme ponuky nových pracovných miest v rôznych sektoroch </w:t>
            </w:r>
            <w:proofErr w:type="gramStart"/>
            <w:r w:rsidRPr="0040341A">
              <w:rPr>
                <w:rFonts w:eastAsia="Calibri"/>
                <w:lang w:eastAsia="sk-SK"/>
              </w:rPr>
              <w:t>a</w:t>
            </w:r>
            <w:proofErr w:type="gramEnd"/>
            <w:r w:rsidRPr="0040341A">
              <w:rPr>
                <w:rFonts w:eastAsia="Calibri"/>
                <w:lang w:eastAsia="sk-SK"/>
              </w:rPr>
              <w:t xml:space="preserve"> odvetviach ekonomiky. </w:t>
            </w:r>
            <w:r w:rsidRPr="0040341A">
              <w:rPr>
                <w:lang w:eastAsia="sk-SK"/>
              </w:rPr>
              <w:t>Dopyt po práci sa môže týkať istej skupiny zamestnávateľov (organizácií podľa počtu zamestnancov - malých, stredných a veľkých, podľa ekonomickej činnosti, v istých regiónoch, podnikov, štátnej a verejnej správy či lokálnych samospráv, organizácií tretieho sektora).</w:t>
            </w:r>
          </w:p>
          <w:p w14:paraId="381557E5" w14:textId="77777777" w:rsidR="00244374" w:rsidRPr="0040341A" w:rsidRDefault="00244374" w:rsidP="00244374">
            <w:pPr>
              <w:ind w:right="117"/>
              <w:jc w:val="both"/>
              <w:rPr>
                <w:rFonts w:eastAsia="Calibri"/>
                <w:sz w:val="20"/>
                <w:szCs w:val="20"/>
              </w:rPr>
            </w:pPr>
          </w:p>
        </w:tc>
      </w:tr>
      <w:tr w:rsidR="00244374" w:rsidRPr="0040341A" w14:paraId="1EDA87DC" w14:textId="77777777" w:rsidTr="00244374">
        <w:trPr>
          <w:trHeight w:val="208"/>
          <w:jc w:val="center"/>
        </w:trPr>
        <w:tc>
          <w:tcPr>
            <w:tcW w:w="129" w:type="pct"/>
            <w:tcBorders>
              <w:bottom w:val="single" w:sz="4" w:space="0" w:color="auto"/>
            </w:tcBorders>
            <w:shd w:val="clear" w:color="auto" w:fill="F2F2F2" w:themeFill="background1" w:themeFillShade="F2"/>
            <w:vAlign w:val="center"/>
          </w:tcPr>
          <w:p w14:paraId="2AE8BC9C" w14:textId="77777777" w:rsidR="00244374" w:rsidRPr="0040341A" w:rsidRDefault="00244374" w:rsidP="00244374">
            <w:pPr>
              <w:rPr>
                <w:rFonts w:eastAsia="Calibri"/>
                <w:i/>
                <w:sz w:val="18"/>
                <w:szCs w:val="18"/>
              </w:rPr>
            </w:pPr>
            <w:r w:rsidRPr="0040341A">
              <w:rPr>
                <w:rFonts w:eastAsia="Calibri"/>
                <w:i/>
                <w:sz w:val="18"/>
                <w:szCs w:val="18"/>
              </w:rPr>
              <w:t>g)</w:t>
            </w:r>
          </w:p>
        </w:tc>
        <w:tc>
          <w:tcPr>
            <w:tcW w:w="4871" w:type="pct"/>
            <w:gridSpan w:val="2"/>
            <w:tcBorders>
              <w:bottom w:val="single" w:sz="4" w:space="0" w:color="auto"/>
            </w:tcBorders>
            <w:shd w:val="clear" w:color="auto" w:fill="F2F2F2" w:themeFill="background1" w:themeFillShade="F2"/>
            <w:vAlign w:val="center"/>
          </w:tcPr>
          <w:p w14:paraId="3D9882B1" w14:textId="77777777" w:rsidR="00244374" w:rsidRPr="0040341A" w:rsidRDefault="00244374" w:rsidP="00244374">
            <w:pPr>
              <w:rPr>
                <w:rFonts w:eastAsia="Calibri"/>
                <w:sz w:val="20"/>
                <w:szCs w:val="20"/>
              </w:rPr>
            </w:pPr>
            <w:r w:rsidRPr="0040341A">
              <w:rPr>
                <w:rFonts w:eastAsia="Calibri"/>
                <w:i/>
                <w:sz w:val="20"/>
                <w:szCs w:val="20"/>
              </w:rPr>
              <w:t>Má návrh dosah na fungovanie trhu práce?</w:t>
            </w:r>
            <w:r w:rsidRPr="0040341A">
              <w:rPr>
                <w:rFonts w:eastAsia="Calibri"/>
                <w:sz w:val="20"/>
                <w:szCs w:val="20"/>
              </w:rPr>
              <w:t xml:space="preserve"> </w:t>
            </w:r>
            <w:r w:rsidRPr="0040341A">
              <w:rPr>
                <w:rFonts w:eastAsia="Calibri"/>
                <w:i/>
                <w:sz w:val="20"/>
                <w:szCs w:val="20"/>
              </w:rPr>
              <w:t>Ak áno, aký?</w:t>
            </w:r>
          </w:p>
        </w:tc>
      </w:tr>
      <w:tr w:rsidR="00244374" w:rsidRPr="0040341A" w14:paraId="2A035C0E" w14:textId="77777777" w:rsidTr="00244374">
        <w:trPr>
          <w:trHeight w:val="794"/>
          <w:jc w:val="center"/>
        </w:trPr>
        <w:tc>
          <w:tcPr>
            <w:tcW w:w="129" w:type="pct"/>
            <w:tcBorders>
              <w:bottom w:val="single" w:sz="4" w:space="0" w:color="auto"/>
            </w:tcBorders>
            <w:shd w:val="clear" w:color="auto" w:fill="FFFFFF" w:themeFill="background1"/>
            <w:vAlign w:val="center"/>
          </w:tcPr>
          <w:p w14:paraId="409AC84E" w14:textId="77777777" w:rsidR="00244374" w:rsidRPr="0040341A" w:rsidRDefault="00244374" w:rsidP="00244374">
            <w:pPr>
              <w:rPr>
                <w:rFonts w:eastAsia="Calibri"/>
                <w:i/>
                <w:sz w:val="18"/>
                <w:szCs w:val="18"/>
              </w:rPr>
            </w:pPr>
            <w:r w:rsidRPr="0040341A">
              <w:rPr>
                <w:rFonts w:eastAsia="Calibri"/>
                <w:i/>
                <w:sz w:val="18"/>
                <w:szCs w:val="18"/>
              </w:rPr>
              <w:t>h)</w:t>
            </w:r>
          </w:p>
        </w:tc>
        <w:tc>
          <w:tcPr>
            <w:tcW w:w="1838" w:type="pct"/>
            <w:tcBorders>
              <w:bottom w:val="single" w:sz="4" w:space="0" w:color="auto"/>
            </w:tcBorders>
            <w:shd w:val="clear" w:color="auto" w:fill="FFFFFF" w:themeFill="background1"/>
          </w:tcPr>
          <w:p w14:paraId="0D0339D2" w14:textId="77777777" w:rsidR="00244374" w:rsidRPr="0040341A" w:rsidRDefault="00244374" w:rsidP="00244374">
            <w:pPr>
              <w:jc w:val="both"/>
              <w:rPr>
                <w:rFonts w:eastAsia="Calibri"/>
                <w:i/>
                <w:sz w:val="18"/>
                <w:szCs w:val="18"/>
              </w:rPr>
            </w:pPr>
            <w:r w:rsidRPr="0040341A">
              <w:rPr>
                <w:rFonts w:eastAsia="Calibri"/>
                <w:i/>
                <w:sz w:val="18"/>
                <w:szCs w:val="18"/>
              </w:rPr>
              <w:t xml:space="preserve">Týka sa makroekonomických dosahov ako je napr. </w:t>
            </w:r>
            <w:proofErr w:type="gramStart"/>
            <w:r w:rsidRPr="0040341A">
              <w:rPr>
                <w:rFonts w:eastAsia="Calibri"/>
                <w:i/>
                <w:sz w:val="18"/>
                <w:szCs w:val="18"/>
              </w:rPr>
              <w:t>participácia</w:t>
            </w:r>
            <w:proofErr w:type="gramEnd"/>
            <w:r w:rsidRPr="0040341A">
              <w:rPr>
                <w:rFonts w:eastAsia="Calibri"/>
                <w:i/>
                <w:sz w:val="18"/>
                <w:szCs w:val="18"/>
              </w:rPr>
              <w:t xml:space="preserve"> na trhu práce, dlhodobá nezamestnanosť, regionálne rozdiely v mierach zamestnanosti.</w:t>
            </w:r>
            <w:r w:rsidRPr="0040341A">
              <w:rPr>
                <w:rFonts w:eastAsia="Calibri"/>
                <w:sz w:val="18"/>
                <w:szCs w:val="18"/>
              </w:rPr>
              <w:t xml:space="preserve"> </w:t>
            </w:r>
            <w:r w:rsidRPr="0040341A">
              <w:rPr>
                <w:rFonts w:eastAsia="Calibri"/>
                <w:i/>
                <w:sz w:val="18"/>
                <w:szCs w:val="18"/>
              </w:rPr>
              <w:t xml:space="preserve">Ponuka práce môže byť ovplyvnená rôznymi premennými napr. </w:t>
            </w:r>
            <w:proofErr w:type="gramStart"/>
            <w:r w:rsidRPr="0040341A">
              <w:rPr>
                <w:rFonts w:eastAsia="Calibri"/>
                <w:i/>
                <w:sz w:val="18"/>
                <w:szCs w:val="18"/>
              </w:rPr>
              <w:t>úrovňou</w:t>
            </w:r>
            <w:proofErr w:type="gramEnd"/>
            <w:r w:rsidRPr="0040341A">
              <w:rPr>
                <w:rFonts w:eastAsia="Calibri"/>
                <w:i/>
                <w:sz w:val="18"/>
                <w:szCs w:val="18"/>
              </w:rPr>
              <w:t xml:space="preserve"> miezd, inštitucionálnym nastavením (napr.  </w:t>
            </w:r>
            <w:proofErr w:type="gramStart"/>
            <w:r w:rsidRPr="0040341A">
              <w:rPr>
                <w:rFonts w:eastAsia="Calibri"/>
                <w:i/>
                <w:sz w:val="18"/>
                <w:szCs w:val="18"/>
              </w:rPr>
              <w:t>zosúladenie</w:t>
            </w:r>
            <w:proofErr w:type="gramEnd"/>
            <w:r w:rsidRPr="0040341A">
              <w:rPr>
                <w:rFonts w:eastAsia="Calibri"/>
                <w:i/>
                <w:sz w:val="18"/>
                <w:szCs w:val="18"/>
              </w:rPr>
              <w:t xml:space="preserve"> pracovného a súkromného života alebo uľahčovanie rôznych foriem mobility).</w:t>
            </w:r>
          </w:p>
        </w:tc>
        <w:tc>
          <w:tcPr>
            <w:tcW w:w="3033" w:type="pct"/>
            <w:tcBorders>
              <w:bottom w:val="single" w:sz="4" w:space="0" w:color="auto"/>
            </w:tcBorders>
            <w:shd w:val="clear" w:color="auto" w:fill="FFFFFF" w:themeFill="background1"/>
          </w:tcPr>
          <w:p w14:paraId="4FCDECD4" w14:textId="77777777" w:rsidR="00244374" w:rsidRPr="0040341A" w:rsidRDefault="00244374" w:rsidP="00244374">
            <w:pPr>
              <w:rPr>
                <w:rFonts w:eastAsia="Calibri"/>
                <w:sz w:val="20"/>
                <w:szCs w:val="18"/>
              </w:rPr>
            </w:pPr>
            <w:r w:rsidRPr="0040341A">
              <w:rPr>
                <w:rFonts w:eastAsia="Calibri"/>
                <w:szCs w:val="18"/>
              </w:rPr>
              <w:t>Návrh zákona má globálny nepriamy dosah na fungovanie trhu práce.</w:t>
            </w:r>
          </w:p>
        </w:tc>
      </w:tr>
      <w:tr w:rsidR="00244374" w:rsidRPr="0040341A" w14:paraId="227F1D20" w14:textId="77777777" w:rsidTr="00244374">
        <w:trPr>
          <w:trHeight w:val="324"/>
          <w:jc w:val="center"/>
        </w:trPr>
        <w:tc>
          <w:tcPr>
            <w:tcW w:w="129" w:type="pct"/>
            <w:tcBorders>
              <w:bottom w:val="single" w:sz="4" w:space="0" w:color="auto"/>
            </w:tcBorders>
            <w:shd w:val="clear" w:color="auto" w:fill="F2F2F2" w:themeFill="background1" w:themeFillShade="F2"/>
            <w:vAlign w:val="center"/>
          </w:tcPr>
          <w:p w14:paraId="5DEF5329" w14:textId="77777777" w:rsidR="00244374" w:rsidRPr="0040341A" w:rsidRDefault="00244374" w:rsidP="00244374">
            <w:pPr>
              <w:rPr>
                <w:rFonts w:eastAsia="Calibri"/>
                <w:i/>
                <w:sz w:val="18"/>
                <w:szCs w:val="18"/>
              </w:rPr>
            </w:pPr>
            <w:r w:rsidRPr="0040341A">
              <w:rPr>
                <w:rFonts w:eastAsia="Calibri"/>
                <w:i/>
                <w:sz w:val="18"/>
                <w:szCs w:val="18"/>
              </w:rPr>
              <w:t>i)</w:t>
            </w:r>
          </w:p>
        </w:tc>
        <w:tc>
          <w:tcPr>
            <w:tcW w:w="4871" w:type="pct"/>
            <w:gridSpan w:val="2"/>
            <w:tcBorders>
              <w:bottom w:val="single" w:sz="4" w:space="0" w:color="auto"/>
            </w:tcBorders>
            <w:shd w:val="clear" w:color="auto" w:fill="F2F2F2" w:themeFill="background1" w:themeFillShade="F2"/>
            <w:vAlign w:val="center"/>
          </w:tcPr>
          <w:p w14:paraId="41563013" w14:textId="77777777" w:rsidR="00244374" w:rsidRPr="0040341A" w:rsidRDefault="00244374" w:rsidP="00244374">
            <w:pPr>
              <w:rPr>
                <w:rFonts w:eastAsia="Calibri"/>
                <w:sz w:val="20"/>
                <w:szCs w:val="20"/>
              </w:rPr>
            </w:pPr>
            <w:r w:rsidRPr="0040341A">
              <w:rPr>
                <w:rFonts w:eastAsia="Calibri"/>
                <w:i/>
                <w:sz w:val="20"/>
                <w:szCs w:val="20"/>
              </w:rPr>
              <w:t>Má návrh špecifické negatívne dôsledky pre isté skupiny profesií, skupín zamestnancov či živnostníkov?</w:t>
            </w:r>
            <w:r w:rsidRPr="0040341A">
              <w:rPr>
                <w:rFonts w:eastAsia="Calibri"/>
                <w:sz w:val="20"/>
                <w:szCs w:val="20"/>
              </w:rPr>
              <w:t xml:space="preserve"> </w:t>
            </w:r>
            <w:r w:rsidRPr="0040341A">
              <w:rPr>
                <w:rFonts w:eastAsia="Calibri"/>
                <w:i/>
                <w:sz w:val="20"/>
                <w:szCs w:val="20"/>
              </w:rPr>
              <w:t>Ak áno, aké a pre ktoré skupiny?</w:t>
            </w:r>
          </w:p>
        </w:tc>
      </w:tr>
      <w:tr w:rsidR="00244374" w:rsidRPr="0040341A" w14:paraId="06BB10A5" w14:textId="77777777" w:rsidTr="00244374">
        <w:trPr>
          <w:trHeight w:val="216"/>
          <w:jc w:val="center"/>
        </w:trPr>
        <w:tc>
          <w:tcPr>
            <w:tcW w:w="129" w:type="pct"/>
            <w:tcBorders>
              <w:bottom w:val="single" w:sz="4" w:space="0" w:color="auto"/>
            </w:tcBorders>
            <w:shd w:val="clear" w:color="auto" w:fill="FFFFFF" w:themeFill="background1"/>
            <w:vAlign w:val="center"/>
          </w:tcPr>
          <w:p w14:paraId="018D0E66" w14:textId="77777777" w:rsidR="00244374" w:rsidRPr="0040341A" w:rsidRDefault="00244374" w:rsidP="00244374">
            <w:pPr>
              <w:rPr>
                <w:rFonts w:eastAsia="Calibri"/>
                <w:i/>
                <w:sz w:val="18"/>
                <w:szCs w:val="18"/>
              </w:rPr>
            </w:pPr>
            <w:r w:rsidRPr="0040341A">
              <w:rPr>
                <w:rFonts w:eastAsia="Calibri"/>
                <w:i/>
                <w:sz w:val="18"/>
                <w:szCs w:val="18"/>
              </w:rPr>
              <w:t>j)</w:t>
            </w:r>
          </w:p>
        </w:tc>
        <w:tc>
          <w:tcPr>
            <w:tcW w:w="1838" w:type="pct"/>
            <w:tcBorders>
              <w:bottom w:val="single" w:sz="4" w:space="0" w:color="auto"/>
            </w:tcBorders>
            <w:shd w:val="clear" w:color="auto" w:fill="FFFFFF" w:themeFill="background1"/>
          </w:tcPr>
          <w:p w14:paraId="1B6E1442" w14:textId="77777777" w:rsidR="00244374" w:rsidRPr="0040341A" w:rsidRDefault="00244374" w:rsidP="00244374">
            <w:pPr>
              <w:rPr>
                <w:rFonts w:eastAsia="Calibri"/>
                <w:i/>
                <w:sz w:val="18"/>
                <w:szCs w:val="18"/>
              </w:rPr>
            </w:pPr>
            <w:r w:rsidRPr="0040341A">
              <w:rPr>
                <w:rFonts w:eastAsia="Calibri"/>
                <w:i/>
                <w:sz w:val="18"/>
                <w:szCs w:val="18"/>
              </w:rPr>
              <w:t xml:space="preserve">Návrh môže ohrozovať napr. </w:t>
            </w:r>
            <w:proofErr w:type="gramStart"/>
            <w:r w:rsidRPr="0040341A">
              <w:rPr>
                <w:rFonts w:eastAsia="Calibri"/>
                <w:i/>
                <w:sz w:val="18"/>
                <w:szCs w:val="18"/>
              </w:rPr>
              <w:t>pracovníkov</w:t>
            </w:r>
            <w:proofErr w:type="gramEnd"/>
            <w:r w:rsidRPr="0040341A">
              <w:rPr>
                <w:rFonts w:eastAsia="Calibri"/>
                <w:i/>
                <w:sz w:val="18"/>
                <w:szCs w:val="18"/>
              </w:rPr>
              <w:t xml:space="preserve"> istých profesií favorizovaním špecifických aktivít či technológií.</w:t>
            </w:r>
          </w:p>
        </w:tc>
        <w:tc>
          <w:tcPr>
            <w:tcW w:w="3033" w:type="pct"/>
            <w:tcBorders>
              <w:bottom w:val="single" w:sz="4" w:space="0" w:color="auto"/>
            </w:tcBorders>
            <w:shd w:val="clear" w:color="auto" w:fill="FFFFFF" w:themeFill="background1"/>
          </w:tcPr>
          <w:p w14:paraId="690BDA1A" w14:textId="77777777" w:rsidR="00244374" w:rsidRPr="0040341A" w:rsidRDefault="00244374" w:rsidP="00244374">
            <w:pPr>
              <w:rPr>
                <w:rFonts w:eastAsia="Calibri"/>
                <w:sz w:val="20"/>
                <w:szCs w:val="18"/>
              </w:rPr>
            </w:pPr>
            <w:r w:rsidRPr="0040341A">
              <w:rPr>
                <w:rFonts w:eastAsia="Calibri"/>
                <w:sz w:val="20"/>
                <w:szCs w:val="18"/>
              </w:rPr>
              <w:t>Nie</w:t>
            </w:r>
          </w:p>
        </w:tc>
      </w:tr>
      <w:tr w:rsidR="00244374" w:rsidRPr="0040341A" w14:paraId="3C9DE1F0" w14:textId="77777777" w:rsidTr="00244374">
        <w:trPr>
          <w:trHeight w:val="219"/>
          <w:jc w:val="center"/>
        </w:trPr>
        <w:tc>
          <w:tcPr>
            <w:tcW w:w="129" w:type="pct"/>
            <w:tcBorders>
              <w:bottom w:val="single" w:sz="4" w:space="0" w:color="auto"/>
            </w:tcBorders>
            <w:shd w:val="clear" w:color="auto" w:fill="F2F2F2" w:themeFill="background1" w:themeFillShade="F2"/>
            <w:vAlign w:val="center"/>
          </w:tcPr>
          <w:p w14:paraId="517A4908" w14:textId="77777777" w:rsidR="00244374" w:rsidRPr="0040341A" w:rsidRDefault="00244374" w:rsidP="00244374">
            <w:pPr>
              <w:rPr>
                <w:rFonts w:eastAsia="Calibri"/>
                <w:i/>
                <w:sz w:val="18"/>
                <w:szCs w:val="18"/>
              </w:rPr>
            </w:pPr>
            <w:r w:rsidRPr="0040341A">
              <w:rPr>
                <w:rFonts w:eastAsia="Calibri"/>
                <w:i/>
                <w:sz w:val="18"/>
                <w:szCs w:val="18"/>
              </w:rPr>
              <w:t>k)</w:t>
            </w:r>
          </w:p>
        </w:tc>
        <w:tc>
          <w:tcPr>
            <w:tcW w:w="4871" w:type="pct"/>
            <w:gridSpan w:val="2"/>
            <w:tcBorders>
              <w:bottom w:val="single" w:sz="4" w:space="0" w:color="auto"/>
            </w:tcBorders>
            <w:shd w:val="clear" w:color="auto" w:fill="F2F2F2" w:themeFill="background1" w:themeFillShade="F2"/>
            <w:vAlign w:val="center"/>
          </w:tcPr>
          <w:p w14:paraId="5B508F7F" w14:textId="77777777" w:rsidR="00244374" w:rsidRPr="0040341A" w:rsidRDefault="00244374" w:rsidP="00244374">
            <w:pPr>
              <w:rPr>
                <w:rFonts w:eastAsia="Calibri"/>
                <w:sz w:val="20"/>
                <w:szCs w:val="20"/>
              </w:rPr>
            </w:pPr>
            <w:r w:rsidRPr="0040341A">
              <w:rPr>
                <w:rFonts w:eastAsia="Calibri"/>
                <w:i/>
                <w:sz w:val="20"/>
                <w:szCs w:val="20"/>
              </w:rPr>
              <w:t>Ovplyvňuje návrh špecifické vekové skupiny zamestnancov? Ak áno, aké? Akým spôsobom?</w:t>
            </w:r>
          </w:p>
        </w:tc>
      </w:tr>
      <w:tr w:rsidR="00244374" w:rsidRPr="0040341A" w14:paraId="24D14FA3" w14:textId="77777777" w:rsidTr="00244374">
        <w:trPr>
          <w:trHeight w:val="497"/>
          <w:jc w:val="center"/>
        </w:trPr>
        <w:tc>
          <w:tcPr>
            <w:tcW w:w="129" w:type="pct"/>
            <w:tcBorders>
              <w:bottom w:val="single" w:sz="4" w:space="0" w:color="auto"/>
            </w:tcBorders>
            <w:shd w:val="clear" w:color="auto" w:fill="FFFFFF" w:themeFill="background1"/>
            <w:vAlign w:val="center"/>
          </w:tcPr>
          <w:p w14:paraId="0FF1961F" w14:textId="77777777" w:rsidR="00244374" w:rsidRPr="0040341A" w:rsidRDefault="00244374" w:rsidP="00244374">
            <w:pPr>
              <w:rPr>
                <w:rFonts w:eastAsia="Calibri"/>
                <w:i/>
                <w:sz w:val="18"/>
                <w:szCs w:val="18"/>
              </w:rPr>
            </w:pPr>
            <w:r w:rsidRPr="0040341A">
              <w:rPr>
                <w:rFonts w:eastAsia="Calibri"/>
                <w:i/>
                <w:sz w:val="18"/>
                <w:szCs w:val="18"/>
              </w:rPr>
              <w:t>l)</w:t>
            </w:r>
          </w:p>
        </w:tc>
        <w:tc>
          <w:tcPr>
            <w:tcW w:w="1838" w:type="pct"/>
            <w:tcBorders>
              <w:bottom w:val="single" w:sz="4" w:space="0" w:color="auto"/>
            </w:tcBorders>
            <w:shd w:val="clear" w:color="auto" w:fill="FFFFFF" w:themeFill="background1"/>
          </w:tcPr>
          <w:p w14:paraId="4218E63F" w14:textId="77777777" w:rsidR="00244374" w:rsidRPr="0040341A" w:rsidRDefault="00244374" w:rsidP="00244374">
            <w:pPr>
              <w:jc w:val="both"/>
              <w:rPr>
                <w:rFonts w:eastAsia="Calibri"/>
                <w:i/>
                <w:sz w:val="18"/>
                <w:szCs w:val="18"/>
              </w:rPr>
            </w:pPr>
            <w:r w:rsidRPr="0040341A">
              <w:rPr>
                <w:rFonts w:eastAsia="Calibri"/>
                <w:i/>
                <w:sz w:val="18"/>
                <w:szCs w:val="18"/>
              </w:rPr>
              <w:t>Identifikujte, či návrh môže ovplyvniť rozhodnutia zamestnancov alebo zamestnávateľov a môže byť zdrojom neskoršieho vstupu na trh práce alebo predčasného odchodu z trhu práce jednotlivcov.</w:t>
            </w:r>
          </w:p>
        </w:tc>
        <w:tc>
          <w:tcPr>
            <w:tcW w:w="3033" w:type="pct"/>
            <w:tcBorders>
              <w:bottom w:val="single" w:sz="4" w:space="0" w:color="auto"/>
            </w:tcBorders>
            <w:shd w:val="clear" w:color="auto" w:fill="FFFFFF" w:themeFill="background1"/>
          </w:tcPr>
          <w:p w14:paraId="5045E790" w14:textId="77777777" w:rsidR="00244374" w:rsidRPr="0040341A" w:rsidRDefault="00244374" w:rsidP="00244374">
            <w:pPr>
              <w:rPr>
                <w:rFonts w:eastAsia="Calibri"/>
                <w:sz w:val="20"/>
                <w:szCs w:val="18"/>
              </w:rPr>
            </w:pPr>
            <w:r w:rsidRPr="0040341A">
              <w:rPr>
                <w:rFonts w:eastAsia="Calibri"/>
                <w:sz w:val="20"/>
                <w:szCs w:val="18"/>
              </w:rPr>
              <w:t>Nie</w:t>
            </w:r>
          </w:p>
        </w:tc>
      </w:tr>
    </w:tbl>
    <w:p w14:paraId="0CE8EF45" w14:textId="77777777" w:rsidR="00244374" w:rsidRPr="0040341A" w:rsidRDefault="00244374" w:rsidP="00244374"/>
    <w:p w14:paraId="341D95D4" w14:textId="569D1534" w:rsidR="00244374" w:rsidRPr="0040341A" w:rsidRDefault="00244374" w:rsidP="00B32768">
      <w:pPr>
        <w:jc w:val="center"/>
        <w:rPr>
          <w:b/>
          <w:sz w:val="28"/>
          <w:szCs w:val="28"/>
          <w:highlight w:val="yellow"/>
          <w:lang w:eastAsia="sk-SK"/>
        </w:rPr>
      </w:pPr>
    </w:p>
    <w:p w14:paraId="16AECAA8" w14:textId="77777777" w:rsidR="00805B44" w:rsidRPr="0040341A" w:rsidRDefault="00805B44" w:rsidP="00244374">
      <w:pPr>
        <w:jc w:val="center"/>
        <w:rPr>
          <w:b/>
          <w:caps/>
          <w:spacing w:val="30"/>
          <w:lang w:val="sk-SK"/>
        </w:rPr>
      </w:pPr>
    </w:p>
    <w:p w14:paraId="797AADC9" w14:textId="77777777" w:rsidR="00805B44" w:rsidRPr="0040341A" w:rsidRDefault="00805B44" w:rsidP="00244374">
      <w:pPr>
        <w:jc w:val="center"/>
        <w:rPr>
          <w:b/>
          <w:caps/>
          <w:spacing w:val="30"/>
          <w:lang w:val="sk-SK"/>
        </w:rPr>
      </w:pPr>
    </w:p>
    <w:p w14:paraId="4A0DF17C" w14:textId="77777777" w:rsidR="00805B44" w:rsidRPr="0040341A" w:rsidRDefault="00805B44" w:rsidP="00244374">
      <w:pPr>
        <w:jc w:val="center"/>
        <w:rPr>
          <w:b/>
          <w:caps/>
          <w:spacing w:val="30"/>
          <w:lang w:val="sk-SK"/>
        </w:rPr>
      </w:pPr>
    </w:p>
    <w:p w14:paraId="66E29F8E" w14:textId="7C28F362" w:rsidR="00244374" w:rsidRPr="0040341A" w:rsidRDefault="00244374" w:rsidP="00244374">
      <w:pPr>
        <w:jc w:val="center"/>
        <w:rPr>
          <w:b/>
          <w:caps/>
          <w:spacing w:val="30"/>
          <w:lang w:val="sk-SK"/>
        </w:rPr>
      </w:pPr>
      <w:r w:rsidRPr="0040341A">
        <w:rPr>
          <w:b/>
          <w:caps/>
          <w:spacing w:val="30"/>
          <w:lang w:val="sk-SK"/>
        </w:rPr>
        <w:t>Doložka zlučiteľnosti</w:t>
      </w:r>
    </w:p>
    <w:p w14:paraId="1F1006F8" w14:textId="77777777" w:rsidR="00244374" w:rsidRPr="0040341A" w:rsidRDefault="00244374" w:rsidP="00244374">
      <w:pPr>
        <w:jc w:val="center"/>
        <w:rPr>
          <w:b/>
          <w:lang w:val="sk-SK"/>
        </w:rPr>
      </w:pPr>
      <w:r w:rsidRPr="0040341A">
        <w:rPr>
          <w:b/>
          <w:lang w:val="sk-SK"/>
        </w:rPr>
        <w:t>návrhu zákona s právom Európskej únie </w:t>
      </w:r>
    </w:p>
    <w:p w14:paraId="44E81FA6" w14:textId="77777777" w:rsidR="00244374" w:rsidRPr="0040341A" w:rsidRDefault="00244374" w:rsidP="00244374">
      <w:pPr>
        <w:rPr>
          <w:lang w:val="sk-SK"/>
        </w:rPr>
      </w:pPr>
    </w:p>
    <w:p w14:paraId="18130F0E" w14:textId="77777777" w:rsidR="00244374" w:rsidRPr="0040341A" w:rsidRDefault="00244374" w:rsidP="00244374">
      <w:pPr>
        <w:rPr>
          <w:lang w:val="sk-SK"/>
        </w:rPr>
      </w:pPr>
    </w:p>
    <w:p w14:paraId="2E354735" w14:textId="77777777" w:rsidR="00244374" w:rsidRPr="0040341A" w:rsidRDefault="00244374" w:rsidP="00244374">
      <w:pPr>
        <w:widowControl w:val="0"/>
        <w:numPr>
          <w:ilvl w:val="0"/>
          <w:numId w:val="18"/>
        </w:numPr>
        <w:tabs>
          <w:tab w:val="left" w:pos="426"/>
        </w:tabs>
        <w:autoSpaceDE w:val="0"/>
        <w:autoSpaceDN w:val="0"/>
        <w:adjustRightInd w:val="0"/>
        <w:ind w:left="2977" w:hanging="2977"/>
        <w:jc w:val="both"/>
        <w:rPr>
          <w:b/>
          <w:lang w:val="sk-SK"/>
        </w:rPr>
      </w:pPr>
      <w:r w:rsidRPr="0040341A">
        <w:rPr>
          <w:b/>
          <w:lang w:val="sk-SK"/>
        </w:rPr>
        <w:t>Navrhovateľ zákona:</w:t>
      </w:r>
    </w:p>
    <w:p w14:paraId="4CF97BCB" w14:textId="77777777" w:rsidR="00244374" w:rsidRPr="0040341A" w:rsidRDefault="00244374" w:rsidP="00244374">
      <w:pPr>
        <w:tabs>
          <w:tab w:val="left" w:pos="426"/>
        </w:tabs>
        <w:ind w:left="426"/>
        <w:jc w:val="both"/>
        <w:rPr>
          <w:b/>
          <w:lang w:val="sk-SK"/>
        </w:rPr>
      </w:pPr>
      <w:r w:rsidRPr="0040341A">
        <w:rPr>
          <w:lang w:val="sk-SK"/>
        </w:rPr>
        <w:t>Ministerstvo investícií, regionálneho rozvoja a informatizácie Slovenskej republiky</w:t>
      </w:r>
    </w:p>
    <w:p w14:paraId="1A0EF5C9" w14:textId="77777777" w:rsidR="00244374" w:rsidRPr="0040341A" w:rsidRDefault="00244374" w:rsidP="00244374">
      <w:pPr>
        <w:tabs>
          <w:tab w:val="left" w:pos="360"/>
        </w:tabs>
        <w:ind w:left="360"/>
        <w:jc w:val="both"/>
        <w:rPr>
          <w:lang w:val="sk-SK"/>
        </w:rPr>
      </w:pPr>
      <w:r w:rsidRPr="0040341A">
        <w:rPr>
          <w:lang w:val="sk-SK"/>
        </w:rPr>
        <w:t xml:space="preserve"> </w:t>
      </w:r>
    </w:p>
    <w:p w14:paraId="4AF7EE18" w14:textId="77777777" w:rsidR="00244374" w:rsidRPr="0040341A" w:rsidRDefault="00244374" w:rsidP="00244374">
      <w:pPr>
        <w:ind w:left="426" w:hanging="426"/>
        <w:jc w:val="both"/>
        <w:rPr>
          <w:lang w:val="sk-SK"/>
        </w:rPr>
      </w:pPr>
      <w:r w:rsidRPr="0040341A">
        <w:rPr>
          <w:b/>
          <w:lang w:val="sk-SK"/>
        </w:rPr>
        <w:t>2.</w:t>
      </w:r>
      <w:r w:rsidRPr="0040341A">
        <w:rPr>
          <w:b/>
          <w:lang w:val="sk-SK"/>
        </w:rPr>
        <w:tab/>
        <w:t xml:space="preserve">Názov </w:t>
      </w:r>
      <w:r w:rsidRPr="0040341A">
        <w:rPr>
          <w:b/>
          <w:bCs/>
          <w:color w:val="000000"/>
        </w:rPr>
        <w:t xml:space="preserve">návrhu </w:t>
      </w:r>
      <w:r w:rsidRPr="0040341A">
        <w:rPr>
          <w:b/>
          <w:bCs/>
          <w:color w:val="000000"/>
          <w:lang w:val="sk-SK"/>
        </w:rPr>
        <w:t>zákona</w:t>
      </w:r>
      <w:r w:rsidRPr="0040341A">
        <w:rPr>
          <w:b/>
          <w:lang w:val="sk-SK"/>
        </w:rPr>
        <w:t>:</w:t>
      </w:r>
      <w:r w:rsidRPr="0040341A">
        <w:rPr>
          <w:lang w:val="sk-SK"/>
        </w:rPr>
        <w:t xml:space="preserve"> </w:t>
      </w:r>
    </w:p>
    <w:p w14:paraId="2475F2E6" w14:textId="77777777" w:rsidR="00244374" w:rsidRPr="0040341A" w:rsidRDefault="00244374" w:rsidP="00244374">
      <w:pPr>
        <w:ind w:left="426"/>
        <w:jc w:val="both"/>
        <w:rPr>
          <w:b/>
          <w:lang w:val="sk-SK"/>
        </w:rPr>
      </w:pPr>
      <w:r w:rsidRPr="0040341A">
        <w:rPr>
          <w:lang w:val="sk-SK"/>
        </w:rPr>
        <w:t>Návrh zákona, ktorým sa mení a dopĺňa zákon č. 539/2008 Z. z. o podpore regionálneho rozvoja v znení neskorších predpisov </w:t>
      </w:r>
    </w:p>
    <w:p w14:paraId="5BF435C6" w14:textId="77777777" w:rsidR="00244374" w:rsidRPr="0040341A" w:rsidRDefault="00244374" w:rsidP="00244374">
      <w:pPr>
        <w:rPr>
          <w:lang w:val="sk-SK"/>
        </w:rPr>
      </w:pPr>
    </w:p>
    <w:p w14:paraId="42BFCD10" w14:textId="77777777" w:rsidR="00244374" w:rsidRPr="0040341A" w:rsidRDefault="00244374" w:rsidP="00244374">
      <w:pPr>
        <w:ind w:left="426" w:hanging="426"/>
        <w:rPr>
          <w:b/>
          <w:lang w:val="sk-SK"/>
        </w:rPr>
      </w:pPr>
      <w:r w:rsidRPr="0040341A">
        <w:rPr>
          <w:b/>
          <w:lang w:val="sk-SK"/>
        </w:rPr>
        <w:t>3.</w:t>
      </w:r>
      <w:r w:rsidRPr="0040341A">
        <w:rPr>
          <w:b/>
          <w:lang w:val="sk-SK"/>
        </w:rPr>
        <w:tab/>
        <w:t>Predmet návrhu zákona je upravený v práve Európskej únie:</w:t>
      </w:r>
    </w:p>
    <w:p w14:paraId="532ABA60" w14:textId="77777777" w:rsidR="00244374" w:rsidRPr="0040341A" w:rsidRDefault="00244374" w:rsidP="00244374">
      <w:pPr>
        <w:spacing w:after="120"/>
        <w:ind w:left="851" w:hanging="426"/>
        <w:rPr>
          <w:lang w:val="sk-SK"/>
        </w:rPr>
      </w:pPr>
      <w:r w:rsidRPr="0040341A">
        <w:rPr>
          <w:lang w:val="sk-SK"/>
        </w:rPr>
        <w:t xml:space="preserve">a) v primárnom práve </w:t>
      </w:r>
    </w:p>
    <w:p w14:paraId="293CCD5E" w14:textId="77777777" w:rsidR="00244374" w:rsidRPr="0040341A" w:rsidRDefault="00244374" w:rsidP="00244374">
      <w:pPr>
        <w:spacing w:after="120"/>
        <w:ind w:left="851" w:hanging="142"/>
        <w:jc w:val="both"/>
        <w:rPr>
          <w:i/>
          <w:iCs/>
          <w:lang w:val="sk-SK"/>
        </w:rPr>
      </w:pPr>
      <w:r w:rsidRPr="0040341A">
        <w:rPr>
          <w:lang w:val="sk-SK"/>
        </w:rPr>
        <w:t xml:space="preserve">- </w:t>
      </w:r>
      <w:r w:rsidRPr="0040341A">
        <w:rPr>
          <w:i/>
          <w:iCs/>
          <w:lang w:val="sk-SK"/>
        </w:rPr>
        <w:t>čl. 4 ods. 2 Zmluvy o fungovaní Európskej únie (Ú. v. EÚ C 202, 7.6.2016) v platnom znení,</w:t>
      </w:r>
    </w:p>
    <w:p w14:paraId="1C9F567C" w14:textId="77777777" w:rsidR="00244374" w:rsidRPr="0040341A" w:rsidRDefault="00244374" w:rsidP="00244374">
      <w:pPr>
        <w:spacing w:after="120"/>
        <w:ind w:left="851" w:hanging="142"/>
        <w:jc w:val="both"/>
        <w:rPr>
          <w:lang w:val="sk-SK"/>
        </w:rPr>
      </w:pPr>
      <w:r w:rsidRPr="0040341A">
        <w:rPr>
          <w:i/>
          <w:iCs/>
          <w:lang w:val="sk-SK"/>
        </w:rPr>
        <w:t xml:space="preserve">- čl. 107 a 108 Zmluvy o fungovaní Európskej únie (Ú. v. EÚ C 202, 7.6.2016) v platnom znení, </w:t>
      </w:r>
    </w:p>
    <w:p w14:paraId="27C58387" w14:textId="77777777" w:rsidR="00244374" w:rsidRPr="0040341A" w:rsidRDefault="00244374" w:rsidP="00244374">
      <w:pPr>
        <w:spacing w:after="120"/>
        <w:ind w:left="851" w:hanging="142"/>
        <w:jc w:val="both"/>
        <w:rPr>
          <w:lang w:val="sk-SK"/>
        </w:rPr>
      </w:pPr>
      <w:r w:rsidRPr="0040341A">
        <w:rPr>
          <w:i/>
          <w:iCs/>
          <w:lang w:val="sk-SK"/>
        </w:rPr>
        <w:t xml:space="preserve">- čl. 325 Zmluvy o fungovaní Európskej únie (Ú. v. EÚ C 202, 7.6.2016) v platnom znení, </w:t>
      </w:r>
    </w:p>
    <w:p w14:paraId="5F539986" w14:textId="77777777" w:rsidR="00244374" w:rsidRPr="0040341A" w:rsidRDefault="00244374" w:rsidP="00244374">
      <w:pPr>
        <w:spacing w:after="120"/>
        <w:ind w:left="851" w:hanging="142"/>
        <w:jc w:val="both"/>
        <w:rPr>
          <w:lang w:val="sk-SK"/>
        </w:rPr>
      </w:pPr>
      <w:r w:rsidRPr="0040341A">
        <w:rPr>
          <w:i/>
          <w:iCs/>
          <w:lang w:val="sk-SK"/>
        </w:rPr>
        <w:t xml:space="preserve">- čl. 3 Zmluvy o Európskej únií (Ú. v. EÚ C 202, 7.6.2016) v platnom znení, </w:t>
      </w:r>
    </w:p>
    <w:p w14:paraId="25358E76" w14:textId="77777777" w:rsidR="00244374" w:rsidRPr="0040341A" w:rsidRDefault="00244374" w:rsidP="00244374">
      <w:pPr>
        <w:spacing w:after="120"/>
        <w:ind w:left="851" w:hanging="142"/>
        <w:jc w:val="both"/>
      </w:pPr>
      <w:r w:rsidRPr="0040341A">
        <w:rPr>
          <w:i/>
          <w:iCs/>
          <w:lang w:val="sk-SK"/>
        </w:rPr>
        <w:t xml:space="preserve">- Protokol (č. 28) o hospodárskej, sociálnej a územnej súdržnosti k Zmluve o fungovaní Európskej únie; </w:t>
      </w:r>
    </w:p>
    <w:p w14:paraId="12A7041C" w14:textId="77777777" w:rsidR="00244374" w:rsidRPr="0040341A" w:rsidRDefault="00244374" w:rsidP="00244374">
      <w:pPr>
        <w:spacing w:after="120"/>
        <w:ind w:left="851" w:hanging="426"/>
        <w:rPr>
          <w:lang w:val="sk-SK"/>
        </w:rPr>
      </w:pPr>
      <w:r w:rsidRPr="0040341A">
        <w:t xml:space="preserve">b) </w:t>
      </w:r>
      <w:proofErr w:type="gramStart"/>
      <w:r w:rsidRPr="0040341A">
        <w:rPr>
          <w:lang w:val="sk-SK"/>
        </w:rPr>
        <w:t>v</w:t>
      </w:r>
      <w:proofErr w:type="gramEnd"/>
      <w:r w:rsidRPr="0040341A">
        <w:rPr>
          <w:lang w:val="sk-SK"/>
        </w:rPr>
        <w:t xml:space="preserve"> sekundárnom práve </w:t>
      </w:r>
    </w:p>
    <w:p w14:paraId="2C556557" w14:textId="77777777" w:rsidR="00244374" w:rsidRPr="0040341A" w:rsidRDefault="00244374" w:rsidP="00244374">
      <w:pPr>
        <w:spacing w:after="120"/>
        <w:ind w:left="851" w:hanging="143"/>
        <w:jc w:val="both"/>
        <w:rPr>
          <w:i/>
          <w:iCs/>
          <w:color w:val="000000"/>
          <w:lang w:val="sk-SK"/>
        </w:rPr>
      </w:pPr>
      <w:r w:rsidRPr="0040341A">
        <w:rPr>
          <w:i/>
          <w:iCs/>
          <w:color w:val="000000"/>
          <w:lang w:val="sk-SK"/>
        </w:rPr>
        <w:t>-</w:t>
      </w:r>
      <w:r w:rsidRPr="0040341A">
        <w:rPr>
          <w:i/>
          <w:iCs/>
          <w:color w:val="000000"/>
          <w:lang w:val="sk-SK"/>
        </w:rPr>
        <w:tab/>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r w:rsidRPr="0040341A">
        <w:rPr>
          <w:i/>
        </w:rPr>
        <w:t xml:space="preserve">(Ú. </w:t>
      </w:r>
      <w:proofErr w:type="gramStart"/>
      <w:r w:rsidRPr="0040341A">
        <w:rPr>
          <w:i/>
        </w:rPr>
        <w:t>v. EÚ</w:t>
      </w:r>
      <w:proofErr w:type="gramEnd"/>
      <w:r w:rsidRPr="0040341A">
        <w:rPr>
          <w:i/>
        </w:rPr>
        <w:t xml:space="preserve"> L 347, 20.12.2013) v platnom znení</w:t>
      </w:r>
    </w:p>
    <w:p w14:paraId="631D72CD" w14:textId="77777777" w:rsidR="00244374" w:rsidRPr="0040341A" w:rsidRDefault="00244374" w:rsidP="00244374">
      <w:pPr>
        <w:spacing w:after="120"/>
        <w:ind w:left="851" w:hanging="143"/>
        <w:jc w:val="both"/>
        <w:rPr>
          <w:i/>
          <w:iCs/>
          <w:color w:val="000000"/>
          <w:lang w:val="sk-SK"/>
        </w:rPr>
      </w:pPr>
      <w:r w:rsidRPr="0040341A">
        <w:rPr>
          <w:i/>
          <w:iCs/>
          <w:color w:val="000000"/>
          <w:lang w:val="sk-SK"/>
        </w:rPr>
        <w:t>-</w:t>
      </w:r>
      <w:r w:rsidRPr="0040341A">
        <w:rPr>
          <w:i/>
          <w:iCs/>
          <w:color w:val="000000"/>
          <w:lang w:val="sk-SK"/>
        </w:rPr>
        <w:tab/>
        <w:t xml:space="preserve">gestorom právneho aktu je </w:t>
      </w:r>
      <w:r w:rsidRPr="0040341A">
        <w:rPr>
          <w:i/>
        </w:rPr>
        <w:t>ÚV SR, MDV SR, MŠVVŠ SR, MZ SR, MV SR, MPSVR SR, MPRV SR, MH SR, MŽP SR, MF SR</w:t>
      </w:r>
      <w:r w:rsidRPr="0040341A">
        <w:rPr>
          <w:i/>
          <w:lang w:val="sk-SK"/>
        </w:rPr>
        <w:t>,</w:t>
      </w:r>
      <w:r w:rsidRPr="0040341A">
        <w:rPr>
          <w:i/>
          <w:iCs/>
          <w:color w:val="000000"/>
          <w:lang w:val="sk-SK"/>
        </w:rPr>
        <w:t xml:space="preserve"> MIRRI SR </w:t>
      </w:r>
    </w:p>
    <w:p w14:paraId="7BCA0526" w14:textId="77777777" w:rsidR="00244374" w:rsidRPr="0040341A" w:rsidRDefault="00244374" w:rsidP="00244374">
      <w:pPr>
        <w:spacing w:after="120"/>
        <w:ind w:left="851" w:hanging="142"/>
        <w:jc w:val="both"/>
        <w:rPr>
          <w:i/>
          <w:iCs/>
          <w:color w:val="000000"/>
          <w:lang w:val="sk-SK"/>
        </w:rPr>
      </w:pPr>
      <w:r w:rsidRPr="0040341A">
        <w:rPr>
          <w:i/>
          <w:iCs/>
          <w:color w:val="000000"/>
          <w:lang w:val="sk-SK"/>
        </w:rPr>
        <w:t>- Delegované nariadenie Komisie (EÚ) č. 240/2014 zo 7. januára 2014 o európskom kódexe správania pre partnerstvo v rámci európskych štrukturálnych a investičných fondov (Ú. v. EÚ L 74, 14.3.2014, s. 1) v platnom znení</w:t>
      </w:r>
    </w:p>
    <w:p w14:paraId="10348B7A" w14:textId="77777777" w:rsidR="00244374" w:rsidRPr="0040341A" w:rsidRDefault="00244374" w:rsidP="00244374">
      <w:pPr>
        <w:spacing w:after="120"/>
        <w:ind w:left="851" w:hanging="142"/>
        <w:jc w:val="both"/>
        <w:rPr>
          <w:i/>
          <w:iCs/>
          <w:color w:val="000000"/>
          <w:lang w:val="sk-SK"/>
        </w:rPr>
      </w:pPr>
      <w:r w:rsidRPr="0040341A">
        <w:rPr>
          <w:i/>
          <w:iCs/>
          <w:color w:val="000000"/>
          <w:lang w:val="sk-SK"/>
        </w:rPr>
        <w:t>-</w:t>
      </w:r>
      <w:r w:rsidRPr="0040341A">
        <w:rPr>
          <w:i/>
          <w:iCs/>
          <w:color w:val="000000"/>
          <w:lang w:val="sk-SK"/>
        </w:rPr>
        <w:tab/>
        <w:t>gestorom právneho aktu je ÚV SR, MDVRR SR, MŠVVŠ SR, MZ SR, MV SR, MPSVR SR, MPRV SR, MH SR, MŽP SR, MF SR</w:t>
      </w:r>
    </w:p>
    <w:p w14:paraId="4AD786C9" w14:textId="77777777" w:rsidR="00244374" w:rsidRPr="0040341A" w:rsidRDefault="00244374" w:rsidP="00244374">
      <w:pPr>
        <w:spacing w:after="120"/>
        <w:ind w:left="851" w:hanging="142"/>
        <w:jc w:val="both"/>
        <w:rPr>
          <w:i/>
        </w:rPr>
      </w:pPr>
      <w:r w:rsidRPr="0040341A">
        <w:rPr>
          <w:i/>
          <w:iCs/>
          <w:color w:val="000000"/>
          <w:lang w:val="sk-SK"/>
        </w:rPr>
        <w:t xml:space="preserve">- </w:t>
      </w:r>
      <w:r w:rsidRPr="0040341A">
        <w:rPr>
          <w:i/>
        </w:rPr>
        <w:t xml:space="preserve">Nariadenie Európskeho parlamentu a Rady (EÚ) 2020/2220 z 23. </w:t>
      </w:r>
      <w:proofErr w:type="gramStart"/>
      <w:r w:rsidRPr="0040341A">
        <w:rPr>
          <w:i/>
        </w:rPr>
        <w:t>decembra 2020, ktorým sa stanovujú určité prechodné ustanovenia týkajúce sa podpory z Európskeho poľnohospodárskeho fondu pre rozvoj vidieka (EPFRV) a Európskeho poľnohospodárskeho záručného fondu (EPZF) v rokoch 2021 a 2022 a ktorým sa menia nariadenia (EÚ) č. 1305/2013, (EÚ) č. 1306/2013 a (EÚ) č. 1307/2013, pokiaľ ide o</w:t>
      </w:r>
      <w:r w:rsidRPr="0040341A">
        <w:rPr>
          <w:i/>
          <w:lang w:val="sk-SK"/>
        </w:rPr>
        <w:t> </w:t>
      </w:r>
      <w:r w:rsidRPr="0040341A">
        <w:rPr>
          <w:i/>
        </w:rPr>
        <w:t>zdroje a uplatňovanie v rokoch 2021 a 2022, a nariadenie (EÚ) č. 1308/2013, pokiaľ ide o zdroje a distribúciu tejto podpory v rokoch 2021 a 2022</w:t>
      </w:r>
      <w:r w:rsidRPr="0040341A">
        <w:rPr>
          <w:i/>
          <w:lang w:val="sk-SK"/>
        </w:rPr>
        <w:t xml:space="preserve"> (Ú. v. L 437, 28.12.2020)</w:t>
      </w:r>
      <w:proofErr w:type="gramEnd"/>
    </w:p>
    <w:p w14:paraId="495AA117" w14:textId="77777777" w:rsidR="00244374" w:rsidRPr="0040341A" w:rsidRDefault="00244374" w:rsidP="00244374">
      <w:pPr>
        <w:spacing w:after="120"/>
        <w:ind w:left="851" w:hanging="143"/>
        <w:jc w:val="both"/>
        <w:rPr>
          <w:i/>
          <w:iCs/>
          <w:color w:val="000000"/>
          <w:lang w:val="sk-SK"/>
        </w:rPr>
      </w:pPr>
      <w:r w:rsidRPr="0040341A">
        <w:rPr>
          <w:i/>
          <w:iCs/>
        </w:rPr>
        <w:t xml:space="preserve">- </w:t>
      </w:r>
      <w:proofErr w:type="gramStart"/>
      <w:r w:rsidRPr="0040341A">
        <w:rPr>
          <w:i/>
          <w:iCs/>
        </w:rPr>
        <w:t>gestorom</w:t>
      </w:r>
      <w:proofErr w:type="gramEnd"/>
      <w:r w:rsidRPr="0040341A">
        <w:rPr>
          <w:i/>
          <w:iCs/>
        </w:rPr>
        <w:t xml:space="preserve"> právneho aktu je</w:t>
      </w:r>
      <w:r w:rsidRPr="0040341A">
        <w:rPr>
          <w:i/>
          <w:iCs/>
          <w:lang w:val="sk-SK"/>
        </w:rPr>
        <w:t xml:space="preserve"> MPRV SR</w:t>
      </w:r>
    </w:p>
    <w:p w14:paraId="34E2C18E" w14:textId="77777777" w:rsidR="00244374" w:rsidRPr="0040341A" w:rsidRDefault="00244374" w:rsidP="00244374">
      <w:pPr>
        <w:spacing w:after="120"/>
        <w:ind w:left="851" w:hanging="143"/>
        <w:jc w:val="both"/>
        <w:rPr>
          <w:i/>
          <w:color w:val="000000"/>
          <w:lang w:val="sk-SK"/>
        </w:rPr>
      </w:pPr>
      <w:r w:rsidRPr="0040341A">
        <w:rPr>
          <w:i/>
          <w:iCs/>
          <w:color w:val="000000"/>
          <w:lang w:val="sk-SK"/>
        </w:rPr>
        <w:t>-</w:t>
      </w:r>
      <w:r w:rsidRPr="0040341A">
        <w:rPr>
          <w:i/>
          <w:iCs/>
          <w:color w:val="000000"/>
          <w:lang w:val="sk-SK"/>
        </w:rPr>
        <w:tab/>
        <w:t>Nariadenie 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30.6.2021) v platnom znení</w:t>
      </w:r>
    </w:p>
    <w:p w14:paraId="7A282206" w14:textId="77777777" w:rsidR="00244374" w:rsidRPr="0040341A" w:rsidRDefault="00244374" w:rsidP="00244374">
      <w:pPr>
        <w:spacing w:after="120"/>
        <w:ind w:left="851" w:hanging="143"/>
        <w:jc w:val="both"/>
        <w:rPr>
          <w:i/>
          <w:iCs/>
          <w:color w:val="000000"/>
          <w:lang w:val="sk-SK"/>
        </w:rPr>
      </w:pPr>
      <w:r w:rsidRPr="0040341A">
        <w:rPr>
          <w:i/>
          <w:color w:val="000000"/>
          <w:lang w:val="sk-SK"/>
        </w:rPr>
        <w:t xml:space="preserve">- </w:t>
      </w:r>
      <w:r w:rsidRPr="0040341A">
        <w:rPr>
          <w:i/>
          <w:iCs/>
          <w:color w:val="000000"/>
          <w:lang w:val="sk-SK"/>
        </w:rPr>
        <w:t>gestor právneho aktu je MIRRI SR, MF SR, MPSVR SR, MH SR, MŽP SR, MV SR, MPRV SR</w:t>
      </w:r>
    </w:p>
    <w:p w14:paraId="70AE3E48" w14:textId="77777777" w:rsidR="00244374" w:rsidRPr="0040341A" w:rsidRDefault="00244374" w:rsidP="00244374">
      <w:pPr>
        <w:spacing w:after="120"/>
        <w:ind w:left="851" w:hanging="143"/>
        <w:jc w:val="both"/>
        <w:rPr>
          <w:i/>
          <w:iCs/>
          <w:color w:val="000000"/>
          <w:lang w:val="sk-SK"/>
        </w:rPr>
      </w:pPr>
      <w:r w:rsidRPr="0040341A">
        <w:rPr>
          <w:i/>
          <w:iCs/>
          <w:color w:val="000000"/>
          <w:lang w:val="sk-SK"/>
        </w:rPr>
        <w:t>- Nariadenie Európskeho parlamentu a Rady (EÚ) 2021/2115 z 2. decembra 2021, ktorým sa ustanovujú pravidlá podpory strategických plánov, ktoré majú zostaviť členské štáty v rámci spoločnej poľnohospodárskej politiky (strategické plány SPP) a ktoré sú financované z Európskeho poľnohospodárskeho záručného fondu (EPZF) a Európskeho poľnohospodárskeho fondu pre rozvoj vidieka (EPFRV), a ktorým sa zrušujú nariadenia (EÚ) č. 1305/2013 a (EÚ) č. 1307/2013 (Ú. v. EÚ L 435, 6.12.2021) v platnom znení</w:t>
      </w:r>
    </w:p>
    <w:p w14:paraId="679844F8" w14:textId="77777777" w:rsidR="00244374" w:rsidRPr="0040341A" w:rsidRDefault="00244374" w:rsidP="00244374">
      <w:pPr>
        <w:spacing w:after="120"/>
        <w:ind w:left="851" w:hanging="143"/>
        <w:jc w:val="both"/>
        <w:rPr>
          <w:i/>
          <w:iCs/>
          <w:color w:val="000000"/>
          <w:lang w:val="sk-SK"/>
        </w:rPr>
      </w:pPr>
      <w:r w:rsidRPr="0040341A">
        <w:rPr>
          <w:i/>
          <w:iCs/>
          <w:color w:val="000000"/>
          <w:lang w:val="sk-SK"/>
        </w:rPr>
        <w:t>- gestorom právneho aktu je MPRV SR</w:t>
      </w:r>
    </w:p>
    <w:p w14:paraId="579ABED3" w14:textId="77777777" w:rsidR="00244374" w:rsidRPr="0040341A" w:rsidRDefault="00244374" w:rsidP="00244374">
      <w:pPr>
        <w:ind w:left="426"/>
        <w:rPr>
          <w:lang w:val="sk-SK"/>
        </w:rPr>
      </w:pPr>
      <w:r w:rsidRPr="0040341A">
        <w:rPr>
          <w:color w:val="000000"/>
          <w:lang w:val="sk-SK"/>
        </w:rPr>
        <w:t>c)</w:t>
      </w:r>
      <w:r w:rsidRPr="0040341A">
        <w:rPr>
          <w:color w:val="000000"/>
          <w:sz w:val="27"/>
          <w:szCs w:val="27"/>
          <w:lang w:val="sk-SK"/>
        </w:rPr>
        <w:t xml:space="preserve"> </w:t>
      </w:r>
      <w:r w:rsidRPr="0040341A">
        <w:rPr>
          <w:lang w:val="sk-SK"/>
        </w:rPr>
        <w:t xml:space="preserve">v judikatúre Súdneho dvora Európskej únie </w:t>
      </w:r>
      <w:r w:rsidRPr="0040341A">
        <w:rPr>
          <w:i/>
          <w:lang w:val="sk-SK"/>
        </w:rPr>
        <w:t>– nie je.</w:t>
      </w:r>
    </w:p>
    <w:p w14:paraId="66979199" w14:textId="77777777" w:rsidR="00244374" w:rsidRPr="0040341A" w:rsidRDefault="00244374" w:rsidP="00244374">
      <w:pPr>
        <w:rPr>
          <w:color w:val="000000"/>
          <w:sz w:val="27"/>
          <w:szCs w:val="27"/>
        </w:rPr>
      </w:pPr>
    </w:p>
    <w:p w14:paraId="5FB97877" w14:textId="77777777" w:rsidR="00244374" w:rsidRPr="0040341A" w:rsidRDefault="00244374" w:rsidP="00244374">
      <w:pPr>
        <w:pStyle w:val="Default"/>
        <w:ind w:left="426" w:hanging="426"/>
        <w:rPr>
          <w:rFonts w:ascii="Times New Roman" w:hAnsi="Times New Roman" w:cs="Times New Roman"/>
        </w:rPr>
      </w:pPr>
      <w:r w:rsidRPr="0040341A">
        <w:rPr>
          <w:rFonts w:ascii="Times New Roman" w:hAnsi="Times New Roman" w:cs="Times New Roman"/>
          <w:b/>
          <w:color w:val="auto"/>
        </w:rPr>
        <w:t>4.</w:t>
      </w:r>
      <w:r w:rsidRPr="0040341A">
        <w:rPr>
          <w:rFonts w:ascii="Times New Roman" w:hAnsi="Times New Roman" w:cs="Times New Roman"/>
          <w:color w:val="auto"/>
        </w:rPr>
        <w:tab/>
      </w:r>
      <w:r w:rsidRPr="0040341A">
        <w:rPr>
          <w:rFonts w:ascii="Times New Roman" w:hAnsi="Times New Roman" w:cs="Times New Roman"/>
          <w:b/>
          <w:bCs/>
        </w:rPr>
        <w:t xml:space="preserve">Záväzky Slovenskej republiky </w:t>
      </w:r>
      <w:proofErr w:type="gramStart"/>
      <w:r w:rsidRPr="0040341A">
        <w:rPr>
          <w:rFonts w:ascii="Times New Roman" w:hAnsi="Times New Roman" w:cs="Times New Roman"/>
          <w:b/>
          <w:bCs/>
        </w:rPr>
        <w:t>vo</w:t>
      </w:r>
      <w:proofErr w:type="gramEnd"/>
      <w:r w:rsidRPr="0040341A">
        <w:rPr>
          <w:rFonts w:ascii="Times New Roman" w:hAnsi="Times New Roman" w:cs="Times New Roman"/>
          <w:b/>
          <w:bCs/>
        </w:rPr>
        <w:t xml:space="preserve"> vzťahu k Európskej únii</w:t>
      </w:r>
      <w:r w:rsidRPr="0040341A">
        <w:rPr>
          <w:rFonts w:ascii="Times New Roman" w:hAnsi="Times New Roman" w:cs="Times New Roman"/>
        </w:rPr>
        <w:t xml:space="preserve">: </w:t>
      </w:r>
    </w:p>
    <w:p w14:paraId="694F5DEC" w14:textId="77777777" w:rsidR="00244374" w:rsidRPr="0040341A" w:rsidRDefault="00244374" w:rsidP="00244374">
      <w:pPr>
        <w:pStyle w:val="Default"/>
        <w:ind w:left="709" w:hanging="283"/>
        <w:jc w:val="both"/>
        <w:rPr>
          <w:rFonts w:ascii="Times New Roman" w:hAnsi="Times New Roman" w:cs="Times New Roman"/>
        </w:rPr>
      </w:pPr>
      <w:r w:rsidRPr="0040341A">
        <w:rPr>
          <w:rFonts w:ascii="Times New Roman" w:hAnsi="Times New Roman" w:cs="Times New Roman"/>
        </w:rPr>
        <w:t xml:space="preserve">a) </w:t>
      </w:r>
      <w:proofErr w:type="gramStart"/>
      <w:r w:rsidRPr="0040341A">
        <w:rPr>
          <w:rFonts w:ascii="Times New Roman" w:hAnsi="Times New Roman" w:cs="Times New Roman"/>
        </w:rPr>
        <w:t>uviesť</w:t>
      </w:r>
      <w:proofErr w:type="gramEnd"/>
      <w:r w:rsidRPr="0040341A">
        <w:rPr>
          <w:rFonts w:ascii="Times New Roman" w:hAnsi="Times New Roman" w:cs="Times New Roman"/>
        </w:rPr>
        <w:t xml:space="preserve"> lehotu na prebranie príslušného právneho aktu Európskej únie, príp. </w:t>
      </w:r>
      <w:proofErr w:type="gramStart"/>
      <w:r w:rsidRPr="0040341A">
        <w:rPr>
          <w:rFonts w:ascii="Times New Roman" w:hAnsi="Times New Roman" w:cs="Times New Roman"/>
        </w:rPr>
        <w:t>aj</w:t>
      </w:r>
      <w:proofErr w:type="gramEnd"/>
      <w:r w:rsidRPr="0040341A">
        <w:rPr>
          <w:rFonts w:ascii="Times New Roman" w:hAnsi="Times New Roman" w:cs="Times New Roman"/>
        </w:rPr>
        <w:t xml:space="preserve"> osobitnú lehotu účinnosti jeho ustanovení, </w:t>
      </w:r>
    </w:p>
    <w:p w14:paraId="24D307C5" w14:textId="77777777" w:rsidR="00244374" w:rsidRPr="0040341A" w:rsidRDefault="00244374" w:rsidP="00244374">
      <w:pPr>
        <w:pStyle w:val="Default"/>
        <w:ind w:left="993" w:hanging="283"/>
        <w:jc w:val="both"/>
        <w:rPr>
          <w:rFonts w:ascii="Times New Roman" w:hAnsi="Times New Roman" w:cs="Times New Roman"/>
          <w:i/>
        </w:rPr>
      </w:pPr>
    </w:p>
    <w:p w14:paraId="4EDDCCA9" w14:textId="77777777" w:rsidR="00244374" w:rsidRPr="0040341A" w:rsidRDefault="00244374" w:rsidP="00244374">
      <w:pPr>
        <w:pStyle w:val="Default"/>
        <w:ind w:left="993" w:hanging="283"/>
        <w:jc w:val="both"/>
        <w:rPr>
          <w:rFonts w:ascii="Times New Roman" w:hAnsi="Times New Roman" w:cs="Times New Roman"/>
          <w:i/>
        </w:rPr>
      </w:pPr>
      <w:r w:rsidRPr="0040341A">
        <w:rPr>
          <w:rFonts w:ascii="Times New Roman" w:hAnsi="Times New Roman" w:cs="Times New Roman"/>
          <w:i/>
        </w:rPr>
        <w:t>Nie je určená.</w:t>
      </w:r>
    </w:p>
    <w:p w14:paraId="2E013CCC" w14:textId="77777777" w:rsidR="00244374" w:rsidRPr="0040341A" w:rsidRDefault="00244374" w:rsidP="00244374">
      <w:pPr>
        <w:pStyle w:val="Default"/>
        <w:ind w:left="709" w:hanging="283"/>
        <w:jc w:val="both"/>
        <w:rPr>
          <w:rFonts w:ascii="Times New Roman" w:hAnsi="Times New Roman" w:cs="Times New Roman"/>
        </w:rPr>
      </w:pPr>
    </w:p>
    <w:p w14:paraId="008629F1" w14:textId="77777777" w:rsidR="00244374" w:rsidRPr="0040341A" w:rsidRDefault="00244374" w:rsidP="00244374">
      <w:pPr>
        <w:pStyle w:val="Default"/>
        <w:ind w:left="709" w:hanging="283"/>
        <w:jc w:val="both"/>
        <w:rPr>
          <w:rFonts w:ascii="Times New Roman" w:hAnsi="Times New Roman" w:cs="Times New Roman"/>
          <w:b/>
        </w:rPr>
      </w:pPr>
      <w:r w:rsidRPr="0040341A">
        <w:rPr>
          <w:rFonts w:ascii="Times New Roman" w:hAnsi="Times New Roman" w:cs="Times New Roman"/>
        </w:rPr>
        <w:t xml:space="preserve">b) </w:t>
      </w:r>
      <w:proofErr w:type="gramStart"/>
      <w:r w:rsidRPr="0040341A">
        <w:rPr>
          <w:rFonts w:ascii="Times New Roman" w:hAnsi="Times New Roman" w:cs="Times New Roman"/>
        </w:rPr>
        <w:t>uviesť</w:t>
      </w:r>
      <w:proofErr w:type="gramEnd"/>
      <w:r w:rsidRPr="0040341A">
        <w:rPr>
          <w:rFonts w:ascii="Times New Roman" w:hAnsi="Times New Roman" w:cs="Times New Roman"/>
        </w:rPr>
        <w:t xml:space="preserve">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w:t>
      </w:r>
      <w:proofErr w:type="gramStart"/>
      <w:r w:rsidRPr="0040341A">
        <w:rPr>
          <w:rFonts w:ascii="Times New Roman" w:hAnsi="Times New Roman" w:cs="Times New Roman"/>
        </w:rPr>
        <w:t>na</w:t>
      </w:r>
      <w:proofErr w:type="gramEnd"/>
      <w:r w:rsidRPr="0040341A">
        <w:rPr>
          <w:rFonts w:ascii="Times New Roman" w:hAnsi="Times New Roman" w:cs="Times New Roman"/>
        </w:rPr>
        <w:t xml:space="preserve"> zabezpečenie nápravy so zreteľom na n</w:t>
      </w:r>
      <w:r w:rsidRPr="0040341A">
        <w:rPr>
          <w:rStyle w:val="Siln"/>
          <w:rFonts w:ascii="Times New Roman" w:hAnsi="Times New Roman" w:cs="Times New Roman"/>
          <w:color w:val="auto"/>
        </w:rPr>
        <w:t>ariadenie Európskeho parlamentu a Rady (ES) č. 1049/2001 z 30. </w:t>
      </w:r>
      <w:proofErr w:type="gramStart"/>
      <w:r w:rsidRPr="0040341A">
        <w:rPr>
          <w:rStyle w:val="Siln"/>
          <w:rFonts w:ascii="Times New Roman" w:hAnsi="Times New Roman" w:cs="Times New Roman"/>
          <w:color w:val="auto"/>
        </w:rPr>
        <w:t>mája</w:t>
      </w:r>
      <w:proofErr w:type="gramEnd"/>
      <w:r w:rsidRPr="0040341A">
        <w:rPr>
          <w:rStyle w:val="Siln"/>
          <w:rFonts w:ascii="Times New Roman" w:hAnsi="Times New Roman" w:cs="Times New Roman"/>
          <w:color w:val="auto"/>
        </w:rPr>
        <w:t> 2001 o prístupe verejnosti k dokumentom Európskeho parlamentu, Rady a Komisie</w:t>
      </w:r>
      <w:r w:rsidRPr="0040341A">
        <w:rPr>
          <w:rFonts w:ascii="Times New Roman" w:hAnsi="Times New Roman" w:cs="Times New Roman"/>
          <w:b/>
        </w:rPr>
        <w:t xml:space="preserve">, </w:t>
      </w:r>
    </w:p>
    <w:p w14:paraId="3603AF22" w14:textId="77777777" w:rsidR="00244374" w:rsidRPr="0040341A" w:rsidRDefault="00244374" w:rsidP="00244374">
      <w:pPr>
        <w:pStyle w:val="Default"/>
        <w:ind w:left="709" w:hanging="283"/>
        <w:jc w:val="both"/>
        <w:rPr>
          <w:rFonts w:ascii="Times New Roman" w:hAnsi="Times New Roman" w:cs="Times New Roman"/>
          <w:b/>
          <w:i/>
        </w:rPr>
      </w:pPr>
    </w:p>
    <w:p w14:paraId="4662881D" w14:textId="77777777" w:rsidR="00244374" w:rsidRPr="0040341A" w:rsidRDefault="00244374" w:rsidP="00244374">
      <w:pPr>
        <w:pStyle w:val="Default"/>
        <w:ind w:left="993" w:hanging="283"/>
        <w:jc w:val="both"/>
        <w:rPr>
          <w:rFonts w:ascii="Times New Roman" w:hAnsi="Times New Roman" w:cs="Times New Roman"/>
          <w:i/>
        </w:rPr>
      </w:pPr>
      <w:r w:rsidRPr="0040341A">
        <w:rPr>
          <w:rFonts w:ascii="Times New Roman" w:hAnsi="Times New Roman" w:cs="Times New Roman"/>
          <w:i/>
        </w:rPr>
        <w:t>Nebolo začaté konanie.</w:t>
      </w:r>
    </w:p>
    <w:p w14:paraId="4D0CA0E4" w14:textId="77777777" w:rsidR="00244374" w:rsidRPr="0040341A" w:rsidRDefault="00244374" w:rsidP="00244374">
      <w:pPr>
        <w:pStyle w:val="Default"/>
        <w:ind w:left="709" w:hanging="283"/>
        <w:jc w:val="both"/>
        <w:rPr>
          <w:rFonts w:ascii="Times New Roman" w:hAnsi="Times New Roman" w:cs="Times New Roman"/>
        </w:rPr>
      </w:pPr>
    </w:p>
    <w:p w14:paraId="78853B4B" w14:textId="77777777" w:rsidR="00244374" w:rsidRPr="0040341A" w:rsidRDefault="00244374" w:rsidP="00244374">
      <w:pPr>
        <w:pStyle w:val="Default"/>
        <w:ind w:left="709" w:hanging="283"/>
        <w:jc w:val="both"/>
        <w:rPr>
          <w:rFonts w:ascii="Times New Roman" w:hAnsi="Times New Roman" w:cs="Times New Roman"/>
        </w:rPr>
      </w:pPr>
      <w:r w:rsidRPr="0040341A">
        <w:rPr>
          <w:rFonts w:ascii="Times New Roman" w:hAnsi="Times New Roman" w:cs="Times New Roman"/>
        </w:rPr>
        <w:t xml:space="preserve">c) </w:t>
      </w:r>
      <w:proofErr w:type="gramStart"/>
      <w:r w:rsidRPr="0040341A">
        <w:rPr>
          <w:rFonts w:ascii="Times New Roman" w:hAnsi="Times New Roman" w:cs="Times New Roman"/>
        </w:rPr>
        <w:t>uviesť</w:t>
      </w:r>
      <w:proofErr w:type="gramEnd"/>
      <w:r w:rsidRPr="0040341A">
        <w:rPr>
          <w:rFonts w:ascii="Times New Roman" w:hAnsi="Times New Roman" w:cs="Times New Roman"/>
        </w:rPr>
        <w:t xml:space="preserve"> informáciu o právnych predpisoch, v ktorých sú uvádzané právne akty Európskej únie už prebrané, spolu s uvedením rozsahu ich prebrania, príp. </w:t>
      </w:r>
      <w:proofErr w:type="gramStart"/>
      <w:r w:rsidRPr="0040341A">
        <w:rPr>
          <w:rFonts w:ascii="Times New Roman" w:hAnsi="Times New Roman" w:cs="Times New Roman"/>
        </w:rPr>
        <w:t>potreby</w:t>
      </w:r>
      <w:proofErr w:type="gramEnd"/>
      <w:r w:rsidRPr="0040341A">
        <w:rPr>
          <w:rFonts w:ascii="Times New Roman" w:hAnsi="Times New Roman" w:cs="Times New Roman"/>
        </w:rPr>
        <w:t xml:space="preserve"> prijatia ďalších úprav. </w:t>
      </w:r>
    </w:p>
    <w:p w14:paraId="2A409EBD" w14:textId="77777777" w:rsidR="00244374" w:rsidRPr="0040341A" w:rsidRDefault="00244374" w:rsidP="00244374">
      <w:pPr>
        <w:pStyle w:val="Default"/>
        <w:ind w:left="709" w:hanging="283"/>
        <w:jc w:val="both"/>
        <w:rPr>
          <w:rFonts w:ascii="Times New Roman" w:hAnsi="Times New Roman" w:cs="Times New Roman"/>
          <w:i/>
        </w:rPr>
      </w:pPr>
    </w:p>
    <w:p w14:paraId="0C16811F" w14:textId="77777777" w:rsidR="00244374" w:rsidRPr="0040341A" w:rsidRDefault="00244374" w:rsidP="00244374">
      <w:pPr>
        <w:pStyle w:val="Default"/>
        <w:ind w:left="993" w:hanging="283"/>
        <w:jc w:val="both"/>
        <w:rPr>
          <w:rFonts w:ascii="Times New Roman" w:hAnsi="Times New Roman" w:cs="Times New Roman"/>
          <w:i/>
        </w:rPr>
      </w:pPr>
      <w:r w:rsidRPr="0040341A">
        <w:rPr>
          <w:rFonts w:ascii="Times New Roman" w:hAnsi="Times New Roman" w:cs="Times New Roman"/>
          <w:i/>
        </w:rPr>
        <w:t xml:space="preserve">Bezpredmetné. </w:t>
      </w:r>
    </w:p>
    <w:p w14:paraId="5664282D" w14:textId="77777777" w:rsidR="00244374" w:rsidRPr="0040341A" w:rsidRDefault="00244374" w:rsidP="00244374">
      <w:pPr>
        <w:pStyle w:val="Default"/>
        <w:jc w:val="both"/>
        <w:rPr>
          <w:rFonts w:ascii="Times New Roman" w:hAnsi="Times New Roman" w:cs="Times New Roman"/>
        </w:rPr>
      </w:pPr>
    </w:p>
    <w:p w14:paraId="5B661CBD" w14:textId="77777777" w:rsidR="00244374" w:rsidRPr="0040341A" w:rsidRDefault="00244374" w:rsidP="00244374">
      <w:pPr>
        <w:pStyle w:val="Default"/>
        <w:rPr>
          <w:rFonts w:ascii="Times New Roman" w:hAnsi="Times New Roman" w:cs="Times New Roman"/>
        </w:rPr>
      </w:pPr>
      <w:r w:rsidRPr="0040341A">
        <w:rPr>
          <w:rFonts w:ascii="Times New Roman" w:hAnsi="Times New Roman" w:cs="Times New Roman"/>
          <w:b/>
        </w:rPr>
        <w:t>5.</w:t>
      </w:r>
      <w:r w:rsidRPr="0040341A">
        <w:rPr>
          <w:rFonts w:ascii="Times New Roman" w:hAnsi="Times New Roman" w:cs="Times New Roman"/>
        </w:rPr>
        <w:t xml:space="preserve"> </w:t>
      </w:r>
      <w:r w:rsidRPr="0040341A">
        <w:rPr>
          <w:rFonts w:ascii="Times New Roman" w:hAnsi="Times New Roman" w:cs="Times New Roman"/>
          <w:b/>
          <w:bCs/>
        </w:rPr>
        <w:t>Návrh zákona je zlučiteľný s právom Európskej únie</w:t>
      </w:r>
      <w:r w:rsidRPr="0040341A">
        <w:rPr>
          <w:rFonts w:ascii="Times New Roman" w:hAnsi="Times New Roman" w:cs="Times New Roman"/>
        </w:rPr>
        <w:t xml:space="preserve">: </w:t>
      </w:r>
    </w:p>
    <w:p w14:paraId="7769690E" w14:textId="77777777" w:rsidR="00244374" w:rsidRPr="0040341A" w:rsidRDefault="00244374" w:rsidP="00244374">
      <w:pPr>
        <w:pStyle w:val="Default"/>
        <w:ind w:left="709"/>
        <w:jc w:val="both"/>
        <w:rPr>
          <w:rFonts w:ascii="Times New Roman" w:hAnsi="Times New Roman" w:cs="Times New Roman"/>
          <w:i/>
        </w:rPr>
      </w:pPr>
    </w:p>
    <w:p w14:paraId="21F03B98" w14:textId="77777777" w:rsidR="00244374" w:rsidRPr="0040341A" w:rsidRDefault="00244374" w:rsidP="00244374">
      <w:pPr>
        <w:pStyle w:val="Default"/>
        <w:ind w:left="709"/>
        <w:jc w:val="both"/>
        <w:rPr>
          <w:rFonts w:ascii="Times New Roman" w:hAnsi="Times New Roman" w:cs="Times New Roman"/>
          <w:b/>
        </w:rPr>
      </w:pPr>
      <w:r w:rsidRPr="0040341A">
        <w:rPr>
          <w:rFonts w:ascii="Times New Roman" w:hAnsi="Times New Roman" w:cs="Times New Roman"/>
          <w:i/>
        </w:rPr>
        <w:t>Úplne.</w:t>
      </w:r>
    </w:p>
    <w:p w14:paraId="63435FA7" w14:textId="4E4BD98B" w:rsidR="00244374" w:rsidRPr="0040341A" w:rsidRDefault="00244374" w:rsidP="00B32768">
      <w:pPr>
        <w:jc w:val="center"/>
        <w:rPr>
          <w:b/>
          <w:sz w:val="28"/>
          <w:szCs w:val="28"/>
          <w:highlight w:val="yellow"/>
          <w:lang w:eastAsia="sk-SK"/>
        </w:rPr>
      </w:pPr>
    </w:p>
    <w:p w14:paraId="4EE58D3A" w14:textId="77777777" w:rsidR="00805B44" w:rsidRPr="0040341A" w:rsidRDefault="00805B44" w:rsidP="00B32768">
      <w:pPr>
        <w:jc w:val="center"/>
        <w:rPr>
          <w:b/>
          <w:sz w:val="28"/>
          <w:szCs w:val="28"/>
          <w:highlight w:val="yellow"/>
          <w:lang w:eastAsia="sk-SK"/>
        </w:rPr>
      </w:pPr>
    </w:p>
    <w:p w14:paraId="0A49DFC4" w14:textId="77777777" w:rsidR="00244374" w:rsidRPr="0040341A" w:rsidRDefault="00244374" w:rsidP="00244374">
      <w:pPr>
        <w:spacing w:before="100" w:beforeAutospacing="1" w:after="100" w:afterAutospacing="1"/>
        <w:jc w:val="both"/>
        <w:rPr>
          <w:b/>
          <w:bCs/>
          <w:color w:val="000000"/>
          <w:sz w:val="28"/>
          <w:szCs w:val="28"/>
          <w:lang w:eastAsia="sk-SK"/>
        </w:rPr>
      </w:pPr>
      <w:r w:rsidRPr="0040341A">
        <w:rPr>
          <w:b/>
          <w:bCs/>
          <w:color w:val="000000"/>
          <w:sz w:val="28"/>
          <w:szCs w:val="28"/>
          <w:lang w:eastAsia="sk-SK"/>
        </w:rPr>
        <w:t>B.</w:t>
      </w:r>
      <w:r w:rsidRPr="0040341A">
        <w:rPr>
          <w:b/>
          <w:bCs/>
          <w:color w:val="000000"/>
          <w:sz w:val="28"/>
          <w:szCs w:val="28"/>
          <w:lang w:eastAsia="sk-SK"/>
        </w:rPr>
        <w:tab/>
        <w:t xml:space="preserve">Osobitná časť </w:t>
      </w:r>
    </w:p>
    <w:p w14:paraId="4F1A0BDD" w14:textId="77777777" w:rsidR="00244374" w:rsidRPr="0040341A" w:rsidRDefault="00244374" w:rsidP="00244374">
      <w:pPr>
        <w:spacing w:before="100" w:beforeAutospacing="1" w:after="100" w:afterAutospacing="1"/>
        <w:jc w:val="both"/>
        <w:rPr>
          <w:color w:val="000000"/>
          <w:lang w:eastAsia="sk-SK"/>
        </w:rPr>
      </w:pPr>
      <w:r w:rsidRPr="0040341A">
        <w:rPr>
          <w:color w:val="000000"/>
          <w:lang w:eastAsia="sk-SK"/>
        </w:rPr>
        <w:t xml:space="preserve">K čl. I </w:t>
      </w:r>
    </w:p>
    <w:p w14:paraId="3545F6D3" w14:textId="77777777" w:rsidR="00244374" w:rsidRPr="0040341A" w:rsidRDefault="00244374" w:rsidP="00244374">
      <w:pPr>
        <w:jc w:val="both"/>
        <w:rPr>
          <w:color w:val="000000"/>
          <w:lang w:eastAsia="sk-SK"/>
        </w:rPr>
      </w:pPr>
      <w:r w:rsidRPr="0040341A">
        <w:rPr>
          <w:color w:val="000000"/>
          <w:lang w:eastAsia="sk-SK"/>
        </w:rPr>
        <w:t>K bodu 1 (§ 1 ods. 2)</w:t>
      </w:r>
    </w:p>
    <w:p w14:paraId="581AD8D0" w14:textId="77777777" w:rsidR="00244374" w:rsidRPr="0040341A" w:rsidRDefault="00244374" w:rsidP="00244374">
      <w:pPr>
        <w:jc w:val="both"/>
        <w:rPr>
          <w:color w:val="000000"/>
          <w:lang w:eastAsia="sk-SK"/>
        </w:rPr>
      </w:pPr>
      <w:r w:rsidRPr="0040341A">
        <w:rPr>
          <w:color w:val="000000"/>
          <w:lang w:eastAsia="sk-SK"/>
        </w:rPr>
        <w:t xml:space="preserve">Legislatívno-technická úprava. </w:t>
      </w:r>
    </w:p>
    <w:p w14:paraId="18FC8D70" w14:textId="77777777" w:rsidR="00244374" w:rsidRPr="0040341A" w:rsidRDefault="00244374" w:rsidP="00244374">
      <w:pPr>
        <w:jc w:val="both"/>
        <w:rPr>
          <w:color w:val="000000"/>
          <w:lang w:eastAsia="sk-SK"/>
        </w:rPr>
      </w:pPr>
    </w:p>
    <w:p w14:paraId="2BCACE6A" w14:textId="77777777" w:rsidR="00244374" w:rsidRPr="0040341A" w:rsidRDefault="00244374" w:rsidP="00244374">
      <w:pPr>
        <w:jc w:val="both"/>
      </w:pPr>
      <w:r w:rsidRPr="0040341A">
        <w:rPr>
          <w:color w:val="000000"/>
          <w:lang w:eastAsia="sk-SK"/>
        </w:rPr>
        <w:t xml:space="preserve">K bodu 2 </w:t>
      </w:r>
      <w:r w:rsidRPr="0040341A">
        <w:t>[</w:t>
      </w:r>
      <w:r w:rsidRPr="0040341A">
        <w:rPr>
          <w:color w:val="000000"/>
          <w:lang w:eastAsia="sk-SK"/>
        </w:rPr>
        <w:t xml:space="preserve">§ </w:t>
      </w:r>
      <w:proofErr w:type="gramStart"/>
      <w:r w:rsidRPr="0040341A">
        <w:rPr>
          <w:color w:val="000000"/>
          <w:lang w:eastAsia="sk-SK"/>
        </w:rPr>
        <w:t>2</w:t>
      </w:r>
      <w:proofErr w:type="gramEnd"/>
      <w:r w:rsidRPr="0040341A">
        <w:rPr>
          <w:color w:val="000000"/>
          <w:lang w:eastAsia="sk-SK"/>
        </w:rPr>
        <w:t xml:space="preserve"> písm. d)</w:t>
      </w:r>
      <w:r w:rsidRPr="0040341A">
        <w:t>]:</w:t>
      </w:r>
    </w:p>
    <w:p w14:paraId="1E5D9259" w14:textId="77777777" w:rsidR="00244374" w:rsidRPr="0040341A" w:rsidRDefault="00244374" w:rsidP="00244374">
      <w:pPr>
        <w:spacing w:after="100" w:afterAutospacing="1"/>
        <w:jc w:val="both"/>
        <w:rPr>
          <w:color w:val="000000" w:themeColor="text1"/>
          <w:lang w:eastAsia="sk-SK"/>
        </w:rPr>
      </w:pPr>
      <w:r w:rsidRPr="0040341A">
        <w:rPr>
          <w:color w:val="000000" w:themeColor="text1"/>
          <w:lang w:eastAsia="sk-SK"/>
        </w:rPr>
        <w:t xml:space="preserve">Navrhuje </w:t>
      </w:r>
      <w:proofErr w:type="gramStart"/>
      <w:r w:rsidRPr="0040341A">
        <w:rPr>
          <w:color w:val="000000" w:themeColor="text1"/>
          <w:lang w:eastAsia="sk-SK"/>
        </w:rPr>
        <w:t>sa</w:t>
      </w:r>
      <w:proofErr w:type="gramEnd"/>
      <w:r w:rsidRPr="0040341A">
        <w:rPr>
          <w:color w:val="000000" w:themeColor="text1"/>
          <w:lang w:eastAsia="sk-SK"/>
        </w:rPr>
        <w:t xml:space="preserve"> doplniť medzi základné pojmy pojem „územie udržateľného mestského rozvoja“. Účelom doplnenia pojmu je využitie úrovne mestskej funkčnej oblasti pre účel spoločného strategického plánovania a implementácie zdrojov za účelom napĺňania spoločných strategických cieľov príslušných samospráv </w:t>
      </w:r>
      <w:proofErr w:type="gramStart"/>
      <w:r w:rsidRPr="0040341A">
        <w:rPr>
          <w:color w:val="000000" w:themeColor="text1"/>
          <w:lang w:eastAsia="sk-SK"/>
        </w:rPr>
        <w:t>vo</w:t>
      </w:r>
      <w:proofErr w:type="gramEnd"/>
      <w:r w:rsidRPr="0040341A">
        <w:rPr>
          <w:color w:val="000000" w:themeColor="text1"/>
          <w:lang w:eastAsia="sk-SK"/>
        </w:rPr>
        <w:t xml:space="preserve"> vyčlenenom území. Pravidlá definovania územia udržateľného mestského rozvoja sú uvedené v Jednotnom metodickom rámci pre prípravu integrovaných územných stratégií </w:t>
      </w:r>
      <w:proofErr w:type="gramStart"/>
      <w:r w:rsidRPr="0040341A">
        <w:rPr>
          <w:color w:val="000000" w:themeColor="text1"/>
          <w:lang w:eastAsia="sk-SK"/>
        </w:rPr>
        <w:t>a</w:t>
      </w:r>
      <w:proofErr w:type="gramEnd"/>
      <w:r w:rsidRPr="0040341A">
        <w:rPr>
          <w:color w:val="000000" w:themeColor="text1"/>
          <w:lang w:eastAsia="sk-SK"/>
        </w:rPr>
        <w:t xml:space="preserve"> integrovaných územných investícií v Slovenskej republike v programovom období 2021 – 2027 a vychádzajú z Koncepcie územného rozvoja Slovenska – KURS2011.</w:t>
      </w:r>
    </w:p>
    <w:p w14:paraId="06C43202" w14:textId="77777777" w:rsidR="00244374" w:rsidRPr="0040341A" w:rsidRDefault="00244374" w:rsidP="00244374">
      <w:pPr>
        <w:spacing w:before="100" w:beforeAutospacing="1"/>
        <w:jc w:val="both"/>
        <w:rPr>
          <w:color w:val="000000"/>
          <w:lang w:eastAsia="sk-SK"/>
        </w:rPr>
      </w:pPr>
      <w:r w:rsidRPr="0040341A">
        <w:rPr>
          <w:color w:val="000000"/>
          <w:lang w:eastAsia="sk-SK"/>
        </w:rPr>
        <w:t xml:space="preserve">K bodu 3 </w:t>
      </w:r>
      <w:r w:rsidRPr="0040341A">
        <w:t>[</w:t>
      </w:r>
      <w:r w:rsidRPr="0040341A">
        <w:rPr>
          <w:color w:val="000000"/>
          <w:lang w:eastAsia="sk-SK"/>
        </w:rPr>
        <w:t>§ 2 písm. e)</w:t>
      </w:r>
      <w:r w:rsidRPr="0040341A">
        <w:t>]</w:t>
      </w:r>
    </w:p>
    <w:p w14:paraId="2FBF29C1" w14:textId="77777777" w:rsidR="00244374" w:rsidRPr="0040341A" w:rsidRDefault="00244374" w:rsidP="00244374">
      <w:pPr>
        <w:jc w:val="both"/>
        <w:rPr>
          <w:color w:val="000000"/>
          <w:lang w:eastAsia="sk-SK"/>
        </w:rPr>
      </w:pPr>
      <w:r w:rsidRPr="0040341A">
        <w:rPr>
          <w:color w:val="000000" w:themeColor="text1"/>
          <w:lang w:eastAsia="sk-SK"/>
        </w:rPr>
        <w:t>Navrhuje sa doplniť medzi základné pojmy pojem „jadrové mesto územia udržateľného mestského rozvoja</w:t>
      </w:r>
      <w:proofErr w:type="gramStart"/>
      <w:r w:rsidRPr="0040341A">
        <w:rPr>
          <w:color w:val="000000" w:themeColor="text1"/>
          <w:lang w:eastAsia="sk-SK"/>
        </w:rPr>
        <w:t>“ s</w:t>
      </w:r>
      <w:proofErr w:type="gramEnd"/>
      <w:r w:rsidRPr="0040341A">
        <w:rPr>
          <w:color w:val="000000" w:themeColor="text1"/>
          <w:lang w:eastAsia="sk-SK"/>
        </w:rPr>
        <w:t xml:space="preserve"> cieľom definovania špecifickej kompetencie jadrového mesta vo vzťahu ku koordinácii a riadenia strategického plánovania v území typickom významnými funkčnými väzbami medzi mestským sídlom a jeho zázemím. Pod jadrovým mestom územia udržateľného mestského rozvoja chápeme vybrané sídlo so štatútom </w:t>
      </w:r>
      <w:proofErr w:type="gramStart"/>
      <w:r w:rsidRPr="0040341A">
        <w:rPr>
          <w:color w:val="000000" w:themeColor="text1"/>
          <w:lang w:eastAsia="sk-SK"/>
        </w:rPr>
        <w:t>mesta</w:t>
      </w:r>
      <w:proofErr w:type="gramEnd"/>
      <w:r w:rsidRPr="0040341A">
        <w:rPr>
          <w:color w:val="000000" w:themeColor="text1"/>
          <w:lang w:eastAsia="sk-SK"/>
        </w:rPr>
        <w:t xml:space="preserve"> s najvyšším počtom obyvateľov v rámci ťažiska osídlenia I. alebo II. kategórie podľa Jednotného metodického rámca pre prípravu integrovaných územných stratégií a integrovaných územných investícií v Slovenskej republike v programovom období 2021 – 2027, ktorý vychádza z Koncepcie územného rozvoja Slovenska - KURS2011.</w:t>
      </w:r>
    </w:p>
    <w:p w14:paraId="53B19F56"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K bodu 4 [§ 2 písm. h)</w:t>
      </w:r>
      <w:r w:rsidRPr="0040341A">
        <w:t>]</w:t>
      </w:r>
    </w:p>
    <w:p w14:paraId="603A985B" w14:textId="77777777" w:rsidR="00244374" w:rsidRPr="0040341A" w:rsidRDefault="00244374" w:rsidP="00244374">
      <w:pPr>
        <w:spacing w:after="100" w:afterAutospacing="1"/>
        <w:jc w:val="both"/>
        <w:rPr>
          <w:color w:val="000000"/>
          <w:lang w:eastAsia="sk-SK"/>
        </w:rPr>
      </w:pPr>
      <w:r w:rsidRPr="0040341A">
        <w:rPr>
          <w:color w:val="000000"/>
          <w:lang w:eastAsia="sk-SK"/>
        </w:rPr>
        <w:t>Navrhuje sa bližšie upraviť definícia pojmu „partnerstvo</w:t>
      </w:r>
      <w:proofErr w:type="gramStart"/>
      <w:r w:rsidRPr="0040341A">
        <w:rPr>
          <w:color w:val="000000"/>
          <w:lang w:eastAsia="sk-SK"/>
        </w:rPr>
        <w:t>“ za</w:t>
      </w:r>
      <w:proofErr w:type="gramEnd"/>
      <w:r w:rsidRPr="0040341A">
        <w:rPr>
          <w:color w:val="000000"/>
          <w:lang w:eastAsia="sk-SK"/>
        </w:rPr>
        <w:t xml:space="preserve"> účelom využitia územných kooperačných štruktúr vykreovaných pre riadenie implementácie fondov EÚ a aj pre koordináciu politiky regionálneho rozvoja.</w:t>
      </w:r>
    </w:p>
    <w:p w14:paraId="42F3CD66"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5 </w:t>
      </w:r>
      <w:r w:rsidRPr="0040341A">
        <w:t>[</w:t>
      </w:r>
      <w:r w:rsidRPr="0040341A">
        <w:rPr>
          <w:color w:val="000000" w:themeColor="text1"/>
          <w:lang w:eastAsia="sk-SK"/>
        </w:rPr>
        <w:t>§ 2 písm. l)</w:t>
      </w:r>
      <w:r w:rsidRPr="0040341A">
        <w:t>]</w:t>
      </w:r>
    </w:p>
    <w:p w14:paraId="1E1BA2F0" w14:textId="77777777" w:rsidR="00244374" w:rsidRPr="0040341A" w:rsidRDefault="00244374" w:rsidP="00244374">
      <w:pPr>
        <w:spacing w:after="100" w:afterAutospacing="1"/>
        <w:jc w:val="both"/>
        <w:rPr>
          <w:color w:val="000000"/>
          <w:lang w:eastAsia="sk-SK"/>
        </w:rPr>
      </w:pPr>
      <w:r w:rsidRPr="0040341A">
        <w:rPr>
          <w:color w:val="000000"/>
          <w:lang w:eastAsia="sk-SK"/>
        </w:rPr>
        <w:t xml:space="preserve">Navrhuje </w:t>
      </w:r>
      <w:proofErr w:type="gramStart"/>
      <w:r w:rsidRPr="0040341A">
        <w:rPr>
          <w:color w:val="000000"/>
          <w:lang w:eastAsia="sk-SK"/>
        </w:rPr>
        <w:t>sa</w:t>
      </w:r>
      <w:proofErr w:type="gramEnd"/>
      <w:r w:rsidRPr="0040341A">
        <w:rPr>
          <w:color w:val="000000"/>
          <w:lang w:eastAsia="sk-SK"/>
        </w:rPr>
        <w:t xml:space="preserve"> doplniť definícia regionálnych rozvojových agentúr do základných pojmov z dôvodu navrhovaného zrušenia § 14.</w:t>
      </w:r>
    </w:p>
    <w:p w14:paraId="2546A5B5" w14:textId="77777777" w:rsidR="00244374" w:rsidRPr="0040341A" w:rsidRDefault="00244374" w:rsidP="00244374">
      <w:pPr>
        <w:jc w:val="both"/>
        <w:rPr>
          <w:color w:val="000000" w:themeColor="text1"/>
          <w:lang w:eastAsia="sk-SK"/>
        </w:rPr>
      </w:pPr>
      <w:r w:rsidRPr="0040341A">
        <w:rPr>
          <w:color w:val="000000" w:themeColor="text1"/>
          <w:lang w:eastAsia="sk-SK"/>
        </w:rPr>
        <w:t xml:space="preserve">K bodu 6 </w:t>
      </w:r>
      <w:r w:rsidRPr="0040341A">
        <w:t>[</w:t>
      </w:r>
      <w:r w:rsidRPr="0040341A">
        <w:rPr>
          <w:color w:val="000000" w:themeColor="text1"/>
          <w:lang w:eastAsia="sk-SK"/>
        </w:rPr>
        <w:t xml:space="preserve">§ </w:t>
      </w:r>
      <w:proofErr w:type="gramStart"/>
      <w:r w:rsidRPr="0040341A">
        <w:rPr>
          <w:color w:val="000000" w:themeColor="text1"/>
          <w:lang w:eastAsia="sk-SK"/>
        </w:rPr>
        <w:t>3</w:t>
      </w:r>
      <w:proofErr w:type="gramEnd"/>
      <w:r w:rsidRPr="0040341A">
        <w:rPr>
          <w:color w:val="000000" w:themeColor="text1"/>
          <w:lang w:eastAsia="sk-SK"/>
        </w:rPr>
        <w:t xml:space="preserve"> ods. 1 a ods. 2 písm. k), </w:t>
      </w:r>
      <w:r w:rsidRPr="0040341A">
        <w:rPr>
          <w:bCs/>
        </w:rPr>
        <w:t xml:space="preserve">§ 6 ods. </w:t>
      </w:r>
      <w:proofErr w:type="gramStart"/>
      <w:r w:rsidRPr="0040341A">
        <w:rPr>
          <w:bCs/>
        </w:rPr>
        <w:t>1</w:t>
      </w:r>
      <w:proofErr w:type="gramEnd"/>
      <w:r w:rsidRPr="0040341A">
        <w:rPr>
          <w:bCs/>
        </w:rPr>
        <w:t>,</w:t>
      </w:r>
      <w:r w:rsidRPr="0040341A">
        <w:rPr>
          <w:color w:val="000000" w:themeColor="text1"/>
          <w:lang w:eastAsia="sk-SK"/>
        </w:rPr>
        <w:t xml:space="preserve"> </w:t>
      </w:r>
      <w:r w:rsidRPr="0040341A">
        <w:rPr>
          <w:bCs/>
        </w:rPr>
        <w:t xml:space="preserve">§ 11 písm. a) </w:t>
      </w:r>
      <w:proofErr w:type="gramStart"/>
      <w:r w:rsidRPr="0040341A">
        <w:rPr>
          <w:bCs/>
        </w:rPr>
        <w:t>a</w:t>
      </w:r>
      <w:proofErr w:type="gramEnd"/>
      <w:r w:rsidRPr="0040341A">
        <w:rPr>
          <w:bCs/>
        </w:rPr>
        <w:t xml:space="preserve"> § 12 písm. </w:t>
      </w:r>
      <w:proofErr w:type="gramStart"/>
      <w:r w:rsidRPr="0040341A">
        <w:rPr>
          <w:bCs/>
        </w:rPr>
        <w:t>a</w:t>
      </w:r>
      <w:proofErr w:type="gramEnd"/>
      <w:r w:rsidRPr="0040341A">
        <w:rPr>
          <w:bCs/>
        </w:rPr>
        <w:t>)</w:t>
      </w:r>
      <w:r w:rsidRPr="0040341A">
        <w:t>]</w:t>
      </w:r>
    </w:p>
    <w:p w14:paraId="224FE666" w14:textId="77777777" w:rsidR="00244374" w:rsidRPr="0040341A" w:rsidRDefault="00244374" w:rsidP="00244374">
      <w:pPr>
        <w:jc w:val="both"/>
        <w:rPr>
          <w:color w:val="000000" w:themeColor="text1"/>
          <w:lang w:eastAsia="sk-SK"/>
        </w:rPr>
      </w:pPr>
      <w:r w:rsidRPr="0040341A">
        <w:rPr>
          <w:color w:val="000000" w:themeColor="text1"/>
          <w:lang w:eastAsia="sk-SK"/>
        </w:rPr>
        <w:t>Navrhovaná úprava vypúšťa slovo „trvalo“ v spojení „trvalo udržateľný rozvoj“ a v spojení „trvalo udržateľný hospodársky rozvoj“ v súlade v súčasnosti používaným spojením „udržateľný rozvoj“.</w:t>
      </w:r>
    </w:p>
    <w:p w14:paraId="6E46A221"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7 </w:t>
      </w:r>
      <w:r w:rsidRPr="0040341A">
        <w:t>[</w:t>
      </w:r>
      <w:r w:rsidRPr="0040341A">
        <w:rPr>
          <w:color w:val="000000" w:themeColor="text1"/>
          <w:lang w:eastAsia="sk-SK"/>
        </w:rPr>
        <w:t>§ 3 ods. 2 písm. q)</w:t>
      </w:r>
      <w:r w:rsidRPr="0040341A">
        <w:t>]</w:t>
      </w:r>
    </w:p>
    <w:p w14:paraId="26C6CC58" w14:textId="77777777" w:rsidR="00244374" w:rsidRPr="0040341A" w:rsidRDefault="00244374" w:rsidP="00244374">
      <w:pPr>
        <w:jc w:val="both"/>
        <w:rPr>
          <w:color w:val="000000"/>
          <w:lang w:eastAsia="sk-SK"/>
        </w:rPr>
      </w:pPr>
      <w:r w:rsidRPr="0040341A">
        <w:rPr>
          <w:color w:val="000000"/>
          <w:lang w:eastAsia="sk-SK"/>
        </w:rPr>
        <w:t>Navrhovaná úprava nahrádza pojem „udržateľný rozvoj aglomerácií“ na „udržateľný mestský rozvoj“ vzhľadom na zosúladenie terminológie s terminológiou zavedenou v zákone č. 121/2022 Z. z. o príspevkoch z fondov Európskej únie a o zmene a doplnení niektorých zákonov v znení neskorších predpisov.</w:t>
      </w:r>
    </w:p>
    <w:p w14:paraId="339A054A" w14:textId="77777777" w:rsidR="00244374" w:rsidRPr="0040341A" w:rsidRDefault="00244374" w:rsidP="00244374">
      <w:pPr>
        <w:jc w:val="both"/>
        <w:rPr>
          <w:color w:val="000000"/>
          <w:lang w:eastAsia="sk-SK"/>
        </w:rPr>
      </w:pPr>
    </w:p>
    <w:p w14:paraId="36C9C000" w14:textId="77777777" w:rsidR="00244374" w:rsidRPr="0040341A" w:rsidRDefault="00244374" w:rsidP="00244374">
      <w:pPr>
        <w:jc w:val="both"/>
        <w:rPr>
          <w:color w:val="000000" w:themeColor="text1"/>
          <w:lang w:eastAsia="sk-SK"/>
        </w:rPr>
      </w:pPr>
      <w:r w:rsidRPr="0040341A">
        <w:rPr>
          <w:color w:val="000000"/>
          <w:lang w:eastAsia="sk-SK"/>
        </w:rPr>
        <w:t xml:space="preserve">K bodu 8 </w:t>
      </w:r>
      <w:r w:rsidRPr="0040341A">
        <w:t>[</w:t>
      </w:r>
      <w:r w:rsidRPr="0040341A">
        <w:rPr>
          <w:color w:val="000000" w:themeColor="text1"/>
          <w:lang w:eastAsia="sk-SK"/>
        </w:rPr>
        <w:t>§ 4 ods. 1 písm. a)</w:t>
      </w:r>
      <w:r w:rsidRPr="0040341A">
        <w:t>]</w:t>
      </w:r>
    </w:p>
    <w:p w14:paraId="74D78ADA" w14:textId="77777777" w:rsidR="00244374" w:rsidRPr="0040341A" w:rsidRDefault="00244374" w:rsidP="00244374">
      <w:pPr>
        <w:jc w:val="both"/>
        <w:rPr>
          <w:color w:val="000000"/>
          <w:lang w:eastAsia="sk-SK"/>
        </w:rPr>
      </w:pPr>
      <w:r w:rsidRPr="0040341A">
        <w:rPr>
          <w:color w:val="000000" w:themeColor="text1"/>
          <w:lang w:eastAsia="sk-SK"/>
        </w:rPr>
        <w:t>Legislatívno-technická úprava.</w:t>
      </w:r>
    </w:p>
    <w:p w14:paraId="0BF6B8A5" w14:textId="77777777" w:rsidR="00244374" w:rsidRPr="0040341A" w:rsidRDefault="00244374" w:rsidP="00244374">
      <w:pPr>
        <w:spacing w:before="100" w:beforeAutospacing="1"/>
        <w:jc w:val="both"/>
        <w:rPr>
          <w:color w:val="000000" w:themeColor="text1"/>
          <w:lang w:eastAsia="sk-SK"/>
        </w:rPr>
      </w:pPr>
      <w:r w:rsidRPr="0040341A">
        <w:rPr>
          <w:color w:val="000000" w:themeColor="text1"/>
          <w:lang w:eastAsia="sk-SK"/>
        </w:rPr>
        <w:t xml:space="preserve">K bodu 9 </w:t>
      </w:r>
      <w:r w:rsidRPr="0040341A">
        <w:t>[</w:t>
      </w:r>
      <w:r w:rsidRPr="0040341A">
        <w:rPr>
          <w:color w:val="000000" w:themeColor="text1"/>
          <w:lang w:eastAsia="sk-SK"/>
        </w:rPr>
        <w:t>§ 4 ods. 2</w:t>
      </w:r>
      <w:r w:rsidRPr="0040341A">
        <w:t>]</w:t>
      </w:r>
    </w:p>
    <w:p w14:paraId="131657B4" w14:textId="77777777" w:rsidR="00244374" w:rsidRPr="0040341A" w:rsidRDefault="00244374" w:rsidP="00244374">
      <w:pPr>
        <w:jc w:val="both"/>
        <w:rPr>
          <w:color w:val="000000" w:themeColor="text1"/>
          <w:lang w:eastAsia="sk-SK"/>
        </w:rPr>
      </w:pPr>
      <w:r w:rsidRPr="0040341A">
        <w:rPr>
          <w:color w:val="000000" w:themeColor="text1"/>
          <w:lang w:eastAsia="sk-SK"/>
        </w:rPr>
        <w:t>Navrhovaná úprava dopĺňa „prípadne ďalších finančných nástrojov Európskej únie</w:t>
      </w:r>
      <w:proofErr w:type="gramStart"/>
      <w:r w:rsidRPr="0040341A">
        <w:rPr>
          <w:color w:val="000000" w:themeColor="text1"/>
          <w:lang w:eastAsia="sk-SK"/>
        </w:rPr>
        <w:t>“ s</w:t>
      </w:r>
      <w:proofErr w:type="gramEnd"/>
      <w:r w:rsidRPr="0040341A">
        <w:rPr>
          <w:color w:val="000000" w:themeColor="text1"/>
          <w:lang w:eastAsia="sk-SK"/>
        </w:rPr>
        <w:t> cieľom zosúladenia textácie v rámci zákona.</w:t>
      </w:r>
    </w:p>
    <w:p w14:paraId="5B2F4BFC"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10 </w:t>
      </w:r>
      <w:r w:rsidRPr="0040341A">
        <w:t>[</w:t>
      </w:r>
      <w:r w:rsidRPr="0040341A">
        <w:rPr>
          <w:color w:val="000000" w:themeColor="text1"/>
          <w:lang w:eastAsia="sk-SK"/>
        </w:rPr>
        <w:t>§ 5 písm. e) a f)</w:t>
      </w:r>
      <w:r w:rsidRPr="0040341A">
        <w:t>]</w:t>
      </w:r>
    </w:p>
    <w:p w14:paraId="4082FA35" w14:textId="77777777" w:rsidR="00244374" w:rsidRPr="0040341A" w:rsidRDefault="00244374" w:rsidP="00244374">
      <w:pPr>
        <w:jc w:val="both"/>
        <w:rPr>
          <w:color w:val="000000"/>
          <w:lang w:eastAsia="sk-SK"/>
        </w:rPr>
      </w:pPr>
      <w:r w:rsidRPr="0040341A">
        <w:rPr>
          <w:color w:val="000000"/>
          <w:lang w:eastAsia="sk-SK"/>
        </w:rPr>
        <w:t>Navrhovaná úprava dopĺňa plán rozvoja najmenej rozvinutého okresu medzi základné dokumenty podpory regionálneho rozvoja, za účelom podpory koordinácie rozvojových aktivít v území s vlastným zdrojom financovania a legislatívnym rámcom. Navrhovaná úprava dopĺňa stratégie miestneho rozvoja vedeného komunitou medzi základné dokumenty podpory regionálneho rozvoja, za účelom podpory koordinácie rozvojových aktivít v území s vlastným zdrojom financovania a legislatívnym rámcom.</w:t>
      </w:r>
    </w:p>
    <w:p w14:paraId="7BC5A029" w14:textId="77777777" w:rsidR="00244374" w:rsidRPr="0040341A" w:rsidRDefault="00244374" w:rsidP="00244374">
      <w:pPr>
        <w:spacing w:before="100" w:beforeAutospacing="1"/>
        <w:jc w:val="both"/>
        <w:rPr>
          <w:color w:val="000000" w:themeColor="text1"/>
          <w:lang w:eastAsia="sk-SK"/>
        </w:rPr>
      </w:pPr>
      <w:r w:rsidRPr="0040341A">
        <w:rPr>
          <w:color w:val="000000" w:themeColor="text1"/>
          <w:lang w:eastAsia="sk-SK"/>
        </w:rPr>
        <w:t xml:space="preserve">K bodu 11 </w:t>
      </w:r>
      <w:r w:rsidRPr="0040341A">
        <w:t>[</w:t>
      </w:r>
      <w:r w:rsidRPr="0040341A">
        <w:rPr>
          <w:color w:val="000000" w:themeColor="text1"/>
          <w:lang w:eastAsia="sk-SK"/>
        </w:rPr>
        <w:t>§ 6 ods. 2</w:t>
      </w:r>
      <w:r w:rsidRPr="0040341A">
        <w:t>]</w:t>
      </w:r>
    </w:p>
    <w:p w14:paraId="679E4E16" w14:textId="77777777" w:rsidR="00244374" w:rsidRPr="0040341A" w:rsidRDefault="00244374" w:rsidP="00244374">
      <w:pPr>
        <w:jc w:val="both"/>
        <w:rPr>
          <w:color w:val="000000" w:themeColor="text1"/>
          <w:lang w:eastAsia="sk-SK"/>
        </w:rPr>
      </w:pPr>
      <w:r w:rsidRPr="0040341A">
        <w:rPr>
          <w:color w:val="000000" w:themeColor="text1"/>
          <w:lang w:eastAsia="sk-SK"/>
        </w:rPr>
        <w:t xml:space="preserve">Navrhovaná úprava nadväzuje </w:t>
      </w:r>
      <w:proofErr w:type="gramStart"/>
      <w:r w:rsidRPr="0040341A">
        <w:rPr>
          <w:color w:val="000000" w:themeColor="text1"/>
          <w:lang w:eastAsia="sk-SK"/>
        </w:rPr>
        <w:t>na</w:t>
      </w:r>
      <w:proofErr w:type="gramEnd"/>
      <w:r w:rsidRPr="0040341A">
        <w:rPr>
          <w:color w:val="000000" w:themeColor="text1"/>
          <w:lang w:eastAsia="sk-SK"/>
        </w:rPr>
        <w:t xml:space="preserve"> § 6 ods. 3 a aj </w:t>
      </w:r>
      <w:proofErr w:type="gramStart"/>
      <w:r w:rsidRPr="0040341A">
        <w:rPr>
          <w:color w:val="000000" w:themeColor="text1"/>
          <w:lang w:eastAsia="sk-SK"/>
        </w:rPr>
        <w:t>na</w:t>
      </w:r>
      <w:proofErr w:type="gramEnd"/>
      <w:r w:rsidRPr="0040341A">
        <w:rPr>
          <w:color w:val="000000" w:themeColor="text1"/>
          <w:lang w:eastAsia="sk-SK"/>
        </w:rPr>
        <w:t xml:space="preserve"> navrhované znenie § 5 písm. f).</w:t>
      </w:r>
    </w:p>
    <w:p w14:paraId="3F26924F" w14:textId="77777777" w:rsidR="00244374" w:rsidRPr="0040341A" w:rsidRDefault="00244374" w:rsidP="00244374">
      <w:pPr>
        <w:spacing w:before="100" w:beforeAutospacing="1"/>
        <w:jc w:val="both"/>
      </w:pPr>
      <w:r w:rsidRPr="0040341A">
        <w:rPr>
          <w:color w:val="000000" w:themeColor="text1"/>
          <w:lang w:eastAsia="sk-SK"/>
        </w:rPr>
        <w:t xml:space="preserve">K bodu 12 </w:t>
      </w:r>
      <w:r w:rsidRPr="0040341A">
        <w:t>[</w:t>
      </w:r>
      <w:r w:rsidRPr="0040341A">
        <w:rPr>
          <w:color w:val="000000" w:themeColor="text1"/>
          <w:lang w:eastAsia="sk-SK"/>
        </w:rPr>
        <w:t>§ 7 ods. 1</w:t>
      </w:r>
      <w:r w:rsidRPr="0040341A">
        <w:t>]</w:t>
      </w:r>
    </w:p>
    <w:p w14:paraId="45C7C541" w14:textId="77777777" w:rsidR="00244374" w:rsidRPr="0040341A" w:rsidRDefault="00244374" w:rsidP="00244374">
      <w:pPr>
        <w:jc w:val="both"/>
      </w:pPr>
      <w:r w:rsidRPr="0040341A">
        <w:rPr>
          <w:color w:val="000000" w:themeColor="text1"/>
          <w:lang w:eastAsia="sk-SK"/>
        </w:rPr>
        <w:t>Navrhované doplnenie je za účelom dosiahnutia zosúladenia</w:t>
      </w:r>
      <w:r w:rsidRPr="0040341A">
        <w:t xml:space="preserve"> s</w:t>
      </w:r>
      <w:r w:rsidRPr="0040341A">
        <w:rPr>
          <w:color w:val="000000" w:themeColor="text1"/>
          <w:lang w:eastAsia="sk-SK"/>
        </w:rPr>
        <w:t xml:space="preserve"> </w:t>
      </w:r>
      <w:r w:rsidRPr="0040341A">
        <w:t>definíciami územnoplánovacej dokumentácie.</w:t>
      </w:r>
    </w:p>
    <w:p w14:paraId="1BE71F50" w14:textId="77777777" w:rsidR="00244374" w:rsidRPr="0040341A" w:rsidRDefault="00244374" w:rsidP="00244374">
      <w:pPr>
        <w:jc w:val="both"/>
        <w:rPr>
          <w:color w:val="000000"/>
          <w:lang w:eastAsia="sk-SK"/>
        </w:rPr>
      </w:pPr>
      <w:r w:rsidRPr="0040341A">
        <w:rPr>
          <w:color w:val="000000" w:themeColor="text1"/>
          <w:lang w:eastAsia="sk-SK"/>
        </w:rPr>
        <w:t xml:space="preserve">K bodu 13 </w:t>
      </w:r>
      <w:r w:rsidRPr="0040341A">
        <w:t>[</w:t>
      </w:r>
      <w:r w:rsidRPr="0040341A">
        <w:rPr>
          <w:color w:val="000000" w:themeColor="text1"/>
          <w:lang w:eastAsia="sk-SK"/>
        </w:rPr>
        <w:t>§ 7 ods. 2</w:t>
      </w:r>
      <w:r w:rsidRPr="0040341A">
        <w:t>]</w:t>
      </w:r>
    </w:p>
    <w:p w14:paraId="0CA90B98" w14:textId="77777777" w:rsidR="00244374" w:rsidRPr="0040341A" w:rsidRDefault="00244374" w:rsidP="00244374">
      <w:pPr>
        <w:spacing w:after="100" w:afterAutospacing="1"/>
        <w:jc w:val="both"/>
        <w:rPr>
          <w:color w:val="000000"/>
          <w:lang w:eastAsia="sk-SK"/>
        </w:rPr>
      </w:pPr>
      <w:r w:rsidRPr="0040341A">
        <w:rPr>
          <w:color w:val="000000"/>
          <w:lang w:eastAsia="sk-SK"/>
        </w:rPr>
        <w:t xml:space="preserve">Navrhovaná úprava definuje špecifickú časť PHRSR, naviazanú </w:t>
      </w:r>
      <w:proofErr w:type="gramStart"/>
      <w:r w:rsidRPr="0040341A">
        <w:rPr>
          <w:color w:val="000000"/>
          <w:lang w:eastAsia="sk-SK"/>
        </w:rPr>
        <w:t>na</w:t>
      </w:r>
      <w:proofErr w:type="gramEnd"/>
      <w:r w:rsidRPr="0040341A">
        <w:rPr>
          <w:color w:val="000000"/>
          <w:lang w:eastAsia="sk-SK"/>
        </w:rPr>
        <w:t xml:space="preserve"> finančné zdroje z fondov Európskej únie, implementovanú prostredníctvom integrovaných územných investícií.</w:t>
      </w:r>
    </w:p>
    <w:p w14:paraId="4C2E7D4A" w14:textId="77777777" w:rsidR="00244374" w:rsidRPr="0040341A" w:rsidRDefault="00244374" w:rsidP="00244374">
      <w:pPr>
        <w:jc w:val="both"/>
      </w:pPr>
      <w:r w:rsidRPr="0040341A">
        <w:rPr>
          <w:color w:val="000000" w:themeColor="text1"/>
          <w:lang w:eastAsia="sk-SK"/>
        </w:rPr>
        <w:t xml:space="preserve">K bodu 14 </w:t>
      </w:r>
      <w:r w:rsidRPr="0040341A">
        <w:t>[§ 7 ods. 4 písm. c)]</w:t>
      </w:r>
    </w:p>
    <w:p w14:paraId="2E896D21" w14:textId="77777777" w:rsidR="00244374" w:rsidRPr="0040341A" w:rsidRDefault="00244374" w:rsidP="00244374">
      <w:pPr>
        <w:jc w:val="both"/>
        <w:rPr>
          <w:color w:val="000000"/>
          <w:lang w:eastAsia="sk-SK"/>
        </w:rPr>
      </w:pPr>
      <w:r w:rsidRPr="0040341A">
        <w:rPr>
          <w:color w:val="000000"/>
          <w:lang w:eastAsia="sk-SK"/>
        </w:rPr>
        <w:t xml:space="preserve">Navrhované doplnenie zabezpečí plynulú realizáciu aj tých opatrení a aktivít, ktoré nie sú v pôsobnosti vyšších územných celkov (napríklad aktivity a opatrenia súvisiace s výkonom opatrení sociálnoprávnej ochrany detí a sociálnej kurately úradmi práce sociálnych vecí a rodiny, centrami pre deti a rodiny a akreditovanými subjektmi, ktoré nie sú centrami pre deti a rodiny.) Tieto opatrenia nemajú byť riešené prostredníctvom regionálnych integrovaných územných stratégií a </w:t>
      </w:r>
      <w:proofErr w:type="gramStart"/>
      <w:r w:rsidRPr="0040341A">
        <w:rPr>
          <w:color w:val="000000"/>
          <w:lang w:eastAsia="sk-SK"/>
        </w:rPr>
        <w:t>pod.,</w:t>
      </w:r>
      <w:proofErr w:type="gramEnd"/>
      <w:r w:rsidRPr="0040341A">
        <w:rPr>
          <w:color w:val="000000"/>
          <w:lang w:eastAsia="sk-SK"/>
        </w:rPr>
        <w:t xml:space="preserve"> ale priamo ministerstvami ako sprostredkovateľskými orgánmi.</w:t>
      </w:r>
    </w:p>
    <w:p w14:paraId="692C5E62" w14:textId="77777777" w:rsidR="00244374" w:rsidRPr="0040341A" w:rsidRDefault="00244374" w:rsidP="00244374">
      <w:pPr>
        <w:jc w:val="both"/>
        <w:rPr>
          <w:color w:val="000000" w:themeColor="text1"/>
          <w:lang w:eastAsia="sk-SK"/>
        </w:rPr>
      </w:pPr>
    </w:p>
    <w:p w14:paraId="662DB5CF" w14:textId="77777777" w:rsidR="00244374" w:rsidRPr="0040341A" w:rsidRDefault="00244374" w:rsidP="00244374">
      <w:pPr>
        <w:jc w:val="both"/>
        <w:rPr>
          <w:color w:val="000000"/>
          <w:lang w:eastAsia="sk-SK"/>
        </w:rPr>
      </w:pPr>
      <w:r w:rsidRPr="0040341A">
        <w:rPr>
          <w:color w:val="000000" w:themeColor="text1"/>
          <w:lang w:eastAsia="sk-SK"/>
        </w:rPr>
        <w:t xml:space="preserve">K bodu 15 </w:t>
      </w:r>
      <w:r w:rsidRPr="0040341A">
        <w:t>[</w:t>
      </w:r>
      <w:r w:rsidRPr="0040341A">
        <w:rPr>
          <w:color w:val="000000" w:themeColor="text1"/>
          <w:lang w:eastAsia="sk-SK"/>
        </w:rPr>
        <w:t>§ 7 ods. 7</w:t>
      </w:r>
      <w:r w:rsidRPr="0040341A">
        <w:t>]</w:t>
      </w:r>
    </w:p>
    <w:p w14:paraId="02A4A8BC" w14:textId="77777777" w:rsidR="00244374" w:rsidRPr="0040341A" w:rsidRDefault="00244374" w:rsidP="00244374">
      <w:pPr>
        <w:spacing w:after="100" w:afterAutospacing="1"/>
        <w:jc w:val="both"/>
        <w:rPr>
          <w:color w:val="000000"/>
          <w:lang w:eastAsia="sk-SK"/>
        </w:rPr>
      </w:pPr>
      <w:r w:rsidRPr="0040341A">
        <w:rPr>
          <w:color w:val="000000"/>
          <w:lang w:eastAsia="sk-SK"/>
        </w:rPr>
        <w:t xml:space="preserve">Navrhovaná úprava definuje kompetenciu schvaľovania podmnožiny strategického dokumentu PHRSR, IÚS. </w:t>
      </w:r>
    </w:p>
    <w:p w14:paraId="01E9E24F" w14:textId="77777777" w:rsidR="00244374" w:rsidRPr="0040341A" w:rsidRDefault="00244374" w:rsidP="00244374">
      <w:pPr>
        <w:jc w:val="both"/>
        <w:rPr>
          <w:color w:val="000000"/>
          <w:lang w:eastAsia="sk-SK"/>
        </w:rPr>
      </w:pPr>
      <w:r w:rsidRPr="0040341A">
        <w:rPr>
          <w:color w:val="000000" w:themeColor="text1"/>
          <w:lang w:eastAsia="sk-SK"/>
        </w:rPr>
        <w:t xml:space="preserve">K bodu 16 </w:t>
      </w:r>
      <w:r w:rsidRPr="0040341A">
        <w:t>[</w:t>
      </w:r>
      <w:r w:rsidRPr="0040341A">
        <w:rPr>
          <w:color w:val="000000" w:themeColor="text1"/>
          <w:lang w:eastAsia="sk-SK"/>
        </w:rPr>
        <w:t>§ 7 ods. 8</w:t>
      </w:r>
      <w:r w:rsidRPr="0040341A">
        <w:t>]</w:t>
      </w:r>
    </w:p>
    <w:p w14:paraId="049B920C" w14:textId="77777777" w:rsidR="00244374" w:rsidRPr="0040341A" w:rsidRDefault="00244374" w:rsidP="00244374">
      <w:pPr>
        <w:spacing w:after="100" w:afterAutospacing="1"/>
        <w:jc w:val="both"/>
        <w:rPr>
          <w:color w:val="000000" w:themeColor="text1"/>
          <w:lang w:eastAsia="sk-SK"/>
        </w:rPr>
      </w:pPr>
      <w:r w:rsidRPr="0040341A">
        <w:rPr>
          <w:color w:val="000000"/>
          <w:lang w:eastAsia="sk-SK"/>
        </w:rPr>
        <w:t xml:space="preserve">Úpravou v odseku 8 dochádza k legislatívno-technickej úprave v nadväznosti </w:t>
      </w:r>
      <w:proofErr w:type="gramStart"/>
      <w:r w:rsidRPr="0040341A">
        <w:rPr>
          <w:color w:val="000000"/>
          <w:lang w:eastAsia="sk-SK"/>
        </w:rPr>
        <w:t>na</w:t>
      </w:r>
      <w:proofErr w:type="gramEnd"/>
      <w:r w:rsidRPr="0040341A">
        <w:rPr>
          <w:color w:val="000000"/>
          <w:lang w:eastAsia="sk-SK"/>
        </w:rPr>
        <w:t xml:space="preserve"> zákon č. 200/2022 Z. z. o územnom plánovaní.</w:t>
      </w:r>
    </w:p>
    <w:p w14:paraId="5F3E9A50" w14:textId="77777777" w:rsidR="00244374" w:rsidRPr="0040341A" w:rsidRDefault="00244374" w:rsidP="00244374">
      <w:pPr>
        <w:jc w:val="both"/>
      </w:pPr>
      <w:r w:rsidRPr="0040341A">
        <w:rPr>
          <w:color w:val="000000" w:themeColor="text1"/>
          <w:lang w:eastAsia="sk-SK"/>
        </w:rPr>
        <w:t xml:space="preserve">K bodu 17 </w:t>
      </w:r>
      <w:r w:rsidRPr="0040341A">
        <w:t>[§ 8 ods. 1]</w:t>
      </w:r>
    </w:p>
    <w:p w14:paraId="7FB2DDF8" w14:textId="77777777" w:rsidR="00244374" w:rsidRPr="0040341A" w:rsidRDefault="00244374" w:rsidP="00244374">
      <w:pPr>
        <w:jc w:val="both"/>
      </w:pPr>
      <w:r w:rsidRPr="0040341A">
        <w:rPr>
          <w:color w:val="000000" w:themeColor="text1"/>
          <w:lang w:eastAsia="sk-SK"/>
        </w:rPr>
        <w:t xml:space="preserve">Úprava odseku </w:t>
      </w:r>
      <w:proofErr w:type="gramStart"/>
      <w:r w:rsidRPr="0040341A">
        <w:rPr>
          <w:color w:val="000000" w:themeColor="text1"/>
          <w:lang w:eastAsia="sk-SK"/>
        </w:rPr>
        <w:t>1</w:t>
      </w:r>
      <w:proofErr w:type="gramEnd"/>
      <w:r w:rsidRPr="0040341A">
        <w:rPr>
          <w:color w:val="000000" w:themeColor="text1"/>
          <w:lang w:eastAsia="sk-SK"/>
        </w:rPr>
        <w:t xml:space="preserve"> za účelom zosúladenia</w:t>
      </w:r>
      <w:r w:rsidRPr="0040341A">
        <w:t xml:space="preserve"> definície územného plánu obce v súlade so zákonom č. 200/2022 Z. z. o územnom plánovaní.</w:t>
      </w:r>
    </w:p>
    <w:p w14:paraId="0BFA5D32" w14:textId="77777777" w:rsidR="00244374" w:rsidRPr="0040341A" w:rsidRDefault="00244374" w:rsidP="00244374">
      <w:pPr>
        <w:jc w:val="both"/>
      </w:pPr>
      <w:r w:rsidRPr="0040341A">
        <w:rPr>
          <w:color w:val="000000" w:themeColor="text1"/>
          <w:lang w:eastAsia="sk-SK"/>
        </w:rPr>
        <w:t xml:space="preserve">K bodu 18 </w:t>
      </w:r>
      <w:r w:rsidRPr="0040341A">
        <w:t>[§ 8 ods. 3 písm. c)]</w:t>
      </w:r>
    </w:p>
    <w:p w14:paraId="1ED6026F" w14:textId="77777777" w:rsidR="00244374" w:rsidRPr="0040341A" w:rsidRDefault="00244374" w:rsidP="00244374">
      <w:pPr>
        <w:jc w:val="both"/>
        <w:rPr>
          <w:color w:val="000000"/>
          <w:lang w:eastAsia="sk-SK"/>
        </w:rPr>
      </w:pPr>
      <w:r w:rsidRPr="0040341A">
        <w:rPr>
          <w:color w:val="000000"/>
          <w:lang w:eastAsia="sk-SK"/>
        </w:rPr>
        <w:t xml:space="preserve">Navrhované doplnenie zabezpečí plynulú realizáciu aj tých opatrení a aktivít, ktoré nie sú v pôsobnosti obcí (napríklad aktivity a opatrenia súvisiace s výkonom opatrení sociálnoprávnej ochrany detí a sociálnej kurately úradmi práce sociálnych vecí a rodiny, centrami pre deti a rodiny a akreditovanými subjektmi, ktoré nie sú centrami pre deti a rodiny.) Tieto opatrenia nemajú byť riešené prostredníctvom regionálnych integrovaných územných stratégií a </w:t>
      </w:r>
      <w:proofErr w:type="gramStart"/>
      <w:r w:rsidRPr="0040341A">
        <w:rPr>
          <w:color w:val="000000"/>
          <w:lang w:eastAsia="sk-SK"/>
        </w:rPr>
        <w:t>pod.,</w:t>
      </w:r>
      <w:proofErr w:type="gramEnd"/>
      <w:r w:rsidRPr="0040341A">
        <w:rPr>
          <w:color w:val="000000"/>
          <w:lang w:eastAsia="sk-SK"/>
        </w:rPr>
        <w:t xml:space="preserve"> ale priamo ministerstvami ako sprostredkovateľskými orgánmi.</w:t>
      </w:r>
    </w:p>
    <w:p w14:paraId="132829CE" w14:textId="77777777" w:rsidR="00244374" w:rsidRPr="0040341A" w:rsidRDefault="00244374" w:rsidP="00244374">
      <w:pPr>
        <w:jc w:val="both"/>
        <w:rPr>
          <w:color w:val="000000"/>
          <w:lang w:eastAsia="sk-SK"/>
        </w:rPr>
      </w:pPr>
    </w:p>
    <w:p w14:paraId="79F60DAE" w14:textId="77777777" w:rsidR="00805B44" w:rsidRPr="0040341A" w:rsidRDefault="00805B44" w:rsidP="00244374">
      <w:pPr>
        <w:jc w:val="both"/>
        <w:rPr>
          <w:color w:val="000000" w:themeColor="text1"/>
          <w:lang w:eastAsia="sk-SK"/>
        </w:rPr>
      </w:pPr>
    </w:p>
    <w:p w14:paraId="06D87046" w14:textId="075F9C26" w:rsidR="00244374" w:rsidRPr="0040341A" w:rsidRDefault="00244374" w:rsidP="00244374">
      <w:pPr>
        <w:jc w:val="both"/>
      </w:pPr>
      <w:r w:rsidRPr="0040341A">
        <w:rPr>
          <w:color w:val="000000" w:themeColor="text1"/>
          <w:lang w:eastAsia="sk-SK"/>
        </w:rPr>
        <w:t xml:space="preserve">K bodu 19 </w:t>
      </w:r>
      <w:r w:rsidRPr="0040341A">
        <w:t>[§ 8 ods. 6]</w:t>
      </w:r>
    </w:p>
    <w:p w14:paraId="3857D5E4" w14:textId="77777777" w:rsidR="00244374" w:rsidRPr="0040341A" w:rsidRDefault="00244374" w:rsidP="00244374">
      <w:pPr>
        <w:jc w:val="both"/>
      </w:pPr>
      <w:r w:rsidRPr="0040341A">
        <w:t>Úprava odseku 6 za účelom zosúladenia definície územného plánu obce v súlade so zákonom č. 200/2022 Z. z. o územnom plánovaní.</w:t>
      </w:r>
    </w:p>
    <w:p w14:paraId="1CB568F7" w14:textId="77777777" w:rsidR="00244374" w:rsidRPr="0040341A" w:rsidRDefault="00244374" w:rsidP="00244374">
      <w:pPr>
        <w:jc w:val="both"/>
      </w:pPr>
    </w:p>
    <w:p w14:paraId="76889D19" w14:textId="77777777" w:rsidR="00244374" w:rsidRPr="0040341A" w:rsidRDefault="00244374" w:rsidP="00244374">
      <w:pPr>
        <w:jc w:val="both"/>
      </w:pPr>
      <w:r w:rsidRPr="0040341A">
        <w:rPr>
          <w:color w:val="000000" w:themeColor="text1"/>
          <w:lang w:eastAsia="sk-SK"/>
        </w:rPr>
        <w:t xml:space="preserve">K bodu 20 </w:t>
      </w:r>
      <w:r w:rsidRPr="0040341A">
        <w:t>[§ 8a ods. 1]</w:t>
      </w:r>
    </w:p>
    <w:p w14:paraId="71FFD252" w14:textId="77777777" w:rsidR="00244374" w:rsidRPr="0040341A" w:rsidRDefault="00244374" w:rsidP="00244374">
      <w:pPr>
        <w:jc w:val="both"/>
      </w:pPr>
      <w:r w:rsidRPr="0040341A">
        <w:t xml:space="preserve">Úprava odseku </w:t>
      </w:r>
      <w:proofErr w:type="gramStart"/>
      <w:r w:rsidRPr="0040341A">
        <w:t>1</w:t>
      </w:r>
      <w:proofErr w:type="gramEnd"/>
      <w:r w:rsidRPr="0040341A">
        <w:t xml:space="preserve"> za účelom zosúladenia definície územného plánu obce v súlade so zákonom č. 200/2022 Z. z. o územnom plánovaní.</w:t>
      </w:r>
    </w:p>
    <w:p w14:paraId="7E3498EF"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21 </w:t>
      </w:r>
      <w:r w:rsidRPr="0040341A">
        <w:t>[</w:t>
      </w:r>
      <w:r w:rsidRPr="0040341A">
        <w:rPr>
          <w:color w:val="000000" w:themeColor="text1"/>
          <w:lang w:eastAsia="sk-SK"/>
        </w:rPr>
        <w:t>§ 8a ods. 4 až 6</w:t>
      </w:r>
      <w:r w:rsidRPr="0040341A">
        <w:t>]</w:t>
      </w:r>
    </w:p>
    <w:p w14:paraId="42DC007C" w14:textId="77777777" w:rsidR="00244374" w:rsidRPr="0040341A" w:rsidRDefault="00244374" w:rsidP="00244374">
      <w:pPr>
        <w:jc w:val="both"/>
        <w:rPr>
          <w:color w:val="000000" w:themeColor="text1"/>
          <w:lang w:eastAsia="sk-SK"/>
        </w:rPr>
      </w:pPr>
      <w:r w:rsidRPr="0040341A">
        <w:rPr>
          <w:color w:val="000000" w:themeColor="text1"/>
          <w:lang w:eastAsia="sk-SK"/>
        </w:rPr>
        <w:t xml:space="preserve">Navrhovaná úprava definuje špecifickú časť spoločného PHRSR obcí, naviazanú </w:t>
      </w:r>
      <w:proofErr w:type="gramStart"/>
      <w:r w:rsidRPr="0040341A">
        <w:rPr>
          <w:color w:val="000000" w:themeColor="text1"/>
          <w:lang w:eastAsia="sk-SK"/>
        </w:rPr>
        <w:t>na</w:t>
      </w:r>
      <w:proofErr w:type="gramEnd"/>
      <w:r w:rsidRPr="0040341A">
        <w:rPr>
          <w:color w:val="000000" w:themeColor="text1"/>
          <w:lang w:eastAsia="sk-SK"/>
        </w:rPr>
        <w:t xml:space="preserve"> finančné zdroje z fondov Európskej únie, prípadne ďalších finančných nástrojov Európskej únie a Slovenskej republiky implementovanú prostredníctvom integrovaných územných investícií. Definuje </w:t>
      </w:r>
      <w:proofErr w:type="gramStart"/>
      <w:r w:rsidRPr="0040341A">
        <w:rPr>
          <w:color w:val="000000" w:themeColor="text1"/>
          <w:lang w:eastAsia="sk-SK"/>
        </w:rPr>
        <w:t>sa</w:t>
      </w:r>
      <w:proofErr w:type="gramEnd"/>
      <w:r w:rsidRPr="0040341A">
        <w:rPr>
          <w:color w:val="000000" w:themeColor="text1"/>
          <w:lang w:eastAsia="sk-SK"/>
        </w:rPr>
        <w:t xml:space="preserve"> kompetencia a spôsob vypracovania podmnožiny spoločného strategického dokumentu PHRSR, IÚS UMR a takisto kompetencia schvaľovania podmnožiny spoločného strategického dokumentu PHRSR, IÚS UMR.</w:t>
      </w:r>
    </w:p>
    <w:p w14:paraId="0D0B7209"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22 </w:t>
      </w:r>
      <w:r w:rsidRPr="0040341A">
        <w:t>[</w:t>
      </w:r>
      <w:r w:rsidRPr="0040341A">
        <w:rPr>
          <w:color w:val="000000" w:themeColor="text1"/>
          <w:lang w:eastAsia="sk-SK"/>
        </w:rPr>
        <w:t>§ 9 písm. h a i)</w:t>
      </w:r>
      <w:r w:rsidRPr="0040341A">
        <w:t>]</w:t>
      </w:r>
    </w:p>
    <w:p w14:paraId="0B2286B5" w14:textId="77777777" w:rsidR="00244374" w:rsidRPr="0040341A" w:rsidRDefault="00244374" w:rsidP="00244374">
      <w:pPr>
        <w:spacing w:after="100" w:afterAutospacing="1"/>
        <w:jc w:val="both"/>
        <w:rPr>
          <w:color w:val="000000"/>
          <w:lang w:eastAsia="sk-SK"/>
        </w:rPr>
      </w:pPr>
      <w:r w:rsidRPr="0040341A">
        <w:rPr>
          <w:color w:val="000000"/>
          <w:lang w:eastAsia="sk-SK"/>
        </w:rPr>
        <w:t xml:space="preserve">Navrhovaná úprava dopĺňa výkon finančnej kontroly poskytnutej dotácie v súlade so zákonom č. 357/2015 Z. z. o finančnej kontrole </w:t>
      </w:r>
      <w:proofErr w:type="gramStart"/>
      <w:r w:rsidRPr="0040341A">
        <w:rPr>
          <w:color w:val="000000"/>
          <w:lang w:eastAsia="sk-SK"/>
        </w:rPr>
        <w:t>a</w:t>
      </w:r>
      <w:proofErr w:type="gramEnd"/>
      <w:r w:rsidRPr="0040341A">
        <w:rPr>
          <w:color w:val="000000"/>
          <w:lang w:eastAsia="sk-SK"/>
        </w:rPr>
        <w:t xml:space="preserve"> audite a o zmene a doplnení niektorých zákonov v znení neskorších predpisov a povinnosť zverejňovania zoznamu jadrových miest územia udržateľného mestského rozvoja. </w:t>
      </w:r>
    </w:p>
    <w:p w14:paraId="46969383"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23 </w:t>
      </w:r>
      <w:r w:rsidRPr="0040341A">
        <w:t>[</w:t>
      </w:r>
      <w:r w:rsidRPr="0040341A">
        <w:rPr>
          <w:color w:val="000000" w:themeColor="text1"/>
          <w:lang w:eastAsia="sk-SK"/>
        </w:rPr>
        <w:t>§ 11 písm. b)</w:t>
      </w:r>
      <w:r w:rsidRPr="0040341A">
        <w:t>]</w:t>
      </w:r>
    </w:p>
    <w:p w14:paraId="19A5E68D" w14:textId="77777777" w:rsidR="00244374" w:rsidRPr="0040341A" w:rsidRDefault="00244374" w:rsidP="00244374">
      <w:pPr>
        <w:jc w:val="both"/>
        <w:rPr>
          <w:color w:val="000000" w:themeColor="text1"/>
          <w:lang w:eastAsia="sk-SK"/>
        </w:rPr>
      </w:pPr>
      <w:r w:rsidRPr="0040341A">
        <w:rPr>
          <w:color w:val="000000" w:themeColor="text1"/>
          <w:lang w:eastAsia="sk-SK"/>
        </w:rPr>
        <w:t>Navrhované doplnenie je za účelom dosiahnutia zosúladenia s novo navrhovanou zmenou v § 12 písm. b).</w:t>
      </w:r>
    </w:p>
    <w:p w14:paraId="0C8A8086"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24 </w:t>
      </w:r>
      <w:r w:rsidRPr="0040341A">
        <w:t>[</w:t>
      </w:r>
      <w:r w:rsidRPr="0040341A">
        <w:rPr>
          <w:color w:val="000000" w:themeColor="text1"/>
          <w:lang w:eastAsia="sk-SK"/>
        </w:rPr>
        <w:t>§ 11 písm. j)</w:t>
      </w:r>
      <w:r w:rsidRPr="0040341A">
        <w:t>]</w:t>
      </w:r>
    </w:p>
    <w:p w14:paraId="38714B3A" w14:textId="77777777" w:rsidR="00244374" w:rsidRPr="0040341A" w:rsidRDefault="00244374" w:rsidP="00244374">
      <w:pPr>
        <w:jc w:val="both"/>
        <w:rPr>
          <w:color w:val="000000" w:themeColor="text1"/>
          <w:lang w:eastAsia="sk-SK"/>
        </w:rPr>
      </w:pPr>
      <w:r w:rsidRPr="0040341A">
        <w:rPr>
          <w:color w:val="000000" w:themeColor="text1"/>
          <w:lang w:eastAsia="sk-SK"/>
        </w:rPr>
        <w:t xml:space="preserve">Navrhovaná úprava nadväzuje </w:t>
      </w:r>
      <w:proofErr w:type="gramStart"/>
      <w:r w:rsidRPr="0040341A">
        <w:rPr>
          <w:color w:val="000000" w:themeColor="text1"/>
          <w:lang w:eastAsia="sk-SK"/>
        </w:rPr>
        <w:t>na</w:t>
      </w:r>
      <w:proofErr w:type="gramEnd"/>
      <w:r w:rsidRPr="0040341A">
        <w:rPr>
          <w:color w:val="000000" w:themeColor="text1"/>
          <w:lang w:eastAsia="sk-SK"/>
        </w:rPr>
        <w:t xml:space="preserve"> úpravu § 2 písm. l).</w:t>
      </w:r>
    </w:p>
    <w:p w14:paraId="6D5FD2E6"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25 </w:t>
      </w:r>
      <w:r w:rsidRPr="0040341A">
        <w:t>[</w:t>
      </w:r>
      <w:r w:rsidRPr="0040341A">
        <w:rPr>
          <w:color w:val="000000" w:themeColor="text1"/>
          <w:lang w:eastAsia="sk-SK"/>
        </w:rPr>
        <w:t>§ 12 písm. b)</w:t>
      </w:r>
      <w:r w:rsidRPr="0040341A">
        <w:t>]</w:t>
      </w:r>
    </w:p>
    <w:p w14:paraId="102AB1CD" w14:textId="77777777" w:rsidR="00244374" w:rsidRPr="0040341A" w:rsidRDefault="00244374" w:rsidP="00244374">
      <w:pPr>
        <w:spacing w:after="100" w:afterAutospacing="1"/>
        <w:jc w:val="both"/>
        <w:rPr>
          <w:color w:val="000000"/>
          <w:lang w:eastAsia="sk-SK"/>
        </w:rPr>
      </w:pPr>
      <w:r w:rsidRPr="0040341A">
        <w:rPr>
          <w:color w:val="000000"/>
          <w:lang w:eastAsia="sk-SK"/>
        </w:rPr>
        <w:t>Navrhovaná úprava dopĺňa povinnosť obce spolupracovať pri tvorbe spoločného PHRSR alebo IÚS UMR.</w:t>
      </w:r>
    </w:p>
    <w:p w14:paraId="50F3BCD8"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26 </w:t>
      </w:r>
      <w:r w:rsidRPr="0040341A">
        <w:t>[</w:t>
      </w:r>
      <w:r w:rsidRPr="0040341A">
        <w:rPr>
          <w:color w:val="000000" w:themeColor="text1"/>
          <w:lang w:eastAsia="sk-SK"/>
        </w:rPr>
        <w:t>§ 13 ods. 1 písm. q) a r)</w:t>
      </w:r>
      <w:r w:rsidRPr="0040341A">
        <w:t>]</w:t>
      </w:r>
    </w:p>
    <w:p w14:paraId="31A08D3A" w14:textId="77777777" w:rsidR="00244374" w:rsidRPr="0040341A" w:rsidRDefault="00244374" w:rsidP="00244374">
      <w:pPr>
        <w:spacing w:after="100" w:afterAutospacing="1"/>
        <w:jc w:val="both"/>
        <w:rPr>
          <w:color w:val="000000"/>
          <w:lang w:eastAsia="sk-SK"/>
        </w:rPr>
      </w:pPr>
      <w:r w:rsidRPr="0040341A">
        <w:rPr>
          <w:color w:val="000000"/>
          <w:lang w:eastAsia="sk-SK"/>
        </w:rPr>
        <w:t xml:space="preserve">Navrhovaná úprava dopĺňa nadácie a krajské </w:t>
      </w:r>
      <w:proofErr w:type="gramStart"/>
      <w:r w:rsidRPr="0040341A">
        <w:rPr>
          <w:color w:val="000000"/>
          <w:lang w:eastAsia="sk-SK"/>
        </w:rPr>
        <w:t>a</w:t>
      </w:r>
      <w:proofErr w:type="gramEnd"/>
      <w:r w:rsidRPr="0040341A">
        <w:rPr>
          <w:color w:val="000000"/>
          <w:lang w:eastAsia="sk-SK"/>
        </w:rPr>
        <w:t> oblastné organizácie cestovného ruchu medzi subjekty územnej spolupráce.</w:t>
      </w:r>
    </w:p>
    <w:p w14:paraId="7756ACFA"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27 </w:t>
      </w:r>
      <w:r w:rsidRPr="0040341A">
        <w:t>[</w:t>
      </w:r>
      <w:r w:rsidRPr="0040341A">
        <w:rPr>
          <w:color w:val="000000" w:themeColor="text1"/>
          <w:lang w:eastAsia="sk-SK"/>
        </w:rPr>
        <w:t>§ 13 ods. 3</w:t>
      </w:r>
      <w:r w:rsidRPr="0040341A">
        <w:t>]</w:t>
      </w:r>
    </w:p>
    <w:p w14:paraId="5336FAE4" w14:textId="77777777" w:rsidR="00244374" w:rsidRPr="0040341A" w:rsidRDefault="00244374" w:rsidP="00244374">
      <w:pPr>
        <w:spacing w:after="100" w:afterAutospacing="1"/>
        <w:jc w:val="both"/>
        <w:rPr>
          <w:color w:val="000000"/>
          <w:lang w:eastAsia="sk-SK"/>
        </w:rPr>
      </w:pPr>
      <w:r w:rsidRPr="0040341A">
        <w:rPr>
          <w:color w:val="000000"/>
          <w:lang w:eastAsia="sk-SK"/>
        </w:rPr>
        <w:t xml:space="preserve">Navrhovaná úprava dopĺňa podmienku napĺňania cieľov PHRSR vyššieho územného celku a cieľov programov udržateľného mestského rozvoja v rámci poskytnutia dotácie zo štátneho rozpočtu </w:t>
      </w:r>
      <w:proofErr w:type="gramStart"/>
      <w:r w:rsidRPr="0040341A">
        <w:rPr>
          <w:color w:val="000000"/>
          <w:lang w:eastAsia="sk-SK"/>
        </w:rPr>
        <w:t>na</w:t>
      </w:r>
      <w:proofErr w:type="gramEnd"/>
      <w:r w:rsidRPr="0040341A">
        <w:rPr>
          <w:color w:val="000000"/>
          <w:lang w:eastAsia="sk-SK"/>
        </w:rPr>
        <w:t xml:space="preserve"> projekt subjektu územnej spolupráce.</w:t>
      </w:r>
    </w:p>
    <w:p w14:paraId="7F43D145"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28 </w:t>
      </w:r>
      <w:proofErr w:type="gramStart"/>
      <w:r w:rsidRPr="0040341A">
        <w:t>[</w:t>
      </w:r>
      <w:r w:rsidRPr="0040341A">
        <w:rPr>
          <w:color w:val="000000" w:themeColor="text1"/>
          <w:lang w:eastAsia="sk-SK"/>
        </w:rPr>
        <w:t xml:space="preserve"> §</w:t>
      </w:r>
      <w:proofErr w:type="gramEnd"/>
      <w:r w:rsidRPr="0040341A">
        <w:rPr>
          <w:color w:val="000000" w:themeColor="text1"/>
          <w:lang w:eastAsia="sk-SK"/>
        </w:rPr>
        <w:t xml:space="preserve"> 13 ods. 9</w:t>
      </w:r>
      <w:r w:rsidRPr="0040341A">
        <w:t>]</w:t>
      </w:r>
    </w:p>
    <w:p w14:paraId="67C0391A" w14:textId="77777777" w:rsidR="00244374" w:rsidRPr="0040341A" w:rsidRDefault="00244374" w:rsidP="00244374">
      <w:pPr>
        <w:spacing w:after="100" w:afterAutospacing="1"/>
        <w:jc w:val="both"/>
        <w:rPr>
          <w:color w:val="000000"/>
          <w:lang w:eastAsia="sk-SK"/>
        </w:rPr>
      </w:pPr>
      <w:r w:rsidRPr="0040341A">
        <w:rPr>
          <w:color w:val="000000"/>
          <w:lang w:eastAsia="sk-SK"/>
        </w:rPr>
        <w:t>Doplnenie za účelom zvýšenia transparentnosti procesu.</w:t>
      </w:r>
    </w:p>
    <w:p w14:paraId="545B9028" w14:textId="77777777" w:rsidR="00244374" w:rsidRPr="0040341A" w:rsidRDefault="00244374" w:rsidP="00244374">
      <w:pPr>
        <w:spacing w:before="100" w:beforeAutospacing="1"/>
        <w:jc w:val="both"/>
      </w:pPr>
      <w:r w:rsidRPr="0040341A">
        <w:rPr>
          <w:color w:val="000000" w:themeColor="text1"/>
          <w:lang w:eastAsia="sk-SK"/>
        </w:rPr>
        <w:t xml:space="preserve">K bodu 29 </w:t>
      </w:r>
      <w:r w:rsidRPr="0040341A">
        <w:t>[</w:t>
      </w:r>
      <w:r w:rsidRPr="0040341A">
        <w:rPr>
          <w:color w:val="000000" w:themeColor="text1"/>
          <w:lang w:eastAsia="sk-SK"/>
        </w:rPr>
        <w:t>§ 13 ods. 10 písm. p)</w:t>
      </w:r>
      <w:r w:rsidRPr="0040341A">
        <w:t>]</w:t>
      </w:r>
    </w:p>
    <w:p w14:paraId="57B63615" w14:textId="77777777" w:rsidR="00244374" w:rsidRPr="0040341A" w:rsidRDefault="00244374" w:rsidP="00244374">
      <w:pPr>
        <w:spacing w:after="100" w:afterAutospacing="1"/>
        <w:jc w:val="both"/>
      </w:pPr>
      <w:r w:rsidRPr="0040341A">
        <w:t>Navrhovaná úprava dopĺňa náležitosť zmluvy o poskytnutí dotácií.</w:t>
      </w:r>
    </w:p>
    <w:p w14:paraId="04459E85" w14:textId="77777777" w:rsidR="00244374" w:rsidRPr="0040341A" w:rsidRDefault="00244374" w:rsidP="00244374">
      <w:pPr>
        <w:spacing w:before="100" w:beforeAutospacing="1"/>
        <w:jc w:val="both"/>
        <w:rPr>
          <w:color w:val="000000"/>
          <w:lang w:eastAsia="sk-SK"/>
        </w:rPr>
      </w:pPr>
      <w:r w:rsidRPr="0040341A">
        <w:rPr>
          <w:color w:val="000000" w:themeColor="text1"/>
          <w:lang w:eastAsia="sk-SK"/>
        </w:rPr>
        <w:t xml:space="preserve">K bodu 30 </w:t>
      </w:r>
      <w:r w:rsidRPr="0040341A">
        <w:t>[</w:t>
      </w:r>
      <w:r w:rsidRPr="0040341A">
        <w:rPr>
          <w:color w:val="000000" w:themeColor="text1"/>
          <w:lang w:eastAsia="sk-SK"/>
        </w:rPr>
        <w:t>§ 13 ods. 11 až 14</w:t>
      </w:r>
      <w:r w:rsidRPr="0040341A">
        <w:t>]</w:t>
      </w:r>
    </w:p>
    <w:p w14:paraId="7DDF1474" w14:textId="77777777" w:rsidR="00244374" w:rsidRPr="0040341A" w:rsidRDefault="00244374" w:rsidP="00244374">
      <w:pPr>
        <w:pStyle w:val="Default"/>
        <w:spacing w:after="100" w:afterAutospacing="1" w:line="276" w:lineRule="auto"/>
        <w:jc w:val="both"/>
        <w:rPr>
          <w:rFonts w:ascii="Times New Roman" w:hAnsi="Times New Roman" w:cs="Times New Roman"/>
        </w:rPr>
      </w:pPr>
      <w:r w:rsidRPr="0040341A">
        <w:rPr>
          <w:rFonts w:ascii="Times New Roman" w:hAnsi="Times New Roman" w:cs="Times New Roman"/>
        </w:rPr>
        <w:t xml:space="preserve">Navrhovaná úprava umožňuje navýšenie disponibilných finančných prostriedkov vyčlenených </w:t>
      </w:r>
      <w:proofErr w:type="gramStart"/>
      <w:r w:rsidRPr="0040341A">
        <w:rPr>
          <w:rFonts w:ascii="Times New Roman" w:hAnsi="Times New Roman" w:cs="Times New Roman"/>
        </w:rPr>
        <w:t>na</w:t>
      </w:r>
      <w:proofErr w:type="gramEnd"/>
      <w:r w:rsidRPr="0040341A">
        <w:rPr>
          <w:rFonts w:ascii="Times New Roman" w:hAnsi="Times New Roman" w:cs="Times New Roman"/>
        </w:rPr>
        <w:t xml:space="preserve"> výzvu </w:t>
      </w:r>
      <w:r w:rsidRPr="0040341A">
        <w:rPr>
          <w:rFonts w:ascii="Times New Roman" w:hAnsi="Times New Roman" w:cs="Times New Roman"/>
          <w:bCs/>
        </w:rPr>
        <w:t>alebo predĺženie lehoty na predkladanie žiadostí o poskytnutie dotácie na projekt zameraný na podporu regionálneho rozvoja (ďalej len „žiadosť“), ak táto zmena nemá vplyv na zmenu podmienok a účelu poskytnutia dotácie.</w:t>
      </w:r>
      <w:r w:rsidRPr="0040341A">
        <w:rPr>
          <w:rFonts w:ascii="Times New Roman" w:hAnsi="Times New Roman" w:cs="Times New Roman"/>
        </w:rPr>
        <w:t xml:space="preserve"> V prípade dotácií zo štátneho rozpočtu </w:t>
      </w:r>
      <w:proofErr w:type="gramStart"/>
      <w:r w:rsidRPr="0040341A">
        <w:rPr>
          <w:rFonts w:ascii="Times New Roman" w:hAnsi="Times New Roman" w:cs="Times New Roman"/>
        </w:rPr>
        <w:t>na</w:t>
      </w:r>
      <w:proofErr w:type="gramEnd"/>
      <w:r w:rsidRPr="0040341A">
        <w:rPr>
          <w:rFonts w:ascii="Times New Roman" w:hAnsi="Times New Roman" w:cs="Times New Roman"/>
        </w:rPr>
        <w:t xml:space="preserve"> podporu projektov regionálneho rozvoja do účinnosti tejto právnej úpravy platilo, že ak projekt získal dostatočný počet bodov v procese odborného hodnotenia, ale nebola k dispozícii dostatočná disponibilná alokácia finančných prostriedkov, poskytovateľ rozhodol o zaradení žiadosti do zoznamu žiadostí odporúčaných na zaradenie do zásobníka. Do účinnosti tejto právnej úpravy taktiež nebolo možné zo strany poskytovateľa meniť lehotu </w:t>
      </w:r>
      <w:proofErr w:type="gramStart"/>
      <w:r w:rsidRPr="0040341A">
        <w:rPr>
          <w:rFonts w:ascii="Times New Roman" w:hAnsi="Times New Roman" w:cs="Times New Roman"/>
        </w:rPr>
        <w:t>na</w:t>
      </w:r>
      <w:proofErr w:type="gramEnd"/>
      <w:r w:rsidRPr="0040341A">
        <w:rPr>
          <w:rFonts w:ascii="Times New Roman" w:hAnsi="Times New Roman" w:cs="Times New Roman"/>
        </w:rPr>
        <w:t xml:space="preserve"> predkladanie žiadostí o poskytnutie dotácie, a to ani v prípade nevyčerpania alokácie disponibilných finančných prostriedkov. Navrhovanou zmenou môže poskytovateľ z vlastného podnetu navýšiť disponibilné finančné prostriedky vyčlenené </w:t>
      </w:r>
      <w:proofErr w:type="gramStart"/>
      <w:r w:rsidRPr="0040341A">
        <w:rPr>
          <w:rFonts w:ascii="Times New Roman" w:hAnsi="Times New Roman" w:cs="Times New Roman"/>
        </w:rPr>
        <w:t>na</w:t>
      </w:r>
      <w:proofErr w:type="gramEnd"/>
      <w:r w:rsidRPr="0040341A">
        <w:rPr>
          <w:rFonts w:ascii="Times New Roman" w:hAnsi="Times New Roman" w:cs="Times New Roman"/>
        </w:rPr>
        <w:t xml:space="preserve"> výzvu, resp. predĺžiť lehotu na predkladanie žiadostí, čím dokáže uspokojiť väčší počet žiadateľov o dotáciu a zabezpečiť aj kvalitnejšie regionálne prerozdelenie alokovaných finančných prostriedkov. Navrhovaná úprava taktiež upravuje spôsob a podmienky poskytnutia finančných prostriedkov </w:t>
      </w:r>
      <w:proofErr w:type="gramStart"/>
      <w:r w:rsidRPr="0040341A">
        <w:rPr>
          <w:rFonts w:ascii="Times New Roman" w:hAnsi="Times New Roman" w:cs="Times New Roman"/>
        </w:rPr>
        <w:t>na</w:t>
      </w:r>
      <w:proofErr w:type="gramEnd"/>
      <w:r w:rsidRPr="0040341A">
        <w:rPr>
          <w:rFonts w:ascii="Times New Roman" w:hAnsi="Times New Roman" w:cs="Times New Roman"/>
        </w:rPr>
        <w:t xml:space="preserve"> dofinancovanie účelu projektu. Navrhovaná úprava umožňuje aktuálne a flexibilne reagovať </w:t>
      </w:r>
      <w:proofErr w:type="gramStart"/>
      <w:r w:rsidRPr="0040341A">
        <w:rPr>
          <w:rFonts w:ascii="Times New Roman" w:hAnsi="Times New Roman" w:cs="Times New Roman"/>
        </w:rPr>
        <w:t>na</w:t>
      </w:r>
      <w:proofErr w:type="gramEnd"/>
      <w:r w:rsidRPr="0040341A">
        <w:rPr>
          <w:rFonts w:ascii="Times New Roman" w:hAnsi="Times New Roman" w:cs="Times New Roman"/>
        </w:rPr>
        <w:t xml:space="preserve"> nárast cien komodít na trhu, najmä v súvislosti so stavebnou činnosťou.</w:t>
      </w:r>
    </w:p>
    <w:p w14:paraId="7220928F" w14:textId="77777777" w:rsidR="00244374" w:rsidRPr="0040341A" w:rsidRDefault="00244374" w:rsidP="00244374">
      <w:pPr>
        <w:pStyle w:val="Default"/>
        <w:spacing w:before="100" w:beforeAutospacing="1" w:line="276" w:lineRule="auto"/>
        <w:jc w:val="both"/>
        <w:rPr>
          <w:rFonts w:ascii="Times New Roman" w:hAnsi="Times New Roman" w:cs="Times New Roman"/>
        </w:rPr>
      </w:pPr>
      <w:r w:rsidRPr="0040341A">
        <w:rPr>
          <w:rFonts w:ascii="Times New Roman" w:hAnsi="Times New Roman" w:cs="Times New Roman"/>
        </w:rPr>
        <w:t>K bodu 31 [§ 14]</w:t>
      </w:r>
    </w:p>
    <w:p w14:paraId="66A371DB" w14:textId="77777777" w:rsidR="00244374" w:rsidRPr="0040341A" w:rsidRDefault="00244374" w:rsidP="00244374">
      <w:pPr>
        <w:pStyle w:val="Default"/>
        <w:spacing w:after="100" w:afterAutospacing="1" w:line="276" w:lineRule="auto"/>
        <w:jc w:val="both"/>
        <w:rPr>
          <w:rFonts w:ascii="Times New Roman" w:hAnsi="Times New Roman" w:cs="Times New Roman"/>
        </w:rPr>
      </w:pPr>
      <w:r w:rsidRPr="0040341A">
        <w:rPr>
          <w:rFonts w:ascii="Times New Roman" w:hAnsi="Times New Roman" w:cs="Times New Roman"/>
        </w:rPr>
        <w:t xml:space="preserve">Navrhovanou úpravou </w:t>
      </w:r>
      <w:proofErr w:type="gramStart"/>
      <w:r w:rsidRPr="0040341A">
        <w:rPr>
          <w:rFonts w:ascii="Times New Roman" w:hAnsi="Times New Roman" w:cs="Times New Roman"/>
        </w:rPr>
        <w:t>sa</w:t>
      </w:r>
      <w:proofErr w:type="gramEnd"/>
      <w:r w:rsidRPr="0040341A">
        <w:rPr>
          <w:rFonts w:ascii="Times New Roman" w:hAnsi="Times New Roman" w:cs="Times New Roman"/>
        </w:rPr>
        <w:t xml:space="preserve"> vypúšťa pojem Integrovaná sieť regionálnych rozvojových agentúr z dôvodu absencie nástroja ich podpory a špecifickej funkcie v území.</w:t>
      </w:r>
    </w:p>
    <w:p w14:paraId="2753CCC8" w14:textId="77777777" w:rsidR="00244374" w:rsidRPr="0040341A" w:rsidRDefault="00244374" w:rsidP="00244374">
      <w:pPr>
        <w:spacing w:before="100" w:beforeAutospacing="1"/>
        <w:jc w:val="both"/>
      </w:pPr>
      <w:r w:rsidRPr="0040341A">
        <w:t>K bodu 32 [§ 17 ods. 1 až 4]</w:t>
      </w:r>
    </w:p>
    <w:p w14:paraId="54E3CF8D" w14:textId="77777777" w:rsidR="00244374" w:rsidRPr="0040341A" w:rsidRDefault="00244374" w:rsidP="00244374">
      <w:pPr>
        <w:pStyle w:val="Default"/>
        <w:spacing w:after="100" w:afterAutospacing="1" w:line="276" w:lineRule="auto"/>
        <w:jc w:val="both"/>
        <w:rPr>
          <w:rFonts w:ascii="Times New Roman" w:hAnsi="Times New Roman" w:cs="Times New Roman"/>
        </w:rPr>
      </w:pPr>
      <w:r w:rsidRPr="0040341A">
        <w:rPr>
          <w:rFonts w:ascii="Times New Roman" w:hAnsi="Times New Roman" w:cs="Times New Roman"/>
        </w:rPr>
        <w:t xml:space="preserve">Legislatívno-technická úprava v nadväznosti </w:t>
      </w:r>
      <w:proofErr w:type="gramStart"/>
      <w:r w:rsidRPr="0040341A">
        <w:rPr>
          <w:rFonts w:ascii="Times New Roman" w:hAnsi="Times New Roman" w:cs="Times New Roman"/>
        </w:rPr>
        <w:t>na</w:t>
      </w:r>
      <w:proofErr w:type="gramEnd"/>
      <w:r w:rsidRPr="0040341A">
        <w:rPr>
          <w:rFonts w:ascii="Times New Roman" w:hAnsi="Times New Roman" w:cs="Times New Roman"/>
        </w:rPr>
        <w:t xml:space="preserve"> vypustenie § 14.</w:t>
      </w:r>
    </w:p>
    <w:p w14:paraId="429E2538" w14:textId="77777777" w:rsidR="00244374" w:rsidRPr="0040341A" w:rsidRDefault="00244374" w:rsidP="00244374">
      <w:pPr>
        <w:pStyle w:val="Default"/>
        <w:spacing w:line="276" w:lineRule="auto"/>
        <w:jc w:val="both"/>
        <w:rPr>
          <w:rFonts w:ascii="Times New Roman" w:hAnsi="Times New Roman" w:cs="Times New Roman"/>
        </w:rPr>
      </w:pPr>
      <w:r w:rsidRPr="0040341A">
        <w:rPr>
          <w:rFonts w:ascii="Times New Roman" w:hAnsi="Times New Roman" w:cs="Times New Roman"/>
        </w:rPr>
        <w:t>K bodu 33 [§ 17 ods. 2]</w:t>
      </w:r>
    </w:p>
    <w:p w14:paraId="4806BCBF" w14:textId="77777777" w:rsidR="00244374" w:rsidRPr="0040341A" w:rsidRDefault="00244374" w:rsidP="00244374">
      <w:pPr>
        <w:pStyle w:val="Default"/>
        <w:spacing w:line="276" w:lineRule="auto"/>
        <w:jc w:val="both"/>
        <w:rPr>
          <w:rFonts w:ascii="Times New Roman" w:hAnsi="Times New Roman" w:cs="Times New Roman"/>
        </w:rPr>
      </w:pPr>
      <w:r w:rsidRPr="0040341A">
        <w:rPr>
          <w:rFonts w:ascii="Times New Roman" w:hAnsi="Times New Roman" w:cs="Times New Roman"/>
        </w:rPr>
        <w:t>Legislatívno-technická úprava.</w:t>
      </w:r>
    </w:p>
    <w:p w14:paraId="4583B857" w14:textId="77777777" w:rsidR="00244374" w:rsidRPr="0040341A" w:rsidRDefault="00244374" w:rsidP="00244374">
      <w:pPr>
        <w:pStyle w:val="Default"/>
        <w:spacing w:line="276" w:lineRule="auto"/>
        <w:jc w:val="both"/>
        <w:rPr>
          <w:rFonts w:ascii="Times New Roman" w:hAnsi="Times New Roman" w:cs="Times New Roman"/>
        </w:rPr>
      </w:pPr>
    </w:p>
    <w:p w14:paraId="6943A9FC" w14:textId="77777777" w:rsidR="00244374" w:rsidRPr="0040341A" w:rsidRDefault="00244374" w:rsidP="00244374">
      <w:pPr>
        <w:jc w:val="both"/>
        <w:rPr>
          <w:color w:val="000000"/>
          <w:lang w:eastAsia="sk-SK"/>
        </w:rPr>
      </w:pPr>
      <w:r w:rsidRPr="0040341A">
        <w:rPr>
          <w:color w:val="000000"/>
          <w:lang w:eastAsia="sk-SK"/>
        </w:rPr>
        <w:t xml:space="preserve">K čl. II </w:t>
      </w:r>
    </w:p>
    <w:p w14:paraId="63DD1438" w14:textId="77777777" w:rsidR="00244374" w:rsidRPr="0040341A" w:rsidRDefault="00244374" w:rsidP="00244374">
      <w:pPr>
        <w:jc w:val="both"/>
      </w:pPr>
      <w:r w:rsidRPr="0040341A">
        <w:rPr>
          <w:rFonts w:eastAsiaTheme="minorEastAsia"/>
          <w:color w:val="000000" w:themeColor="text1"/>
        </w:rPr>
        <w:t xml:space="preserve">Účinnosť zákona </w:t>
      </w:r>
      <w:proofErr w:type="gramStart"/>
      <w:r w:rsidRPr="0040341A">
        <w:rPr>
          <w:rFonts w:eastAsiaTheme="minorEastAsia"/>
          <w:color w:val="000000" w:themeColor="text1"/>
        </w:rPr>
        <w:t>sa</w:t>
      </w:r>
      <w:proofErr w:type="gramEnd"/>
      <w:r w:rsidRPr="0040341A">
        <w:rPr>
          <w:rFonts w:eastAsiaTheme="minorEastAsia"/>
          <w:color w:val="000000" w:themeColor="text1"/>
        </w:rPr>
        <w:t xml:space="preserve"> navrhuje</w:t>
      </w:r>
      <w:r w:rsidRPr="0040341A">
        <w:t xml:space="preserve"> 15. </w:t>
      </w:r>
      <w:proofErr w:type="gramStart"/>
      <w:r w:rsidRPr="0040341A">
        <w:t>júla</w:t>
      </w:r>
      <w:proofErr w:type="gramEnd"/>
      <w:r w:rsidRPr="0040341A">
        <w:t xml:space="preserve"> 2023.</w:t>
      </w:r>
    </w:p>
    <w:p w14:paraId="34AB9DC5" w14:textId="77777777" w:rsidR="00244374" w:rsidRPr="0040341A" w:rsidRDefault="00244374" w:rsidP="00B32768">
      <w:pPr>
        <w:jc w:val="center"/>
        <w:rPr>
          <w:b/>
          <w:sz w:val="28"/>
          <w:szCs w:val="28"/>
          <w:highlight w:val="yellow"/>
          <w:lang w:eastAsia="sk-SK"/>
        </w:rPr>
      </w:pPr>
    </w:p>
    <w:p w14:paraId="718F9FEA" w14:textId="77777777" w:rsidR="00086C00" w:rsidRPr="0040341A" w:rsidRDefault="00086C00" w:rsidP="00086C00">
      <w:pPr>
        <w:rPr>
          <w:highlight w:val="yellow"/>
          <w:lang w:val="sk-SK"/>
        </w:rPr>
      </w:pPr>
    </w:p>
    <w:p w14:paraId="5D8C6320" w14:textId="3FB8C349" w:rsidR="00086C00" w:rsidRPr="0040341A" w:rsidRDefault="00805B44" w:rsidP="00086C00">
      <w:pPr>
        <w:rPr>
          <w:lang w:val="sk-SK"/>
        </w:rPr>
      </w:pPr>
      <w:r w:rsidRPr="0040341A">
        <w:rPr>
          <w:lang w:val="sk-SK"/>
        </w:rPr>
        <w:t>V Bratislave 14. apríla</w:t>
      </w:r>
      <w:r w:rsidR="003B5415" w:rsidRPr="0040341A">
        <w:rPr>
          <w:lang w:val="sk-SK"/>
        </w:rPr>
        <w:t xml:space="preserve"> 2023</w:t>
      </w:r>
      <w:r w:rsidR="00086C00" w:rsidRPr="0040341A">
        <w:rPr>
          <w:lang w:val="sk-SK"/>
        </w:rPr>
        <w:t>.</w:t>
      </w:r>
    </w:p>
    <w:p w14:paraId="09443A22" w14:textId="54271135" w:rsidR="00086C00" w:rsidRPr="0040341A" w:rsidRDefault="00086C00" w:rsidP="00805B44">
      <w:pPr>
        <w:rPr>
          <w:b/>
          <w:highlight w:val="yellow"/>
        </w:rPr>
      </w:pPr>
    </w:p>
    <w:p w14:paraId="1976D763" w14:textId="77777777" w:rsidR="00086C00" w:rsidRPr="0040341A" w:rsidRDefault="00086C00" w:rsidP="00086C00">
      <w:pPr>
        <w:jc w:val="center"/>
        <w:rPr>
          <w:b/>
        </w:rPr>
      </w:pPr>
    </w:p>
    <w:p w14:paraId="7F31AACE" w14:textId="684B1467" w:rsidR="00086C00" w:rsidRPr="0040341A" w:rsidRDefault="005F2B90" w:rsidP="00086C00">
      <w:pPr>
        <w:pStyle w:val="Bezriadkovania"/>
        <w:jc w:val="center"/>
        <w:rPr>
          <w:rFonts w:ascii="Times New Roman" w:hAnsi="Times New Roman" w:cs="Times New Roman"/>
          <w:b/>
          <w:sz w:val="24"/>
          <w:szCs w:val="24"/>
        </w:rPr>
      </w:pPr>
      <w:r w:rsidRPr="0040341A">
        <w:rPr>
          <w:rFonts w:ascii="Times New Roman" w:hAnsi="Times New Roman" w:cs="Times New Roman"/>
          <w:b/>
          <w:sz w:val="24"/>
          <w:szCs w:val="24"/>
        </w:rPr>
        <w:t>Eduard Heger</w:t>
      </w:r>
      <w:r w:rsidR="007D65EE" w:rsidRPr="0040341A">
        <w:rPr>
          <w:rFonts w:ascii="Times New Roman" w:hAnsi="Times New Roman" w:cs="Times New Roman"/>
          <w:b/>
          <w:sz w:val="24"/>
          <w:szCs w:val="24"/>
        </w:rPr>
        <w:t xml:space="preserve"> </w:t>
      </w:r>
    </w:p>
    <w:p w14:paraId="2F72A9BB" w14:textId="77777777" w:rsidR="00086C00" w:rsidRPr="0040341A" w:rsidRDefault="00086C00" w:rsidP="00086C00">
      <w:pPr>
        <w:pStyle w:val="Bezriadkovania"/>
        <w:jc w:val="center"/>
        <w:rPr>
          <w:rFonts w:ascii="Times New Roman" w:hAnsi="Times New Roman" w:cs="Times New Roman"/>
          <w:sz w:val="24"/>
          <w:szCs w:val="24"/>
        </w:rPr>
      </w:pPr>
      <w:r w:rsidRPr="0040341A">
        <w:rPr>
          <w:rFonts w:ascii="Times New Roman" w:hAnsi="Times New Roman" w:cs="Times New Roman"/>
          <w:sz w:val="24"/>
          <w:szCs w:val="24"/>
        </w:rPr>
        <w:t>predseda vlády</w:t>
      </w:r>
    </w:p>
    <w:p w14:paraId="5CE63F60" w14:textId="77777777" w:rsidR="00086C00" w:rsidRPr="0040341A" w:rsidRDefault="00086C00" w:rsidP="00086C00">
      <w:pPr>
        <w:pStyle w:val="Bezriadkovania"/>
        <w:jc w:val="center"/>
        <w:rPr>
          <w:rFonts w:ascii="Times New Roman" w:hAnsi="Times New Roman" w:cs="Times New Roman"/>
          <w:sz w:val="24"/>
          <w:szCs w:val="24"/>
        </w:rPr>
      </w:pPr>
      <w:r w:rsidRPr="0040341A">
        <w:rPr>
          <w:rFonts w:ascii="Times New Roman" w:hAnsi="Times New Roman" w:cs="Times New Roman"/>
          <w:sz w:val="24"/>
          <w:szCs w:val="24"/>
        </w:rPr>
        <w:t>Slovenskej republiky</w:t>
      </w:r>
    </w:p>
    <w:p w14:paraId="081A3AEB" w14:textId="77777777" w:rsidR="00086C00" w:rsidRPr="0040341A" w:rsidRDefault="00086C00" w:rsidP="00086C00">
      <w:pPr>
        <w:pStyle w:val="Bezriadkovania"/>
        <w:jc w:val="center"/>
        <w:rPr>
          <w:rFonts w:ascii="Times New Roman" w:hAnsi="Times New Roman" w:cs="Times New Roman"/>
          <w:sz w:val="24"/>
          <w:szCs w:val="24"/>
        </w:rPr>
      </w:pPr>
    </w:p>
    <w:p w14:paraId="7152F234" w14:textId="77777777" w:rsidR="00086C00" w:rsidRPr="0040341A" w:rsidRDefault="00086C00" w:rsidP="00086C00">
      <w:pPr>
        <w:pStyle w:val="Bezriadkovania"/>
        <w:jc w:val="center"/>
        <w:rPr>
          <w:rFonts w:ascii="Times New Roman" w:hAnsi="Times New Roman" w:cs="Times New Roman"/>
          <w:sz w:val="24"/>
          <w:szCs w:val="24"/>
        </w:rPr>
      </w:pPr>
    </w:p>
    <w:p w14:paraId="1622B4DF" w14:textId="77777777" w:rsidR="00086C00" w:rsidRPr="0040341A" w:rsidRDefault="00086C00" w:rsidP="00086C00">
      <w:pPr>
        <w:pStyle w:val="Bezriadkovania"/>
        <w:jc w:val="center"/>
        <w:rPr>
          <w:rFonts w:ascii="Times New Roman" w:hAnsi="Times New Roman" w:cs="Times New Roman"/>
          <w:sz w:val="24"/>
          <w:szCs w:val="24"/>
        </w:rPr>
      </w:pPr>
    </w:p>
    <w:p w14:paraId="4C818BC7" w14:textId="77777777" w:rsidR="00086C00" w:rsidRPr="0040341A" w:rsidRDefault="00086C00" w:rsidP="00086C00">
      <w:pPr>
        <w:pStyle w:val="Bezriadkovania"/>
        <w:jc w:val="center"/>
        <w:rPr>
          <w:rFonts w:ascii="Times New Roman" w:hAnsi="Times New Roman" w:cs="Times New Roman"/>
          <w:sz w:val="24"/>
          <w:szCs w:val="24"/>
        </w:rPr>
      </w:pPr>
    </w:p>
    <w:p w14:paraId="20DC370C" w14:textId="77777777" w:rsidR="00086C00" w:rsidRPr="0040341A" w:rsidRDefault="00086C00" w:rsidP="00086C00">
      <w:pPr>
        <w:pStyle w:val="Bezriadkovania"/>
        <w:jc w:val="center"/>
        <w:rPr>
          <w:rFonts w:ascii="Times New Roman" w:hAnsi="Times New Roman" w:cs="Times New Roman"/>
          <w:sz w:val="24"/>
          <w:szCs w:val="24"/>
        </w:rPr>
      </w:pPr>
    </w:p>
    <w:p w14:paraId="3B389476" w14:textId="6664AB34" w:rsidR="00086C00" w:rsidRPr="0040341A" w:rsidRDefault="005F2B90" w:rsidP="00086C00">
      <w:pPr>
        <w:pStyle w:val="Bezriadkovania"/>
        <w:jc w:val="center"/>
        <w:rPr>
          <w:rFonts w:ascii="Times New Roman" w:hAnsi="Times New Roman" w:cs="Times New Roman"/>
          <w:b/>
          <w:sz w:val="24"/>
          <w:szCs w:val="24"/>
        </w:rPr>
      </w:pPr>
      <w:r w:rsidRPr="0040341A">
        <w:rPr>
          <w:rFonts w:ascii="Times New Roman" w:hAnsi="Times New Roman" w:cs="Times New Roman"/>
          <w:b/>
          <w:sz w:val="24"/>
          <w:szCs w:val="24"/>
        </w:rPr>
        <w:t>Veronika Remišová</w:t>
      </w:r>
    </w:p>
    <w:p w14:paraId="04A44930" w14:textId="77777777" w:rsidR="00086C00" w:rsidRPr="0040341A" w:rsidRDefault="00086C00" w:rsidP="00086C00">
      <w:pPr>
        <w:pStyle w:val="Bezriadkovania"/>
        <w:jc w:val="center"/>
        <w:rPr>
          <w:rFonts w:ascii="Times New Roman" w:hAnsi="Times New Roman" w:cs="Times New Roman"/>
          <w:sz w:val="24"/>
          <w:szCs w:val="24"/>
        </w:rPr>
      </w:pPr>
      <w:r w:rsidRPr="0040341A">
        <w:rPr>
          <w:rFonts w:ascii="Times New Roman" w:hAnsi="Times New Roman" w:cs="Times New Roman"/>
          <w:sz w:val="24"/>
          <w:szCs w:val="24"/>
        </w:rPr>
        <w:t>podpredsedníčka vlády a ministerka investícií,</w:t>
      </w:r>
    </w:p>
    <w:p w14:paraId="583FBDF3" w14:textId="6A07DE03" w:rsidR="007C3F79" w:rsidRPr="0040341A" w:rsidRDefault="00086C00" w:rsidP="00805B44">
      <w:pPr>
        <w:pStyle w:val="Bezriadkovania"/>
        <w:jc w:val="center"/>
        <w:rPr>
          <w:rFonts w:ascii="Times New Roman" w:hAnsi="Times New Roman" w:cs="Times New Roman"/>
          <w:sz w:val="24"/>
          <w:szCs w:val="24"/>
        </w:rPr>
      </w:pPr>
      <w:r w:rsidRPr="0040341A">
        <w:rPr>
          <w:rFonts w:ascii="Times New Roman" w:hAnsi="Times New Roman" w:cs="Times New Roman"/>
          <w:sz w:val="24"/>
          <w:szCs w:val="24"/>
        </w:rPr>
        <w:t xml:space="preserve">regionálneho rozvoja a informatizácie </w:t>
      </w:r>
      <w:r w:rsidR="00A13ABC">
        <w:rPr>
          <w:rFonts w:ascii="Times New Roman" w:hAnsi="Times New Roman" w:cs="Times New Roman"/>
          <w:sz w:val="24"/>
          <w:szCs w:val="24"/>
        </w:rPr>
        <w:t>Slovenskej republiky</w:t>
      </w:r>
      <w:bookmarkStart w:id="0" w:name="_GoBack"/>
      <w:bookmarkEnd w:id="0"/>
    </w:p>
    <w:sectPr w:rsidR="007C3F79" w:rsidRPr="0040341A" w:rsidSect="007B0A46">
      <w:footerReference w:type="default" r:id="rId2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62D1A" w14:textId="77777777" w:rsidR="00244374" w:rsidRDefault="00244374" w:rsidP="00EE02C0">
      <w:r>
        <w:separator/>
      </w:r>
    </w:p>
  </w:endnote>
  <w:endnote w:type="continuationSeparator" w:id="0">
    <w:p w14:paraId="6FB6C414" w14:textId="77777777" w:rsidR="00244374" w:rsidRDefault="00244374" w:rsidP="00EE02C0">
      <w:r>
        <w:continuationSeparator/>
      </w:r>
    </w:p>
  </w:endnote>
  <w:endnote w:type="continuationNotice" w:id="1">
    <w:p w14:paraId="2F448834" w14:textId="77777777" w:rsidR="00244374" w:rsidRDefault="00244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B99B3" w14:textId="77777777" w:rsidR="00244374" w:rsidRDefault="0024437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7243C7A" w14:textId="77777777" w:rsidR="00244374" w:rsidRDefault="0024437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620D" w14:textId="6D22E727" w:rsidR="00244374" w:rsidRDefault="00244374">
    <w:pPr>
      <w:pStyle w:val="Pta"/>
      <w:jc w:val="right"/>
    </w:pPr>
    <w:r>
      <w:fldChar w:fldCharType="begin"/>
    </w:r>
    <w:r>
      <w:instrText>PAGE   \* MERGEFORMAT</w:instrText>
    </w:r>
    <w:r>
      <w:fldChar w:fldCharType="separate"/>
    </w:r>
    <w:r w:rsidR="00A13ABC">
      <w:rPr>
        <w:noProof/>
      </w:rPr>
      <w:t>9</w:t>
    </w:r>
    <w:r>
      <w:fldChar w:fldCharType="end"/>
    </w:r>
  </w:p>
  <w:p w14:paraId="11DB6657" w14:textId="77777777" w:rsidR="00244374" w:rsidRDefault="00244374">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7428" w14:textId="6A8FAB5E" w:rsidR="00244374" w:rsidRDefault="00244374">
    <w:pPr>
      <w:pStyle w:val="Pta"/>
      <w:jc w:val="right"/>
    </w:pPr>
    <w:r>
      <w:fldChar w:fldCharType="begin"/>
    </w:r>
    <w:r>
      <w:instrText>PAGE   \* MERGEFORMAT</w:instrText>
    </w:r>
    <w:r>
      <w:fldChar w:fldCharType="separate"/>
    </w:r>
    <w:r w:rsidR="00A13ABC">
      <w:rPr>
        <w:noProof/>
      </w:rPr>
      <w:t>5</w:t>
    </w:r>
    <w:r>
      <w:fldChar w:fldCharType="end"/>
    </w:r>
  </w:p>
  <w:p w14:paraId="7178DF98" w14:textId="77777777" w:rsidR="00244374" w:rsidRDefault="00244374">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rPr>
    </w:sdtEndPr>
    <w:sdtContent>
      <w:p w14:paraId="5F2FCF61" w14:textId="63C54287" w:rsidR="00244374" w:rsidRPr="001D6749" w:rsidRDefault="00244374">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A13ABC">
          <w:rPr>
            <w:rFonts w:ascii="Times New Roman" w:hAnsi="Times New Roman"/>
            <w:noProof/>
          </w:rPr>
          <w:t>2</w:t>
        </w:r>
        <w:r w:rsidRPr="001D6749">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rPr>
    </w:sdtEndPr>
    <w:sdtContent>
      <w:p w14:paraId="32AC1971" w14:textId="76E79BB5" w:rsidR="00244374" w:rsidRPr="001D6749" w:rsidRDefault="00244374">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A13ABC">
          <w:rPr>
            <w:rFonts w:ascii="Times New Roman" w:hAnsi="Times New Roman"/>
            <w:noProof/>
          </w:rPr>
          <w:t>4</w:t>
        </w:r>
        <w:r w:rsidRPr="001D6749">
          <w:rPr>
            <w:rFonts w:ascii="Times New Roman" w:hAnsi="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974529"/>
      <w:docPartObj>
        <w:docPartGallery w:val="Page Numbers (Bottom of Page)"/>
        <w:docPartUnique/>
      </w:docPartObj>
    </w:sdtPr>
    <w:sdtEndPr/>
    <w:sdtContent>
      <w:p w14:paraId="58C98C5C" w14:textId="7BC83DDE" w:rsidR="00244374" w:rsidRDefault="00244374" w:rsidP="001C7FA0">
        <w:pPr>
          <w:pStyle w:val="Pta"/>
          <w:jc w:val="center"/>
        </w:pPr>
        <w:r>
          <w:fldChar w:fldCharType="begin"/>
        </w:r>
        <w:r>
          <w:instrText>PAGE   \* MERGEFORMAT</w:instrText>
        </w:r>
        <w:r>
          <w:fldChar w:fldCharType="separate"/>
        </w:r>
        <w:r w:rsidR="00A13ABC">
          <w:rPr>
            <w:noProof/>
          </w:rPr>
          <w:t>10</w:t>
        </w:r>
        <w:r>
          <w:fldChar w:fldCharType="end"/>
        </w:r>
      </w:p>
    </w:sdtContent>
  </w:sdt>
  <w:p w14:paraId="79FBBB70" w14:textId="77777777" w:rsidR="00244374" w:rsidRPr="007C3F79" w:rsidRDefault="00244374" w:rsidP="007C3F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4991A" w14:textId="77777777" w:rsidR="00244374" w:rsidRDefault="00244374" w:rsidP="00EE02C0">
      <w:r>
        <w:separator/>
      </w:r>
    </w:p>
  </w:footnote>
  <w:footnote w:type="continuationSeparator" w:id="0">
    <w:p w14:paraId="43EEADD2" w14:textId="77777777" w:rsidR="00244374" w:rsidRDefault="00244374" w:rsidP="00EE02C0">
      <w:r>
        <w:continuationSeparator/>
      </w:r>
    </w:p>
  </w:footnote>
  <w:footnote w:type="continuationNotice" w:id="1">
    <w:p w14:paraId="2F566D10" w14:textId="77777777" w:rsidR="00244374" w:rsidRDefault="002443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996F" w14:textId="77777777" w:rsidR="00244374" w:rsidRDefault="00244374" w:rsidP="00244374">
    <w:pPr>
      <w:pStyle w:val="Hlavika"/>
      <w:jc w:val="right"/>
      <w:rPr>
        <w:sz w:val="24"/>
        <w:szCs w:val="24"/>
      </w:rPr>
    </w:pPr>
    <w:r>
      <w:rPr>
        <w:sz w:val="24"/>
        <w:szCs w:val="24"/>
      </w:rPr>
      <w:t>Príloha č. 2</w:t>
    </w:r>
  </w:p>
  <w:p w14:paraId="435914C3" w14:textId="77777777" w:rsidR="00244374" w:rsidRPr="00EB59C8" w:rsidRDefault="00244374" w:rsidP="00244374">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E39A" w14:textId="68119F55" w:rsidR="00244374" w:rsidRPr="0024067A" w:rsidRDefault="00244374">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2643" w14:textId="77777777" w:rsidR="00244374" w:rsidRPr="000A15AE" w:rsidRDefault="00244374" w:rsidP="00244374">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F0AE" w14:textId="77777777" w:rsidR="00244374" w:rsidRPr="00433C47" w:rsidRDefault="00244374" w:rsidP="002443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175706F7"/>
    <w:multiLevelType w:val="multilevel"/>
    <w:tmpl w:val="AA4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E5E43"/>
    <w:multiLevelType w:val="hybridMultilevel"/>
    <w:tmpl w:val="DDC0CE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EA37C8"/>
    <w:multiLevelType w:val="multilevel"/>
    <w:tmpl w:val="40E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C2604"/>
    <w:multiLevelType w:val="hybridMultilevel"/>
    <w:tmpl w:val="2D8C9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C74EC1"/>
    <w:multiLevelType w:val="hybridMultilevel"/>
    <w:tmpl w:val="FE9AE5E0"/>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C4A6F22"/>
    <w:multiLevelType w:val="hybridMultilevel"/>
    <w:tmpl w:val="21D40EBC"/>
    <w:lvl w:ilvl="0" w:tplc="F60CB848">
      <w:start w:val="1"/>
      <w:numFmt w:val="low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56931D65"/>
    <w:multiLevelType w:val="multilevel"/>
    <w:tmpl w:val="DD64E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D339B9"/>
    <w:multiLevelType w:val="hybridMultilevel"/>
    <w:tmpl w:val="509619F2"/>
    <w:lvl w:ilvl="0" w:tplc="2C4CBF8E">
      <w:start w:val="94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6D9418CC"/>
    <w:multiLevelType w:val="hybridMultilevel"/>
    <w:tmpl w:val="9778738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7BA00565"/>
    <w:multiLevelType w:val="hybridMultilevel"/>
    <w:tmpl w:val="43300E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BDE54EF"/>
    <w:multiLevelType w:val="hybridMultilevel"/>
    <w:tmpl w:val="9628F518"/>
    <w:lvl w:ilvl="0" w:tplc="22A0C088">
      <w:start w:val="1"/>
      <w:numFmt w:val="decimal"/>
      <w:lvlText w:val="%1."/>
      <w:lvlJc w:val="left"/>
      <w:pPr>
        <w:ind w:left="862" w:hanging="360"/>
      </w:pPr>
      <w:rPr>
        <w:sz w:val="22"/>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0"/>
  </w:num>
  <w:num w:numId="8">
    <w:abstractNumId w:val="5"/>
  </w:num>
  <w:num w:numId="9">
    <w:abstractNumId w:val="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2"/>
  </w:num>
  <w:num w:numId="14">
    <w:abstractNumId w:val="8"/>
  </w:num>
  <w:num w:numId="15">
    <w:abstractNumId w:val="1"/>
  </w:num>
  <w:num w:numId="16">
    <w:abstractNumId w:val="14"/>
  </w:num>
  <w:num w:numId="17">
    <w:abstractNumId w:val="15"/>
  </w:num>
  <w:num w:numId="1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81"/>
    <w:rsid w:val="0000108F"/>
    <w:rsid w:val="00001BEB"/>
    <w:rsid w:val="00001C9D"/>
    <w:rsid w:val="000023F6"/>
    <w:rsid w:val="00002842"/>
    <w:rsid w:val="00003034"/>
    <w:rsid w:val="00003E2E"/>
    <w:rsid w:val="00004205"/>
    <w:rsid w:val="000043C5"/>
    <w:rsid w:val="000062AE"/>
    <w:rsid w:val="00006469"/>
    <w:rsid w:val="00007445"/>
    <w:rsid w:val="0001044C"/>
    <w:rsid w:val="0001084F"/>
    <w:rsid w:val="00011F5E"/>
    <w:rsid w:val="00012244"/>
    <w:rsid w:val="00012D3C"/>
    <w:rsid w:val="000135B7"/>
    <w:rsid w:val="00013928"/>
    <w:rsid w:val="000143F5"/>
    <w:rsid w:val="00014490"/>
    <w:rsid w:val="00015ABA"/>
    <w:rsid w:val="00016003"/>
    <w:rsid w:val="00016611"/>
    <w:rsid w:val="000179B4"/>
    <w:rsid w:val="00020E11"/>
    <w:rsid w:val="00022B7F"/>
    <w:rsid w:val="00023BF4"/>
    <w:rsid w:val="00026B67"/>
    <w:rsid w:val="00027E26"/>
    <w:rsid w:val="0003125E"/>
    <w:rsid w:val="000314BB"/>
    <w:rsid w:val="00031CA7"/>
    <w:rsid w:val="00032787"/>
    <w:rsid w:val="000335D7"/>
    <w:rsid w:val="000345C6"/>
    <w:rsid w:val="00034FEC"/>
    <w:rsid w:val="0003618F"/>
    <w:rsid w:val="000361E4"/>
    <w:rsid w:val="00037075"/>
    <w:rsid w:val="000378EE"/>
    <w:rsid w:val="00041E01"/>
    <w:rsid w:val="00042B6B"/>
    <w:rsid w:val="00042BC9"/>
    <w:rsid w:val="00043BD3"/>
    <w:rsid w:val="00046DEE"/>
    <w:rsid w:val="00047520"/>
    <w:rsid w:val="000501F2"/>
    <w:rsid w:val="000506C4"/>
    <w:rsid w:val="00050A9A"/>
    <w:rsid w:val="00050D16"/>
    <w:rsid w:val="00051CDC"/>
    <w:rsid w:val="00052E0F"/>
    <w:rsid w:val="00053A00"/>
    <w:rsid w:val="00053D7D"/>
    <w:rsid w:val="000543E7"/>
    <w:rsid w:val="000544E0"/>
    <w:rsid w:val="00054E2F"/>
    <w:rsid w:val="0005594B"/>
    <w:rsid w:val="00057538"/>
    <w:rsid w:val="00057A93"/>
    <w:rsid w:val="000617F5"/>
    <w:rsid w:val="00061DCC"/>
    <w:rsid w:val="000628EA"/>
    <w:rsid w:val="000635C6"/>
    <w:rsid w:val="000724D7"/>
    <w:rsid w:val="0007348C"/>
    <w:rsid w:val="0007442A"/>
    <w:rsid w:val="00074738"/>
    <w:rsid w:val="0007518E"/>
    <w:rsid w:val="00076A66"/>
    <w:rsid w:val="00077608"/>
    <w:rsid w:val="00080FF7"/>
    <w:rsid w:val="00084ADF"/>
    <w:rsid w:val="00086C00"/>
    <w:rsid w:val="00086E8C"/>
    <w:rsid w:val="000870C1"/>
    <w:rsid w:val="000875BB"/>
    <w:rsid w:val="00087B23"/>
    <w:rsid w:val="00087DA5"/>
    <w:rsid w:val="00090720"/>
    <w:rsid w:val="00091541"/>
    <w:rsid w:val="000915E0"/>
    <w:rsid w:val="000917CD"/>
    <w:rsid w:val="00091BD9"/>
    <w:rsid w:val="000928F6"/>
    <w:rsid w:val="00093700"/>
    <w:rsid w:val="0009438C"/>
    <w:rsid w:val="000947C1"/>
    <w:rsid w:val="000955FE"/>
    <w:rsid w:val="000959B0"/>
    <w:rsid w:val="000969B0"/>
    <w:rsid w:val="00096F89"/>
    <w:rsid w:val="000A009C"/>
    <w:rsid w:val="000A08DD"/>
    <w:rsid w:val="000A1AC6"/>
    <w:rsid w:val="000A1BDA"/>
    <w:rsid w:val="000A2BF1"/>
    <w:rsid w:val="000A2D64"/>
    <w:rsid w:val="000A3748"/>
    <w:rsid w:val="000A41ED"/>
    <w:rsid w:val="000A58A2"/>
    <w:rsid w:val="000A5BC0"/>
    <w:rsid w:val="000A5CC3"/>
    <w:rsid w:val="000B01FA"/>
    <w:rsid w:val="000B0A9B"/>
    <w:rsid w:val="000B0C38"/>
    <w:rsid w:val="000B317C"/>
    <w:rsid w:val="000B4F67"/>
    <w:rsid w:val="000B614F"/>
    <w:rsid w:val="000B627D"/>
    <w:rsid w:val="000B6D3A"/>
    <w:rsid w:val="000C1675"/>
    <w:rsid w:val="000C26EC"/>
    <w:rsid w:val="000C330B"/>
    <w:rsid w:val="000C39C4"/>
    <w:rsid w:val="000C4ABE"/>
    <w:rsid w:val="000C534B"/>
    <w:rsid w:val="000C7BF5"/>
    <w:rsid w:val="000D0939"/>
    <w:rsid w:val="000D0F8F"/>
    <w:rsid w:val="000D10F7"/>
    <w:rsid w:val="000D1756"/>
    <w:rsid w:val="000D178E"/>
    <w:rsid w:val="000D3040"/>
    <w:rsid w:val="000D324E"/>
    <w:rsid w:val="000D4233"/>
    <w:rsid w:val="000D4C6B"/>
    <w:rsid w:val="000D5006"/>
    <w:rsid w:val="000D5130"/>
    <w:rsid w:val="000D5511"/>
    <w:rsid w:val="000D5C6D"/>
    <w:rsid w:val="000E0FCD"/>
    <w:rsid w:val="000E1287"/>
    <w:rsid w:val="000E1866"/>
    <w:rsid w:val="000E1D63"/>
    <w:rsid w:val="000E1FBD"/>
    <w:rsid w:val="000E2558"/>
    <w:rsid w:val="000E3ABB"/>
    <w:rsid w:val="000E4455"/>
    <w:rsid w:val="000E4A91"/>
    <w:rsid w:val="000E4E1E"/>
    <w:rsid w:val="000E5138"/>
    <w:rsid w:val="000E5C5F"/>
    <w:rsid w:val="000E7B60"/>
    <w:rsid w:val="000E7FEC"/>
    <w:rsid w:val="000F13A1"/>
    <w:rsid w:val="000F1CCA"/>
    <w:rsid w:val="000F5028"/>
    <w:rsid w:val="000F6196"/>
    <w:rsid w:val="000F62E5"/>
    <w:rsid w:val="000F6B14"/>
    <w:rsid w:val="000F73EB"/>
    <w:rsid w:val="000F7927"/>
    <w:rsid w:val="000F7A08"/>
    <w:rsid w:val="00100088"/>
    <w:rsid w:val="0010051D"/>
    <w:rsid w:val="00100CCE"/>
    <w:rsid w:val="001046A2"/>
    <w:rsid w:val="00105A8C"/>
    <w:rsid w:val="00106388"/>
    <w:rsid w:val="00106817"/>
    <w:rsid w:val="001068CE"/>
    <w:rsid w:val="00106E84"/>
    <w:rsid w:val="00107969"/>
    <w:rsid w:val="00107EF3"/>
    <w:rsid w:val="001109C5"/>
    <w:rsid w:val="001111B5"/>
    <w:rsid w:val="001128BF"/>
    <w:rsid w:val="00113C38"/>
    <w:rsid w:val="00113CAC"/>
    <w:rsid w:val="0011749C"/>
    <w:rsid w:val="001177B2"/>
    <w:rsid w:val="001179D0"/>
    <w:rsid w:val="00120DAD"/>
    <w:rsid w:val="001215E3"/>
    <w:rsid w:val="00121FC4"/>
    <w:rsid w:val="0012220E"/>
    <w:rsid w:val="00123AFE"/>
    <w:rsid w:val="00124604"/>
    <w:rsid w:val="00126AAF"/>
    <w:rsid w:val="00131ADB"/>
    <w:rsid w:val="00131C61"/>
    <w:rsid w:val="00132588"/>
    <w:rsid w:val="001329D8"/>
    <w:rsid w:val="00133113"/>
    <w:rsid w:val="00133A16"/>
    <w:rsid w:val="00133C71"/>
    <w:rsid w:val="0013464C"/>
    <w:rsid w:val="0013491A"/>
    <w:rsid w:val="00134935"/>
    <w:rsid w:val="001353B6"/>
    <w:rsid w:val="00137472"/>
    <w:rsid w:val="001430EC"/>
    <w:rsid w:val="00143823"/>
    <w:rsid w:val="00143B0D"/>
    <w:rsid w:val="00147031"/>
    <w:rsid w:val="0014728D"/>
    <w:rsid w:val="00147BC9"/>
    <w:rsid w:val="001521CE"/>
    <w:rsid w:val="001522DB"/>
    <w:rsid w:val="001528E7"/>
    <w:rsid w:val="001530C8"/>
    <w:rsid w:val="001541CA"/>
    <w:rsid w:val="00154821"/>
    <w:rsid w:val="001572E6"/>
    <w:rsid w:val="00160F16"/>
    <w:rsid w:val="001619A4"/>
    <w:rsid w:val="00162DA2"/>
    <w:rsid w:val="00164FE5"/>
    <w:rsid w:val="0016571D"/>
    <w:rsid w:val="00165942"/>
    <w:rsid w:val="00170A73"/>
    <w:rsid w:val="00171FF3"/>
    <w:rsid w:val="00172A2C"/>
    <w:rsid w:val="00172D07"/>
    <w:rsid w:val="001735C6"/>
    <w:rsid w:val="0017518E"/>
    <w:rsid w:val="00175981"/>
    <w:rsid w:val="00177C55"/>
    <w:rsid w:val="001802F0"/>
    <w:rsid w:val="0018106D"/>
    <w:rsid w:val="001815FF"/>
    <w:rsid w:val="00182B74"/>
    <w:rsid w:val="00183C38"/>
    <w:rsid w:val="00185034"/>
    <w:rsid w:val="00185293"/>
    <w:rsid w:val="001853DD"/>
    <w:rsid w:val="00186D15"/>
    <w:rsid w:val="001877FF"/>
    <w:rsid w:val="0019047B"/>
    <w:rsid w:val="001947EF"/>
    <w:rsid w:val="001949D2"/>
    <w:rsid w:val="0019511B"/>
    <w:rsid w:val="0019680B"/>
    <w:rsid w:val="00196E24"/>
    <w:rsid w:val="0019759A"/>
    <w:rsid w:val="00197638"/>
    <w:rsid w:val="00197681"/>
    <w:rsid w:val="001A0F13"/>
    <w:rsid w:val="001A15B9"/>
    <w:rsid w:val="001A24A5"/>
    <w:rsid w:val="001A2527"/>
    <w:rsid w:val="001A2848"/>
    <w:rsid w:val="001A3713"/>
    <w:rsid w:val="001A3C3D"/>
    <w:rsid w:val="001A4C78"/>
    <w:rsid w:val="001A637D"/>
    <w:rsid w:val="001A66C5"/>
    <w:rsid w:val="001A6F42"/>
    <w:rsid w:val="001A73CB"/>
    <w:rsid w:val="001A7A85"/>
    <w:rsid w:val="001B169F"/>
    <w:rsid w:val="001B2A04"/>
    <w:rsid w:val="001B2C06"/>
    <w:rsid w:val="001B37D5"/>
    <w:rsid w:val="001B4A64"/>
    <w:rsid w:val="001B5717"/>
    <w:rsid w:val="001B571C"/>
    <w:rsid w:val="001C1518"/>
    <w:rsid w:val="001C361F"/>
    <w:rsid w:val="001C54CD"/>
    <w:rsid w:val="001C55D3"/>
    <w:rsid w:val="001C607C"/>
    <w:rsid w:val="001C6F0C"/>
    <w:rsid w:val="001C7FA0"/>
    <w:rsid w:val="001D0780"/>
    <w:rsid w:val="001D1E06"/>
    <w:rsid w:val="001D49B9"/>
    <w:rsid w:val="001D5FB4"/>
    <w:rsid w:val="001D6130"/>
    <w:rsid w:val="001D6153"/>
    <w:rsid w:val="001D67A8"/>
    <w:rsid w:val="001D76C2"/>
    <w:rsid w:val="001D7AF2"/>
    <w:rsid w:val="001E0A7A"/>
    <w:rsid w:val="001E43C8"/>
    <w:rsid w:val="001E45F7"/>
    <w:rsid w:val="001E47CC"/>
    <w:rsid w:val="001E638B"/>
    <w:rsid w:val="001E63A6"/>
    <w:rsid w:val="001E68DE"/>
    <w:rsid w:val="001E737A"/>
    <w:rsid w:val="001F020B"/>
    <w:rsid w:val="001F172A"/>
    <w:rsid w:val="001F188D"/>
    <w:rsid w:val="001F27EB"/>
    <w:rsid w:val="001F2852"/>
    <w:rsid w:val="001F28A8"/>
    <w:rsid w:val="001F41A7"/>
    <w:rsid w:val="001F437A"/>
    <w:rsid w:val="001F6EC4"/>
    <w:rsid w:val="001F7EE5"/>
    <w:rsid w:val="0020062F"/>
    <w:rsid w:val="00201585"/>
    <w:rsid w:val="00201A61"/>
    <w:rsid w:val="002020F8"/>
    <w:rsid w:val="00204640"/>
    <w:rsid w:val="00205738"/>
    <w:rsid w:val="002059C5"/>
    <w:rsid w:val="00205FCD"/>
    <w:rsid w:val="00206006"/>
    <w:rsid w:val="00210406"/>
    <w:rsid w:val="002108CD"/>
    <w:rsid w:val="00211ABF"/>
    <w:rsid w:val="00211FE4"/>
    <w:rsid w:val="002121FC"/>
    <w:rsid w:val="0021339C"/>
    <w:rsid w:val="0021373C"/>
    <w:rsid w:val="0021388A"/>
    <w:rsid w:val="00213D9A"/>
    <w:rsid w:val="00214706"/>
    <w:rsid w:val="00214EA0"/>
    <w:rsid w:val="00216323"/>
    <w:rsid w:val="00220363"/>
    <w:rsid w:val="00223B6F"/>
    <w:rsid w:val="00224AED"/>
    <w:rsid w:val="00224BEC"/>
    <w:rsid w:val="00226440"/>
    <w:rsid w:val="00226EE7"/>
    <w:rsid w:val="00226EEB"/>
    <w:rsid w:val="00227CCA"/>
    <w:rsid w:val="002301EE"/>
    <w:rsid w:val="002303C5"/>
    <w:rsid w:val="00231FF1"/>
    <w:rsid w:val="002327DF"/>
    <w:rsid w:val="0023385A"/>
    <w:rsid w:val="00234229"/>
    <w:rsid w:val="00234552"/>
    <w:rsid w:val="00234D6C"/>
    <w:rsid w:val="00235C3E"/>
    <w:rsid w:val="00236397"/>
    <w:rsid w:val="0023699A"/>
    <w:rsid w:val="00237D40"/>
    <w:rsid w:val="00237DC1"/>
    <w:rsid w:val="00240A80"/>
    <w:rsid w:val="002411B0"/>
    <w:rsid w:val="0024220D"/>
    <w:rsid w:val="0024388D"/>
    <w:rsid w:val="002440FF"/>
    <w:rsid w:val="00244374"/>
    <w:rsid w:val="00245C79"/>
    <w:rsid w:val="0024625E"/>
    <w:rsid w:val="002469F9"/>
    <w:rsid w:val="00246FA3"/>
    <w:rsid w:val="00247821"/>
    <w:rsid w:val="00250BF3"/>
    <w:rsid w:val="002511C0"/>
    <w:rsid w:val="002511FF"/>
    <w:rsid w:val="00251315"/>
    <w:rsid w:val="002516D3"/>
    <w:rsid w:val="0025313E"/>
    <w:rsid w:val="00253F25"/>
    <w:rsid w:val="0025426F"/>
    <w:rsid w:val="0025517C"/>
    <w:rsid w:val="002555F0"/>
    <w:rsid w:val="00256A6B"/>
    <w:rsid w:val="00256C06"/>
    <w:rsid w:val="00260AE8"/>
    <w:rsid w:val="00261075"/>
    <w:rsid w:val="0026119B"/>
    <w:rsid w:val="00261400"/>
    <w:rsid w:val="002618DE"/>
    <w:rsid w:val="00262BA0"/>
    <w:rsid w:val="00262BB1"/>
    <w:rsid w:val="00264D09"/>
    <w:rsid w:val="00265F31"/>
    <w:rsid w:val="0026697C"/>
    <w:rsid w:val="00267B2E"/>
    <w:rsid w:val="00267BC7"/>
    <w:rsid w:val="002725A2"/>
    <w:rsid w:val="002725BA"/>
    <w:rsid w:val="0027289A"/>
    <w:rsid w:val="002732B1"/>
    <w:rsid w:val="0027381A"/>
    <w:rsid w:val="0028049E"/>
    <w:rsid w:val="0028308D"/>
    <w:rsid w:val="00283ACF"/>
    <w:rsid w:val="002856BF"/>
    <w:rsid w:val="0028591C"/>
    <w:rsid w:val="002861AD"/>
    <w:rsid w:val="002867A9"/>
    <w:rsid w:val="0029027A"/>
    <w:rsid w:val="0029103E"/>
    <w:rsid w:val="00293ECC"/>
    <w:rsid w:val="00295E81"/>
    <w:rsid w:val="00296924"/>
    <w:rsid w:val="00297B66"/>
    <w:rsid w:val="002A0627"/>
    <w:rsid w:val="002A1889"/>
    <w:rsid w:val="002A39FA"/>
    <w:rsid w:val="002A54DB"/>
    <w:rsid w:val="002A6309"/>
    <w:rsid w:val="002A6B61"/>
    <w:rsid w:val="002A7188"/>
    <w:rsid w:val="002A73D0"/>
    <w:rsid w:val="002B07A7"/>
    <w:rsid w:val="002B2564"/>
    <w:rsid w:val="002B2B63"/>
    <w:rsid w:val="002B43B2"/>
    <w:rsid w:val="002B5B09"/>
    <w:rsid w:val="002B5E32"/>
    <w:rsid w:val="002B7057"/>
    <w:rsid w:val="002B78A3"/>
    <w:rsid w:val="002B7AE5"/>
    <w:rsid w:val="002B7D28"/>
    <w:rsid w:val="002C226C"/>
    <w:rsid w:val="002C4E93"/>
    <w:rsid w:val="002C6C70"/>
    <w:rsid w:val="002D0674"/>
    <w:rsid w:val="002D0C1C"/>
    <w:rsid w:val="002D26CA"/>
    <w:rsid w:val="002D376B"/>
    <w:rsid w:val="002D3B53"/>
    <w:rsid w:val="002D473C"/>
    <w:rsid w:val="002D5C1A"/>
    <w:rsid w:val="002D64FB"/>
    <w:rsid w:val="002D6D80"/>
    <w:rsid w:val="002E03A2"/>
    <w:rsid w:val="002E0848"/>
    <w:rsid w:val="002E0E07"/>
    <w:rsid w:val="002E1FB0"/>
    <w:rsid w:val="002E281C"/>
    <w:rsid w:val="002E3020"/>
    <w:rsid w:val="002E37DB"/>
    <w:rsid w:val="002E3A76"/>
    <w:rsid w:val="002E4854"/>
    <w:rsid w:val="002E6CEE"/>
    <w:rsid w:val="002E784A"/>
    <w:rsid w:val="002F0C67"/>
    <w:rsid w:val="002F12B1"/>
    <w:rsid w:val="002F227B"/>
    <w:rsid w:val="002F25E5"/>
    <w:rsid w:val="002F29A2"/>
    <w:rsid w:val="002F349B"/>
    <w:rsid w:val="002F463E"/>
    <w:rsid w:val="002F4BF5"/>
    <w:rsid w:val="002F4EC0"/>
    <w:rsid w:val="002F66D3"/>
    <w:rsid w:val="002F66E3"/>
    <w:rsid w:val="002F736E"/>
    <w:rsid w:val="003003E3"/>
    <w:rsid w:val="003013C0"/>
    <w:rsid w:val="003015F6"/>
    <w:rsid w:val="00304825"/>
    <w:rsid w:val="003050B9"/>
    <w:rsid w:val="0030710F"/>
    <w:rsid w:val="003073CD"/>
    <w:rsid w:val="003073F4"/>
    <w:rsid w:val="003106D7"/>
    <w:rsid w:val="00313258"/>
    <w:rsid w:val="00313A3B"/>
    <w:rsid w:val="00314234"/>
    <w:rsid w:val="00314A6D"/>
    <w:rsid w:val="00314CA8"/>
    <w:rsid w:val="00315671"/>
    <w:rsid w:val="00315EA5"/>
    <w:rsid w:val="00315F8C"/>
    <w:rsid w:val="003220E7"/>
    <w:rsid w:val="0032416F"/>
    <w:rsid w:val="00327B67"/>
    <w:rsid w:val="00327E80"/>
    <w:rsid w:val="00331648"/>
    <w:rsid w:val="00331AF2"/>
    <w:rsid w:val="00332C68"/>
    <w:rsid w:val="00332E1B"/>
    <w:rsid w:val="00333FD5"/>
    <w:rsid w:val="00334670"/>
    <w:rsid w:val="00334CB2"/>
    <w:rsid w:val="003368AE"/>
    <w:rsid w:val="00336DB2"/>
    <w:rsid w:val="00341B01"/>
    <w:rsid w:val="0034522D"/>
    <w:rsid w:val="00346A17"/>
    <w:rsid w:val="00350971"/>
    <w:rsid w:val="00351579"/>
    <w:rsid w:val="003521B4"/>
    <w:rsid w:val="00352A7D"/>
    <w:rsid w:val="00353BEE"/>
    <w:rsid w:val="00353EF8"/>
    <w:rsid w:val="0035404E"/>
    <w:rsid w:val="00355C85"/>
    <w:rsid w:val="00355E90"/>
    <w:rsid w:val="00355F15"/>
    <w:rsid w:val="003561B8"/>
    <w:rsid w:val="003566C9"/>
    <w:rsid w:val="00356C32"/>
    <w:rsid w:val="00362421"/>
    <w:rsid w:val="0036566F"/>
    <w:rsid w:val="003665BE"/>
    <w:rsid w:val="003670FC"/>
    <w:rsid w:val="00367996"/>
    <w:rsid w:val="003679F0"/>
    <w:rsid w:val="003711F4"/>
    <w:rsid w:val="00371655"/>
    <w:rsid w:val="0037194E"/>
    <w:rsid w:val="0037251F"/>
    <w:rsid w:val="00372999"/>
    <w:rsid w:val="00373A76"/>
    <w:rsid w:val="00373F31"/>
    <w:rsid w:val="0037489A"/>
    <w:rsid w:val="00374D51"/>
    <w:rsid w:val="003765FD"/>
    <w:rsid w:val="00376604"/>
    <w:rsid w:val="00376714"/>
    <w:rsid w:val="003773C7"/>
    <w:rsid w:val="00377E75"/>
    <w:rsid w:val="003826A4"/>
    <w:rsid w:val="00382FC3"/>
    <w:rsid w:val="00383F04"/>
    <w:rsid w:val="003842A0"/>
    <w:rsid w:val="003849EA"/>
    <w:rsid w:val="00385432"/>
    <w:rsid w:val="0038600F"/>
    <w:rsid w:val="00386515"/>
    <w:rsid w:val="00386553"/>
    <w:rsid w:val="0039098C"/>
    <w:rsid w:val="00390A84"/>
    <w:rsid w:val="00390E58"/>
    <w:rsid w:val="00390F84"/>
    <w:rsid w:val="00392200"/>
    <w:rsid w:val="0039276B"/>
    <w:rsid w:val="0039276E"/>
    <w:rsid w:val="00392FC9"/>
    <w:rsid w:val="00393949"/>
    <w:rsid w:val="003939B6"/>
    <w:rsid w:val="00394D21"/>
    <w:rsid w:val="0039504E"/>
    <w:rsid w:val="003953E9"/>
    <w:rsid w:val="00397F46"/>
    <w:rsid w:val="003A008F"/>
    <w:rsid w:val="003A00AB"/>
    <w:rsid w:val="003A0820"/>
    <w:rsid w:val="003A0AA0"/>
    <w:rsid w:val="003A0FA9"/>
    <w:rsid w:val="003A1C8C"/>
    <w:rsid w:val="003A34D1"/>
    <w:rsid w:val="003A6089"/>
    <w:rsid w:val="003A700C"/>
    <w:rsid w:val="003A7C7F"/>
    <w:rsid w:val="003B057F"/>
    <w:rsid w:val="003B05EC"/>
    <w:rsid w:val="003B181A"/>
    <w:rsid w:val="003B2369"/>
    <w:rsid w:val="003B2894"/>
    <w:rsid w:val="003B2BA3"/>
    <w:rsid w:val="003B2CEF"/>
    <w:rsid w:val="003B31F7"/>
    <w:rsid w:val="003B35ED"/>
    <w:rsid w:val="003B3A85"/>
    <w:rsid w:val="003B40D3"/>
    <w:rsid w:val="003B487F"/>
    <w:rsid w:val="003B490E"/>
    <w:rsid w:val="003B5415"/>
    <w:rsid w:val="003B5D08"/>
    <w:rsid w:val="003B70FB"/>
    <w:rsid w:val="003B7222"/>
    <w:rsid w:val="003B7861"/>
    <w:rsid w:val="003B7E4E"/>
    <w:rsid w:val="003C047D"/>
    <w:rsid w:val="003C1757"/>
    <w:rsid w:val="003C1BAC"/>
    <w:rsid w:val="003C1C3D"/>
    <w:rsid w:val="003C2FFD"/>
    <w:rsid w:val="003C4A2F"/>
    <w:rsid w:val="003C4BE6"/>
    <w:rsid w:val="003C6F88"/>
    <w:rsid w:val="003C79F4"/>
    <w:rsid w:val="003C7E44"/>
    <w:rsid w:val="003D2BC6"/>
    <w:rsid w:val="003D30BD"/>
    <w:rsid w:val="003D5035"/>
    <w:rsid w:val="003D539D"/>
    <w:rsid w:val="003D5A76"/>
    <w:rsid w:val="003D7B55"/>
    <w:rsid w:val="003D7F6E"/>
    <w:rsid w:val="003E1624"/>
    <w:rsid w:val="003E17F2"/>
    <w:rsid w:val="003E2B0D"/>
    <w:rsid w:val="003E399D"/>
    <w:rsid w:val="003E491E"/>
    <w:rsid w:val="003E6703"/>
    <w:rsid w:val="003F0236"/>
    <w:rsid w:val="003F1010"/>
    <w:rsid w:val="003F1070"/>
    <w:rsid w:val="003F4D15"/>
    <w:rsid w:val="003F520E"/>
    <w:rsid w:val="003F6A62"/>
    <w:rsid w:val="003F7D6A"/>
    <w:rsid w:val="003F7F0C"/>
    <w:rsid w:val="004005EE"/>
    <w:rsid w:val="0040072D"/>
    <w:rsid w:val="004014E3"/>
    <w:rsid w:val="0040341A"/>
    <w:rsid w:val="004054DF"/>
    <w:rsid w:val="00405D79"/>
    <w:rsid w:val="004068B1"/>
    <w:rsid w:val="00406C07"/>
    <w:rsid w:val="0041092A"/>
    <w:rsid w:val="00410F3C"/>
    <w:rsid w:val="00411056"/>
    <w:rsid w:val="004116B4"/>
    <w:rsid w:val="0041195B"/>
    <w:rsid w:val="00413E49"/>
    <w:rsid w:val="0041521E"/>
    <w:rsid w:val="004154DE"/>
    <w:rsid w:val="00417488"/>
    <w:rsid w:val="00420C98"/>
    <w:rsid w:val="0042197B"/>
    <w:rsid w:val="0042283E"/>
    <w:rsid w:val="00422A51"/>
    <w:rsid w:val="00423650"/>
    <w:rsid w:val="00423B1F"/>
    <w:rsid w:val="00423CD5"/>
    <w:rsid w:val="00423D72"/>
    <w:rsid w:val="00426BFE"/>
    <w:rsid w:val="00427BFE"/>
    <w:rsid w:val="00430196"/>
    <w:rsid w:val="004319D8"/>
    <w:rsid w:val="00431CEA"/>
    <w:rsid w:val="004320B9"/>
    <w:rsid w:val="00433925"/>
    <w:rsid w:val="00435BF7"/>
    <w:rsid w:val="004379D8"/>
    <w:rsid w:val="00440097"/>
    <w:rsid w:val="0044082C"/>
    <w:rsid w:val="00441502"/>
    <w:rsid w:val="0044164B"/>
    <w:rsid w:val="00441846"/>
    <w:rsid w:val="00441ABD"/>
    <w:rsid w:val="004421E4"/>
    <w:rsid w:val="00442FF0"/>
    <w:rsid w:val="004447D6"/>
    <w:rsid w:val="00445BFB"/>
    <w:rsid w:val="00446258"/>
    <w:rsid w:val="004510BC"/>
    <w:rsid w:val="004519C2"/>
    <w:rsid w:val="00452F6D"/>
    <w:rsid w:val="004549C0"/>
    <w:rsid w:val="00454F2A"/>
    <w:rsid w:val="00455CCA"/>
    <w:rsid w:val="00456489"/>
    <w:rsid w:val="004567D2"/>
    <w:rsid w:val="004577FD"/>
    <w:rsid w:val="00460CE4"/>
    <w:rsid w:val="00460FDE"/>
    <w:rsid w:val="0046167F"/>
    <w:rsid w:val="00461A6A"/>
    <w:rsid w:val="00461EAF"/>
    <w:rsid w:val="00465332"/>
    <w:rsid w:val="00466208"/>
    <w:rsid w:val="0046630A"/>
    <w:rsid w:val="00467E68"/>
    <w:rsid w:val="004771B4"/>
    <w:rsid w:val="00477AB6"/>
    <w:rsid w:val="00477AB9"/>
    <w:rsid w:val="00477BEA"/>
    <w:rsid w:val="00477F24"/>
    <w:rsid w:val="004803BF"/>
    <w:rsid w:val="0048162E"/>
    <w:rsid w:val="0048279D"/>
    <w:rsid w:val="00483674"/>
    <w:rsid w:val="00484BAC"/>
    <w:rsid w:val="00485B4F"/>
    <w:rsid w:val="00486772"/>
    <w:rsid w:val="00486828"/>
    <w:rsid w:val="00487268"/>
    <w:rsid w:val="00487426"/>
    <w:rsid w:val="00487F2F"/>
    <w:rsid w:val="00490112"/>
    <w:rsid w:val="0049039C"/>
    <w:rsid w:val="004903F4"/>
    <w:rsid w:val="00492AD7"/>
    <w:rsid w:val="00492FD2"/>
    <w:rsid w:val="0049326C"/>
    <w:rsid w:val="004947B0"/>
    <w:rsid w:val="00494F7F"/>
    <w:rsid w:val="00495464"/>
    <w:rsid w:val="0049678D"/>
    <w:rsid w:val="00496B64"/>
    <w:rsid w:val="00497E60"/>
    <w:rsid w:val="004A015D"/>
    <w:rsid w:val="004A0B29"/>
    <w:rsid w:val="004A13CF"/>
    <w:rsid w:val="004A1B67"/>
    <w:rsid w:val="004A1BB3"/>
    <w:rsid w:val="004A24BF"/>
    <w:rsid w:val="004A27E3"/>
    <w:rsid w:val="004A4566"/>
    <w:rsid w:val="004A490B"/>
    <w:rsid w:val="004A4FAF"/>
    <w:rsid w:val="004A588F"/>
    <w:rsid w:val="004A7247"/>
    <w:rsid w:val="004A7438"/>
    <w:rsid w:val="004A757C"/>
    <w:rsid w:val="004A7F7D"/>
    <w:rsid w:val="004B1320"/>
    <w:rsid w:val="004B1948"/>
    <w:rsid w:val="004B1D8B"/>
    <w:rsid w:val="004B501D"/>
    <w:rsid w:val="004B5675"/>
    <w:rsid w:val="004B7EF4"/>
    <w:rsid w:val="004C0DE8"/>
    <w:rsid w:val="004C19E7"/>
    <w:rsid w:val="004C2158"/>
    <w:rsid w:val="004C243C"/>
    <w:rsid w:val="004C29CF"/>
    <w:rsid w:val="004C2A31"/>
    <w:rsid w:val="004C3F83"/>
    <w:rsid w:val="004C47CB"/>
    <w:rsid w:val="004C4841"/>
    <w:rsid w:val="004C50EA"/>
    <w:rsid w:val="004C6AD9"/>
    <w:rsid w:val="004C7409"/>
    <w:rsid w:val="004C7F86"/>
    <w:rsid w:val="004D0BEF"/>
    <w:rsid w:val="004D0FB4"/>
    <w:rsid w:val="004D1644"/>
    <w:rsid w:val="004D197C"/>
    <w:rsid w:val="004D1C96"/>
    <w:rsid w:val="004D25C4"/>
    <w:rsid w:val="004D2C55"/>
    <w:rsid w:val="004D37AE"/>
    <w:rsid w:val="004D56B7"/>
    <w:rsid w:val="004D5ED7"/>
    <w:rsid w:val="004D700B"/>
    <w:rsid w:val="004D76AD"/>
    <w:rsid w:val="004E2B9D"/>
    <w:rsid w:val="004E2F55"/>
    <w:rsid w:val="004E3E25"/>
    <w:rsid w:val="004E561B"/>
    <w:rsid w:val="004E59C2"/>
    <w:rsid w:val="004E5A78"/>
    <w:rsid w:val="004E7145"/>
    <w:rsid w:val="004F20FA"/>
    <w:rsid w:val="004F21B2"/>
    <w:rsid w:val="004F3C39"/>
    <w:rsid w:val="004F54C0"/>
    <w:rsid w:val="004F577A"/>
    <w:rsid w:val="004F78A1"/>
    <w:rsid w:val="0050109A"/>
    <w:rsid w:val="00501625"/>
    <w:rsid w:val="0050214A"/>
    <w:rsid w:val="00503459"/>
    <w:rsid w:val="00503920"/>
    <w:rsid w:val="00503CCC"/>
    <w:rsid w:val="00504640"/>
    <w:rsid w:val="00504AE7"/>
    <w:rsid w:val="00504E2E"/>
    <w:rsid w:val="00507E39"/>
    <w:rsid w:val="0051042F"/>
    <w:rsid w:val="00510B19"/>
    <w:rsid w:val="00512892"/>
    <w:rsid w:val="00512F12"/>
    <w:rsid w:val="005130A4"/>
    <w:rsid w:val="00514F89"/>
    <w:rsid w:val="005159FE"/>
    <w:rsid w:val="005162C4"/>
    <w:rsid w:val="005163E3"/>
    <w:rsid w:val="005166B0"/>
    <w:rsid w:val="00520BD4"/>
    <w:rsid w:val="0052146D"/>
    <w:rsid w:val="0052196F"/>
    <w:rsid w:val="00521E05"/>
    <w:rsid w:val="00522C65"/>
    <w:rsid w:val="00524286"/>
    <w:rsid w:val="00524586"/>
    <w:rsid w:val="00525519"/>
    <w:rsid w:val="005264A2"/>
    <w:rsid w:val="00526AFD"/>
    <w:rsid w:val="00530EF4"/>
    <w:rsid w:val="0053302E"/>
    <w:rsid w:val="00533974"/>
    <w:rsid w:val="0053479F"/>
    <w:rsid w:val="00534F31"/>
    <w:rsid w:val="00535E9D"/>
    <w:rsid w:val="005376C8"/>
    <w:rsid w:val="005430FC"/>
    <w:rsid w:val="00545B0A"/>
    <w:rsid w:val="0054613B"/>
    <w:rsid w:val="00546C91"/>
    <w:rsid w:val="00546EAB"/>
    <w:rsid w:val="0055040F"/>
    <w:rsid w:val="005550D9"/>
    <w:rsid w:val="00555B31"/>
    <w:rsid w:val="0055705A"/>
    <w:rsid w:val="005573D0"/>
    <w:rsid w:val="00563763"/>
    <w:rsid w:val="005637B3"/>
    <w:rsid w:val="005647F5"/>
    <w:rsid w:val="00564DD7"/>
    <w:rsid w:val="005707A4"/>
    <w:rsid w:val="005712AE"/>
    <w:rsid w:val="005716FB"/>
    <w:rsid w:val="00571A41"/>
    <w:rsid w:val="00571BC8"/>
    <w:rsid w:val="00572AE3"/>
    <w:rsid w:val="00573ECE"/>
    <w:rsid w:val="00573F04"/>
    <w:rsid w:val="00574D98"/>
    <w:rsid w:val="00575952"/>
    <w:rsid w:val="00577BE3"/>
    <w:rsid w:val="005804BE"/>
    <w:rsid w:val="00580548"/>
    <w:rsid w:val="005825B0"/>
    <w:rsid w:val="00582B5C"/>
    <w:rsid w:val="00582D22"/>
    <w:rsid w:val="00585555"/>
    <w:rsid w:val="005878B7"/>
    <w:rsid w:val="00587CD1"/>
    <w:rsid w:val="00587CD5"/>
    <w:rsid w:val="00590C0C"/>
    <w:rsid w:val="00590C14"/>
    <w:rsid w:val="00591220"/>
    <w:rsid w:val="00592274"/>
    <w:rsid w:val="00592E02"/>
    <w:rsid w:val="00594595"/>
    <w:rsid w:val="00594C2E"/>
    <w:rsid w:val="00594CF1"/>
    <w:rsid w:val="00595A08"/>
    <w:rsid w:val="0059620D"/>
    <w:rsid w:val="00596681"/>
    <w:rsid w:val="00597B8C"/>
    <w:rsid w:val="005A0A33"/>
    <w:rsid w:val="005A38A3"/>
    <w:rsid w:val="005A45B1"/>
    <w:rsid w:val="005A4CEC"/>
    <w:rsid w:val="005A63B7"/>
    <w:rsid w:val="005B00FC"/>
    <w:rsid w:val="005B0697"/>
    <w:rsid w:val="005B232C"/>
    <w:rsid w:val="005B26F0"/>
    <w:rsid w:val="005B2864"/>
    <w:rsid w:val="005B445F"/>
    <w:rsid w:val="005B517A"/>
    <w:rsid w:val="005B551F"/>
    <w:rsid w:val="005C06E5"/>
    <w:rsid w:val="005C0B6C"/>
    <w:rsid w:val="005C145B"/>
    <w:rsid w:val="005C1D66"/>
    <w:rsid w:val="005C4C9D"/>
    <w:rsid w:val="005C621B"/>
    <w:rsid w:val="005C6511"/>
    <w:rsid w:val="005C76E4"/>
    <w:rsid w:val="005D12C5"/>
    <w:rsid w:val="005D244B"/>
    <w:rsid w:val="005D3066"/>
    <w:rsid w:val="005D34EE"/>
    <w:rsid w:val="005D408D"/>
    <w:rsid w:val="005D45E6"/>
    <w:rsid w:val="005D4A03"/>
    <w:rsid w:val="005D7B4F"/>
    <w:rsid w:val="005D7F64"/>
    <w:rsid w:val="005E016A"/>
    <w:rsid w:val="005E0C1D"/>
    <w:rsid w:val="005E0CB1"/>
    <w:rsid w:val="005E2421"/>
    <w:rsid w:val="005E2888"/>
    <w:rsid w:val="005E3460"/>
    <w:rsid w:val="005E38E4"/>
    <w:rsid w:val="005E4400"/>
    <w:rsid w:val="005E4778"/>
    <w:rsid w:val="005E4A3B"/>
    <w:rsid w:val="005E4C97"/>
    <w:rsid w:val="005E6B40"/>
    <w:rsid w:val="005E7EC5"/>
    <w:rsid w:val="005F0296"/>
    <w:rsid w:val="005F0F68"/>
    <w:rsid w:val="005F2072"/>
    <w:rsid w:val="005F2702"/>
    <w:rsid w:val="005F2B90"/>
    <w:rsid w:val="005F2C4F"/>
    <w:rsid w:val="005F32F5"/>
    <w:rsid w:val="005F5A41"/>
    <w:rsid w:val="005F5D02"/>
    <w:rsid w:val="006001F2"/>
    <w:rsid w:val="00600B5F"/>
    <w:rsid w:val="006011D5"/>
    <w:rsid w:val="00601D4A"/>
    <w:rsid w:val="00602CAF"/>
    <w:rsid w:val="0060314B"/>
    <w:rsid w:val="00603654"/>
    <w:rsid w:val="00603914"/>
    <w:rsid w:val="00603E6E"/>
    <w:rsid w:val="00604874"/>
    <w:rsid w:val="006049B2"/>
    <w:rsid w:val="00605689"/>
    <w:rsid w:val="006065C8"/>
    <w:rsid w:val="00606F0C"/>
    <w:rsid w:val="00607B97"/>
    <w:rsid w:val="00607C79"/>
    <w:rsid w:val="0061040B"/>
    <w:rsid w:val="00610692"/>
    <w:rsid w:val="00611029"/>
    <w:rsid w:val="00612266"/>
    <w:rsid w:val="0061256F"/>
    <w:rsid w:val="006134E6"/>
    <w:rsid w:val="00613ED3"/>
    <w:rsid w:val="00614181"/>
    <w:rsid w:val="006165A1"/>
    <w:rsid w:val="00617111"/>
    <w:rsid w:val="00617A8C"/>
    <w:rsid w:val="00617D41"/>
    <w:rsid w:val="00620690"/>
    <w:rsid w:val="00620808"/>
    <w:rsid w:val="00622173"/>
    <w:rsid w:val="00622659"/>
    <w:rsid w:val="00622CF5"/>
    <w:rsid w:val="006231AC"/>
    <w:rsid w:val="006232F0"/>
    <w:rsid w:val="00626927"/>
    <w:rsid w:val="00630623"/>
    <w:rsid w:val="00630D4A"/>
    <w:rsid w:val="00631019"/>
    <w:rsid w:val="00631AF0"/>
    <w:rsid w:val="00631F93"/>
    <w:rsid w:val="00633D2E"/>
    <w:rsid w:val="00635D96"/>
    <w:rsid w:val="00637D08"/>
    <w:rsid w:val="00637F0B"/>
    <w:rsid w:val="006405BF"/>
    <w:rsid w:val="00643302"/>
    <w:rsid w:val="00643AA7"/>
    <w:rsid w:val="00644B15"/>
    <w:rsid w:val="0064577D"/>
    <w:rsid w:val="00646BF8"/>
    <w:rsid w:val="00651147"/>
    <w:rsid w:val="00651442"/>
    <w:rsid w:val="00651C05"/>
    <w:rsid w:val="00652E04"/>
    <w:rsid w:val="00653AE2"/>
    <w:rsid w:val="00654D70"/>
    <w:rsid w:val="00656278"/>
    <w:rsid w:val="00656BAA"/>
    <w:rsid w:val="00657D51"/>
    <w:rsid w:val="00660D61"/>
    <w:rsid w:val="006632E9"/>
    <w:rsid w:val="00663BAA"/>
    <w:rsid w:val="00664352"/>
    <w:rsid w:val="00664848"/>
    <w:rsid w:val="00665FD0"/>
    <w:rsid w:val="00670187"/>
    <w:rsid w:val="00672960"/>
    <w:rsid w:val="006742EA"/>
    <w:rsid w:val="00675A73"/>
    <w:rsid w:val="00676F3F"/>
    <w:rsid w:val="00680A5A"/>
    <w:rsid w:val="00681CCB"/>
    <w:rsid w:val="00682549"/>
    <w:rsid w:val="00682C2B"/>
    <w:rsid w:val="00683C4C"/>
    <w:rsid w:val="006859F3"/>
    <w:rsid w:val="00685EF0"/>
    <w:rsid w:val="0068793D"/>
    <w:rsid w:val="00687F19"/>
    <w:rsid w:val="00691133"/>
    <w:rsid w:val="006937A5"/>
    <w:rsid w:val="006A209F"/>
    <w:rsid w:val="006A2D0F"/>
    <w:rsid w:val="006A4EF3"/>
    <w:rsid w:val="006A602A"/>
    <w:rsid w:val="006A616C"/>
    <w:rsid w:val="006A6639"/>
    <w:rsid w:val="006A6B2B"/>
    <w:rsid w:val="006A7873"/>
    <w:rsid w:val="006B0200"/>
    <w:rsid w:val="006B111C"/>
    <w:rsid w:val="006B1C1A"/>
    <w:rsid w:val="006B1DF9"/>
    <w:rsid w:val="006B290F"/>
    <w:rsid w:val="006B3140"/>
    <w:rsid w:val="006B4232"/>
    <w:rsid w:val="006B5157"/>
    <w:rsid w:val="006B6976"/>
    <w:rsid w:val="006C064B"/>
    <w:rsid w:val="006C0DF7"/>
    <w:rsid w:val="006C3559"/>
    <w:rsid w:val="006C58F4"/>
    <w:rsid w:val="006C5BCE"/>
    <w:rsid w:val="006D0937"/>
    <w:rsid w:val="006D1030"/>
    <w:rsid w:val="006D1410"/>
    <w:rsid w:val="006D1DFE"/>
    <w:rsid w:val="006D24B2"/>
    <w:rsid w:val="006D2672"/>
    <w:rsid w:val="006D4BC0"/>
    <w:rsid w:val="006D524A"/>
    <w:rsid w:val="006D5375"/>
    <w:rsid w:val="006D5F42"/>
    <w:rsid w:val="006D63B0"/>
    <w:rsid w:val="006E173C"/>
    <w:rsid w:val="006E19B0"/>
    <w:rsid w:val="006E4EE7"/>
    <w:rsid w:val="006E53F2"/>
    <w:rsid w:val="006E611C"/>
    <w:rsid w:val="006E79C3"/>
    <w:rsid w:val="006E79C5"/>
    <w:rsid w:val="006F04E4"/>
    <w:rsid w:val="006F2D86"/>
    <w:rsid w:val="006F3A1C"/>
    <w:rsid w:val="006F4AF0"/>
    <w:rsid w:val="006F60A7"/>
    <w:rsid w:val="006F6EAC"/>
    <w:rsid w:val="00700B45"/>
    <w:rsid w:val="00701EB0"/>
    <w:rsid w:val="007023F8"/>
    <w:rsid w:val="0070291C"/>
    <w:rsid w:val="00703737"/>
    <w:rsid w:val="007055D9"/>
    <w:rsid w:val="00705B33"/>
    <w:rsid w:val="00707C13"/>
    <w:rsid w:val="00711098"/>
    <w:rsid w:val="00711E40"/>
    <w:rsid w:val="00712B14"/>
    <w:rsid w:val="00712CF9"/>
    <w:rsid w:val="00712D3A"/>
    <w:rsid w:val="0071444D"/>
    <w:rsid w:val="007148E7"/>
    <w:rsid w:val="00714B19"/>
    <w:rsid w:val="00714D92"/>
    <w:rsid w:val="00715FDF"/>
    <w:rsid w:val="007173C2"/>
    <w:rsid w:val="00722450"/>
    <w:rsid w:val="00724782"/>
    <w:rsid w:val="00725EA2"/>
    <w:rsid w:val="00726766"/>
    <w:rsid w:val="00727127"/>
    <w:rsid w:val="007312DE"/>
    <w:rsid w:val="00733A82"/>
    <w:rsid w:val="00733C2A"/>
    <w:rsid w:val="00737A93"/>
    <w:rsid w:val="00740C99"/>
    <w:rsid w:val="00741C8A"/>
    <w:rsid w:val="00741DB6"/>
    <w:rsid w:val="00743922"/>
    <w:rsid w:val="007443F5"/>
    <w:rsid w:val="00745252"/>
    <w:rsid w:val="007466F9"/>
    <w:rsid w:val="007477CF"/>
    <w:rsid w:val="0075330C"/>
    <w:rsid w:val="00755399"/>
    <w:rsid w:val="00756714"/>
    <w:rsid w:val="00756D71"/>
    <w:rsid w:val="00760426"/>
    <w:rsid w:val="0076048A"/>
    <w:rsid w:val="0076076B"/>
    <w:rsid w:val="0076133D"/>
    <w:rsid w:val="0076160A"/>
    <w:rsid w:val="007617A0"/>
    <w:rsid w:val="00761870"/>
    <w:rsid w:val="00761B61"/>
    <w:rsid w:val="00762113"/>
    <w:rsid w:val="00762D04"/>
    <w:rsid w:val="00763D83"/>
    <w:rsid w:val="00766661"/>
    <w:rsid w:val="00767D88"/>
    <w:rsid w:val="00771358"/>
    <w:rsid w:val="00771F96"/>
    <w:rsid w:val="0077239B"/>
    <w:rsid w:val="00772966"/>
    <w:rsid w:val="00772A5C"/>
    <w:rsid w:val="00774D85"/>
    <w:rsid w:val="00775A45"/>
    <w:rsid w:val="0077763B"/>
    <w:rsid w:val="007819CC"/>
    <w:rsid w:val="00781AF7"/>
    <w:rsid w:val="00782227"/>
    <w:rsid w:val="00782D50"/>
    <w:rsid w:val="0078380D"/>
    <w:rsid w:val="00783CD3"/>
    <w:rsid w:val="00784A57"/>
    <w:rsid w:val="00786C9E"/>
    <w:rsid w:val="007911CC"/>
    <w:rsid w:val="0079145B"/>
    <w:rsid w:val="0079358F"/>
    <w:rsid w:val="00794195"/>
    <w:rsid w:val="00794A27"/>
    <w:rsid w:val="00794F66"/>
    <w:rsid w:val="00795D92"/>
    <w:rsid w:val="007974B4"/>
    <w:rsid w:val="00797520"/>
    <w:rsid w:val="00797EDA"/>
    <w:rsid w:val="007A0B2F"/>
    <w:rsid w:val="007A12AB"/>
    <w:rsid w:val="007A20C3"/>
    <w:rsid w:val="007A244C"/>
    <w:rsid w:val="007A247A"/>
    <w:rsid w:val="007A2EB6"/>
    <w:rsid w:val="007A300D"/>
    <w:rsid w:val="007A36B3"/>
    <w:rsid w:val="007A37B0"/>
    <w:rsid w:val="007A3C6A"/>
    <w:rsid w:val="007A3F24"/>
    <w:rsid w:val="007A454E"/>
    <w:rsid w:val="007A4AC9"/>
    <w:rsid w:val="007A5E32"/>
    <w:rsid w:val="007A5F6B"/>
    <w:rsid w:val="007A695D"/>
    <w:rsid w:val="007A6B1D"/>
    <w:rsid w:val="007A71D5"/>
    <w:rsid w:val="007B00DE"/>
    <w:rsid w:val="007B074A"/>
    <w:rsid w:val="007B0A46"/>
    <w:rsid w:val="007B24AB"/>
    <w:rsid w:val="007B5871"/>
    <w:rsid w:val="007B67A9"/>
    <w:rsid w:val="007B7B88"/>
    <w:rsid w:val="007C1145"/>
    <w:rsid w:val="007C169B"/>
    <w:rsid w:val="007C175F"/>
    <w:rsid w:val="007C22BA"/>
    <w:rsid w:val="007C2628"/>
    <w:rsid w:val="007C3F79"/>
    <w:rsid w:val="007C4277"/>
    <w:rsid w:val="007C46C7"/>
    <w:rsid w:val="007C489B"/>
    <w:rsid w:val="007C48F7"/>
    <w:rsid w:val="007C508D"/>
    <w:rsid w:val="007C5C12"/>
    <w:rsid w:val="007D07C2"/>
    <w:rsid w:val="007D1836"/>
    <w:rsid w:val="007D1EC9"/>
    <w:rsid w:val="007D2287"/>
    <w:rsid w:val="007D24F0"/>
    <w:rsid w:val="007D2AA0"/>
    <w:rsid w:val="007D3F06"/>
    <w:rsid w:val="007D54CC"/>
    <w:rsid w:val="007D65EE"/>
    <w:rsid w:val="007D6F09"/>
    <w:rsid w:val="007D77FF"/>
    <w:rsid w:val="007D7951"/>
    <w:rsid w:val="007E1C8A"/>
    <w:rsid w:val="007E21C6"/>
    <w:rsid w:val="007E3041"/>
    <w:rsid w:val="007E3E2B"/>
    <w:rsid w:val="007E40B6"/>
    <w:rsid w:val="007E52A4"/>
    <w:rsid w:val="007E5D58"/>
    <w:rsid w:val="007E61A3"/>
    <w:rsid w:val="007E7EBE"/>
    <w:rsid w:val="007E7F2D"/>
    <w:rsid w:val="007F0CD9"/>
    <w:rsid w:val="007F0EA0"/>
    <w:rsid w:val="007F1860"/>
    <w:rsid w:val="007F2778"/>
    <w:rsid w:val="007F4A3A"/>
    <w:rsid w:val="007F551A"/>
    <w:rsid w:val="007F6BB7"/>
    <w:rsid w:val="007F72EC"/>
    <w:rsid w:val="007F7F1D"/>
    <w:rsid w:val="00800FDB"/>
    <w:rsid w:val="00801502"/>
    <w:rsid w:val="0080301C"/>
    <w:rsid w:val="00805B44"/>
    <w:rsid w:val="00807113"/>
    <w:rsid w:val="0080775E"/>
    <w:rsid w:val="008078CF"/>
    <w:rsid w:val="00807D28"/>
    <w:rsid w:val="00810B16"/>
    <w:rsid w:val="008112B3"/>
    <w:rsid w:val="00811E82"/>
    <w:rsid w:val="00813C7C"/>
    <w:rsid w:val="00814505"/>
    <w:rsid w:val="0081480E"/>
    <w:rsid w:val="00815118"/>
    <w:rsid w:val="00815D42"/>
    <w:rsid w:val="00816D8C"/>
    <w:rsid w:val="0081797C"/>
    <w:rsid w:val="00817DA4"/>
    <w:rsid w:val="00817E97"/>
    <w:rsid w:val="00820347"/>
    <w:rsid w:val="00821D31"/>
    <w:rsid w:val="008230E0"/>
    <w:rsid w:val="00823C0B"/>
    <w:rsid w:val="00823FBC"/>
    <w:rsid w:val="00824EEB"/>
    <w:rsid w:val="008257E1"/>
    <w:rsid w:val="00825926"/>
    <w:rsid w:val="00825988"/>
    <w:rsid w:val="008260D8"/>
    <w:rsid w:val="0082615F"/>
    <w:rsid w:val="008312BD"/>
    <w:rsid w:val="008353D2"/>
    <w:rsid w:val="008363C6"/>
    <w:rsid w:val="00836A75"/>
    <w:rsid w:val="00836F0C"/>
    <w:rsid w:val="00836FEA"/>
    <w:rsid w:val="008372B9"/>
    <w:rsid w:val="00837AA9"/>
    <w:rsid w:val="00837B37"/>
    <w:rsid w:val="0084126E"/>
    <w:rsid w:val="00842178"/>
    <w:rsid w:val="008425B5"/>
    <w:rsid w:val="008427B7"/>
    <w:rsid w:val="008430FD"/>
    <w:rsid w:val="0084469B"/>
    <w:rsid w:val="008456CA"/>
    <w:rsid w:val="00846079"/>
    <w:rsid w:val="0084666B"/>
    <w:rsid w:val="00846B6F"/>
    <w:rsid w:val="00847E36"/>
    <w:rsid w:val="00850848"/>
    <w:rsid w:val="00855E8A"/>
    <w:rsid w:val="00856C46"/>
    <w:rsid w:val="0086172C"/>
    <w:rsid w:val="0086314B"/>
    <w:rsid w:val="0086452B"/>
    <w:rsid w:val="00864884"/>
    <w:rsid w:val="00865134"/>
    <w:rsid w:val="00865A13"/>
    <w:rsid w:val="00866C2B"/>
    <w:rsid w:val="00866D88"/>
    <w:rsid w:val="00870FEB"/>
    <w:rsid w:val="008733A4"/>
    <w:rsid w:val="00873D60"/>
    <w:rsid w:val="008743DD"/>
    <w:rsid w:val="00874B03"/>
    <w:rsid w:val="00874D8F"/>
    <w:rsid w:val="008768A4"/>
    <w:rsid w:val="008771A4"/>
    <w:rsid w:val="008773B6"/>
    <w:rsid w:val="00880879"/>
    <w:rsid w:val="00880DEB"/>
    <w:rsid w:val="00881446"/>
    <w:rsid w:val="00882C1A"/>
    <w:rsid w:val="00882C62"/>
    <w:rsid w:val="0088434F"/>
    <w:rsid w:val="00885D87"/>
    <w:rsid w:val="00886BDF"/>
    <w:rsid w:val="00886FB7"/>
    <w:rsid w:val="00887C74"/>
    <w:rsid w:val="00892417"/>
    <w:rsid w:val="00893C0A"/>
    <w:rsid w:val="008940CA"/>
    <w:rsid w:val="0089432F"/>
    <w:rsid w:val="00895A05"/>
    <w:rsid w:val="008970BC"/>
    <w:rsid w:val="008A0399"/>
    <w:rsid w:val="008A111B"/>
    <w:rsid w:val="008A1567"/>
    <w:rsid w:val="008A1937"/>
    <w:rsid w:val="008A2830"/>
    <w:rsid w:val="008A3373"/>
    <w:rsid w:val="008A3E2A"/>
    <w:rsid w:val="008A5186"/>
    <w:rsid w:val="008A5A39"/>
    <w:rsid w:val="008A5E8C"/>
    <w:rsid w:val="008A6282"/>
    <w:rsid w:val="008B02D8"/>
    <w:rsid w:val="008B0BBC"/>
    <w:rsid w:val="008B136C"/>
    <w:rsid w:val="008B1670"/>
    <w:rsid w:val="008B1AF4"/>
    <w:rsid w:val="008B1C87"/>
    <w:rsid w:val="008B224A"/>
    <w:rsid w:val="008B29A6"/>
    <w:rsid w:val="008B30FE"/>
    <w:rsid w:val="008B37D7"/>
    <w:rsid w:val="008B4301"/>
    <w:rsid w:val="008B567F"/>
    <w:rsid w:val="008B6620"/>
    <w:rsid w:val="008B7D2F"/>
    <w:rsid w:val="008C000F"/>
    <w:rsid w:val="008C0089"/>
    <w:rsid w:val="008C045C"/>
    <w:rsid w:val="008C15C6"/>
    <w:rsid w:val="008C2B1D"/>
    <w:rsid w:val="008C2DD4"/>
    <w:rsid w:val="008C3ABF"/>
    <w:rsid w:val="008C47DF"/>
    <w:rsid w:val="008C48EF"/>
    <w:rsid w:val="008C5916"/>
    <w:rsid w:val="008C7140"/>
    <w:rsid w:val="008D2218"/>
    <w:rsid w:val="008D2F65"/>
    <w:rsid w:val="008D403C"/>
    <w:rsid w:val="008D42B3"/>
    <w:rsid w:val="008D42FA"/>
    <w:rsid w:val="008D5C2F"/>
    <w:rsid w:val="008D77A2"/>
    <w:rsid w:val="008E054C"/>
    <w:rsid w:val="008E142B"/>
    <w:rsid w:val="008E1CE1"/>
    <w:rsid w:val="008E21E2"/>
    <w:rsid w:val="008E2A41"/>
    <w:rsid w:val="008E2ACE"/>
    <w:rsid w:val="008E3B09"/>
    <w:rsid w:val="008E4B0D"/>
    <w:rsid w:val="008E4D76"/>
    <w:rsid w:val="008E6008"/>
    <w:rsid w:val="008F03CF"/>
    <w:rsid w:val="008F0455"/>
    <w:rsid w:val="008F082F"/>
    <w:rsid w:val="008F4D14"/>
    <w:rsid w:val="008F4D3C"/>
    <w:rsid w:val="008F6379"/>
    <w:rsid w:val="008F678F"/>
    <w:rsid w:val="008F73BE"/>
    <w:rsid w:val="008F7C4D"/>
    <w:rsid w:val="008F7C4E"/>
    <w:rsid w:val="00900561"/>
    <w:rsid w:val="009023BD"/>
    <w:rsid w:val="00902702"/>
    <w:rsid w:val="00905B7C"/>
    <w:rsid w:val="00906495"/>
    <w:rsid w:val="0090666D"/>
    <w:rsid w:val="0090756E"/>
    <w:rsid w:val="00907C85"/>
    <w:rsid w:val="0091136B"/>
    <w:rsid w:val="009120C3"/>
    <w:rsid w:val="00914781"/>
    <w:rsid w:val="00915FEA"/>
    <w:rsid w:val="009160BD"/>
    <w:rsid w:val="0091631B"/>
    <w:rsid w:val="0091705C"/>
    <w:rsid w:val="0092039D"/>
    <w:rsid w:val="00922838"/>
    <w:rsid w:val="00922906"/>
    <w:rsid w:val="009234F0"/>
    <w:rsid w:val="00924152"/>
    <w:rsid w:val="00926628"/>
    <w:rsid w:val="00926F8F"/>
    <w:rsid w:val="00930682"/>
    <w:rsid w:val="00931EB8"/>
    <w:rsid w:val="009325B5"/>
    <w:rsid w:val="0093347E"/>
    <w:rsid w:val="0093426C"/>
    <w:rsid w:val="009345FD"/>
    <w:rsid w:val="00934F7A"/>
    <w:rsid w:val="009352F1"/>
    <w:rsid w:val="00935619"/>
    <w:rsid w:val="00935AD9"/>
    <w:rsid w:val="00935E93"/>
    <w:rsid w:val="00937E1C"/>
    <w:rsid w:val="00940C0F"/>
    <w:rsid w:val="00941D26"/>
    <w:rsid w:val="00943834"/>
    <w:rsid w:val="00943FFA"/>
    <w:rsid w:val="0094453B"/>
    <w:rsid w:val="00944952"/>
    <w:rsid w:val="00945452"/>
    <w:rsid w:val="00945E0D"/>
    <w:rsid w:val="00946F54"/>
    <w:rsid w:val="00950F85"/>
    <w:rsid w:val="00951C49"/>
    <w:rsid w:val="009526BB"/>
    <w:rsid w:val="00953D88"/>
    <w:rsid w:val="00954AAD"/>
    <w:rsid w:val="00955CA2"/>
    <w:rsid w:val="00956260"/>
    <w:rsid w:val="0095697A"/>
    <w:rsid w:val="00957854"/>
    <w:rsid w:val="009616BA"/>
    <w:rsid w:val="009621BC"/>
    <w:rsid w:val="0096226B"/>
    <w:rsid w:val="0096353E"/>
    <w:rsid w:val="0096382D"/>
    <w:rsid w:val="00965810"/>
    <w:rsid w:val="00966B4A"/>
    <w:rsid w:val="00966DB7"/>
    <w:rsid w:val="00967E88"/>
    <w:rsid w:val="0097042B"/>
    <w:rsid w:val="00970B7B"/>
    <w:rsid w:val="0097129E"/>
    <w:rsid w:val="009715B6"/>
    <w:rsid w:val="00973DCA"/>
    <w:rsid w:val="00974396"/>
    <w:rsid w:val="0097439B"/>
    <w:rsid w:val="00974D2F"/>
    <w:rsid w:val="009768A5"/>
    <w:rsid w:val="00976BE2"/>
    <w:rsid w:val="00977929"/>
    <w:rsid w:val="0098118E"/>
    <w:rsid w:val="009835AD"/>
    <w:rsid w:val="00984273"/>
    <w:rsid w:val="009854F3"/>
    <w:rsid w:val="00985A04"/>
    <w:rsid w:val="00985C2B"/>
    <w:rsid w:val="00986396"/>
    <w:rsid w:val="00986A12"/>
    <w:rsid w:val="00986DBB"/>
    <w:rsid w:val="00987FD2"/>
    <w:rsid w:val="00990A51"/>
    <w:rsid w:val="00991269"/>
    <w:rsid w:val="009920F5"/>
    <w:rsid w:val="00992223"/>
    <w:rsid w:val="00992EF1"/>
    <w:rsid w:val="00993961"/>
    <w:rsid w:val="00995AB4"/>
    <w:rsid w:val="009973DB"/>
    <w:rsid w:val="0099787D"/>
    <w:rsid w:val="009A0C9F"/>
    <w:rsid w:val="009A0D10"/>
    <w:rsid w:val="009A1C6A"/>
    <w:rsid w:val="009A3613"/>
    <w:rsid w:val="009A3A59"/>
    <w:rsid w:val="009A429D"/>
    <w:rsid w:val="009A48AB"/>
    <w:rsid w:val="009A76B1"/>
    <w:rsid w:val="009B1293"/>
    <w:rsid w:val="009B1608"/>
    <w:rsid w:val="009B3269"/>
    <w:rsid w:val="009B3487"/>
    <w:rsid w:val="009B4073"/>
    <w:rsid w:val="009B4BA7"/>
    <w:rsid w:val="009B5AF6"/>
    <w:rsid w:val="009C0931"/>
    <w:rsid w:val="009D15E1"/>
    <w:rsid w:val="009D42D2"/>
    <w:rsid w:val="009E06F1"/>
    <w:rsid w:val="009E07A5"/>
    <w:rsid w:val="009E0EF3"/>
    <w:rsid w:val="009E11A0"/>
    <w:rsid w:val="009E3EE7"/>
    <w:rsid w:val="009E4B23"/>
    <w:rsid w:val="009E59AB"/>
    <w:rsid w:val="009E5D87"/>
    <w:rsid w:val="009E5E32"/>
    <w:rsid w:val="009E6161"/>
    <w:rsid w:val="009E64FC"/>
    <w:rsid w:val="009E6DAE"/>
    <w:rsid w:val="009F08CB"/>
    <w:rsid w:val="009F103D"/>
    <w:rsid w:val="009F1DE0"/>
    <w:rsid w:val="009F1E3D"/>
    <w:rsid w:val="009F22B2"/>
    <w:rsid w:val="009F2B0D"/>
    <w:rsid w:val="009F5538"/>
    <w:rsid w:val="009F588F"/>
    <w:rsid w:val="009F6E13"/>
    <w:rsid w:val="009F7A30"/>
    <w:rsid w:val="00A01A44"/>
    <w:rsid w:val="00A02C3B"/>
    <w:rsid w:val="00A04E25"/>
    <w:rsid w:val="00A062A1"/>
    <w:rsid w:val="00A06690"/>
    <w:rsid w:val="00A069DC"/>
    <w:rsid w:val="00A06B1F"/>
    <w:rsid w:val="00A10136"/>
    <w:rsid w:val="00A103F4"/>
    <w:rsid w:val="00A10685"/>
    <w:rsid w:val="00A12A49"/>
    <w:rsid w:val="00A12AB9"/>
    <w:rsid w:val="00A132EF"/>
    <w:rsid w:val="00A13ABC"/>
    <w:rsid w:val="00A16010"/>
    <w:rsid w:val="00A16021"/>
    <w:rsid w:val="00A162A5"/>
    <w:rsid w:val="00A16628"/>
    <w:rsid w:val="00A172DF"/>
    <w:rsid w:val="00A20273"/>
    <w:rsid w:val="00A20FCD"/>
    <w:rsid w:val="00A21374"/>
    <w:rsid w:val="00A255FC"/>
    <w:rsid w:val="00A273C4"/>
    <w:rsid w:val="00A2750B"/>
    <w:rsid w:val="00A27A82"/>
    <w:rsid w:val="00A3065F"/>
    <w:rsid w:val="00A30688"/>
    <w:rsid w:val="00A3107E"/>
    <w:rsid w:val="00A321CA"/>
    <w:rsid w:val="00A33499"/>
    <w:rsid w:val="00A343AD"/>
    <w:rsid w:val="00A34A29"/>
    <w:rsid w:val="00A34B72"/>
    <w:rsid w:val="00A35729"/>
    <w:rsid w:val="00A36379"/>
    <w:rsid w:val="00A36970"/>
    <w:rsid w:val="00A374CC"/>
    <w:rsid w:val="00A402C1"/>
    <w:rsid w:val="00A402F4"/>
    <w:rsid w:val="00A40408"/>
    <w:rsid w:val="00A40B52"/>
    <w:rsid w:val="00A414BD"/>
    <w:rsid w:val="00A41B92"/>
    <w:rsid w:val="00A41CD7"/>
    <w:rsid w:val="00A43EA4"/>
    <w:rsid w:val="00A43F53"/>
    <w:rsid w:val="00A44312"/>
    <w:rsid w:val="00A44EE9"/>
    <w:rsid w:val="00A4505F"/>
    <w:rsid w:val="00A45D7A"/>
    <w:rsid w:val="00A4627C"/>
    <w:rsid w:val="00A46574"/>
    <w:rsid w:val="00A46A4D"/>
    <w:rsid w:val="00A5049D"/>
    <w:rsid w:val="00A50914"/>
    <w:rsid w:val="00A509D4"/>
    <w:rsid w:val="00A50C4E"/>
    <w:rsid w:val="00A515CA"/>
    <w:rsid w:val="00A521EE"/>
    <w:rsid w:val="00A528BD"/>
    <w:rsid w:val="00A53D87"/>
    <w:rsid w:val="00A54087"/>
    <w:rsid w:val="00A54431"/>
    <w:rsid w:val="00A54720"/>
    <w:rsid w:val="00A54B75"/>
    <w:rsid w:val="00A54DF1"/>
    <w:rsid w:val="00A54DF9"/>
    <w:rsid w:val="00A553E2"/>
    <w:rsid w:val="00A5561D"/>
    <w:rsid w:val="00A571B4"/>
    <w:rsid w:val="00A57FBA"/>
    <w:rsid w:val="00A6034D"/>
    <w:rsid w:val="00A6083D"/>
    <w:rsid w:val="00A625A0"/>
    <w:rsid w:val="00A62819"/>
    <w:rsid w:val="00A628DE"/>
    <w:rsid w:val="00A62A4E"/>
    <w:rsid w:val="00A62AE9"/>
    <w:rsid w:val="00A62F7F"/>
    <w:rsid w:val="00A62F9F"/>
    <w:rsid w:val="00A6378C"/>
    <w:rsid w:val="00A63A9A"/>
    <w:rsid w:val="00A63C83"/>
    <w:rsid w:val="00A63E2B"/>
    <w:rsid w:val="00A655D0"/>
    <w:rsid w:val="00A65B9F"/>
    <w:rsid w:val="00A65C7F"/>
    <w:rsid w:val="00A65DC8"/>
    <w:rsid w:val="00A672F3"/>
    <w:rsid w:val="00A70538"/>
    <w:rsid w:val="00A70CAF"/>
    <w:rsid w:val="00A70CD6"/>
    <w:rsid w:val="00A72657"/>
    <w:rsid w:val="00A72B32"/>
    <w:rsid w:val="00A74F1F"/>
    <w:rsid w:val="00A75837"/>
    <w:rsid w:val="00A760FE"/>
    <w:rsid w:val="00A76A3C"/>
    <w:rsid w:val="00A801FE"/>
    <w:rsid w:val="00A80490"/>
    <w:rsid w:val="00A81468"/>
    <w:rsid w:val="00A826AE"/>
    <w:rsid w:val="00A83DF7"/>
    <w:rsid w:val="00A843F2"/>
    <w:rsid w:val="00A85353"/>
    <w:rsid w:val="00A859B4"/>
    <w:rsid w:val="00A86BDB"/>
    <w:rsid w:val="00A90D81"/>
    <w:rsid w:val="00A91A5C"/>
    <w:rsid w:val="00A92F17"/>
    <w:rsid w:val="00A94A3A"/>
    <w:rsid w:val="00A94DBD"/>
    <w:rsid w:val="00A952DF"/>
    <w:rsid w:val="00A95C8C"/>
    <w:rsid w:val="00A9697A"/>
    <w:rsid w:val="00A97352"/>
    <w:rsid w:val="00A973AF"/>
    <w:rsid w:val="00AA054C"/>
    <w:rsid w:val="00AA0BC5"/>
    <w:rsid w:val="00AA0F1B"/>
    <w:rsid w:val="00AA1139"/>
    <w:rsid w:val="00AA17F0"/>
    <w:rsid w:val="00AA1FD9"/>
    <w:rsid w:val="00AA2218"/>
    <w:rsid w:val="00AA272E"/>
    <w:rsid w:val="00AA295D"/>
    <w:rsid w:val="00AA44FB"/>
    <w:rsid w:val="00AA5EC4"/>
    <w:rsid w:val="00AA77CA"/>
    <w:rsid w:val="00AB4F9A"/>
    <w:rsid w:val="00AB5402"/>
    <w:rsid w:val="00AB6A87"/>
    <w:rsid w:val="00AB6BF8"/>
    <w:rsid w:val="00AC003A"/>
    <w:rsid w:val="00AC2A15"/>
    <w:rsid w:val="00AC2AAC"/>
    <w:rsid w:val="00AC39E7"/>
    <w:rsid w:val="00AC3DDE"/>
    <w:rsid w:val="00AC52C3"/>
    <w:rsid w:val="00AC6EB3"/>
    <w:rsid w:val="00AC7364"/>
    <w:rsid w:val="00AD0993"/>
    <w:rsid w:val="00AD1967"/>
    <w:rsid w:val="00AD1FFC"/>
    <w:rsid w:val="00AD2434"/>
    <w:rsid w:val="00AD26A7"/>
    <w:rsid w:val="00AD3C0B"/>
    <w:rsid w:val="00AD3F5E"/>
    <w:rsid w:val="00AD4455"/>
    <w:rsid w:val="00AD5F91"/>
    <w:rsid w:val="00AD6C72"/>
    <w:rsid w:val="00AD73D4"/>
    <w:rsid w:val="00AD79AE"/>
    <w:rsid w:val="00AD7D2B"/>
    <w:rsid w:val="00AE0849"/>
    <w:rsid w:val="00AE0857"/>
    <w:rsid w:val="00AE1397"/>
    <w:rsid w:val="00AE1AE4"/>
    <w:rsid w:val="00AE245E"/>
    <w:rsid w:val="00AE469F"/>
    <w:rsid w:val="00AE4836"/>
    <w:rsid w:val="00AE5238"/>
    <w:rsid w:val="00AF140E"/>
    <w:rsid w:val="00AF1718"/>
    <w:rsid w:val="00AF2B0E"/>
    <w:rsid w:val="00AF2BA2"/>
    <w:rsid w:val="00AF2E6C"/>
    <w:rsid w:val="00AF500C"/>
    <w:rsid w:val="00AF50DC"/>
    <w:rsid w:val="00AF7156"/>
    <w:rsid w:val="00AF722C"/>
    <w:rsid w:val="00B00140"/>
    <w:rsid w:val="00B00BD9"/>
    <w:rsid w:val="00B01440"/>
    <w:rsid w:val="00B049EB"/>
    <w:rsid w:val="00B04CF8"/>
    <w:rsid w:val="00B05110"/>
    <w:rsid w:val="00B0513F"/>
    <w:rsid w:val="00B05FF7"/>
    <w:rsid w:val="00B10435"/>
    <w:rsid w:val="00B10EF2"/>
    <w:rsid w:val="00B11D9B"/>
    <w:rsid w:val="00B1299C"/>
    <w:rsid w:val="00B12BCD"/>
    <w:rsid w:val="00B1395C"/>
    <w:rsid w:val="00B13D1A"/>
    <w:rsid w:val="00B16268"/>
    <w:rsid w:val="00B2024B"/>
    <w:rsid w:val="00B21A9C"/>
    <w:rsid w:val="00B230D5"/>
    <w:rsid w:val="00B24E82"/>
    <w:rsid w:val="00B256ED"/>
    <w:rsid w:val="00B25802"/>
    <w:rsid w:val="00B25A0F"/>
    <w:rsid w:val="00B25BC6"/>
    <w:rsid w:val="00B2654A"/>
    <w:rsid w:val="00B269D5"/>
    <w:rsid w:val="00B27BF9"/>
    <w:rsid w:val="00B30BE1"/>
    <w:rsid w:val="00B31B24"/>
    <w:rsid w:val="00B31C84"/>
    <w:rsid w:val="00B32768"/>
    <w:rsid w:val="00B342AA"/>
    <w:rsid w:val="00B343BD"/>
    <w:rsid w:val="00B34A89"/>
    <w:rsid w:val="00B359C5"/>
    <w:rsid w:val="00B35AEA"/>
    <w:rsid w:val="00B36B9C"/>
    <w:rsid w:val="00B36CF8"/>
    <w:rsid w:val="00B40454"/>
    <w:rsid w:val="00B4057A"/>
    <w:rsid w:val="00B41E85"/>
    <w:rsid w:val="00B42D33"/>
    <w:rsid w:val="00B430E3"/>
    <w:rsid w:val="00B43D86"/>
    <w:rsid w:val="00B4460A"/>
    <w:rsid w:val="00B45615"/>
    <w:rsid w:val="00B4625F"/>
    <w:rsid w:val="00B4649F"/>
    <w:rsid w:val="00B466E3"/>
    <w:rsid w:val="00B51C5E"/>
    <w:rsid w:val="00B53347"/>
    <w:rsid w:val="00B5415C"/>
    <w:rsid w:val="00B549BE"/>
    <w:rsid w:val="00B54BCA"/>
    <w:rsid w:val="00B55880"/>
    <w:rsid w:val="00B56098"/>
    <w:rsid w:val="00B602AD"/>
    <w:rsid w:val="00B60CE4"/>
    <w:rsid w:val="00B6137F"/>
    <w:rsid w:val="00B61A06"/>
    <w:rsid w:val="00B61DA9"/>
    <w:rsid w:val="00B6264E"/>
    <w:rsid w:val="00B626E4"/>
    <w:rsid w:val="00B62BD8"/>
    <w:rsid w:val="00B63E91"/>
    <w:rsid w:val="00B643D9"/>
    <w:rsid w:val="00B64641"/>
    <w:rsid w:val="00B65863"/>
    <w:rsid w:val="00B65963"/>
    <w:rsid w:val="00B661B5"/>
    <w:rsid w:val="00B66F4C"/>
    <w:rsid w:val="00B71C99"/>
    <w:rsid w:val="00B73202"/>
    <w:rsid w:val="00B7379E"/>
    <w:rsid w:val="00B74A48"/>
    <w:rsid w:val="00B7594D"/>
    <w:rsid w:val="00B75A62"/>
    <w:rsid w:val="00B77DBE"/>
    <w:rsid w:val="00B8063B"/>
    <w:rsid w:val="00B80B11"/>
    <w:rsid w:val="00B826FC"/>
    <w:rsid w:val="00B83E8F"/>
    <w:rsid w:val="00B840F3"/>
    <w:rsid w:val="00B8494E"/>
    <w:rsid w:val="00B84B09"/>
    <w:rsid w:val="00B864E9"/>
    <w:rsid w:val="00B8712E"/>
    <w:rsid w:val="00B8734C"/>
    <w:rsid w:val="00B93DDC"/>
    <w:rsid w:val="00B93FCD"/>
    <w:rsid w:val="00B942B0"/>
    <w:rsid w:val="00B964F7"/>
    <w:rsid w:val="00B968F2"/>
    <w:rsid w:val="00BA02C1"/>
    <w:rsid w:val="00BA1EF8"/>
    <w:rsid w:val="00BA2039"/>
    <w:rsid w:val="00BA2B85"/>
    <w:rsid w:val="00BA3073"/>
    <w:rsid w:val="00BA434D"/>
    <w:rsid w:val="00BA6E68"/>
    <w:rsid w:val="00BA7330"/>
    <w:rsid w:val="00BA77FF"/>
    <w:rsid w:val="00BA7F89"/>
    <w:rsid w:val="00BB27DE"/>
    <w:rsid w:val="00BB31FD"/>
    <w:rsid w:val="00BB5384"/>
    <w:rsid w:val="00BB6F82"/>
    <w:rsid w:val="00BB76FE"/>
    <w:rsid w:val="00BB7E97"/>
    <w:rsid w:val="00BC23D2"/>
    <w:rsid w:val="00BC2509"/>
    <w:rsid w:val="00BC378A"/>
    <w:rsid w:val="00BC38F1"/>
    <w:rsid w:val="00BC4805"/>
    <w:rsid w:val="00BC538F"/>
    <w:rsid w:val="00BC5512"/>
    <w:rsid w:val="00BC6696"/>
    <w:rsid w:val="00BC70DE"/>
    <w:rsid w:val="00BD10FE"/>
    <w:rsid w:val="00BD1E80"/>
    <w:rsid w:val="00BD264E"/>
    <w:rsid w:val="00BD5B78"/>
    <w:rsid w:val="00BD7B18"/>
    <w:rsid w:val="00BE038C"/>
    <w:rsid w:val="00BE73F0"/>
    <w:rsid w:val="00BE74D2"/>
    <w:rsid w:val="00BF0008"/>
    <w:rsid w:val="00BF07E9"/>
    <w:rsid w:val="00BF148D"/>
    <w:rsid w:val="00BF1A67"/>
    <w:rsid w:val="00BF1BE5"/>
    <w:rsid w:val="00BF2F1C"/>
    <w:rsid w:val="00BF3078"/>
    <w:rsid w:val="00BF3F67"/>
    <w:rsid w:val="00BF49D7"/>
    <w:rsid w:val="00BF597F"/>
    <w:rsid w:val="00BF6AAE"/>
    <w:rsid w:val="00BF6B8E"/>
    <w:rsid w:val="00BF7448"/>
    <w:rsid w:val="00C001D2"/>
    <w:rsid w:val="00C008AF"/>
    <w:rsid w:val="00C00C8B"/>
    <w:rsid w:val="00C03EC3"/>
    <w:rsid w:val="00C049F6"/>
    <w:rsid w:val="00C04EDC"/>
    <w:rsid w:val="00C07095"/>
    <w:rsid w:val="00C10153"/>
    <w:rsid w:val="00C108DB"/>
    <w:rsid w:val="00C136D7"/>
    <w:rsid w:val="00C1372C"/>
    <w:rsid w:val="00C13C25"/>
    <w:rsid w:val="00C13DE9"/>
    <w:rsid w:val="00C13E56"/>
    <w:rsid w:val="00C15417"/>
    <w:rsid w:val="00C21E51"/>
    <w:rsid w:val="00C22316"/>
    <w:rsid w:val="00C24AA4"/>
    <w:rsid w:val="00C251CC"/>
    <w:rsid w:val="00C26E55"/>
    <w:rsid w:val="00C27B41"/>
    <w:rsid w:val="00C31026"/>
    <w:rsid w:val="00C32219"/>
    <w:rsid w:val="00C3264F"/>
    <w:rsid w:val="00C32861"/>
    <w:rsid w:val="00C32B32"/>
    <w:rsid w:val="00C339DE"/>
    <w:rsid w:val="00C34786"/>
    <w:rsid w:val="00C34D1D"/>
    <w:rsid w:val="00C364AB"/>
    <w:rsid w:val="00C3688A"/>
    <w:rsid w:val="00C36C5B"/>
    <w:rsid w:val="00C36ED0"/>
    <w:rsid w:val="00C3715C"/>
    <w:rsid w:val="00C379B0"/>
    <w:rsid w:val="00C404C6"/>
    <w:rsid w:val="00C41BF4"/>
    <w:rsid w:val="00C43276"/>
    <w:rsid w:val="00C43A4A"/>
    <w:rsid w:val="00C44EAE"/>
    <w:rsid w:val="00C458C3"/>
    <w:rsid w:val="00C45C61"/>
    <w:rsid w:val="00C472F0"/>
    <w:rsid w:val="00C50473"/>
    <w:rsid w:val="00C5048A"/>
    <w:rsid w:val="00C50CFD"/>
    <w:rsid w:val="00C51BE7"/>
    <w:rsid w:val="00C51DEF"/>
    <w:rsid w:val="00C51F3C"/>
    <w:rsid w:val="00C5315C"/>
    <w:rsid w:val="00C53BCA"/>
    <w:rsid w:val="00C53D2F"/>
    <w:rsid w:val="00C53EB1"/>
    <w:rsid w:val="00C56C55"/>
    <w:rsid w:val="00C570E7"/>
    <w:rsid w:val="00C57A1F"/>
    <w:rsid w:val="00C57D24"/>
    <w:rsid w:val="00C60946"/>
    <w:rsid w:val="00C60C79"/>
    <w:rsid w:val="00C6104C"/>
    <w:rsid w:val="00C611F4"/>
    <w:rsid w:val="00C632E7"/>
    <w:rsid w:val="00C64F07"/>
    <w:rsid w:val="00C652E1"/>
    <w:rsid w:val="00C653C0"/>
    <w:rsid w:val="00C6613A"/>
    <w:rsid w:val="00C67F01"/>
    <w:rsid w:val="00C702A8"/>
    <w:rsid w:val="00C70625"/>
    <w:rsid w:val="00C71959"/>
    <w:rsid w:val="00C71BA4"/>
    <w:rsid w:val="00C71E99"/>
    <w:rsid w:val="00C72A4D"/>
    <w:rsid w:val="00C730AD"/>
    <w:rsid w:val="00C73114"/>
    <w:rsid w:val="00C74412"/>
    <w:rsid w:val="00C75028"/>
    <w:rsid w:val="00C762EA"/>
    <w:rsid w:val="00C76CF5"/>
    <w:rsid w:val="00C77200"/>
    <w:rsid w:val="00C822EC"/>
    <w:rsid w:val="00C823A6"/>
    <w:rsid w:val="00C8379C"/>
    <w:rsid w:val="00C83827"/>
    <w:rsid w:val="00C84276"/>
    <w:rsid w:val="00C847B9"/>
    <w:rsid w:val="00C84D77"/>
    <w:rsid w:val="00C8538A"/>
    <w:rsid w:val="00C858F0"/>
    <w:rsid w:val="00C85E9F"/>
    <w:rsid w:val="00C861B0"/>
    <w:rsid w:val="00C867C9"/>
    <w:rsid w:val="00C87224"/>
    <w:rsid w:val="00C92E77"/>
    <w:rsid w:val="00C93602"/>
    <w:rsid w:val="00C93D3F"/>
    <w:rsid w:val="00C9497E"/>
    <w:rsid w:val="00C96F90"/>
    <w:rsid w:val="00CA069C"/>
    <w:rsid w:val="00CA09BC"/>
    <w:rsid w:val="00CA1CEB"/>
    <w:rsid w:val="00CA1D6D"/>
    <w:rsid w:val="00CA255E"/>
    <w:rsid w:val="00CA2E53"/>
    <w:rsid w:val="00CA30ED"/>
    <w:rsid w:val="00CA4BE7"/>
    <w:rsid w:val="00CA57F8"/>
    <w:rsid w:val="00CA626D"/>
    <w:rsid w:val="00CA72C1"/>
    <w:rsid w:val="00CA76A4"/>
    <w:rsid w:val="00CA7DD4"/>
    <w:rsid w:val="00CA7FF6"/>
    <w:rsid w:val="00CB02B5"/>
    <w:rsid w:val="00CB0688"/>
    <w:rsid w:val="00CB20F6"/>
    <w:rsid w:val="00CB3EBA"/>
    <w:rsid w:val="00CB4402"/>
    <w:rsid w:val="00CB44E7"/>
    <w:rsid w:val="00CB497E"/>
    <w:rsid w:val="00CB4F41"/>
    <w:rsid w:val="00CB4FBF"/>
    <w:rsid w:val="00CB55B6"/>
    <w:rsid w:val="00CB59F7"/>
    <w:rsid w:val="00CB5C55"/>
    <w:rsid w:val="00CB5E24"/>
    <w:rsid w:val="00CB722E"/>
    <w:rsid w:val="00CB7871"/>
    <w:rsid w:val="00CC0D87"/>
    <w:rsid w:val="00CC27F7"/>
    <w:rsid w:val="00CC29A4"/>
    <w:rsid w:val="00CC2BDE"/>
    <w:rsid w:val="00CC385B"/>
    <w:rsid w:val="00CC39EA"/>
    <w:rsid w:val="00CC4199"/>
    <w:rsid w:val="00CC46F7"/>
    <w:rsid w:val="00CC5B42"/>
    <w:rsid w:val="00CC5B74"/>
    <w:rsid w:val="00CC60FE"/>
    <w:rsid w:val="00CC6A3B"/>
    <w:rsid w:val="00CC75DE"/>
    <w:rsid w:val="00CD008B"/>
    <w:rsid w:val="00CD09E1"/>
    <w:rsid w:val="00CD0A06"/>
    <w:rsid w:val="00CD1B83"/>
    <w:rsid w:val="00CD2467"/>
    <w:rsid w:val="00CD3A13"/>
    <w:rsid w:val="00CD3C7D"/>
    <w:rsid w:val="00CD51A9"/>
    <w:rsid w:val="00CD65BD"/>
    <w:rsid w:val="00CE0854"/>
    <w:rsid w:val="00CE1026"/>
    <w:rsid w:val="00CE147E"/>
    <w:rsid w:val="00CE1730"/>
    <w:rsid w:val="00CE1C1C"/>
    <w:rsid w:val="00CE1F5A"/>
    <w:rsid w:val="00CE2D27"/>
    <w:rsid w:val="00CE3860"/>
    <w:rsid w:val="00CE7BB7"/>
    <w:rsid w:val="00CF01A9"/>
    <w:rsid w:val="00CF0F08"/>
    <w:rsid w:val="00CF1B74"/>
    <w:rsid w:val="00CF2AF3"/>
    <w:rsid w:val="00CF3194"/>
    <w:rsid w:val="00CF3E51"/>
    <w:rsid w:val="00CF40C7"/>
    <w:rsid w:val="00CF45E0"/>
    <w:rsid w:val="00CF5013"/>
    <w:rsid w:val="00CF5683"/>
    <w:rsid w:val="00CF57BF"/>
    <w:rsid w:val="00CF5D7D"/>
    <w:rsid w:val="00CF5F00"/>
    <w:rsid w:val="00CF7F86"/>
    <w:rsid w:val="00D003BB"/>
    <w:rsid w:val="00D00856"/>
    <w:rsid w:val="00D03020"/>
    <w:rsid w:val="00D0340C"/>
    <w:rsid w:val="00D0358F"/>
    <w:rsid w:val="00D03630"/>
    <w:rsid w:val="00D04629"/>
    <w:rsid w:val="00D04D20"/>
    <w:rsid w:val="00D04DA7"/>
    <w:rsid w:val="00D0566F"/>
    <w:rsid w:val="00D071FD"/>
    <w:rsid w:val="00D079B6"/>
    <w:rsid w:val="00D10204"/>
    <w:rsid w:val="00D1093E"/>
    <w:rsid w:val="00D123B0"/>
    <w:rsid w:val="00D134BC"/>
    <w:rsid w:val="00D142FE"/>
    <w:rsid w:val="00D1578C"/>
    <w:rsid w:val="00D20715"/>
    <w:rsid w:val="00D21928"/>
    <w:rsid w:val="00D21D6C"/>
    <w:rsid w:val="00D22224"/>
    <w:rsid w:val="00D22361"/>
    <w:rsid w:val="00D228A0"/>
    <w:rsid w:val="00D22B10"/>
    <w:rsid w:val="00D230E1"/>
    <w:rsid w:val="00D2418E"/>
    <w:rsid w:val="00D247B9"/>
    <w:rsid w:val="00D2659E"/>
    <w:rsid w:val="00D301FA"/>
    <w:rsid w:val="00D322D7"/>
    <w:rsid w:val="00D32CCC"/>
    <w:rsid w:val="00D33CB2"/>
    <w:rsid w:val="00D40851"/>
    <w:rsid w:val="00D40C7B"/>
    <w:rsid w:val="00D41EAD"/>
    <w:rsid w:val="00D45BFB"/>
    <w:rsid w:val="00D4614F"/>
    <w:rsid w:val="00D46DCB"/>
    <w:rsid w:val="00D47CD5"/>
    <w:rsid w:val="00D50B86"/>
    <w:rsid w:val="00D522D5"/>
    <w:rsid w:val="00D52FD8"/>
    <w:rsid w:val="00D5325F"/>
    <w:rsid w:val="00D53C63"/>
    <w:rsid w:val="00D5555E"/>
    <w:rsid w:val="00D55A4A"/>
    <w:rsid w:val="00D561E5"/>
    <w:rsid w:val="00D571B7"/>
    <w:rsid w:val="00D60CD4"/>
    <w:rsid w:val="00D61D71"/>
    <w:rsid w:val="00D63533"/>
    <w:rsid w:val="00D65576"/>
    <w:rsid w:val="00D66880"/>
    <w:rsid w:val="00D6701F"/>
    <w:rsid w:val="00D67E98"/>
    <w:rsid w:val="00D70769"/>
    <w:rsid w:val="00D7142D"/>
    <w:rsid w:val="00D71C79"/>
    <w:rsid w:val="00D71D90"/>
    <w:rsid w:val="00D73005"/>
    <w:rsid w:val="00D7331E"/>
    <w:rsid w:val="00D73439"/>
    <w:rsid w:val="00D73716"/>
    <w:rsid w:val="00D73B26"/>
    <w:rsid w:val="00D7465C"/>
    <w:rsid w:val="00D749AA"/>
    <w:rsid w:val="00D75BDE"/>
    <w:rsid w:val="00D764B9"/>
    <w:rsid w:val="00D7696C"/>
    <w:rsid w:val="00D7763E"/>
    <w:rsid w:val="00D777B9"/>
    <w:rsid w:val="00D816E4"/>
    <w:rsid w:val="00D81B35"/>
    <w:rsid w:val="00D824FB"/>
    <w:rsid w:val="00D854E0"/>
    <w:rsid w:val="00D855E6"/>
    <w:rsid w:val="00D85AFD"/>
    <w:rsid w:val="00D870C9"/>
    <w:rsid w:val="00D919F9"/>
    <w:rsid w:val="00D91B1E"/>
    <w:rsid w:val="00D9406D"/>
    <w:rsid w:val="00D94B77"/>
    <w:rsid w:val="00D9556D"/>
    <w:rsid w:val="00D95DDB"/>
    <w:rsid w:val="00DA0DCD"/>
    <w:rsid w:val="00DA1C9C"/>
    <w:rsid w:val="00DA379F"/>
    <w:rsid w:val="00DA3F06"/>
    <w:rsid w:val="00DA7B1B"/>
    <w:rsid w:val="00DB02AB"/>
    <w:rsid w:val="00DB0331"/>
    <w:rsid w:val="00DB06D1"/>
    <w:rsid w:val="00DB182C"/>
    <w:rsid w:val="00DB1B29"/>
    <w:rsid w:val="00DB38B4"/>
    <w:rsid w:val="00DB4774"/>
    <w:rsid w:val="00DB5655"/>
    <w:rsid w:val="00DB6A67"/>
    <w:rsid w:val="00DB78EF"/>
    <w:rsid w:val="00DC0514"/>
    <w:rsid w:val="00DC0F2E"/>
    <w:rsid w:val="00DC136A"/>
    <w:rsid w:val="00DC2205"/>
    <w:rsid w:val="00DC2A78"/>
    <w:rsid w:val="00DC2DCD"/>
    <w:rsid w:val="00DC4177"/>
    <w:rsid w:val="00DC4E9C"/>
    <w:rsid w:val="00DC526A"/>
    <w:rsid w:val="00DC6C00"/>
    <w:rsid w:val="00DC6FB7"/>
    <w:rsid w:val="00DC7B31"/>
    <w:rsid w:val="00DD0D5F"/>
    <w:rsid w:val="00DD13A6"/>
    <w:rsid w:val="00DD27AF"/>
    <w:rsid w:val="00DD3950"/>
    <w:rsid w:val="00DD416C"/>
    <w:rsid w:val="00DD487C"/>
    <w:rsid w:val="00DD4930"/>
    <w:rsid w:val="00DD4A96"/>
    <w:rsid w:val="00DD7388"/>
    <w:rsid w:val="00DE08D1"/>
    <w:rsid w:val="00DE1351"/>
    <w:rsid w:val="00DE1426"/>
    <w:rsid w:val="00DE1BB4"/>
    <w:rsid w:val="00DE2FDA"/>
    <w:rsid w:val="00DE5550"/>
    <w:rsid w:val="00DE68A0"/>
    <w:rsid w:val="00DE78F7"/>
    <w:rsid w:val="00DF00E4"/>
    <w:rsid w:val="00DF21D3"/>
    <w:rsid w:val="00DF2BF9"/>
    <w:rsid w:val="00DF2EE2"/>
    <w:rsid w:val="00DF30EE"/>
    <w:rsid w:val="00DF3169"/>
    <w:rsid w:val="00DF3E20"/>
    <w:rsid w:val="00DF52AE"/>
    <w:rsid w:val="00DF5960"/>
    <w:rsid w:val="00DF67E6"/>
    <w:rsid w:val="00DF7267"/>
    <w:rsid w:val="00DF7335"/>
    <w:rsid w:val="00DF7FEC"/>
    <w:rsid w:val="00E0008E"/>
    <w:rsid w:val="00E0288B"/>
    <w:rsid w:val="00E03BA2"/>
    <w:rsid w:val="00E04B02"/>
    <w:rsid w:val="00E06281"/>
    <w:rsid w:val="00E07114"/>
    <w:rsid w:val="00E07FA4"/>
    <w:rsid w:val="00E106A5"/>
    <w:rsid w:val="00E11284"/>
    <w:rsid w:val="00E11512"/>
    <w:rsid w:val="00E12879"/>
    <w:rsid w:val="00E12AD0"/>
    <w:rsid w:val="00E12B70"/>
    <w:rsid w:val="00E12D89"/>
    <w:rsid w:val="00E135E6"/>
    <w:rsid w:val="00E137EA"/>
    <w:rsid w:val="00E1577D"/>
    <w:rsid w:val="00E15F27"/>
    <w:rsid w:val="00E16663"/>
    <w:rsid w:val="00E16F6C"/>
    <w:rsid w:val="00E20A96"/>
    <w:rsid w:val="00E211F3"/>
    <w:rsid w:val="00E222E2"/>
    <w:rsid w:val="00E24067"/>
    <w:rsid w:val="00E25CAC"/>
    <w:rsid w:val="00E26BC5"/>
    <w:rsid w:val="00E3303D"/>
    <w:rsid w:val="00E33A69"/>
    <w:rsid w:val="00E34F94"/>
    <w:rsid w:val="00E36AB6"/>
    <w:rsid w:val="00E40C0F"/>
    <w:rsid w:val="00E414C6"/>
    <w:rsid w:val="00E41DD9"/>
    <w:rsid w:val="00E4711C"/>
    <w:rsid w:val="00E501EF"/>
    <w:rsid w:val="00E50CD4"/>
    <w:rsid w:val="00E51B9F"/>
    <w:rsid w:val="00E51E55"/>
    <w:rsid w:val="00E524F2"/>
    <w:rsid w:val="00E52674"/>
    <w:rsid w:val="00E532E2"/>
    <w:rsid w:val="00E5416E"/>
    <w:rsid w:val="00E55CC0"/>
    <w:rsid w:val="00E632EC"/>
    <w:rsid w:val="00E634AD"/>
    <w:rsid w:val="00E6481E"/>
    <w:rsid w:val="00E66822"/>
    <w:rsid w:val="00E66B4A"/>
    <w:rsid w:val="00E674AB"/>
    <w:rsid w:val="00E70335"/>
    <w:rsid w:val="00E70F1C"/>
    <w:rsid w:val="00E71538"/>
    <w:rsid w:val="00E7381F"/>
    <w:rsid w:val="00E7390E"/>
    <w:rsid w:val="00E7502D"/>
    <w:rsid w:val="00E75920"/>
    <w:rsid w:val="00E779D0"/>
    <w:rsid w:val="00E80370"/>
    <w:rsid w:val="00E80419"/>
    <w:rsid w:val="00E8113F"/>
    <w:rsid w:val="00E829DA"/>
    <w:rsid w:val="00E83765"/>
    <w:rsid w:val="00E8415C"/>
    <w:rsid w:val="00E855C4"/>
    <w:rsid w:val="00E85939"/>
    <w:rsid w:val="00E86C49"/>
    <w:rsid w:val="00E86FBC"/>
    <w:rsid w:val="00E87D3D"/>
    <w:rsid w:val="00E90996"/>
    <w:rsid w:val="00E90ABF"/>
    <w:rsid w:val="00E90B27"/>
    <w:rsid w:val="00E90CCA"/>
    <w:rsid w:val="00E939AD"/>
    <w:rsid w:val="00E93FA5"/>
    <w:rsid w:val="00E93FBA"/>
    <w:rsid w:val="00E95271"/>
    <w:rsid w:val="00E9586B"/>
    <w:rsid w:val="00E95B64"/>
    <w:rsid w:val="00E95FCE"/>
    <w:rsid w:val="00E961AA"/>
    <w:rsid w:val="00E973C1"/>
    <w:rsid w:val="00EA019E"/>
    <w:rsid w:val="00EA0C17"/>
    <w:rsid w:val="00EA0E6D"/>
    <w:rsid w:val="00EA46F1"/>
    <w:rsid w:val="00EA4EF6"/>
    <w:rsid w:val="00EA635D"/>
    <w:rsid w:val="00EA6EA1"/>
    <w:rsid w:val="00EA7A28"/>
    <w:rsid w:val="00EA7CDB"/>
    <w:rsid w:val="00EB08DD"/>
    <w:rsid w:val="00EB0AEB"/>
    <w:rsid w:val="00EB0F1C"/>
    <w:rsid w:val="00EB1E56"/>
    <w:rsid w:val="00EB2912"/>
    <w:rsid w:val="00EB2F66"/>
    <w:rsid w:val="00EB2F97"/>
    <w:rsid w:val="00EB512D"/>
    <w:rsid w:val="00EB6C43"/>
    <w:rsid w:val="00EB6D51"/>
    <w:rsid w:val="00EB6E18"/>
    <w:rsid w:val="00EB76F1"/>
    <w:rsid w:val="00EC2A3E"/>
    <w:rsid w:val="00EC2A45"/>
    <w:rsid w:val="00EC3DDB"/>
    <w:rsid w:val="00EC442C"/>
    <w:rsid w:val="00EC4DEB"/>
    <w:rsid w:val="00EC4FEC"/>
    <w:rsid w:val="00EC77F3"/>
    <w:rsid w:val="00EC7A35"/>
    <w:rsid w:val="00EC7EBC"/>
    <w:rsid w:val="00ED18A8"/>
    <w:rsid w:val="00ED1DB2"/>
    <w:rsid w:val="00ED1F52"/>
    <w:rsid w:val="00ED1FCF"/>
    <w:rsid w:val="00ED205B"/>
    <w:rsid w:val="00ED21DD"/>
    <w:rsid w:val="00ED2893"/>
    <w:rsid w:val="00ED4180"/>
    <w:rsid w:val="00ED5D41"/>
    <w:rsid w:val="00ED7451"/>
    <w:rsid w:val="00ED7CB3"/>
    <w:rsid w:val="00EE0296"/>
    <w:rsid w:val="00EE02C0"/>
    <w:rsid w:val="00EE062B"/>
    <w:rsid w:val="00EE11F7"/>
    <w:rsid w:val="00EE17BB"/>
    <w:rsid w:val="00EE1804"/>
    <w:rsid w:val="00EE3684"/>
    <w:rsid w:val="00EE415D"/>
    <w:rsid w:val="00EE518C"/>
    <w:rsid w:val="00EE5EA4"/>
    <w:rsid w:val="00EE6863"/>
    <w:rsid w:val="00EE6F15"/>
    <w:rsid w:val="00EE7815"/>
    <w:rsid w:val="00EF2CB9"/>
    <w:rsid w:val="00EF3A66"/>
    <w:rsid w:val="00EF58B6"/>
    <w:rsid w:val="00EF6091"/>
    <w:rsid w:val="00EF6195"/>
    <w:rsid w:val="00F0278B"/>
    <w:rsid w:val="00F040B8"/>
    <w:rsid w:val="00F05662"/>
    <w:rsid w:val="00F07944"/>
    <w:rsid w:val="00F07AA9"/>
    <w:rsid w:val="00F12633"/>
    <w:rsid w:val="00F12638"/>
    <w:rsid w:val="00F138ED"/>
    <w:rsid w:val="00F13D8C"/>
    <w:rsid w:val="00F145AF"/>
    <w:rsid w:val="00F148BF"/>
    <w:rsid w:val="00F15564"/>
    <w:rsid w:val="00F16CEE"/>
    <w:rsid w:val="00F17110"/>
    <w:rsid w:val="00F17820"/>
    <w:rsid w:val="00F20D67"/>
    <w:rsid w:val="00F21865"/>
    <w:rsid w:val="00F22B6A"/>
    <w:rsid w:val="00F22E85"/>
    <w:rsid w:val="00F23125"/>
    <w:rsid w:val="00F23F0C"/>
    <w:rsid w:val="00F25221"/>
    <w:rsid w:val="00F25DE6"/>
    <w:rsid w:val="00F266A1"/>
    <w:rsid w:val="00F269BF"/>
    <w:rsid w:val="00F27AF0"/>
    <w:rsid w:val="00F30072"/>
    <w:rsid w:val="00F319BA"/>
    <w:rsid w:val="00F31ADD"/>
    <w:rsid w:val="00F31E82"/>
    <w:rsid w:val="00F32E81"/>
    <w:rsid w:val="00F32EDF"/>
    <w:rsid w:val="00F33346"/>
    <w:rsid w:val="00F33897"/>
    <w:rsid w:val="00F34288"/>
    <w:rsid w:val="00F34383"/>
    <w:rsid w:val="00F34D8B"/>
    <w:rsid w:val="00F35D89"/>
    <w:rsid w:val="00F41637"/>
    <w:rsid w:val="00F4234F"/>
    <w:rsid w:val="00F43273"/>
    <w:rsid w:val="00F4444F"/>
    <w:rsid w:val="00F45149"/>
    <w:rsid w:val="00F45630"/>
    <w:rsid w:val="00F469D8"/>
    <w:rsid w:val="00F4724A"/>
    <w:rsid w:val="00F47A40"/>
    <w:rsid w:val="00F50CDC"/>
    <w:rsid w:val="00F51C76"/>
    <w:rsid w:val="00F53EFD"/>
    <w:rsid w:val="00F56748"/>
    <w:rsid w:val="00F56AFA"/>
    <w:rsid w:val="00F56EBD"/>
    <w:rsid w:val="00F60330"/>
    <w:rsid w:val="00F609DF"/>
    <w:rsid w:val="00F615BB"/>
    <w:rsid w:val="00F61B5E"/>
    <w:rsid w:val="00F62C66"/>
    <w:rsid w:val="00F63339"/>
    <w:rsid w:val="00F63A09"/>
    <w:rsid w:val="00F63EAE"/>
    <w:rsid w:val="00F64E57"/>
    <w:rsid w:val="00F651EC"/>
    <w:rsid w:val="00F663B6"/>
    <w:rsid w:val="00F66CE9"/>
    <w:rsid w:val="00F67B90"/>
    <w:rsid w:val="00F67F19"/>
    <w:rsid w:val="00F712F7"/>
    <w:rsid w:val="00F71867"/>
    <w:rsid w:val="00F7267F"/>
    <w:rsid w:val="00F72879"/>
    <w:rsid w:val="00F73297"/>
    <w:rsid w:val="00F73681"/>
    <w:rsid w:val="00F742ED"/>
    <w:rsid w:val="00F744F3"/>
    <w:rsid w:val="00F74C60"/>
    <w:rsid w:val="00F74DA6"/>
    <w:rsid w:val="00F75106"/>
    <w:rsid w:val="00F753C5"/>
    <w:rsid w:val="00F765EB"/>
    <w:rsid w:val="00F76A9C"/>
    <w:rsid w:val="00F77E36"/>
    <w:rsid w:val="00F80A27"/>
    <w:rsid w:val="00F80B59"/>
    <w:rsid w:val="00F81B39"/>
    <w:rsid w:val="00F81DC6"/>
    <w:rsid w:val="00F84639"/>
    <w:rsid w:val="00F85747"/>
    <w:rsid w:val="00F861EB"/>
    <w:rsid w:val="00F863E2"/>
    <w:rsid w:val="00F870C1"/>
    <w:rsid w:val="00F93668"/>
    <w:rsid w:val="00F9485A"/>
    <w:rsid w:val="00F94913"/>
    <w:rsid w:val="00F94A8F"/>
    <w:rsid w:val="00F96A1A"/>
    <w:rsid w:val="00F9765C"/>
    <w:rsid w:val="00F97BD6"/>
    <w:rsid w:val="00F97F72"/>
    <w:rsid w:val="00FA0CBF"/>
    <w:rsid w:val="00FA3492"/>
    <w:rsid w:val="00FA4257"/>
    <w:rsid w:val="00FA536F"/>
    <w:rsid w:val="00FA5A08"/>
    <w:rsid w:val="00FA66E1"/>
    <w:rsid w:val="00FA6799"/>
    <w:rsid w:val="00FA6F2B"/>
    <w:rsid w:val="00FA7773"/>
    <w:rsid w:val="00FB0225"/>
    <w:rsid w:val="00FB1C06"/>
    <w:rsid w:val="00FB2D54"/>
    <w:rsid w:val="00FC01AC"/>
    <w:rsid w:val="00FC01DD"/>
    <w:rsid w:val="00FC0B87"/>
    <w:rsid w:val="00FC1E1D"/>
    <w:rsid w:val="00FC3381"/>
    <w:rsid w:val="00FC3484"/>
    <w:rsid w:val="00FC41C9"/>
    <w:rsid w:val="00FC4ACA"/>
    <w:rsid w:val="00FC5D25"/>
    <w:rsid w:val="00FC7E2E"/>
    <w:rsid w:val="00FD0020"/>
    <w:rsid w:val="00FD00E3"/>
    <w:rsid w:val="00FD1BF4"/>
    <w:rsid w:val="00FD26E3"/>
    <w:rsid w:val="00FD3E73"/>
    <w:rsid w:val="00FD4387"/>
    <w:rsid w:val="00FD4A79"/>
    <w:rsid w:val="00FD4ABF"/>
    <w:rsid w:val="00FD61CF"/>
    <w:rsid w:val="00FE15D4"/>
    <w:rsid w:val="00FE17D6"/>
    <w:rsid w:val="00FE1E0D"/>
    <w:rsid w:val="00FE2A53"/>
    <w:rsid w:val="00FE37AA"/>
    <w:rsid w:val="00FE391D"/>
    <w:rsid w:val="00FE3FEF"/>
    <w:rsid w:val="00FE4ED0"/>
    <w:rsid w:val="00FE5989"/>
    <w:rsid w:val="00FE620E"/>
    <w:rsid w:val="00FE76B8"/>
    <w:rsid w:val="00FE77F7"/>
    <w:rsid w:val="00FF1A4B"/>
    <w:rsid w:val="00FF2A2B"/>
    <w:rsid w:val="00FF2E23"/>
    <w:rsid w:val="00FF3577"/>
    <w:rsid w:val="00FF4CD7"/>
    <w:rsid w:val="00FF4CEF"/>
    <w:rsid w:val="00FF5A2A"/>
    <w:rsid w:val="00FF72EA"/>
    <w:rsid w:val="00FF7FED"/>
    <w:rsid w:val="0F152B93"/>
    <w:rsid w:val="139372A2"/>
    <w:rsid w:val="1DAD3545"/>
    <w:rsid w:val="2989ED44"/>
    <w:rsid w:val="29ACCC39"/>
    <w:rsid w:val="2EBEA3E6"/>
    <w:rsid w:val="32A05A87"/>
    <w:rsid w:val="3BFD5943"/>
    <w:rsid w:val="45BD5E4B"/>
    <w:rsid w:val="4D36585E"/>
    <w:rsid w:val="4F4B1834"/>
    <w:rsid w:val="54627E2F"/>
    <w:rsid w:val="5822EE6F"/>
    <w:rsid w:val="589C22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B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locked="1" w:semiHidden="1" w:unhideWhenUsed="1"/>
    <w:lsdException w:name="List 4" w:locked="1"/>
    <w:lsdException w:name="List 5" w:lock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5871"/>
    <w:rPr>
      <w:rFonts w:ascii="Times New Roman" w:hAnsi="Times New Roman" w:cs="Times New Roman"/>
      <w:sz w:val="24"/>
      <w:szCs w:val="24"/>
      <w:lang w:val="en-US" w:eastAsia="en-US"/>
    </w:rPr>
  </w:style>
  <w:style w:type="paragraph" w:styleId="Nadpis3">
    <w:name w:val="heading 3"/>
    <w:basedOn w:val="Normlny"/>
    <w:next w:val="Normlny"/>
    <w:link w:val="Nadpis3Char"/>
    <w:semiHidden/>
    <w:unhideWhenUsed/>
    <w:qFormat/>
    <w:locked/>
    <w:rsid w:val="00D777B9"/>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Zkladntext"/>
    <w:link w:val="Nadpis4Char"/>
    <w:qFormat/>
    <w:locked/>
    <w:rsid w:val="00763D83"/>
    <w:pPr>
      <w:keepNext/>
      <w:numPr>
        <w:ilvl w:val="3"/>
        <w:numId w:val="7"/>
      </w:numPr>
      <w:suppressAutoHyphens/>
      <w:spacing w:line="100" w:lineRule="atLeast"/>
      <w:ind w:right="-2"/>
      <w:jc w:val="center"/>
      <w:outlineLvl w:val="3"/>
    </w:pPr>
    <w:rPr>
      <w:b/>
      <w:smallCaps/>
      <w:sz w:val="26"/>
      <w:szCs w:val="20"/>
      <w:lang w:val="sk-SK"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914781"/>
    <w:pPr>
      <w:spacing w:after="200" w:line="276" w:lineRule="auto"/>
      <w:ind w:left="720"/>
      <w:contextualSpacing/>
    </w:pPr>
    <w:rPr>
      <w:rFonts w:ascii="Calibri" w:hAnsi="Calibri"/>
      <w:sz w:val="22"/>
      <w:szCs w:val="22"/>
      <w:lang w:val="sk-SK"/>
    </w:rPr>
  </w:style>
  <w:style w:type="paragraph" w:styleId="Zkladntext">
    <w:name w:val="Body Text"/>
    <w:basedOn w:val="Normlny"/>
    <w:link w:val="ZkladntextChar"/>
    <w:rsid w:val="00914781"/>
    <w:pPr>
      <w:jc w:val="both"/>
    </w:pPr>
    <w:rPr>
      <w:rFonts w:ascii="Verdana" w:hAnsi="Verdana" w:cs="Verdana"/>
      <w:lang w:val="sk-SK" w:eastAsia="sk-SK"/>
    </w:rPr>
  </w:style>
  <w:style w:type="character" w:customStyle="1" w:styleId="ZkladntextChar">
    <w:name w:val="Základný text Char"/>
    <w:link w:val="Zkladntext"/>
    <w:locked/>
    <w:rsid w:val="00914781"/>
    <w:rPr>
      <w:rFonts w:ascii="Verdana" w:hAnsi="Verdana" w:cs="Verdana"/>
      <w:sz w:val="24"/>
      <w:szCs w:val="24"/>
      <w:lang w:val="x-none" w:eastAsia="sk-SK"/>
    </w:rPr>
  </w:style>
  <w:style w:type="paragraph" w:customStyle="1" w:styleId="CharCharCharCharCharChar">
    <w:name w:val="Char Char Char Char Char Char"/>
    <w:basedOn w:val="Normlny"/>
    <w:rsid w:val="00FE391D"/>
    <w:pPr>
      <w:spacing w:after="160" w:line="240" w:lineRule="exact"/>
    </w:pPr>
    <w:rPr>
      <w:rFonts w:ascii="Tahoma" w:hAnsi="Tahoma"/>
      <w:sz w:val="20"/>
      <w:szCs w:val="20"/>
      <w:lang w:val="sk-SK"/>
    </w:rPr>
  </w:style>
  <w:style w:type="paragraph" w:styleId="Hlavika">
    <w:name w:val="header"/>
    <w:basedOn w:val="Normlny"/>
    <w:link w:val="HlavikaChar"/>
    <w:uiPriority w:val="99"/>
    <w:rsid w:val="00EE02C0"/>
    <w:pPr>
      <w:tabs>
        <w:tab w:val="center" w:pos="4536"/>
        <w:tab w:val="right" w:pos="9072"/>
      </w:tabs>
    </w:pPr>
    <w:rPr>
      <w:rFonts w:ascii="Calibri" w:hAnsi="Calibri"/>
      <w:sz w:val="22"/>
      <w:szCs w:val="22"/>
      <w:lang w:val="sk-SK"/>
    </w:rPr>
  </w:style>
  <w:style w:type="character" w:customStyle="1" w:styleId="HlavikaChar">
    <w:name w:val="Hlavička Char"/>
    <w:link w:val="Hlavika"/>
    <w:uiPriority w:val="99"/>
    <w:locked/>
    <w:rsid w:val="00EE02C0"/>
    <w:rPr>
      <w:rFonts w:cs="Times New Roman"/>
    </w:rPr>
  </w:style>
  <w:style w:type="paragraph" w:styleId="Pta">
    <w:name w:val="footer"/>
    <w:basedOn w:val="Normlny"/>
    <w:link w:val="PtaChar"/>
    <w:uiPriority w:val="99"/>
    <w:rsid w:val="00EE02C0"/>
    <w:pPr>
      <w:tabs>
        <w:tab w:val="center" w:pos="4536"/>
        <w:tab w:val="right" w:pos="9072"/>
      </w:tabs>
    </w:pPr>
    <w:rPr>
      <w:rFonts w:ascii="Calibri" w:hAnsi="Calibri"/>
      <w:sz w:val="22"/>
      <w:szCs w:val="22"/>
      <w:lang w:val="sk-SK"/>
    </w:rPr>
  </w:style>
  <w:style w:type="character" w:customStyle="1" w:styleId="PtaChar">
    <w:name w:val="Päta Char"/>
    <w:link w:val="Pta"/>
    <w:uiPriority w:val="99"/>
    <w:locked/>
    <w:rsid w:val="00EE02C0"/>
    <w:rPr>
      <w:rFonts w:cs="Times New Roman"/>
    </w:rPr>
  </w:style>
  <w:style w:type="paragraph" w:styleId="Textbubliny">
    <w:name w:val="Balloon Text"/>
    <w:basedOn w:val="Normlny"/>
    <w:link w:val="TextbublinyChar"/>
    <w:rsid w:val="00F62C66"/>
    <w:rPr>
      <w:rFonts w:ascii="Tahoma" w:hAnsi="Tahoma" w:cs="Tahoma"/>
      <w:sz w:val="16"/>
      <w:szCs w:val="16"/>
      <w:lang w:val="sk-SK"/>
    </w:rPr>
  </w:style>
  <w:style w:type="character" w:customStyle="1" w:styleId="TextbublinyChar">
    <w:name w:val="Text bubliny Char"/>
    <w:link w:val="Textbubliny"/>
    <w:locked/>
    <w:rsid w:val="00F62C66"/>
    <w:rPr>
      <w:rFonts w:ascii="Tahoma" w:hAnsi="Tahoma" w:cs="Tahoma"/>
      <w:sz w:val="16"/>
      <w:szCs w:val="16"/>
    </w:rPr>
  </w:style>
  <w:style w:type="paragraph" w:styleId="Textpoznmkypodiarou">
    <w:name w:val="footnote text"/>
    <w:aliases w:val="Text poznámky pod čiarou 007"/>
    <w:basedOn w:val="Normlny"/>
    <w:link w:val="TextpoznmkypodiarouChar"/>
    <w:uiPriority w:val="99"/>
    <w:rsid w:val="00B2024B"/>
    <w:rPr>
      <w:rFonts w:ascii="Calibri" w:hAnsi="Calibri"/>
      <w:sz w:val="20"/>
      <w:szCs w:val="20"/>
      <w:lang w:val="sk-SK"/>
    </w:rPr>
  </w:style>
  <w:style w:type="character" w:customStyle="1" w:styleId="TextpoznmkypodiarouChar">
    <w:name w:val="Text poznámky pod čiarou Char"/>
    <w:aliases w:val="Text poznámky pod čiarou 007 Char"/>
    <w:link w:val="Textpoznmkypodiarou"/>
    <w:uiPriority w:val="99"/>
    <w:locked/>
    <w:rsid w:val="00B2024B"/>
    <w:rPr>
      <w:rFonts w:cs="Times New Roman"/>
      <w:sz w:val="20"/>
      <w:szCs w:val="20"/>
    </w:rPr>
  </w:style>
  <w:style w:type="character" w:styleId="Odkaznapoznmkupodiarou">
    <w:name w:val="footnote reference"/>
    <w:uiPriority w:val="99"/>
    <w:rsid w:val="00B2024B"/>
    <w:rPr>
      <w:rFonts w:cs="Times New Roman"/>
      <w:vertAlign w:val="superscript"/>
    </w:rPr>
  </w:style>
  <w:style w:type="table" w:styleId="Mriekatabuky">
    <w:name w:val="Table Grid"/>
    <w:basedOn w:val="Normlnatabuka"/>
    <w:uiPriority w:val="59"/>
    <w:rsid w:val="00707C1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iadkovania1">
    <w:name w:val="Bez riadkovania1"/>
    <w:rsid w:val="002301EE"/>
    <w:rPr>
      <w:rFonts w:cs="Times New Roman"/>
      <w:sz w:val="22"/>
      <w:szCs w:val="22"/>
      <w:lang w:eastAsia="en-US"/>
    </w:rPr>
  </w:style>
  <w:style w:type="character" w:styleId="Odkaznakomentr">
    <w:name w:val="annotation reference"/>
    <w:uiPriority w:val="99"/>
    <w:rsid w:val="00EE1804"/>
    <w:rPr>
      <w:rFonts w:cs="Times New Roman"/>
      <w:sz w:val="16"/>
      <w:szCs w:val="16"/>
    </w:rPr>
  </w:style>
  <w:style w:type="paragraph" w:styleId="Textkomentra">
    <w:name w:val="annotation text"/>
    <w:basedOn w:val="Normlny"/>
    <w:link w:val="TextkomentraChar"/>
    <w:uiPriority w:val="99"/>
    <w:rsid w:val="00EE1804"/>
    <w:pPr>
      <w:spacing w:after="200"/>
    </w:pPr>
    <w:rPr>
      <w:rFonts w:ascii="Calibri" w:hAnsi="Calibri"/>
      <w:sz w:val="20"/>
      <w:szCs w:val="20"/>
      <w:lang w:val="sk-SK"/>
    </w:rPr>
  </w:style>
  <w:style w:type="character" w:customStyle="1" w:styleId="TextkomentraChar">
    <w:name w:val="Text komentára Char"/>
    <w:link w:val="Textkomentra"/>
    <w:uiPriority w:val="99"/>
    <w:locked/>
    <w:rsid w:val="00EE1804"/>
    <w:rPr>
      <w:rFonts w:cs="Times New Roman"/>
      <w:sz w:val="20"/>
      <w:szCs w:val="20"/>
    </w:rPr>
  </w:style>
  <w:style w:type="paragraph" w:styleId="Predmetkomentra">
    <w:name w:val="annotation subject"/>
    <w:basedOn w:val="Textkomentra"/>
    <w:next w:val="Textkomentra"/>
    <w:link w:val="PredmetkomentraChar"/>
    <w:rsid w:val="00EE1804"/>
    <w:rPr>
      <w:b/>
      <w:bCs/>
    </w:rPr>
  </w:style>
  <w:style w:type="character" w:customStyle="1" w:styleId="PredmetkomentraChar">
    <w:name w:val="Predmet komentára Char"/>
    <w:link w:val="Predmetkomentra"/>
    <w:locked/>
    <w:rsid w:val="00EE1804"/>
    <w:rPr>
      <w:rFonts w:cs="Times New Roman"/>
      <w:b/>
      <w:bCs/>
      <w:sz w:val="20"/>
      <w:szCs w:val="20"/>
    </w:rPr>
  </w:style>
  <w:style w:type="character" w:styleId="Zstupntext">
    <w:name w:val="Placeholder Text"/>
    <w:basedOn w:val="Predvolenpsmoodseku"/>
    <w:uiPriority w:val="99"/>
    <w:semiHidden/>
    <w:rsid w:val="00AA1139"/>
    <w:rPr>
      <w:rFonts w:ascii="Times New Roman" w:hAnsi="Times New Roman"/>
      <w:color w:val="808080"/>
    </w:rPr>
  </w:style>
  <w:style w:type="paragraph" w:styleId="Odsekzoznamu">
    <w:name w:val="List Paragraph"/>
    <w:basedOn w:val="Normlny"/>
    <w:uiPriority w:val="34"/>
    <w:qFormat/>
    <w:rsid w:val="00C72A4D"/>
    <w:pPr>
      <w:spacing w:after="200" w:line="276" w:lineRule="auto"/>
      <w:ind w:left="720"/>
      <w:contextualSpacing/>
    </w:pPr>
    <w:rPr>
      <w:rFonts w:ascii="Calibri" w:eastAsia="Calibri" w:hAnsi="Calibri"/>
      <w:sz w:val="22"/>
      <w:szCs w:val="22"/>
      <w:lang w:val="sk-SK"/>
    </w:rPr>
  </w:style>
  <w:style w:type="paragraph" w:customStyle="1" w:styleId="Default">
    <w:name w:val="Default"/>
    <w:rsid w:val="00814505"/>
    <w:pPr>
      <w:autoSpaceDE w:val="0"/>
      <w:autoSpaceDN w:val="0"/>
      <w:adjustRightInd w:val="0"/>
    </w:pPr>
    <w:rPr>
      <w:rFonts w:ascii="Cambria" w:hAnsi="Cambria" w:cs="Cambria"/>
      <w:color w:val="000000"/>
      <w:sz w:val="24"/>
      <w:szCs w:val="24"/>
      <w:lang w:val="en-US"/>
    </w:rPr>
  </w:style>
  <w:style w:type="character" w:styleId="slostrany">
    <w:name w:val="page number"/>
    <w:uiPriority w:val="99"/>
    <w:rsid w:val="007C3F79"/>
    <w:rPr>
      <w:rFonts w:cs="Times New Roman"/>
    </w:rPr>
  </w:style>
  <w:style w:type="paragraph" w:customStyle="1" w:styleId="p3">
    <w:name w:val="p3"/>
    <w:basedOn w:val="Normlny"/>
    <w:rsid w:val="007C3F79"/>
    <w:pPr>
      <w:jc w:val="both"/>
    </w:pPr>
    <w:rPr>
      <w:rFonts w:eastAsia="Calibri"/>
      <w:sz w:val="17"/>
      <w:szCs w:val="17"/>
      <w:lang w:val="en-GB" w:eastAsia="en-GB"/>
    </w:rPr>
  </w:style>
  <w:style w:type="paragraph" w:customStyle="1" w:styleId="BodyText1">
    <w:name w:val="Body Text1"/>
    <w:qFormat/>
    <w:rsid w:val="007C3F79"/>
    <w:pPr>
      <w:spacing w:after="120"/>
    </w:pPr>
    <w:rPr>
      <w:rFonts w:ascii="Arial" w:hAnsi="Arial" w:cs="Times New Roman"/>
      <w:color w:val="000000"/>
      <w:sz w:val="19"/>
      <w:szCs w:val="48"/>
      <w:lang w:eastAsia="en-US"/>
    </w:rPr>
  </w:style>
  <w:style w:type="paragraph" w:styleId="Normlnywebov">
    <w:name w:val="Normal (Web)"/>
    <w:basedOn w:val="Normlny"/>
    <w:uiPriority w:val="99"/>
    <w:unhideWhenUsed/>
    <w:rsid w:val="007C3F79"/>
    <w:pPr>
      <w:spacing w:before="100" w:beforeAutospacing="1" w:after="100" w:afterAutospacing="1"/>
    </w:pPr>
    <w:rPr>
      <w:rFonts w:eastAsiaTheme="minorEastAsia"/>
      <w:lang w:val="sk-SK"/>
    </w:rPr>
  </w:style>
  <w:style w:type="paragraph" w:customStyle="1" w:styleId="Deloittebodytext">
    <w:name w:val="Deloitte body text"/>
    <w:qFormat/>
    <w:rsid w:val="007C3F79"/>
    <w:pPr>
      <w:spacing w:after="240" w:line="280" w:lineRule="exact"/>
      <w:jc w:val="both"/>
    </w:pPr>
    <w:rPr>
      <w:rFonts w:ascii="Arial" w:hAnsi="Arial" w:cs="Times New Roman"/>
      <w:color w:val="000000"/>
      <w:sz w:val="22"/>
      <w:szCs w:val="48"/>
      <w:lang w:eastAsia="en-US"/>
    </w:rPr>
  </w:style>
  <w:style w:type="paragraph" w:customStyle="1" w:styleId="TableColumnheader">
    <w:name w:val="Table Column header"/>
    <w:basedOn w:val="Normlny"/>
    <w:rsid w:val="007C3F79"/>
    <w:pPr>
      <w:spacing w:before="80" w:after="80"/>
    </w:pPr>
    <w:rPr>
      <w:rFonts w:ascii="Arial" w:eastAsia="Times" w:hAnsi="Arial"/>
      <w:b/>
      <w:noProof/>
      <w:color w:val="FFFFFF"/>
      <w:sz w:val="18"/>
      <w:lang w:val="sk-SK"/>
    </w:rPr>
  </w:style>
  <w:style w:type="character" w:styleId="Hypertextovprepojenie">
    <w:name w:val="Hyperlink"/>
    <w:basedOn w:val="Predvolenpsmoodseku"/>
    <w:uiPriority w:val="99"/>
    <w:unhideWhenUsed/>
    <w:rsid w:val="007C3F79"/>
    <w:rPr>
      <w:color w:val="0000FF" w:themeColor="hyperlink"/>
      <w:u w:val="single"/>
    </w:rPr>
  </w:style>
  <w:style w:type="character" w:customStyle="1" w:styleId="allowtextselection">
    <w:name w:val="allowtextselection"/>
    <w:basedOn w:val="Predvolenpsmoodseku"/>
    <w:rsid w:val="007C3F79"/>
  </w:style>
  <w:style w:type="character" w:styleId="Siln">
    <w:name w:val="Strong"/>
    <w:basedOn w:val="Predvolenpsmoodseku"/>
    <w:uiPriority w:val="22"/>
    <w:qFormat/>
    <w:locked/>
    <w:rsid w:val="007C3F79"/>
    <w:rPr>
      <w:b/>
      <w:bCs/>
    </w:rPr>
  </w:style>
  <w:style w:type="paragraph" w:styleId="Nzov">
    <w:name w:val="Title"/>
    <w:basedOn w:val="Normlny"/>
    <w:next w:val="Normlny"/>
    <w:link w:val="NzovChar"/>
    <w:qFormat/>
    <w:locked/>
    <w:rsid w:val="00A255FC"/>
    <w:pPr>
      <w:contextualSpacing/>
    </w:pPr>
    <w:rPr>
      <w:rFonts w:asciiTheme="majorHAnsi" w:eastAsiaTheme="majorEastAsia" w:hAnsiTheme="majorHAnsi" w:cstheme="majorBidi"/>
      <w:spacing w:val="-10"/>
      <w:kern w:val="28"/>
      <w:sz w:val="56"/>
      <w:szCs w:val="56"/>
      <w:lang w:val="sk-SK"/>
    </w:rPr>
  </w:style>
  <w:style w:type="character" w:customStyle="1" w:styleId="NzovChar">
    <w:name w:val="Názov Char"/>
    <w:basedOn w:val="Predvolenpsmoodseku"/>
    <w:link w:val="Nzov"/>
    <w:rsid w:val="00A255FC"/>
    <w:rPr>
      <w:rFonts w:asciiTheme="majorHAnsi" w:eastAsiaTheme="majorEastAsia" w:hAnsiTheme="majorHAnsi" w:cstheme="majorBidi"/>
      <w:spacing w:val="-10"/>
      <w:kern w:val="28"/>
      <w:sz w:val="56"/>
      <w:szCs w:val="56"/>
      <w:lang w:eastAsia="en-US"/>
    </w:rPr>
  </w:style>
  <w:style w:type="paragraph" w:styleId="Revzia">
    <w:name w:val="Revision"/>
    <w:hidden/>
    <w:uiPriority w:val="99"/>
    <w:semiHidden/>
    <w:rsid w:val="00E829DA"/>
    <w:rPr>
      <w:rFonts w:ascii="Times New Roman" w:hAnsi="Times New Roman" w:cs="Times New Roman"/>
      <w:sz w:val="24"/>
      <w:szCs w:val="24"/>
      <w:lang w:eastAsia="en-US"/>
    </w:rPr>
  </w:style>
  <w:style w:type="character" w:customStyle="1" w:styleId="Nadpis4Char">
    <w:name w:val="Nadpis 4 Char"/>
    <w:basedOn w:val="Predvolenpsmoodseku"/>
    <w:link w:val="Nadpis4"/>
    <w:rsid w:val="00763D83"/>
    <w:rPr>
      <w:rFonts w:ascii="Times New Roman" w:hAnsi="Times New Roman" w:cs="Times New Roman"/>
      <w:b/>
      <w:smallCaps/>
      <w:sz w:val="26"/>
      <w:lang w:eastAsia="ar-SA"/>
    </w:rPr>
  </w:style>
  <w:style w:type="table" w:customStyle="1" w:styleId="Mriekatabuky1">
    <w:name w:val="Mriežka tabuľky1"/>
    <w:basedOn w:val="Normlnatabuka"/>
    <w:next w:val="Mriekatabuky"/>
    <w:uiPriority w:val="59"/>
    <w:rsid w:val="00763D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mnodkaz">
    <w:name w:val="Subtle Reference"/>
    <w:basedOn w:val="Predvolenpsmoodseku"/>
    <w:uiPriority w:val="31"/>
    <w:qFormat/>
    <w:rsid w:val="00763D83"/>
    <w:rPr>
      <w:smallCaps/>
      <w:color w:val="5A5A5A" w:themeColor="text1" w:themeTint="A5"/>
    </w:rPr>
  </w:style>
  <w:style w:type="character" w:customStyle="1" w:styleId="Nadpis3Char">
    <w:name w:val="Nadpis 3 Char"/>
    <w:basedOn w:val="Predvolenpsmoodseku"/>
    <w:link w:val="Nadpis3"/>
    <w:semiHidden/>
    <w:rsid w:val="00D777B9"/>
    <w:rPr>
      <w:rFonts w:asciiTheme="majorHAnsi" w:eastAsiaTheme="majorEastAsia" w:hAnsiTheme="majorHAnsi" w:cstheme="majorBidi"/>
      <w:color w:val="243F60" w:themeColor="accent1" w:themeShade="7F"/>
      <w:sz w:val="24"/>
      <w:szCs w:val="24"/>
      <w:lang w:val="en-US" w:eastAsia="en-US"/>
    </w:rPr>
  </w:style>
  <w:style w:type="character" w:customStyle="1" w:styleId="awspan">
    <w:name w:val="awspan"/>
    <w:basedOn w:val="Predvolenpsmoodseku"/>
    <w:rsid w:val="00D777B9"/>
  </w:style>
  <w:style w:type="table" w:customStyle="1" w:styleId="Mriekatabuky2">
    <w:name w:val="Mriežka tabuľky2"/>
    <w:basedOn w:val="Normlnatabuka"/>
    <w:next w:val="Mriekatabuky"/>
    <w:uiPriority w:val="59"/>
    <w:rsid w:val="002732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732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86C00"/>
    <w:rPr>
      <w:rFonts w:asciiTheme="minorHAnsi" w:eastAsiaTheme="minorHAnsi" w:hAnsiTheme="minorHAnsi" w:cstheme="minorBidi"/>
      <w:sz w:val="22"/>
      <w:szCs w:val="22"/>
      <w:lang w:eastAsia="en-US"/>
    </w:rPr>
  </w:style>
  <w:style w:type="character" w:customStyle="1" w:styleId="ui-provider">
    <w:name w:val="ui-provider"/>
    <w:basedOn w:val="Predvolenpsmoodseku"/>
    <w:rsid w:val="00244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5280">
      <w:bodyDiv w:val="1"/>
      <w:marLeft w:val="0"/>
      <w:marRight w:val="0"/>
      <w:marTop w:val="0"/>
      <w:marBottom w:val="0"/>
      <w:divBdr>
        <w:top w:val="none" w:sz="0" w:space="0" w:color="auto"/>
        <w:left w:val="none" w:sz="0" w:space="0" w:color="auto"/>
        <w:bottom w:val="none" w:sz="0" w:space="0" w:color="auto"/>
        <w:right w:val="none" w:sz="0" w:space="0" w:color="auto"/>
      </w:divBdr>
    </w:div>
    <w:div w:id="382606873">
      <w:bodyDiv w:val="1"/>
      <w:marLeft w:val="0"/>
      <w:marRight w:val="0"/>
      <w:marTop w:val="0"/>
      <w:marBottom w:val="0"/>
      <w:divBdr>
        <w:top w:val="none" w:sz="0" w:space="0" w:color="auto"/>
        <w:left w:val="none" w:sz="0" w:space="0" w:color="auto"/>
        <w:bottom w:val="none" w:sz="0" w:space="0" w:color="auto"/>
        <w:right w:val="none" w:sz="0" w:space="0" w:color="auto"/>
      </w:divBdr>
      <w:divsChild>
        <w:div w:id="941959450">
          <w:marLeft w:val="0"/>
          <w:marRight w:val="0"/>
          <w:marTop w:val="0"/>
          <w:marBottom w:val="0"/>
          <w:divBdr>
            <w:top w:val="none" w:sz="0" w:space="0" w:color="auto"/>
            <w:left w:val="none" w:sz="0" w:space="0" w:color="auto"/>
            <w:bottom w:val="none" w:sz="0" w:space="0" w:color="auto"/>
            <w:right w:val="none" w:sz="0" w:space="0" w:color="auto"/>
          </w:divBdr>
        </w:div>
        <w:div w:id="1360280587">
          <w:marLeft w:val="0"/>
          <w:marRight w:val="0"/>
          <w:marTop w:val="0"/>
          <w:marBottom w:val="0"/>
          <w:divBdr>
            <w:top w:val="none" w:sz="0" w:space="0" w:color="auto"/>
            <w:left w:val="none" w:sz="0" w:space="0" w:color="auto"/>
            <w:bottom w:val="none" w:sz="0" w:space="0" w:color="auto"/>
            <w:right w:val="none" w:sz="0" w:space="0" w:color="auto"/>
          </w:divBdr>
        </w:div>
        <w:div w:id="2136676971">
          <w:marLeft w:val="0"/>
          <w:marRight w:val="0"/>
          <w:marTop w:val="0"/>
          <w:marBottom w:val="0"/>
          <w:divBdr>
            <w:top w:val="none" w:sz="0" w:space="0" w:color="auto"/>
            <w:left w:val="none" w:sz="0" w:space="0" w:color="auto"/>
            <w:bottom w:val="none" w:sz="0" w:space="0" w:color="auto"/>
            <w:right w:val="none" w:sz="0" w:space="0" w:color="auto"/>
          </w:divBdr>
        </w:div>
      </w:divsChild>
    </w:div>
    <w:div w:id="433672795">
      <w:bodyDiv w:val="1"/>
      <w:marLeft w:val="0"/>
      <w:marRight w:val="0"/>
      <w:marTop w:val="0"/>
      <w:marBottom w:val="0"/>
      <w:divBdr>
        <w:top w:val="none" w:sz="0" w:space="0" w:color="auto"/>
        <w:left w:val="none" w:sz="0" w:space="0" w:color="auto"/>
        <w:bottom w:val="none" w:sz="0" w:space="0" w:color="auto"/>
        <w:right w:val="none" w:sz="0" w:space="0" w:color="auto"/>
      </w:divBdr>
    </w:div>
    <w:div w:id="482159792">
      <w:bodyDiv w:val="1"/>
      <w:marLeft w:val="0"/>
      <w:marRight w:val="0"/>
      <w:marTop w:val="0"/>
      <w:marBottom w:val="0"/>
      <w:divBdr>
        <w:top w:val="none" w:sz="0" w:space="0" w:color="auto"/>
        <w:left w:val="none" w:sz="0" w:space="0" w:color="auto"/>
        <w:bottom w:val="none" w:sz="0" w:space="0" w:color="auto"/>
        <w:right w:val="none" w:sz="0" w:space="0" w:color="auto"/>
      </w:divBdr>
    </w:div>
    <w:div w:id="559370147">
      <w:bodyDiv w:val="1"/>
      <w:marLeft w:val="0"/>
      <w:marRight w:val="0"/>
      <w:marTop w:val="0"/>
      <w:marBottom w:val="0"/>
      <w:divBdr>
        <w:top w:val="none" w:sz="0" w:space="0" w:color="auto"/>
        <w:left w:val="none" w:sz="0" w:space="0" w:color="auto"/>
        <w:bottom w:val="none" w:sz="0" w:space="0" w:color="auto"/>
        <w:right w:val="none" w:sz="0" w:space="0" w:color="auto"/>
      </w:divBdr>
    </w:div>
    <w:div w:id="821002178">
      <w:bodyDiv w:val="1"/>
      <w:marLeft w:val="0"/>
      <w:marRight w:val="0"/>
      <w:marTop w:val="0"/>
      <w:marBottom w:val="0"/>
      <w:divBdr>
        <w:top w:val="none" w:sz="0" w:space="0" w:color="auto"/>
        <w:left w:val="none" w:sz="0" w:space="0" w:color="auto"/>
        <w:bottom w:val="none" w:sz="0" w:space="0" w:color="auto"/>
        <w:right w:val="none" w:sz="0" w:space="0" w:color="auto"/>
      </w:divBdr>
    </w:div>
    <w:div w:id="1053770887">
      <w:bodyDiv w:val="1"/>
      <w:marLeft w:val="0"/>
      <w:marRight w:val="0"/>
      <w:marTop w:val="0"/>
      <w:marBottom w:val="0"/>
      <w:divBdr>
        <w:top w:val="none" w:sz="0" w:space="0" w:color="auto"/>
        <w:left w:val="none" w:sz="0" w:space="0" w:color="auto"/>
        <w:bottom w:val="none" w:sz="0" w:space="0" w:color="auto"/>
        <w:right w:val="none" w:sz="0" w:space="0" w:color="auto"/>
      </w:divBdr>
    </w:div>
    <w:div w:id="1244098364">
      <w:bodyDiv w:val="1"/>
      <w:marLeft w:val="0"/>
      <w:marRight w:val="0"/>
      <w:marTop w:val="0"/>
      <w:marBottom w:val="0"/>
      <w:divBdr>
        <w:top w:val="none" w:sz="0" w:space="0" w:color="auto"/>
        <w:left w:val="none" w:sz="0" w:space="0" w:color="auto"/>
        <w:bottom w:val="none" w:sz="0" w:space="0" w:color="auto"/>
        <w:right w:val="none" w:sz="0" w:space="0" w:color="auto"/>
      </w:divBdr>
      <w:divsChild>
        <w:div w:id="1709529123">
          <w:marLeft w:val="0"/>
          <w:marRight w:val="0"/>
          <w:marTop w:val="0"/>
          <w:marBottom w:val="0"/>
          <w:divBdr>
            <w:top w:val="none" w:sz="0" w:space="0" w:color="auto"/>
            <w:left w:val="none" w:sz="0" w:space="0" w:color="auto"/>
            <w:bottom w:val="none" w:sz="0" w:space="0" w:color="auto"/>
            <w:right w:val="none" w:sz="0" w:space="0" w:color="auto"/>
          </w:divBdr>
        </w:div>
        <w:div w:id="1305693668">
          <w:marLeft w:val="0"/>
          <w:marRight w:val="0"/>
          <w:marTop w:val="0"/>
          <w:marBottom w:val="0"/>
          <w:divBdr>
            <w:top w:val="none" w:sz="0" w:space="0" w:color="auto"/>
            <w:left w:val="none" w:sz="0" w:space="0" w:color="auto"/>
            <w:bottom w:val="none" w:sz="0" w:space="0" w:color="auto"/>
            <w:right w:val="none" w:sz="0" w:space="0" w:color="auto"/>
          </w:divBdr>
        </w:div>
      </w:divsChild>
    </w:div>
    <w:div w:id="1430660876">
      <w:bodyDiv w:val="1"/>
      <w:marLeft w:val="0"/>
      <w:marRight w:val="0"/>
      <w:marTop w:val="0"/>
      <w:marBottom w:val="0"/>
      <w:divBdr>
        <w:top w:val="none" w:sz="0" w:space="0" w:color="auto"/>
        <w:left w:val="none" w:sz="0" w:space="0" w:color="auto"/>
        <w:bottom w:val="none" w:sz="0" w:space="0" w:color="auto"/>
        <w:right w:val="none" w:sz="0" w:space="0" w:color="auto"/>
      </w:divBdr>
    </w:div>
    <w:div w:id="1473211126">
      <w:bodyDiv w:val="1"/>
      <w:marLeft w:val="0"/>
      <w:marRight w:val="0"/>
      <w:marTop w:val="0"/>
      <w:marBottom w:val="0"/>
      <w:divBdr>
        <w:top w:val="none" w:sz="0" w:space="0" w:color="auto"/>
        <w:left w:val="none" w:sz="0" w:space="0" w:color="auto"/>
        <w:bottom w:val="none" w:sz="0" w:space="0" w:color="auto"/>
        <w:right w:val="none" w:sz="0" w:space="0" w:color="auto"/>
      </w:divBdr>
    </w:div>
    <w:div w:id="1539900041">
      <w:bodyDiv w:val="1"/>
      <w:marLeft w:val="0"/>
      <w:marRight w:val="0"/>
      <w:marTop w:val="0"/>
      <w:marBottom w:val="0"/>
      <w:divBdr>
        <w:top w:val="none" w:sz="0" w:space="0" w:color="auto"/>
        <w:left w:val="none" w:sz="0" w:space="0" w:color="auto"/>
        <w:bottom w:val="none" w:sz="0" w:space="0" w:color="auto"/>
        <w:right w:val="none" w:sz="0" w:space="0" w:color="auto"/>
      </w:divBdr>
    </w:div>
    <w:div w:id="1785227738">
      <w:bodyDiv w:val="1"/>
      <w:marLeft w:val="0"/>
      <w:marRight w:val="0"/>
      <w:marTop w:val="0"/>
      <w:marBottom w:val="0"/>
      <w:divBdr>
        <w:top w:val="none" w:sz="0" w:space="0" w:color="auto"/>
        <w:left w:val="none" w:sz="0" w:space="0" w:color="auto"/>
        <w:bottom w:val="none" w:sz="0" w:space="0" w:color="auto"/>
        <w:right w:val="none" w:sz="0" w:space="0" w:color="auto"/>
      </w:divBdr>
      <w:divsChild>
        <w:div w:id="1633053223">
          <w:marLeft w:val="0"/>
          <w:marRight w:val="0"/>
          <w:marTop w:val="0"/>
          <w:marBottom w:val="0"/>
          <w:divBdr>
            <w:top w:val="none" w:sz="0" w:space="0" w:color="auto"/>
            <w:left w:val="none" w:sz="0" w:space="0" w:color="auto"/>
            <w:bottom w:val="none" w:sz="0" w:space="0" w:color="auto"/>
            <w:right w:val="none" w:sz="0" w:space="0" w:color="auto"/>
          </w:divBdr>
        </w:div>
        <w:div w:id="1912811629">
          <w:marLeft w:val="0"/>
          <w:marRight w:val="0"/>
          <w:marTop w:val="0"/>
          <w:marBottom w:val="0"/>
          <w:divBdr>
            <w:top w:val="none" w:sz="0" w:space="0" w:color="auto"/>
            <w:left w:val="none" w:sz="0" w:space="0" w:color="auto"/>
            <w:bottom w:val="none" w:sz="0" w:space="0" w:color="auto"/>
            <w:right w:val="none" w:sz="0" w:space="0" w:color="auto"/>
          </w:divBdr>
        </w:div>
        <w:div w:id="1298221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maria.zapletalova@mirri.gov.s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ina.sokolova@mirri.go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7492F976CBF46A6AE218298779E84" ma:contentTypeVersion="11" ma:contentTypeDescription="Create a new document." ma:contentTypeScope="" ma:versionID="a49580e50effbdc87ee46506eecfc4c3">
  <xsd:schema xmlns:xsd="http://www.w3.org/2001/XMLSchema" xmlns:xs="http://www.w3.org/2001/XMLSchema" xmlns:p="http://schemas.microsoft.com/office/2006/metadata/properties" xmlns:ns2="d26c6947-7193-433e-9fee-b9383e5fa34c" targetNamespace="http://schemas.microsoft.com/office/2006/metadata/properties" ma:root="true" ma:fieldsID="c498c21d966a2be289c8d829e74011dd" ns2:_="">
    <xsd:import namespace="d26c6947-7193-433e-9fee-b9383e5fa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6947-7193-433e-9fee-b9383e5fa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9C594-0FB6-4305-AE3F-7A8D8A927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6947-7193-433e-9fee-b9383e5fa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AD2D4-EFAD-422A-A681-3CAD2889B971}">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d26c6947-7193-433e-9fee-b9383e5fa34c"/>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BDA74A2-4BC1-490A-BA1B-39139202E0F9}">
  <ds:schemaRefs>
    <ds:schemaRef ds:uri="http://schemas.microsoft.com/sharepoint/v3/contenttype/forms"/>
  </ds:schemaRefs>
</ds:datastoreItem>
</file>

<file path=customXml/itemProps4.xml><?xml version="1.0" encoding="utf-8"?>
<ds:datastoreItem xmlns:ds="http://schemas.openxmlformats.org/officeDocument/2006/customXml" ds:itemID="{387D4E9A-E9A2-4D46-972C-AC107D43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7254</Words>
  <Characters>44466</Characters>
  <Application>Microsoft Office Word</Application>
  <DocSecurity>0</DocSecurity>
  <Lines>370</Lines>
  <Paragraphs>103</Paragraphs>
  <ScaleCrop>false</ScaleCrop>
  <HeadingPairs>
    <vt:vector size="2" baseType="variant">
      <vt:variant>
        <vt:lpstr>Názov</vt:lpstr>
      </vt:variant>
      <vt:variant>
        <vt:i4>1</vt:i4>
      </vt:variant>
    </vt:vector>
  </HeadingPairs>
  <TitlesOfParts>
    <vt:vector size="1" baseType="lpstr">
      <vt:lpstr>DÔVODOVÁ SPRÁVA</vt:lpstr>
    </vt:vector>
  </TitlesOfParts>
  <LinksUpToDate>false</LinksUpToDate>
  <CharactersWithSpaces>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
  <cp:lastModifiedBy/>
  <cp:revision>1</cp:revision>
  <dcterms:created xsi:type="dcterms:W3CDTF">2022-05-25T09:23:00Z</dcterms:created>
  <dcterms:modified xsi:type="dcterms:W3CDTF">2023-04-14T11:02:00Z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0x0101005D47492F976CBF46A6AE218298779E84</vt:lpwstr>
  </property>
  <property fmtid="{D5CDD505-2E9C-101B-9397-08002B2CF9AE}" pid="3" name="_dlc_DocIdItemGuid">
    <vt:lpwstr>c9874944-0976-4a92-b7da-bcbae28abff3</vt:lpwstr>
  </property>
</Properties>
</file>